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6BC70">
      <w:pPr>
        <w:jc w:val="center"/>
        <w:rPr>
          <w:rFonts w:hint="default" w:asciiTheme="minorEastAsia" w:hAnsiTheme="minorEastAsia" w:eastAsiaTheme="minorEastAsia" w:cstheme="minorEastAsia"/>
          <w:b/>
          <w:bCs/>
          <w:color w:val="333333"/>
          <w:sz w:val="36"/>
          <w:szCs w:val="36"/>
          <w:lang w:val="en-US" w:eastAsia="zh-CN"/>
        </w:rPr>
      </w:pPr>
      <w:bookmarkStart w:id="0" w:name="_GoBack"/>
      <w:r>
        <w:rPr>
          <w:rFonts w:hint="eastAsia" w:asciiTheme="minorEastAsia" w:hAnsiTheme="minorEastAsia" w:cstheme="minorEastAsia"/>
          <w:b/>
          <w:bCs/>
          <w:color w:val="333333"/>
          <w:sz w:val="36"/>
          <w:szCs w:val="36"/>
        </w:rPr>
        <w:t>理工学校香洲校区体育馆运动地胶</w:t>
      </w:r>
      <w:r>
        <w:rPr>
          <w:rFonts w:hint="eastAsia" w:asciiTheme="minorEastAsia" w:hAnsiTheme="minorEastAsia" w:cstheme="minorEastAsia"/>
          <w:b/>
          <w:bCs/>
          <w:color w:val="333333"/>
          <w:sz w:val="36"/>
          <w:szCs w:val="36"/>
          <w:lang w:val="en-US" w:eastAsia="zh-CN"/>
        </w:rPr>
        <w:t>项目采购需求</w:t>
      </w:r>
    </w:p>
    <w:bookmarkEnd w:id="0"/>
    <w:tbl>
      <w:tblPr>
        <w:tblStyle w:val="6"/>
        <w:tblpPr w:leftFromText="180" w:rightFromText="180" w:vertAnchor="page" w:horzAnchor="margin" w:tblpY="1861"/>
        <w:tblW w:w="96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673"/>
        <w:gridCol w:w="2268"/>
        <w:gridCol w:w="992"/>
        <w:gridCol w:w="851"/>
        <w:gridCol w:w="850"/>
        <w:gridCol w:w="851"/>
        <w:gridCol w:w="1740"/>
      </w:tblGrid>
      <w:tr w14:paraId="55D83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6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DAB12">
            <w:pPr>
              <w:widowControl/>
              <w:ind w:firstLine="12240" w:firstLineChars="51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07575314">
            <w:pPr>
              <w:widowControl/>
              <w:ind w:firstLine="12167" w:firstLineChars="505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5391F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6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 w14:paraId="07D96DCC">
            <w:pPr>
              <w:widowControl/>
              <w:tabs>
                <w:tab w:val="left" w:pos="6795"/>
              </w:tabs>
              <w:spacing w:line="48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项目报价</w:t>
            </w:r>
          </w:p>
        </w:tc>
      </w:tr>
      <w:tr w14:paraId="613B8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4319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DD4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3FAB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规格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8E137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8A5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8B9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F0B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价格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D989D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85D8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9E14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78B3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PVC运动地胶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947D62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水晶砂6.0mm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17BE7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1F5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0FD75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1DAA8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000000" w:fill="FFFFFF"/>
            <w:vAlign w:val="center"/>
          </w:tcPr>
          <w:p w14:paraId="6DCB070E">
            <w:pPr>
              <w:spacing w:line="276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PVC运动地胶技术参数见下文，</w:t>
            </w:r>
            <w:r>
              <w:rPr>
                <w:rFonts w:hint="eastAsia"/>
                <w:color w:val="000000" w:themeColor="text1"/>
                <w:sz w:val="22"/>
                <w:szCs w:val="16"/>
              </w:rPr>
              <w:t>带“★”的为重要参数，</w:t>
            </w:r>
            <w:r>
              <w:rPr>
                <w:rFonts w:hint="eastAsia"/>
                <w:b/>
                <w:bCs/>
                <w:color w:val="000000" w:themeColor="text1"/>
                <w:sz w:val="22"/>
                <w:szCs w:val="16"/>
              </w:rPr>
              <w:t>不按要求提供或提供不全者按</w:t>
            </w:r>
            <w:r>
              <w:rPr>
                <w:rFonts w:hint="eastAsia"/>
                <w:b/>
                <w:bCs/>
                <w:szCs w:val="21"/>
              </w:rPr>
              <w:t>废标处理。</w:t>
            </w:r>
          </w:p>
        </w:tc>
      </w:tr>
      <w:tr w14:paraId="4A202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9BB4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401885"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PVC运动地胶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791E5E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红布纹6.0mm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35DF7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6DC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80EE2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C0408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FF"/>
            <w:vAlign w:val="center"/>
          </w:tcPr>
          <w:p w14:paraId="1154C53B">
            <w:pPr>
              <w:spacing w:line="276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C960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4CAD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890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辅料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A39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美纹纸\油墨\焊线（双面焊接）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E9ABD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BE4A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B6CE9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7C8AD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0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 w14:paraId="179C5FF1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E6E5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7F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4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4BF5">
            <w:pPr>
              <w:widowControl/>
              <w:tabs>
                <w:tab w:val="left" w:pos="5473"/>
              </w:tabs>
              <w:ind w:firstLine="2400" w:firstLineChars="10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合计：  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303157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14:paraId="62B17D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包括材料、运输、安装、人工、利润和税费等全部费用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含损耗面积</w:t>
            </w:r>
          </w:p>
        </w:tc>
      </w:tr>
      <w:tr w14:paraId="52A30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7FF276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14:paraId="1E2E0B2E">
            <w:pPr>
              <w:widowControl/>
              <w:spacing w:line="360" w:lineRule="auto"/>
              <w:jc w:val="left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</w:rPr>
              <w:t>施工方案：水晶砂的专业羽毛球PVC运动防滑地胶 ，厚度是6.0mm，缓冲区与乒乓球场地采用红色的</w:t>
            </w: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  <w:lang w:eastAsia="zh-CN"/>
              </w:rPr>
              <w:t>布</w:t>
            </w: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</w:rPr>
              <w:t>纹的防滑运动地胶</w:t>
            </w: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  <w:lang w:eastAsia="zh-CN"/>
              </w:rPr>
              <w:t>。</w:t>
            </w:r>
          </w:p>
        </w:tc>
      </w:tr>
    </w:tbl>
    <w:p w14:paraId="32617FCB"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PVC运动地板</w:t>
      </w:r>
    </w:p>
    <w:p w14:paraId="3B97D785">
      <w:pPr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100%原生料生产加工而成，无毒、无味、绿色环保</w:t>
      </w:r>
      <w:r>
        <w:rPr>
          <w:rFonts w:hint="eastAsia" w:ascii="宋体" w:hAnsi="宋体" w:eastAsia="宋体"/>
          <w:bCs/>
          <w:szCs w:val="21"/>
        </w:rPr>
        <w:t>。</w:t>
      </w:r>
    </w:p>
    <w:p w14:paraId="617CBDEC">
      <w:pPr>
        <w:spacing w:line="360" w:lineRule="auto"/>
        <w:rPr>
          <w:rFonts w:hint="eastAsia" w:ascii="宋体" w:hAnsi="宋体" w:eastAsiaTheme="minorEastAsia"/>
          <w:bCs/>
          <w:szCs w:val="21"/>
          <w:lang w:eastAsia="zh-CN"/>
        </w:rPr>
      </w:pPr>
      <w:r>
        <w:rPr>
          <w:rFonts w:ascii="宋体" w:hAnsi="宋体" w:eastAsia="宋体"/>
          <w:bCs/>
          <w:szCs w:val="21"/>
        </w:rPr>
        <w:t>耐磨防滑，双色双倍率无钙发泡缓冲层，密实稳定加强层，高强度玻纤网格布稳定层，背板为密闭式防移动</w:t>
      </w:r>
      <w:r>
        <w:rPr>
          <w:rFonts w:hint="eastAsia" w:ascii="宋体" w:hAnsi="宋体" w:eastAsia="宋体"/>
          <w:bCs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性能优越，脚感舒适，结构稳定</w:t>
      </w:r>
      <w:r>
        <w:rPr>
          <w:rFonts w:hint="eastAsia" w:asciiTheme="minorEastAsia" w:hAnsiTheme="minorEastAsia" w:cstheme="minorEastAsia"/>
          <w:bCs/>
          <w:sz w:val="21"/>
          <w:szCs w:val="21"/>
          <w:lang w:eastAsia="zh-CN"/>
        </w:rPr>
        <w:t>。</w:t>
      </w:r>
    </w:p>
    <w:p w14:paraId="67C9AA06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cstheme="minorEastAsia"/>
          <w:bCs/>
          <w:sz w:val="21"/>
          <w:szCs w:val="21"/>
          <w:lang w:val="en-US" w:eastAsia="zh-CN"/>
        </w:rPr>
        <w:t>产品</w:t>
      </w:r>
      <w:r>
        <w:rPr>
          <w:rFonts w:hint="eastAsia" w:asciiTheme="minorEastAsia" w:hAnsiTheme="minorEastAsia" w:cstheme="minorEastAsia"/>
          <w:bCs/>
          <w:sz w:val="21"/>
          <w:szCs w:val="21"/>
          <w:lang w:eastAsia="zh-CN"/>
        </w:rPr>
        <w:t>要提供以下检测数据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。</w:t>
      </w:r>
    </w:p>
    <w:p w14:paraId="5ADD0604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★1：总厚度：≥6.0mm</w:t>
      </w:r>
    </w:p>
    <w:p w14:paraId="08EFF455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★2：冲击吸收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20~50%</w:t>
      </w:r>
    </w:p>
    <w:p w14:paraId="06F61D0F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★3：垂直变形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mm\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≤3</w:t>
      </w:r>
    </w:p>
    <w:p w14:paraId="7819EBF4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★4：摩擦系数μ 0.4~0.7</w:t>
      </w:r>
    </w:p>
    <w:p w14:paraId="1AE4C890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★5：球反弹率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≥75%</w:t>
      </w:r>
    </w:p>
    <w:p w14:paraId="2D9594CE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★6：拉伸强度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≥0.7 MPa</w:t>
      </w:r>
    </w:p>
    <w:p w14:paraId="7DB4216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18"/>
          <w:szCs w:val="18"/>
          <w:lang w:val="en-US" w:eastAsia="zh-CN"/>
        </w:rPr>
        <w:t>★7、产品减震吸收性能良好，孔隙率49.5%-59.5%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val="en-US" w:eastAsia="zh-CN"/>
        </w:rPr>
        <w:t>。</w:t>
      </w:r>
    </w:p>
    <w:p w14:paraId="315A9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18"/>
          <w:szCs w:val="18"/>
          <w:lang w:val="en-US" w:eastAsia="zh-CN"/>
        </w:rPr>
        <w:t>★8、产品玻纤含量≥19%</w:t>
      </w: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val="en-US" w:eastAsia="zh-CN"/>
        </w:rPr>
        <w:t>。</w:t>
      </w:r>
    </w:p>
    <w:p w14:paraId="5966F4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  <w:t>★9、为保证产品在不同温度、湿度下的质量稳定性及良好的防潮性，要求产品防潮测试（①:试件侧立浸入温度为(20±1)℃的水中，漫泡(70±1)h,取出拭去试件表面水分</w:t>
      </w:r>
    </w:p>
    <w:p w14:paraId="2564C91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  <w:t>②:-12℃~-25℃低温箱中冷冻(24±1)h③:从冷冻箱中取出立即放入(70±2)℃鼓风干燥箱中，烘干(70±1)h④:置于(20±5)℃室温下冷却(4±0.5)h⑤:①~④为一个循环，共9个循环，每个循环将试样上下翻转180°⑥:最后一个循环的烘干结束后进行再平衡处理）不低于1500h后，试样无粉化、无破损、起皮和分层，灰卡评级≥5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  <w:lang w:val="en-US" w:eastAsia="zh-CN"/>
        </w:rPr>
        <w:t>。</w:t>
      </w:r>
    </w:p>
    <w:p w14:paraId="5200DDE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  <w:t>★10、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18"/>
          <w:szCs w:val="18"/>
          <w:lang w:val="en-US" w:eastAsia="zh-CN"/>
        </w:rPr>
        <w:t>为保证产品质量老化后的颜色稳定性及耐污染性，参考GB/T 1690-2010标准，产品连续耐化学试剂（矿物油）1000h、1500h、2000h、2500h、3000h、3500h后，样品无明显变化，无变色，无起泡，无开裂等现象，且耐化学试剂（矿物油）后灰卡评级均≥5级。</w:t>
      </w:r>
    </w:p>
    <w:p w14:paraId="3586963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  <w:t>★11、提供连续两个年度产品总体积收缩率≤0.5%的证明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  <w:lang w:val="en-US" w:eastAsia="zh-CN"/>
        </w:rPr>
        <w:t>。</w:t>
      </w:r>
    </w:p>
    <w:p w14:paraId="38A4780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  <w:t>★12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18"/>
          <w:szCs w:val="18"/>
          <w:lang w:val="en-US" w:eastAsia="zh-CN"/>
        </w:rPr>
        <w:t>为保证产品的耐用性，产品应通过踩踏实验，单次实验不少于5万次踩踏后，样品外观无粉化、开裂、变形等异常现象，样品无明显变化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0"/>
          <w:kern w:val="2"/>
          <w:sz w:val="18"/>
          <w:szCs w:val="18"/>
          <w:lang w:val="en-US" w:eastAsia="zh-CN" w:bidi="ar-SA"/>
        </w:rPr>
        <w:t>。</w:t>
      </w:r>
    </w:p>
    <w:p w14:paraId="2C1F1BF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  <w:lang w:val="en-US" w:eastAsia="zh-CN"/>
        </w:rPr>
        <w:t>★13、耐化学试剂（矿物油）3000h后，无明显变化，无变色、无起泡、无开裂等现象，垂直变形≤0.5mm，冲击吸收≥31%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  <w:lang w:val="en-US" w:eastAsia="zh-CN"/>
        </w:rPr>
        <w:t>。</w:t>
      </w:r>
    </w:p>
    <w:p w14:paraId="5D2747F2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★1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：有害物质含量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</w:p>
    <w:p w14:paraId="06300B9F">
      <w:pPr>
        <w:spacing w:line="360" w:lineRule="auto"/>
        <w:ind w:firstLine="540" w:firstLineChars="300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18种多环芳烃总和mg/kg ≤50</w:t>
      </w:r>
    </w:p>
    <w:p w14:paraId="6EB541D8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苯并[a]芘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≤1.0</w:t>
      </w:r>
    </w:p>
    <w:p w14:paraId="34060E47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短链氯化石蜡(C10-C13)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g/kg ≤1.5</w:t>
      </w:r>
    </w:p>
    <w:p w14:paraId="2709395A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4,4'-二氨基-3,3二氯二苯甲烷(MOCA g/kg)≤1.0</w:t>
      </w:r>
    </w:p>
    <w:p w14:paraId="51958CF0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游离甲苯二异氰酸酯(TDI)和游离六亚甲基二异氰酸酯(HDI)总和g/kg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≤0.2</w:t>
      </w:r>
    </w:p>
    <w:p w14:paraId="6B098F64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游离二苯基甲烷二异氰酸酯(MDI) g/kg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≤1.0</w:t>
      </w:r>
    </w:p>
    <w:p w14:paraId="2C0728A9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可溶性铅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g/㎡≤50</w:t>
      </w:r>
    </w:p>
    <w:p w14:paraId="7876628F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可溶性镉g/㎡≤10</w:t>
      </w:r>
    </w:p>
    <w:p w14:paraId="3210D08A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可溶性铬g/㎡≤10</w:t>
      </w:r>
    </w:p>
    <w:p w14:paraId="42E2A0AC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ab/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 xml:space="preserve">  可溶性汞g/㎡≤2</w:t>
      </w:r>
    </w:p>
    <w:p w14:paraId="23A6D762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★1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: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有害物质释放量</w:t>
      </w:r>
    </w:p>
    <w:p w14:paraId="524CB9F8">
      <w:pPr>
        <w:spacing w:line="360" w:lineRule="auto"/>
        <w:ind w:firstLine="450" w:firstLineChars="250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总择发性有机化合物(TVOC)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mg/(㎡.h) ≤0.5</w:t>
      </w:r>
    </w:p>
    <w:p w14:paraId="037EE911">
      <w:pPr>
        <w:spacing w:line="360" w:lineRule="auto"/>
        <w:ind w:firstLine="450" w:firstLineChars="250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甲醛mg/(㎡.h) ≤0.4</w:t>
      </w:r>
    </w:p>
    <w:p w14:paraId="7B12351D">
      <w:pPr>
        <w:spacing w:line="360" w:lineRule="auto"/>
        <w:ind w:firstLine="450" w:firstLineChars="250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苯mg/(㎡.h) ≤ 0.1</w:t>
      </w:r>
    </w:p>
    <w:p w14:paraId="66C5F487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★1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：有害物质释放量</w:t>
      </w:r>
    </w:p>
    <w:p w14:paraId="0488DDA1">
      <w:pPr>
        <w:spacing w:line="360" w:lineRule="auto"/>
        <w:ind w:firstLine="450" w:firstLineChars="250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甲苯/二甲苯和乙苯总和mg/(㎡.h) ≤ 0.1</w:t>
      </w:r>
    </w:p>
    <w:p w14:paraId="45266E83">
      <w:pPr>
        <w:spacing w:line="360" w:lineRule="auto"/>
        <w:ind w:firstLine="450" w:firstLineChars="250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二硫化碳mg/(㎡.h) ≤ 7.0</w:t>
      </w:r>
    </w:p>
    <w:p w14:paraId="7F44D1C7">
      <w:pPr>
        <w:spacing w:line="360" w:lineRule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  <w:t>★1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  <w:t>为保证产品老化后强度稳定，臭氧老化不低于9500h后，邵氏硬度依据GB/T531.1-2008检测标准70-90 Shore A。</w:t>
      </w:r>
    </w:p>
    <w:p w14:paraId="6C8D7835">
      <w:pPr>
        <w:widowControl/>
        <w:spacing w:line="400" w:lineRule="exact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  <w:t>★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</w:rPr>
        <w:t>为保证产品质量老化后的颜色稳定性及耐污染性，参考GB/T 1690-2010标准，产品连续耐化学试剂（矿物油）1000h、1500h、2000h、2500h、3000h、3500h后，样品无明显变化，无变色，无起泡，无开裂等现象，且耐化学试剂（矿物油）后灰卡评级均≥5级。</w:t>
      </w:r>
    </w:p>
    <w:p w14:paraId="408F030E">
      <w:pPr>
        <w:widowControl/>
        <w:spacing w:line="400" w:lineRule="exact"/>
        <w:jc w:val="left"/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  <w:t>★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18"/>
          <w:szCs w:val="18"/>
        </w:rPr>
        <w:t>、耐化学试剂（矿物油）3000h后，无明显变化，无变色、无起泡、无开裂等现象，垂直变形≤0.5mm，冲击吸收≥31%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18"/>
          <w:szCs w:val="18"/>
        </w:rPr>
        <w:t>。</w:t>
      </w:r>
    </w:p>
    <w:p w14:paraId="2E0A2B07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Cs/>
          <w:sz w:val="18"/>
          <w:szCs w:val="18"/>
        </w:rPr>
        <w:t>　　</w:t>
      </w:r>
    </w:p>
    <w:p w14:paraId="00BADD92">
      <w:pPr>
        <w:pStyle w:val="5"/>
        <w:rPr>
          <w:rFonts w:hint="eastAsia" w:asciiTheme="minorEastAsia" w:hAnsiTheme="minorEastAsia" w:eastAsiaTheme="minorEastAsia" w:cstheme="minorEastAsia"/>
          <w:sz w:val="15"/>
          <w:szCs w:val="15"/>
        </w:rPr>
      </w:pPr>
    </w:p>
    <w:sectPr>
      <w:headerReference r:id="rId3" w:type="default"/>
      <w:pgSz w:w="11906" w:h="16838"/>
      <w:pgMar w:top="998" w:right="1306" w:bottom="11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EE718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jMTVmYzg2YWE2ZmViMmJiODljNGFhNzlhNDA2OWUifQ=="/>
  </w:docVars>
  <w:rsids>
    <w:rsidRoot w:val="00263F63"/>
    <w:rsid w:val="00027AFF"/>
    <w:rsid w:val="00037206"/>
    <w:rsid w:val="00052D69"/>
    <w:rsid w:val="00067694"/>
    <w:rsid w:val="00094449"/>
    <w:rsid w:val="000B6FCC"/>
    <w:rsid w:val="000E7F2E"/>
    <w:rsid w:val="000F26E5"/>
    <w:rsid w:val="0012426F"/>
    <w:rsid w:val="001668A4"/>
    <w:rsid w:val="001B5821"/>
    <w:rsid w:val="001B6064"/>
    <w:rsid w:val="001C244F"/>
    <w:rsid w:val="001E7BC8"/>
    <w:rsid w:val="002105A7"/>
    <w:rsid w:val="002130DD"/>
    <w:rsid w:val="002152FB"/>
    <w:rsid w:val="0022023F"/>
    <w:rsid w:val="00223140"/>
    <w:rsid w:val="00231233"/>
    <w:rsid w:val="0024454A"/>
    <w:rsid w:val="00263F63"/>
    <w:rsid w:val="002845DC"/>
    <w:rsid w:val="00286F87"/>
    <w:rsid w:val="00292A42"/>
    <w:rsid w:val="002C2E65"/>
    <w:rsid w:val="002C59C8"/>
    <w:rsid w:val="002C76F7"/>
    <w:rsid w:val="003041C2"/>
    <w:rsid w:val="0032170A"/>
    <w:rsid w:val="00337A26"/>
    <w:rsid w:val="0037351A"/>
    <w:rsid w:val="003949D9"/>
    <w:rsid w:val="003C1B01"/>
    <w:rsid w:val="003E6B52"/>
    <w:rsid w:val="003F315C"/>
    <w:rsid w:val="003F7484"/>
    <w:rsid w:val="004474FA"/>
    <w:rsid w:val="00451766"/>
    <w:rsid w:val="00455EFA"/>
    <w:rsid w:val="00456D97"/>
    <w:rsid w:val="00470DFC"/>
    <w:rsid w:val="0049027B"/>
    <w:rsid w:val="004A3E14"/>
    <w:rsid w:val="004C39B9"/>
    <w:rsid w:val="004C7C38"/>
    <w:rsid w:val="004F0492"/>
    <w:rsid w:val="0050390C"/>
    <w:rsid w:val="005141B3"/>
    <w:rsid w:val="00515E3B"/>
    <w:rsid w:val="00526F10"/>
    <w:rsid w:val="0053014D"/>
    <w:rsid w:val="00530A91"/>
    <w:rsid w:val="00542C48"/>
    <w:rsid w:val="005465DE"/>
    <w:rsid w:val="00561667"/>
    <w:rsid w:val="005A0162"/>
    <w:rsid w:val="005A4F23"/>
    <w:rsid w:val="005B073C"/>
    <w:rsid w:val="005B1F89"/>
    <w:rsid w:val="005C09DC"/>
    <w:rsid w:val="005D6708"/>
    <w:rsid w:val="0060456D"/>
    <w:rsid w:val="00636DCA"/>
    <w:rsid w:val="006809D3"/>
    <w:rsid w:val="00692A10"/>
    <w:rsid w:val="00693CA4"/>
    <w:rsid w:val="006B55CC"/>
    <w:rsid w:val="006C23A0"/>
    <w:rsid w:val="006F2EF3"/>
    <w:rsid w:val="00700446"/>
    <w:rsid w:val="00700913"/>
    <w:rsid w:val="00700981"/>
    <w:rsid w:val="0070178A"/>
    <w:rsid w:val="007176D5"/>
    <w:rsid w:val="00720725"/>
    <w:rsid w:val="00725CDB"/>
    <w:rsid w:val="007316DD"/>
    <w:rsid w:val="00764C8E"/>
    <w:rsid w:val="00765F31"/>
    <w:rsid w:val="00787205"/>
    <w:rsid w:val="007C4779"/>
    <w:rsid w:val="007C6023"/>
    <w:rsid w:val="007D26EE"/>
    <w:rsid w:val="007E56FA"/>
    <w:rsid w:val="00805219"/>
    <w:rsid w:val="0081726C"/>
    <w:rsid w:val="00821586"/>
    <w:rsid w:val="00836D56"/>
    <w:rsid w:val="00863A02"/>
    <w:rsid w:val="008844D9"/>
    <w:rsid w:val="00896B24"/>
    <w:rsid w:val="008B7032"/>
    <w:rsid w:val="008C0FE1"/>
    <w:rsid w:val="008C773E"/>
    <w:rsid w:val="008F2E7F"/>
    <w:rsid w:val="00904FCE"/>
    <w:rsid w:val="00924A38"/>
    <w:rsid w:val="009816C9"/>
    <w:rsid w:val="0098244C"/>
    <w:rsid w:val="00984B75"/>
    <w:rsid w:val="009E13A9"/>
    <w:rsid w:val="00A02877"/>
    <w:rsid w:val="00A04C4E"/>
    <w:rsid w:val="00A34BA4"/>
    <w:rsid w:val="00A35023"/>
    <w:rsid w:val="00A3698A"/>
    <w:rsid w:val="00A4742B"/>
    <w:rsid w:val="00AB3E43"/>
    <w:rsid w:val="00AC2663"/>
    <w:rsid w:val="00AD03A8"/>
    <w:rsid w:val="00AE15DA"/>
    <w:rsid w:val="00B07992"/>
    <w:rsid w:val="00B13249"/>
    <w:rsid w:val="00B20C9A"/>
    <w:rsid w:val="00B72EC1"/>
    <w:rsid w:val="00B94B5F"/>
    <w:rsid w:val="00BB7011"/>
    <w:rsid w:val="00BD184B"/>
    <w:rsid w:val="00BD7CB0"/>
    <w:rsid w:val="00BE3028"/>
    <w:rsid w:val="00BF7142"/>
    <w:rsid w:val="00C01D64"/>
    <w:rsid w:val="00C21402"/>
    <w:rsid w:val="00C34FF6"/>
    <w:rsid w:val="00C35D43"/>
    <w:rsid w:val="00C41616"/>
    <w:rsid w:val="00C83080"/>
    <w:rsid w:val="00CB23E1"/>
    <w:rsid w:val="00CB7088"/>
    <w:rsid w:val="00CD2DF1"/>
    <w:rsid w:val="00CD3D86"/>
    <w:rsid w:val="00CD77BF"/>
    <w:rsid w:val="00CE27B6"/>
    <w:rsid w:val="00CF3385"/>
    <w:rsid w:val="00D05DCA"/>
    <w:rsid w:val="00D103C6"/>
    <w:rsid w:val="00D17BD1"/>
    <w:rsid w:val="00D4101A"/>
    <w:rsid w:val="00D43D88"/>
    <w:rsid w:val="00D45074"/>
    <w:rsid w:val="00D66ED4"/>
    <w:rsid w:val="00D67909"/>
    <w:rsid w:val="00D73C66"/>
    <w:rsid w:val="00D73C7A"/>
    <w:rsid w:val="00D8047D"/>
    <w:rsid w:val="00D82784"/>
    <w:rsid w:val="00D85F07"/>
    <w:rsid w:val="00DA04A3"/>
    <w:rsid w:val="00DB4487"/>
    <w:rsid w:val="00DC52C0"/>
    <w:rsid w:val="00E062D5"/>
    <w:rsid w:val="00E16F51"/>
    <w:rsid w:val="00E30C02"/>
    <w:rsid w:val="00E33DEB"/>
    <w:rsid w:val="00E33F5E"/>
    <w:rsid w:val="00E83F41"/>
    <w:rsid w:val="00EA4344"/>
    <w:rsid w:val="00EA5B83"/>
    <w:rsid w:val="00EA6A38"/>
    <w:rsid w:val="00ED7D4B"/>
    <w:rsid w:val="00EE3800"/>
    <w:rsid w:val="00EF0C89"/>
    <w:rsid w:val="00F11A2A"/>
    <w:rsid w:val="00F24A28"/>
    <w:rsid w:val="00F73062"/>
    <w:rsid w:val="00F77735"/>
    <w:rsid w:val="00F9275D"/>
    <w:rsid w:val="00FA21C3"/>
    <w:rsid w:val="00FB1012"/>
    <w:rsid w:val="01396EDA"/>
    <w:rsid w:val="0A60064A"/>
    <w:rsid w:val="0BEC7515"/>
    <w:rsid w:val="0FAC3B86"/>
    <w:rsid w:val="139B66A0"/>
    <w:rsid w:val="15195AFE"/>
    <w:rsid w:val="2388480C"/>
    <w:rsid w:val="349F7963"/>
    <w:rsid w:val="39957106"/>
    <w:rsid w:val="39A94B9C"/>
    <w:rsid w:val="3D274AB1"/>
    <w:rsid w:val="3E7133AC"/>
    <w:rsid w:val="535541C1"/>
    <w:rsid w:val="65C16940"/>
    <w:rsid w:val="67E01EBE"/>
    <w:rsid w:val="6B4E50C9"/>
    <w:rsid w:val="6C2067F9"/>
    <w:rsid w:val="7214383E"/>
    <w:rsid w:val="7A733FBD"/>
    <w:rsid w:val="7A79401E"/>
    <w:rsid w:val="7B16067A"/>
    <w:rsid w:val="7E7B773A"/>
    <w:rsid w:val="7E8F3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1">
    <w:name w:val="批注框文本 Char"/>
    <w:basedOn w:val="8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8F4F-46E5-48FC-BD4D-4B064FF6DA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1226</Words>
  <Characters>1567</Characters>
  <Lines>9</Lines>
  <Paragraphs>2</Paragraphs>
  <TotalTime>0</TotalTime>
  <ScaleCrop>false</ScaleCrop>
  <LinksUpToDate>false</LinksUpToDate>
  <CharactersWithSpaces>1633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2024-06-16T15:08:00Z</dcterms:created>
  <dc:creator>Administrator</dc:creator>
  <cp:lastModifiedBy>传朋</cp:lastModifiedBy>
  <cp:lastPrinted>2023-05-18T03:39:00Z</cp:lastPrinted>
  <dcterms:modified xsi:type="dcterms:W3CDTF">2024-07-08T08:02:05Z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3A9186370117491098ED2C29CCC11389_13</vt:lpwstr>
  </property>
</Properties>
</file>