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60" w:lineRule="exact"/>
        <w:jc w:val="center"/>
        <w:rPr>
          <w:rFonts w:hint="eastAsia" w:ascii="方正小标宋简体" w:hAnsi="方正小标宋简体" w:eastAsia="方正小标宋简体" w:cs="方正小标宋简体"/>
          <w:b w:val="0"/>
          <w:bCs/>
          <w:i w:val="0"/>
          <w:caps w:val="0"/>
          <w:color w:val="000000"/>
          <w:spacing w:val="0"/>
          <w:kern w:val="44"/>
          <w:sz w:val="44"/>
          <w:szCs w:val="44"/>
          <w:shd w:val="clear" w:color="auto" w:fill="FFFFFF"/>
          <w:lang w:val="en-US" w:eastAsia="zh-CN" w:bidi="ar-SA"/>
        </w:rPr>
      </w:pPr>
      <w:r>
        <w:rPr>
          <w:rFonts w:hint="eastAsia" w:ascii="方正小标宋简体" w:hAnsi="方正小标宋简体" w:eastAsia="方正小标宋简体" w:cs="方正小标宋简体"/>
          <w:b w:val="0"/>
          <w:bCs/>
          <w:i w:val="0"/>
          <w:caps w:val="0"/>
          <w:color w:val="000000"/>
          <w:spacing w:val="0"/>
          <w:kern w:val="44"/>
          <w:sz w:val="44"/>
          <w:szCs w:val="44"/>
          <w:shd w:val="clear" w:color="auto" w:fill="FFFFFF"/>
          <w:lang w:val="en-US" w:eastAsia="zh-CN" w:bidi="ar-SA"/>
        </w:rPr>
        <w:t>项目招标评分细则</w:t>
      </w:r>
    </w:p>
    <w:p>
      <w:pPr>
        <w:keepNext w:val="0"/>
        <w:keepLines w:val="0"/>
        <w:pageBreakBefore w:val="0"/>
        <w:kinsoku/>
        <w:wordWrap/>
        <w:overflowPunct/>
        <w:topLinePunct w:val="0"/>
        <w:bidi w:val="0"/>
        <w:snapToGrid/>
        <w:spacing w:line="560" w:lineRule="exact"/>
        <w:jc w:val="both"/>
        <w:rPr>
          <w:rFonts w:hint="eastAsia" w:ascii="方正小标宋简体" w:hAnsi="方正小标宋简体" w:eastAsia="方正小标宋简体" w:cs="方正小标宋简体"/>
          <w:b w:val="0"/>
          <w:bCs/>
          <w:i w:val="0"/>
          <w:caps w:val="0"/>
          <w:color w:val="000000"/>
          <w:spacing w:val="0"/>
          <w:kern w:val="44"/>
          <w:sz w:val="44"/>
          <w:szCs w:val="44"/>
          <w:shd w:val="clear" w:color="auto" w:fill="FFFFFF"/>
          <w:lang w:val="en-US" w:eastAsia="zh-CN" w:bidi="ar-SA"/>
        </w:rPr>
      </w:pPr>
    </w:p>
    <w:p>
      <w:pPr>
        <w:keepNext w:val="0"/>
        <w:keepLines w:val="0"/>
        <w:pageBreakBefore w:val="0"/>
        <w:widowControl/>
        <w:kinsoku/>
        <w:wordWrap/>
        <w:overflowPunct/>
        <w:topLinePunct w:val="0"/>
        <w:bidi w:val="0"/>
        <w:adjustRightInd w:val="0"/>
        <w:snapToGrid w:val="0"/>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采用</w:t>
      </w:r>
      <w:r>
        <w:rPr>
          <w:rFonts w:hint="eastAsia" w:ascii="仿宋_GB2312" w:hAnsi="仿宋_GB2312" w:eastAsia="仿宋_GB2312" w:cs="仿宋_GB2312"/>
          <w:b/>
          <w:sz w:val="32"/>
          <w:szCs w:val="32"/>
        </w:rPr>
        <w:t>综合评分法</w:t>
      </w:r>
      <w:r>
        <w:rPr>
          <w:rFonts w:hint="eastAsia" w:ascii="仿宋_GB2312" w:hAnsi="仿宋_GB2312" w:eastAsia="仿宋_GB2312" w:cs="仿宋_GB2312"/>
          <w:sz w:val="32"/>
          <w:szCs w:val="32"/>
        </w:rPr>
        <w:t>方法进行评审。</w:t>
      </w:r>
    </w:p>
    <w:p>
      <w:pPr>
        <w:keepNext w:val="0"/>
        <w:keepLines w:val="0"/>
        <w:pageBreakBefore w:val="0"/>
        <w:widowControl/>
        <w:kinsoku/>
        <w:wordWrap/>
        <w:overflowPunct/>
        <w:topLinePunct w:val="0"/>
        <w:autoSpaceDE/>
        <w:autoSpaceDN/>
        <w:bidi w:val="0"/>
        <w:adjustRightInd w:val="0"/>
        <w:snapToGrid w:val="0"/>
        <w:spacing w:after="156" w:afterLines="50" w:line="4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评价指标及分值</w:t>
      </w:r>
      <w:r>
        <w:rPr>
          <w:rFonts w:hint="eastAsia" w:ascii="仿宋_GB2312" w:hAnsi="仿宋_GB2312" w:eastAsia="仿宋_GB2312" w:cs="仿宋_GB2312"/>
          <w:sz w:val="32"/>
          <w:szCs w:val="32"/>
          <w:lang w:val="en-US" w:eastAsia="zh-CN"/>
        </w:rPr>
        <w:t>:</w:t>
      </w:r>
    </w:p>
    <w:tbl>
      <w:tblPr>
        <w:tblStyle w:val="9"/>
        <w:tblpPr w:leftFromText="180" w:rightFromText="180" w:vertAnchor="text" w:horzAnchor="page" w:tblpX="2880" w:tblpY="52"/>
        <w:tblOverlap w:val="never"/>
        <w:tblW w:w="65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3555"/>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225" w:type="dxa"/>
            <w:vAlign w:val="center"/>
          </w:tcPr>
          <w:p>
            <w:pPr>
              <w:pStyle w:val="2"/>
              <w:keepNext w:val="0"/>
              <w:keepLines w:val="0"/>
              <w:pageBreakBefore w:val="0"/>
              <w:widowControl/>
              <w:kinsoku/>
              <w:wordWrap/>
              <w:overflowPunct/>
              <w:topLinePunct w:val="0"/>
              <w:bidi w:val="0"/>
              <w:adjustRightInd w:val="0"/>
              <w:snapToGrid w:val="0"/>
              <w:spacing w:line="560" w:lineRule="exact"/>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序号</w:t>
            </w:r>
          </w:p>
        </w:tc>
        <w:tc>
          <w:tcPr>
            <w:tcW w:w="3555" w:type="dxa"/>
            <w:vAlign w:val="center"/>
          </w:tcPr>
          <w:p>
            <w:pPr>
              <w:pStyle w:val="2"/>
              <w:keepNext w:val="0"/>
              <w:keepLines w:val="0"/>
              <w:pageBreakBefore w:val="0"/>
              <w:widowControl/>
              <w:kinsoku/>
              <w:wordWrap/>
              <w:overflowPunct/>
              <w:topLinePunct w:val="0"/>
              <w:bidi w:val="0"/>
              <w:adjustRightInd w:val="0"/>
              <w:snapToGrid w:val="0"/>
              <w:spacing w:line="560" w:lineRule="exact"/>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评标指标</w:t>
            </w:r>
          </w:p>
        </w:tc>
        <w:tc>
          <w:tcPr>
            <w:tcW w:w="1721" w:type="dxa"/>
            <w:vAlign w:val="center"/>
          </w:tcPr>
          <w:p>
            <w:pPr>
              <w:pStyle w:val="2"/>
              <w:keepNext w:val="0"/>
              <w:keepLines w:val="0"/>
              <w:pageBreakBefore w:val="0"/>
              <w:widowControl/>
              <w:kinsoku/>
              <w:wordWrap/>
              <w:overflowPunct/>
              <w:topLinePunct w:val="0"/>
              <w:bidi w:val="0"/>
              <w:adjustRightInd w:val="0"/>
              <w:snapToGrid w:val="0"/>
              <w:spacing w:line="560" w:lineRule="exact"/>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225" w:type="dxa"/>
            <w:vAlign w:val="center"/>
          </w:tcPr>
          <w:p>
            <w:pPr>
              <w:pStyle w:val="2"/>
              <w:keepNext w:val="0"/>
              <w:keepLines w:val="0"/>
              <w:pageBreakBefore w:val="0"/>
              <w:widowControl/>
              <w:kinsoku/>
              <w:wordWrap/>
              <w:overflowPunct/>
              <w:topLinePunct w:val="0"/>
              <w:bidi w:val="0"/>
              <w:adjustRightInd w:val="0"/>
              <w:snapToGrid w:val="0"/>
              <w:spacing w:line="560" w:lineRule="exac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3555" w:type="dxa"/>
            <w:vAlign w:val="center"/>
          </w:tcPr>
          <w:p>
            <w:pPr>
              <w:pStyle w:val="2"/>
              <w:keepNext w:val="0"/>
              <w:keepLines w:val="0"/>
              <w:pageBreakBefore w:val="0"/>
              <w:widowControl/>
              <w:kinsoku/>
              <w:wordWrap/>
              <w:overflowPunct/>
              <w:topLinePunct w:val="0"/>
              <w:bidi w:val="0"/>
              <w:adjustRightInd w:val="0"/>
              <w:snapToGrid w:val="0"/>
              <w:spacing w:line="560" w:lineRule="exact"/>
              <w:rPr>
                <w:rFonts w:hint="eastAsia" w:ascii="仿宋_GB2312" w:hAnsi="仿宋_GB2312" w:eastAsia="仿宋_GB2312" w:cs="仿宋_GB2312"/>
                <w:sz w:val="28"/>
                <w:szCs w:val="28"/>
                <w:vertAlign w:val="baseline"/>
              </w:rPr>
            </w:pPr>
            <w:r>
              <w:rPr>
                <w:rFonts w:hint="eastAsia" w:ascii="仿宋_GB2312" w:hAnsi="仿宋_GB2312" w:eastAsia="仿宋_GB2312" w:cs="仿宋_GB2312"/>
                <w:color w:val="000000" w:themeColor="text1"/>
                <w:sz w:val="28"/>
                <w:szCs w:val="28"/>
                <w14:textFill>
                  <w14:solidFill>
                    <w14:schemeClr w14:val="tx1"/>
                  </w14:solidFill>
                </w14:textFill>
              </w:rPr>
              <w:t>工作方案</w:t>
            </w:r>
          </w:p>
        </w:tc>
        <w:tc>
          <w:tcPr>
            <w:tcW w:w="1721" w:type="dxa"/>
            <w:vAlign w:val="center"/>
          </w:tcPr>
          <w:p>
            <w:pPr>
              <w:pStyle w:val="2"/>
              <w:keepNext w:val="0"/>
              <w:keepLines w:val="0"/>
              <w:pageBreakBefore w:val="0"/>
              <w:widowControl/>
              <w:kinsoku/>
              <w:wordWrap/>
              <w:overflowPunct/>
              <w:topLinePunct w:val="0"/>
              <w:bidi w:val="0"/>
              <w:adjustRightInd w:val="0"/>
              <w:snapToGrid w:val="0"/>
              <w:spacing w:line="560" w:lineRule="exact"/>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225" w:type="dxa"/>
            <w:vAlign w:val="center"/>
          </w:tcPr>
          <w:p>
            <w:pPr>
              <w:pStyle w:val="2"/>
              <w:keepNext w:val="0"/>
              <w:keepLines w:val="0"/>
              <w:pageBreakBefore w:val="0"/>
              <w:widowControl/>
              <w:kinsoku/>
              <w:wordWrap/>
              <w:overflowPunct/>
              <w:topLinePunct w:val="0"/>
              <w:bidi w:val="0"/>
              <w:adjustRightInd w:val="0"/>
              <w:snapToGrid w:val="0"/>
              <w:spacing w:line="560" w:lineRule="exac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3555" w:type="dxa"/>
            <w:vAlign w:val="center"/>
          </w:tcPr>
          <w:p>
            <w:pPr>
              <w:pStyle w:val="2"/>
              <w:keepNext w:val="0"/>
              <w:keepLines w:val="0"/>
              <w:pageBreakBefore w:val="0"/>
              <w:widowControl/>
              <w:kinsoku/>
              <w:wordWrap/>
              <w:overflowPunct/>
              <w:topLinePunct w:val="0"/>
              <w:bidi w:val="0"/>
              <w:adjustRightInd w:val="0"/>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投入团队人员情况</w:t>
            </w:r>
          </w:p>
        </w:tc>
        <w:tc>
          <w:tcPr>
            <w:tcW w:w="1721" w:type="dxa"/>
            <w:vAlign w:val="center"/>
          </w:tcPr>
          <w:p>
            <w:pPr>
              <w:pStyle w:val="2"/>
              <w:keepNext w:val="0"/>
              <w:keepLines w:val="0"/>
              <w:pageBreakBefore w:val="0"/>
              <w:widowControl/>
              <w:kinsoku/>
              <w:wordWrap/>
              <w:overflowPunct/>
              <w:topLinePunct w:val="0"/>
              <w:bidi w:val="0"/>
              <w:adjustRightInd w:val="0"/>
              <w:snapToGrid w:val="0"/>
              <w:spacing w:line="560" w:lineRule="exact"/>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225" w:type="dxa"/>
            <w:vAlign w:val="center"/>
          </w:tcPr>
          <w:p>
            <w:pPr>
              <w:pStyle w:val="2"/>
              <w:keepNext w:val="0"/>
              <w:keepLines w:val="0"/>
              <w:pageBreakBefore w:val="0"/>
              <w:widowControl/>
              <w:kinsoku/>
              <w:wordWrap/>
              <w:overflowPunct/>
              <w:topLinePunct w:val="0"/>
              <w:bidi w:val="0"/>
              <w:adjustRightInd w:val="0"/>
              <w:snapToGrid w:val="0"/>
              <w:spacing w:line="560" w:lineRule="exac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3555" w:type="dxa"/>
            <w:vAlign w:val="center"/>
          </w:tcPr>
          <w:p>
            <w:pPr>
              <w:pStyle w:val="2"/>
              <w:keepNext w:val="0"/>
              <w:keepLines w:val="0"/>
              <w:pageBreakBefore w:val="0"/>
              <w:widowControl/>
              <w:kinsoku/>
              <w:wordWrap/>
              <w:overflowPunct/>
              <w:topLinePunct w:val="0"/>
              <w:bidi w:val="0"/>
              <w:adjustRightInd w:val="0"/>
              <w:snapToGrid w:val="0"/>
              <w:spacing w:line="560" w:lineRule="exact"/>
              <w:rPr>
                <w:rFonts w:hint="eastAsia" w:ascii="仿宋_GB2312" w:hAnsi="仿宋_GB2312" w:eastAsia="仿宋_GB2312" w:cs="仿宋_GB2312"/>
                <w:sz w:val="28"/>
                <w:szCs w:val="28"/>
                <w:vertAlign w:val="baseline"/>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拟派团队成员工作</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经验</w:t>
            </w:r>
          </w:p>
        </w:tc>
        <w:tc>
          <w:tcPr>
            <w:tcW w:w="1721" w:type="dxa"/>
            <w:vAlign w:val="center"/>
          </w:tcPr>
          <w:p>
            <w:pPr>
              <w:pStyle w:val="2"/>
              <w:keepNext w:val="0"/>
              <w:keepLines w:val="0"/>
              <w:pageBreakBefore w:val="0"/>
              <w:widowControl/>
              <w:kinsoku/>
              <w:wordWrap/>
              <w:overflowPunct/>
              <w:topLinePunct w:val="0"/>
              <w:bidi w:val="0"/>
              <w:adjustRightInd w:val="0"/>
              <w:snapToGrid w:val="0"/>
              <w:spacing w:line="560" w:lineRule="exact"/>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225" w:type="dxa"/>
            <w:vAlign w:val="center"/>
          </w:tcPr>
          <w:p>
            <w:pPr>
              <w:pStyle w:val="2"/>
              <w:keepNext w:val="0"/>
              <w:keepLines w:val="0"/>
              <w:pageBreakBefore w:val="0"/>
              <w:widowControl/>
              <w:kinsoku/>
              <w:wordWrap/>
              <w:overflowPunct/>
              <w:topLinePunct w:val="0"/>
              <w:bidi w:val="0"/>
              <w:adjustRightInd w:val="0"/>
              <w:snapToGrid w:val="0"/>
              <w:spacing w:line="560" w:lineRule="exac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3555" w:type="dxa"/>
            <w:vAlign w:val="center"/>
          </w:tcPr>
          <w:p>
            <w:pPr>
              <w:pStyle w:val="2"/>
              <w:keepNext w:val="0"/>
              <w:keepLines w:val="0"/>
              <w:pageBreakBefore w:val="0"/>
              <w:widowControl/>
              <w:kinsoku/>
              <w:wordWrap/>
              <w:overflowPunct/>
              <w:topLinePunct w:val="0"/>
              <w:bidi w:val="0"/>
              <w:adjustRightInd w:val="0"/>
              <w:snapToGrid w:val="0"/>
              <w:spacing w:line="560" w:lineRule="exact"/>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投标人情况</w:t>
            </w:r>
          </w:p>
        </w:tc>
        <w:tc>
          <w:tcPr>
            <w:tcW w:w="1721" w:type="dxa"/>
            <w:vAlign w:val="center"/>
          </w:tcPr>
          <w:p>
            <w:pPr>
              <w:pStyle w:val="2"/>
              <w:keepNext w:val="0"/>
              <w:keepLines w:val="0"/>
              <w:pageBreakBefore w:val="0"/>
              <w:widowControl/>
              <w:kinsoku/>
              <w:wordWrap/>
              <w:overflowPunct/>
              <w:topLinePunct w:val="0"/>
              <w:bidi w:val="0"/>
              <w:adjustRightInd w:val="0"/>
              <w:snapToGrid w:val="0"/>
              <w:spacing w:line="560" w:lineRule="exac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225" w:type="dxa"/>
            <w:vAlign w:val="center"/>
          </w:tcPr>
          <w:p>
            <w:pPr>
              <w:pStyle w:val="2"/>
              <w:keepNext w:val="0"/>
              <w:keepLines w:val="0"/>
              <w:pageBreakBefore w:val="0"/>
              <w:widowControl/>
              <w:kinsoku/>
              <w:wordWrap/>
              <w:overflowPunct/>
              <w:topLinePunct w:val="0"/>
              <w:bidi w:val="0"/>
              <w:adjustRightInd w:val="0"/>
              <w:snapToGrid w:val="0"/>
              <w:spacing w:line="560" w:lineRule="exac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3555" w:type="dxa"/>
            <w:vAlign w:val="center"/>
          </w:tcPr>
          <w:p>
            <w:pPr>
              <w:pStyle w:val="2"/>
              <w:keepNext w:val="0"/>
              <w:keepLines w:val="0"/>
              <w:pageBreakBefore w:val="0"/>
              <w:widowControl/>
              <w:kinsoku/>
              <w:wordWrap/>
              <w:overflowPunct/>
              <w:topLinePunct w:val="0"/>
              <w:bidi w:val="0"/>
              <w:adjustRightInd w:val="0"/>
              <w:snapToGrid w:val="0"/>
              <w:spacing w:line="560" w:lineRule="exact"/>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同类项目经验</w:t>
            </w:r>
          </w:p>
        </w:tc>
        <w:tc>
          <w:tcPr>
            <w:tcW w:w="1721" w:type="dxa"/>
            <w:vAlign w:val="center"/>
          </w:tcPr>
          <w:p>
            <w:pPr>
              <w:pStyle w:val="2"/>
              <w:keepNext w:val="0"/>
              <w:keepLines w:val="0"/>
              <w:pageBreakBefore w:val="0"/>
              <w:widowControl/>
              <w:kinsoku/>
              <w:wordWrap/>
              <w:overflowPunct/>
              <w:topLinePunct w:val="0"/>
              <w:bidi w:val="0"/>
              <w:adjustRightInd w:val="0"/>
              <w:snapToGrid w:val="0"/>
              <w:spacing w:line="560" w:lineRule="exac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780" w:type="dxa"/>
            <w:gridSpan w:val="2"/>
            <w:vAlign w:val="center"/>
          </w:tcPr>
          <w:p>
            <w:pPr>
              <w:pStyle w:val="2"/>
              <w:keepNext w:val="0"/>
              <w:keepLines w:val="0"/>
              <w:pageBreakBefore w:val="0"/>
              <w:widowControl/>
              <w:kinsoku/>
              <w:wordWrap/>
              <w:overflowPunct/>
              <w:topLinePunct w:val="0"/>
              <w:bidi w:val="0"/>
              <w:adjustRightInd w:val="0"/>
              <w:snapToGrid w:val="0"/>
              <w:spacing w:line="560" w:lineRule="exact"/>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合计</w:t>
            </w:r>
          </w:p>
        </w:tc>
        <w:tc>
          <w:tcPr>
            <w:tcW w:w="1721" w:type="dxa"/>
            <w:vAlign w:val="center"/>
          </w:tcPr>
          <w:p>
            <w:pPr>
              <w:pStyle w:val="2"/>
              <w:keepNext w:val="0"/>
              <w:keepLines w:val="0"/>
              <w:pageBreakBefore w:val="0"/>
              <w:widowControl/>
              <w:kinsoku/>
              <w:wordWrap/>
              <w:overflowPunct/>
              <w:topLinePunct w:val="0"/>
              <w:bidi w:val="0"/>
              <w:adjustRightInd w:val="0"/>
              <w:snapToGrid w:val="0"/>
              <w:spacing w:line="560" w:lineRule="exact"/>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100</w:t>
            </w:r>
          </w:p>
        </w:tc>
      </w:tr>
    </w:tbl>
    <w:tbl>
      <w:tblPr>
        <w:tblStyle w:val="8"/>
        <w:tblpPr w:leftFromText="180" w:rightFromText="180" w:vertAnchor="text" w:horzAnchor="page" w:tblpX="1652" w:tblpY="4964"/>
        <w:tblOverlap w:val="never"/>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294"/>
        <w:gridCol w:w="6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512" w:type="dxa"/>
            <w:gridSpan w:val="2"/>
            <w:vAlign w:val="center"/>
          </w:tcPr>
          <w:p>
            <w:pPr>
              <w:keepNext w:val="0"/>
              <w:keepLines w:val="0"/>
              <w:pageBreakBefore w:val="0"/>
              <w:kinsoku/>
              <w:wordWrap/>
              <w:overflowPunct/>
              <w:topLinePunct w:val="0"/>
              <w:autoSpaceDE/>
              <w:autoSpaceDN/>
              <w:bidi w:val="0"/>
              <w:spacing w:afterAutospacing="0" w:line="400" w:lineRule="exact"/>
              <w:jc w:val="left"/>
              <w:textAlignment w:val="auto"/>
              <w:rPr>
                <w:rFonts w:hint="eastAsia"/>
                <w:sz w:val="32"/>
                <w:szCs w:val="32"/>
              </w:rPr>
            </w:pPr>
            <w:r>
              <w:rPr>
                <w:rFonts w:hint="eastAsia" w:ascii="宋体" w:hAnsi="宋体"/>
                <w:b/>
                <w:sz w:val="32"/>
                <w:szCs w:val="32"/>
                <w:lang w:val="en-US" w:eastAsia="zh-CN"/>
              </w:rPr>
              <w:t>评审内容及分值</w:t>
            </w:r>
          </w:p>
        </w:tc>
        <w:tc>
          <w:tcPr>
            <w:tcW w:w="6244" w:type="dxa"/>
            <w:vAlign w:val="center"/>
          </w:tcPr>
          <w:p>
            <w:pPr>
              <w:keepNext w:val="0"/>
              <w:keepLines w:val="0"/>
              <w:pageBreakBefore w:val="0"/>
              <w:kinsoku/>
              <w:wordWrap/>
              <w:overflowPunct/>
              <w:topLinePunct w:val="0"/>
              <w:autoSpaceDE/>
              <w:autoSpaceDN/>
              <w:bidi w:val="0"/>
              <w:spacing w:afterAutospacing="0" w:line="400" w:lineRule="exact"/>
              <w:jc w:val="center"/>
              <w:textAlignment w:val="auto"/>
              <w:rPr>
                <w:rFonts w:hint="eastAsia" w:ascii="宋体" w:hAnsi="宋体"/>
                <w:b/>
                <w:sz w:val="32"/>
                <w:szCs w:val="32"/>
              </w:rPr>
            </w:pPr>
            <w:r>
              <w:rPr>
                <w:rFonts w:hint="eastAsia" w:ascii="宋体" w:hAnsi="宋体"/>
                <w:b/>
                <w:sz w:val="32"/>
                <w:szCs w:val="32"/>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218" w:type="dxa"/>
            <w:vAlign w:val="center"/>
          </w:tcPr>
          <w:p>
            <w:pPr>
              <w:keepNext w:val="0"/>
              <w:keepLines w:val="0"/>
              <w:pageBreakBefore w:val="0"/>
              <w:kinsoku/>
              <w:wordWrap/>
              <w:overflowPunct/>
              <w:topLinePunct w:val="0"/>
              <w:autoSpaceDE/>
              <w:autoSpaceDN/>
              <w:bidi w:val="0"/>
              <w:spacing w:afterAutospacing="0" w:line="400" w:lineRule="exact"/>
              <w:jc w:val="center"/>
              <w:textAlignment w:val="auto"/>
              <w:rPr>
                <w:rFonts w:ascii="宋体" w:hAnsi="宋体"/>
                <w:color w:val="000000"/>
                <w:szCs w:val="21"/>
              </w:rPr>
            </w:pPr>
            <w:r>
              <w:rPr>
                <w:rFonts w:hint="eastAsia" w:ascii="仿宋_GB2312" w:hAnsi="仿宋_GB2312" w:eastAsia="仿宋_GB2312" w:cs="仿宋_GB2312"/>
                <w:color w:val="000000"/>
                <w:sz w:val="28"/>
                <w:szCs w:val="28"/>
                <w:lang w:val="en-US" w:eastAsia="zh-CN"/>
              </w:rPr>
              <w:t>工作  方案</w:t>
            </w:r>
          </w:p>
        </w:tc>
        <w:tc>
          <w:tcPr>
            <w:tcW w:w="1294" w:type="dxa"/>
            <w:vAlign w:val="center"/>
          </w:tcPr>
          <w:p>
            <w:pPr>
              <w:widowControl/>
              <w:jc w:val="center"/>
              <w:rPr>
                <w:rFonts w:ascii="宋体" w:hAnsi="宋体" w:cs="宋体"/>
                <w:color w:val="000000"/>
                <w:kern w:val="0"/>
                <w:sz w:val="21"/>
                <w:szCs w:val="21"/>
              </w:rPr>
            </w:pPr>
            <w:r>
              <w:rPr>
                <w:rFonts w:hint="eastAsia" w:ascii="仿宋_GB2312" w:hAnsi="仿宋_GB2312" w:eastAsia="仿宋_GB2312" w:cs="仿宋_GB2312"/>
                <w:color w:val="000000"/>
                <w:kern w:val="0"/>
                <w:sz w:val="28"/>
                <w:szCs w:val="28"/>
                <w:lang w:val="en-US" w:eastAsia="zh-CN"/>
              </w:rPr>
              <w:t>30</w:t>
            </w:r>
            <w:r>
              <w:rPr>
                <w:rFonts w:hint="eastAsia" w:ascii="仿宋_GB2312" w:hAnsi="仿宋_GB2312" w:eastAsia="仿宋_GB2312" w:cs="仿宋_GB2312"/>
                <w:color w:val="000000"/>
                <w:kern w:val="0"/>
                <w:sz w:val="28"/>
                <w:szCs w:val="28"/>
              </w:rPr>
              <w:t>分</w:t>
            </w:r>
          </w:p>
        </w:tc>
        <w:tc>
          <w:tcPr>
            <w:tcW w:w="6244" w:type="dxa"/>
            <w:vAlign w:val="center"/>
          </w:tcPr>
          <w:p>
            <w:pPr>
              <w:widowControl/>
              <w:spacing w:beforeLines="0" w:afterLines="0" w:line="560" w:lineRule="exact"/>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根据各投标人的服务方案</w:t>
            </w:r>
            <w:r>
              <w:rPr>
                <w:rFonts w:hint="eastAsia" w:ascii="仿宋_GB2312" w:hAnsi="仿宋_GB2312" w:eastAsia="仿宋_GB2312" w:cs="仿宋_GB2312"/>
                <w:color w:val="000000"/>
                <w:sz w:val="24"/>
                <w:highlight w:val="none"/>
                <w:lang w:eastAsia="zh-CN"/>
              </w:rPr>
              <w:t>介绍（从</w:t>
            </w:r>
            <w:r>
              <w:rPr>
                <w:rFonts w:hint="eastAsia" w:ascii="仿宋_GB2312" w:hAnsi="仿宋_GB2312" w:eastAsia="仿宋_GB2312" w:cs="仿宋_GB2312"/>
                <w:color w:val="auto"/>
                <w:sz w:val="24"/>
                <w:highlight w:val="none"/>
                <w:lang w:eastAsia="zh-CN"/>
              </w:rPr>
              <w:t>对政府事务熟悉程</w:t>
            </w:r>
            <w:r>
              <w:rPr>
                <w:rFonts w:hint="eastAsia" w:ascii="仿宋_GB2312" w:hAnsi="仿宋_GB2312" w:eastAsia="仿宋_GB2312" w:cs="仿宋_GB2312"/>
                <w:color w:val="000000"/>
                <w:sz w:val="24"/>
                <w:highlight w:val="none"/>
                <w:lang w:eastAsia="zh-CN"/>
              </w:rPr>
              <w:t>度、</w:t>
            </w:r>
            <w:r>
              <w:rPr>
                <w:rFonts w:hint="eastAsia" w:ascii="仿宋_GB2312" w:hAnsi="仿宋_GB2312" w:eastAsia="仿宋_GB2312" w:cs="仿宋_GB2312"/>
                <w:color w:val="auto"/>
                <w:sz w:val="24"/>
                <w:highlight w:val="none"/>
                <w:lang w:eastAsia="zh-CN"/>
              </w:rPr>
              <w:t>高新区法律事务</w:t>
            </w:r>
            <w:r>
              <w:rPr>
                <w:rFonts w:hint="eastAsia" w:ascii="仿宋_GB2312" w:hAnsi="仿宋_GB2312" w:eastAsia="仿宋_GB2312" w:cs="仿宋_GB2312"/>
                <w:color w:val="000000"/>
                <w:sz w:val="24"/>
                <w:highlight w:val="none"/>
                <w:lang w:eastAsia="zh-CN"/>
              </w:rPr>
              <w:t>的理解、工作思路、工作程</w:t>
            </w:r>
            <w:r>
              <w:rPr>
                <w:rFonts w:hint="eastAsia" w:ascii="仿宋_GB2312" w:hAnsi="仿宋_GB2312" w:eastAsia="仿宋_GB2312" w:cs="仿宋_GB2312"/>
                <w:color w:val="000000"/>
                <w:sz w:val="24"/>
                <w:lang w:eastAsia="zh-CN"/>
              </w:rPr>
              <w:t>序等方面）进行综合比较评审：</w:t>
            </w:r>
          </w:p>
          <w:p>
            <w:pPr>
              <w:pStyle w:val="4"/>
              <w:spacing w:beforeLines="0" w:afterLines="0" w:line="560" w:lineRule="exac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b/>
                <w:bCs/>
                <w:color w:val="000000"/>
                <w:sz w:val="24"/>
                <w:szCs w:val="24"/>
              </w:rPr>
              <w:t>优（</w:t>
            </w:r>
            <w:r>
              <w:rPr>
                <w:rFonts w:hint="eastAsia" w:ascii="仿宋_GB2312" w:hAnsi="仿宋_GB2312" w:eastAsia="仿宋_GB2312" w:cs="仿宋_GB2312"/>
                <w:b/>
                <w:bCs/>
                <w:color w:val="000000"/>
                <w:sz w:val="24"/>
                <w:szCs w:val="24"/>
                <w:lang w:val="en-US" w:eastAsia="zh-CN"/>
              </w:rPr>
              <w:t>26-30</w:t>
            </w:r>
            <w:r>
              <w:rPr>
                <w:rFonts w:hint="eastAsia" w:ascii="仿宋_GB2312" w:hAnsi="仿宋_GB2312" w:eastAsia="仿宋_GB2312" w:cs="仿宋_GB2312"/>
                <w:b/>
                <w:bCs/>
                <w:color w:val="000000"/>
                <w:sz w:val="24"/>
                <w:szCs w:val="24"/>
              </w:rPr>
              <w:t>分）：</w:t>
            </w:r>
            <w:r>
              <w:rPr>
                <w:rFonts w:hint="eastAsia" w:ascii="仿宋_GB2312" w:hAnsi="仿宋_GB2312" w:eastAsia="仿宋_GB2312" w:cs="仿宋_GB2312"/>
                <w:color w:val="000000"/>
                <w:sz w:val="24"/>
                <w:szCs w:val="24"/>
                <w:lang w:eastAsia="zh-CN"/>
              </w:rPr>
              <w:t>熟悉政府事务，对高新区法律事务理解透彻，</w:t>
            </w:r>
            <w:r>
              <w:rPr>
                <w:rFonts w:hint="eastAsia" w:ascii="仿宋_GB2312" w:hAnsi="仿宋_GB2312" w:eastAsia="仿宋_GB2312" w:cs="仿宋_GB2312"/>
                <w:color w:val="000000"/>
                <w:sz w:val="24"/>
                <w:szCs w:val="24"/>
              </w:rPr>
              <w:t>工作</w:t>
            </w:r>
            <w:r>
              <w:rPr>
                <w:rFonts w:hint="eastAsia" w:ascii="仿宋_GB2312" w:hAnsi="仿宋_GB2312" w:eastAsia="仿宋_GB2312" w:cs="仿宋_GB2312"/>
                <w:color w:val="000000"/>
                <w:sz w:val="24"/>
                <w:szCs w:val="24"/>
                <w:lang w:eastAsia="zh-CN"/>
              </w:rPr>
              <w:t>思路和</w:t>
            </w:r>
            <w:r>
              <w:rPr>
                <w:rFonts w:hint="eastAsia" w:ascii="仿宋_GB2312" w:hAnsi="仿宋_GB2312" w:eastAsia="仿宋_GB2312" w:cs="仿宋_GB2312"/>
                <w:color w:val="000000"/>
                <w:sz w:val="24"/>
                <w:szCs w:val="24"/>
              </w:rPr>
              <w:t>工作</w:t>
            </w:r>
            <w:r>
              <w:rPr>
                <w:rFonts w:hint="eastAsia" w:ascii="仿宋_GB2312" w:hAnsi="仿宋_GB2312" w:eastAsia="仿宋_GB2312" w:cs="仿宋_GB2312"/>
                <w:color w:val="000000"/>
                <w:sz w:val="24"/>
                <w:szCs w:val="24"/>
                <w:lang w:eastAsia="zh-CN"/>
              </w:rPr>
              <w:t>程序合理，工作程序</w:t>
            </w:r>
            <w:r>
              <w:rPr>
                <w:rFonts w:hint="eastAsia" w:ascii="仿宋_GB2312" w:hAnsi="仿宋_GB2312" w:eastAsia="仿宋_GB2312" w:cs="仿宋_GB2312"/>
                <w:color w:val="000000"/>
                <w:sz w:val="24"/>
                <w:szCs w:val="24"/>
              </w:rPr>
              <w:t>内容全面、具体，方式方法可操作</w:t>
            </w:r>
            <w:r>
              <w:rPr>
                <w:rFonts w:hint="eastAsia" w:ascii="仿宋_GB2312" w:hAnsi="仿宋_GB2312" w:eastAsia="仿宋_GB2312" w:cs="仿宋_GB2312"/>
                <w:color w:val="000000"/>
                <w:sz w:val="24"/>
                <w:szCs w:val="24"/>
                <w:lang w:eastAsia="zh-CN"/>
              </w:rPr>
              <w:t>性</w:t>
            </w:r>
            <w:r>
              <w:rPr>
                <w:rFonts w:hint="eastAsia" w:ascii="仿宋_GB2312" w:hAnsi="仿宋_GB2312" w:eastAsia="仿宋_GB2312" w:cs="仿宋_GB2312"/>
                <w:color w:val="000000"/>
                <w:sz w:val="24"/>
                <w:szCs w:val="24"/>
              </w:rPr>
              <w:t>强</w:t>
            </w:r>
            <w:r>
              <w:rPr>
                <w:rFonts w:hint="eastAsia" w:ascii="仿宋_GB2312" w:hAnsi="仿宋_GB2312" w:eastAsia="仿宋_GB2312" w:cs="仿宋_GB2312"/>
                <w:color w:val="000000"/>
                <w:sz w:val="24"/>
                <w:szCs w:val="24"/>
                <w:lang w:eastAsia="zh-CN"/>
              </w:rPr>
              <w:t>；</w:t>
            </w:r>
          </w:p>
          <w:p>
            <w:pPr>
              <w:pStyle w:val="4"/>
              <w:spacing w:beforeLines="0" w:afterLines="0" w:line="5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lang w:eastAsia="zh-CN"/>
              </w:rPr>
              <w:t>良</w:t>
            </w: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b/>
                <w:bCs/>
                <w:color w:val="000000"/>
                <w:sz w:val="24"/>
                <w:szCs w:val="24"/>
                <w:lang w:val="en-US" w:eastAsia="zh-CN"/>
              </w:rPr>
              <w:t>21-25</w:t>
            </w:r>
            <w:r>
              <w:rPr>
                <w:rFonts w:hint="eastAsia" w:ascii="仿宋_GB2312" w:hAnsi="仿宋_GB2312" w:eastAsia="仿宋_GB2312" w:cs="仿宋_GB2312"/>
                <w:b/>
                <w:bCs/>
                <w:color w:val="000000"/>
                <w:sz w:val="24"/>
                <w:szCs w:val="24"/>
              </w:rPr>
              <w:t>分）：</w:t>
            </w:r>
            <w:r>
              <w:rPr>
                <w:rFonts w:hint="eastAsia" w:ascii="仿宋_GB2312" w:hAnsi="仿宋_GB2312" w:eastAsia="仿宋_GB2312" w:cs="仿宋_GB2312"/>
                <w:color w:val="000000"/>
                <w:sz w:val="24"/>
                <w:szCs w:val="24"/>
                <w:lang w:eastAsia="zh-CN"/>
              </w:rPr>
              <w:t>较为熟悉政府事务，对高新区法律事务理解较为透彻，</w:t>
            </w:r>
            <w:r>
              <w:rPr>
                <w:rFonts w:hint="eastAsia" w:ascii="仿宋_GB2312" w:hAnsi="仿宋_GB2312" w:eastAsia="仿宋_GB2312" w:cs="仿宋_GB2312"/>
                <w:color w:val="000000"/>
                <w:sz w:val="24"/>
                <w:szCs w:val="24"/>
              </w:rPr>
              <w:t>工作</w:t>
            </w:r>
            <w:r>
              <w:rPr>
                <w:rFonts w:hint="eastAsia" w:ascii="仿宋_GB2312" w:hAnsi="仿宋_GB2312" w:eastAsia="仿宋_GB2312" w:cs="仿宋_GB2312"/>
                <w:color w:val="000000"/>
                <w:sz w:val="24"/>
                <w:szCs w:val="24"/>
                <w:lang w:eastAsia="zh-CN"/>
              </w:rPr>
              <w:t>思路和</w:t>
            </w:r>
            <w:r>
              <w:rPr>
                <w:rFonts w:hint="eastAsia" w:ascii="仿宋_GB2312" w:hAnsi="仿宋_GB2312" w:eastAsia="仿宋_GB2312" w:cs="仿宋_GB2312"/>
                <w:color w:val="000000"/>
                <w:sz w:val="24"/>
                <w:szCs w:val="24"/>
              </w:rPr>
              <w:t>工</w:t>
            </w:r>
            <w:bookmarkStart w:id="0" w:name="_GoBack"/>
            <w:bookmarkEnd w:id="0"/>
            <w:r>
              <w:rPr>
                <w:rFonts w:hint="eastAsia" w:ascii="仿宋_GB2312" w:hAnsi="仿宋_GB2312" w:eastAsia="仿宋_GB2312" w:cs="仿宋_GB2312"/>
                <w:color w:val="000000"/>
                <w:sz w:val="24"/>
                <w:szCs w:val="24"/>
              </w:rPr>
              <w:t>作</w:t>
            </w:r>
            <w:r>
              <w:rPr>
                <w:rFonts w:hint="eastAsia" w:ascii="仿宋_GB2312" w:hAnsi="仿宋_GB2312" w:eastAsia="仿宋_GB2312" w:cs="仿宋_GB2312"/>
                <w:color w:val="000000"/>
                <w:sz w:val="24"/>
                <w:szCs w:val="24"/>
                <w:lang w:eastAsia="zh-CN"/>
              </w:rPr>
              <w:t>程序较为合理，工作程序</w:t>
            </w:r>
            <w:r>
              <w:rPr>
                <w:rFonts w:hint="eastAsia" w:ascii="仿宋_GB2312" w:hAnsi="仿宋_GB2312" w:eastAsia="仿宋_GB2312" w:cs="仿宋_GB2312"/>
                <w:color w:val="000000"/>
                <w:sz w:val="24"/>
                <w:szCs w:val="24"/>
              </w:rPr>
              <w:t>内容</w:t>
            </w:r>
            <w:r>
              <w:rPr>
                <w:rFonts w:hint="eastAsia" w:ascii="仿宋_GB2312" w:hAnsi="仿宋_GB2312" w:eastAsia="仿宋_GB2312" w:cs="仿宋_GB2312"/>
                <w:color w:val="000000"/>
                <w:sz w:val="24"/>
                <w:szCs w:val="24"/>
                <w:lang w:eastAsia="zh-CN"/>
              </w:rPr>
              <w:t>较</w:t>
            </w:r>
            <w:r>
              <w:rPr>
                <w:rFonts w:hint="eastAsia" w:ascii="仿宋_GB2312" w:hAnsi="仿宋_GB2312" w:eastAsia="仿宋_GB2312" w:cs="仿宋_GB2312"/>
                <w:color w:val="000000"/>
                <w:sz w:val="24"/>
                <w:szCs w:val="24"/>
              </w:rPr>
              <w:t>全面、</w:t>
            </w:r>
            <w:r>
              <w:rPr>
                <w:rFonts w:hint="eastAsia" w:ascii="仿宋_GB2312" w:hAnsi="仿宋_GB2312" w:eastAsia="仿宋_GB2312" w:cs="仿宋_GB2312"/>
                <w:color w:val="000000"/>
                <w:sz w:val="24"/>
                <w:szCs w:val="24"/>
                <w:lang w:eastAsia="zh-CN"/>
              </w:rPr>
              <w:t>较</w:t>
            </w:r>
            <w:r>
              <w:rPr>
                <w:rFonts w:hint="eastAsia" w:ascii="仿宋_GB2312" w:hAnsi="仿宋_GB2312" w:eastAsia="仿宋_GB2312" w:cs="仿宋_GB2312"/>
                <w:color w:val="000000"/>
                <w:sz w:val="24"/>
                <w:szCs w:val="24"/>
              </w:rPr>
              <w:t>具体，方式方法可操作</w:t>
            </w:r>
            <w:r>
              <w:rPr>
                <w:rFonts w:hint="eastAsia" w:ascii="仿宋_GB2312" w:hAnsi="仿宋_GB2312" w:eastAsia="仿宋_GB2312" w:cs="仿宋_GB2312"/>
                <w:color w:val="000000"/>
                <w:sz w:val="24"/>
                <w:szCs w:val="24"/>
                <w:lang w:eastAsia="zh-CN"/>
              </w:rPr>
              <w:t>性较</w:t>
            </w:r>
            <w:r>
              <w:rPr>
                <w:rFonts w:hint="eastAsia" w:ascii="仿宋_GB2312" w:hAnsi="仿宋_GB2312" w:eastAsia="仿宋_GB2312" w:cs="仿宋_GB2312"/>
                <w:color w:val="000000"/>
                <w:sz w:val="24"/>
                <w:szCs w:val="24"/>
              </w:rPr>
              <w:t>强</w:t>
            </w:r>
            <w:r>
              <w:rPr>
                <w:rFonts w:hint="eastAsia" w:ascii="仿宋_GB2312" w:hAnsi="仿宋_GB2312" w:eastAsia="仿宋_GB2312" w:cs="仿宋_GB2312"/>
                <w:color w:val="000000"/>
                <w:sz w:val="24"/>
                <w:szCs w:val="24"/>
                <w:lang w:eastAsia="zh-CN"/>
              </w:rPr>
              <w:t>；</w:t>
            </w:r>
          </w:p>
          <w:p>
            <w:pPr>
              <w:pStyle w:val="4"/>
              <w:spacing w:beforeLines="0" w:afterLines="0" w:line="560" w:lineRule="exac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b/>
                <w:bCs/>
                <w:color w:val="000000"/>
                <w:sz w:val="24"/>
                <w:szCs w:val="24"/>
                <w:lang w:eastAsia="zh-CN"/>
              </w:rPr>
              <w:t>中</w:t>
            </w: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b/>
                <w:bCs/>
                <w:color w:val="000000"/>
                <w:sz w:val="24"/>
                <w:szCs w:val="24"/>
                <w:lang w:val="en-US" w:eastAsia="zh-CN"/>
              </w:rPr>
              <w:t>16-20</w:t>
            </w:r>
            <w:r>
              <w:rPr>
                <w:rFonts w:hint="eastAsia" w:ascii="仿宋_GB2312" w:hAnsi="仿宋_GB2312" w:eastAsia="仿宋_GB2312" w:cs="仿宋_GB2312"/>
                <w:b/>
                <w:bCs/>
                <w:color w:val="000000"/>
                <w:sz w:val="24"/>
                <w:szCs w:val="24"/>
              </w:rPr>
              <w:t>分）</w:t>
            </w:r>
            <w:r>
              <w:rPr>
                <w:rFonts w:hint="eastAsia" w:ascii="仿宋_GB2312" w:hAnsi="仿宋_GB2312" w:eastAsia="仿宋_GB2312" w:cs="仿宋_GB2312"/>
                <w:b/>
                <w:bCs/>
                <w:color w:val="000000"/>
                <w:sz w:val="24"/>
                <w:szCs w:val="24"/>
                <w:lang w:eastAsia="zh-CN"/>
              </w:rPr>
              <w:t>：</w:t>
            </w:r>
            <w:r>
              <w:rPr>
                <w:rFonts w:hint="eastAsia" w:ascii="仿宋_GB2312" w:hAnsi="仿宋_GB2312" w:eastAsia="仿宋_GB2312" w:cs="仿宋_GB2312"/>
                <w:color w:val="000000"/>
                <w:sz w:val="24"/>
                <w:szCs w:val="24"/>
                <w:lang w:eastAsia="zh-CN"/>
              </w:rPr>
              <w:t>一般熟悉政府事务，对高新区法律事务理解一般，</w:t>
            </w:r>
            <w:r>
              <w:rPr>
                <w:rFonts w:hint="eastAsia" w:ascii="仿宋_GB2312" w:hAnsi="仿宋_GB2312" w:eastAsia="仿宋_GB2312" w:cs="仿宋_GB2312"/>
                <w:color w:val="000000"/>
                <w:sz w:val="24"/>
                <w:szCs w:val="24"/>
              </w:rPr>
              <w:t>工作</w:t>
            </w:r>
            <w:r>
              <w:rPr>
                <w:rFonts w:hint="eastAsia" w:ascii="仿宋_GB2312" w:hAnsi="仿宋_GB2312" w:eastAsia="仿宋_GB2312" w:cs="仿宋_GB2312"/>
                <w:color w:val="000000"/>
                <w:sz w:val="24"/>
                <w:szCs w:val="24"/>
                <w:lang w:eastAsia="zh-CN"/>
              </w:rPr>
              <w:t>思路和</w:t>
            </w:r>
            <w:r>
              <w:rPr>
                <w:rFonts w:hint="eastAsia" w:ascii="仿宋_GB2312" w:hAnsi="仿宋_GB2312" w:eastAsia="仿宋_GB2312" w:cs="仿宋_GB2312"/>
                <w:color w:val="000000"/>
                <w:sz w:val="24"/>
                <w:szCs w:val="24"/>
              </w:rPr>
              <w:t>工作</w:t>
            </w:r>
            <w:r>
              <w:rPr>
                <w:rFonts w:hint="eastAsia" w:ascii="仿宋_GB2312" w:hAnsi="仿宋_GB2312" w:eastAsia="仿宋_GB2312" w:cs="仿宋_GB2312"/>
                <w:color w:val="000000"/>
                <w:sz w:val="24"/>
                <w:szCs w:val="24"/>
                <w:lang w:eastAsia="zh-CN"/>
              </w:rPr>
              <w:t>程序一般，工作程序</w:t>
            </w:r>
            <w:r>
              <w:rPr>
                <w:rFonts w:hint="eastAsia" w:ascii="仿宋_GB2312" w:hAnsi="仿宋_GB2312" w:eastAsia="仿宋_GB2312" w:cs="仿宋_GB2312"/>
                <w:color w:val="000000"/>
                <w:sz w:val="24"/>
                <w:szCs w:val="24"/>
              </w:rPr>
              <w:t>内容</w:t>
            </w:r>
            <w:r>
              <w:rPr>
                <w:rFonts w:hint="eastAsia" w:ascii="仿宋_GB2312" w:hAnsi="仿宋_GB2312" w:eastAsia="仿宋_GB2312" w:cs="仿宋_GB2312"/>
                <w:color w:val="000000"/>
                <w:sz w:val="24"/>
                <w:szCs w:val="24"/>
                <w:lang w:eastAsia="zh-CN"/>
              </w:rPr>
              <w:t>一般</w:t>
            </w:r>
            <w:r>
              <w:rPr>
                <w:rFonts w:hint="eastAsia" w:ascii="仿宋_GB2312" w:hAnsi="仿宋_GB2312" w:eastAsia="仿宋_GB2312" w:cs="仿宋_GB2312"/>
                <w:color w:val="000000"/>
                <w:sz w:val="24"/>
                <w:szCs w:val="24"/>
              </w:rPr>
              <w:t>，方式方法可操作</w:t>
            </w:r>
            <w:r>
              <w:rPr>
                <w:rFonts w:hint="eastAsia" w:ascii="仿宋_GB2312" w:hAnsi="仿宋_GB2312" w:eastAsia="仿宋_GB2312" w:cs="仿宋_GB2312"/>
                <w:color w:val="000000"/>
                <w:sz w:val="24"/>
                <w:szCs w:val="24"/>
                <w:lang w:eastAsia="zh-CN"/>
              </w:rPr>
              <w:t>性一般</w:t>
            </w:r>
            <w:r>
              <w:rPr>
                <w:rFonts w:hint="eastAsia" w:ascii="仿宋_GB2312" w:hAnsi="仿宋_GB2312" w:eastAsia="仿宋_GB2312" w:cs="仿宋_GB2312"/>
                <w:color w:val="000000"/>
                <w:sz w:val="24"/>
                <w:szCs w:val="24"/>
              </w:rPr>
              <w:t>；</w:t>
            </w:r>
          </w:p>
          <w:p>
            <w:pPr>
              <w:pStyle w:val="4"/>
              <w:spacing w:beforeLines="0" w:afterLines="0" w:line="560" w:lineRule="exact"/>
              <w:jc w:val="left"/>
              <w:rPr>
                <w:rFonts w:hint="eastAsia"/>
                <w:color w:val="000000"/>
                <w:sz w:val="21"/>
                <w:szCs w:val="21"/>
                <w:lang w:eastAsia="zh-CN"/>
              </w:rPr>
            </w:pPr>
            <w:r>
              <w:rPr>
                <w:rFonts w:hint="eastAsia" w:ascii="仿宋_GB2312" w:hAnsi="仿宋_GB2312" w:eastAsia="仿宋_GB2312" w:cs="仿宋_GB2312"/>
                <w:b/>
                <w:bCs/>
                <w:color w:val="000000"/>
                <w:sz w:val="24"/>
                <w:szCs w:val="24"/>
              </w:rPr>
              <w:t>差（</w:t>
            </w:r>
            <w:r>
              <w:rPr>
                <w:rFonts w:hint="eastAsia" w:ascii="仿宋_GB2312" w:hAnsi="仿宋_GB2312" w:eastAsia="仿宋_GB2312" w:cs="仿宋_GB2312"/>
                <w:b/>
                <w:bCs/>
                <w:color w:val="000000"/>
                <w:sz w:val="24"/>
                <w:szCs w:val="24"/>
                <w:lang w:val="en-US" w:eastAsia="zh-CN"/>
              </w:rPr>
              <w:t>0-15</w:t>
            </w:r>
            <w:r>
              <w:rPr>
                <w:rFonts w:hint="eastAsia" w:ascii="仿宋_GB2312" w:hAnsi="仿宋_GB2312" w:eastAsia="仿宋_GB2312" w:cs="仿宋_GB2312"/>
                <w:b/>
                <w:bCs/>
                <w:color w:val="000000"/>
                <w:sz w:val="24"/>
                <w:szCs w:val="24"/>
              </w:rPr>
              <w:t>分）：</w:t>
            </w:r>
            <w:r>
              <w:rPr>
                <w:rFonts w:hint="eastAsia" w:ascii="仿宋_GB2312" w:hAnsi="仿宋_GB2312" w:eastAsia="仿宋_GB2312" w:cs="仿宋_GB2312"/>
                <w:color w:val="000000"/>
                <w:sz w:val="24"/>
                <w:szCs w:val="24"/>
                <w:lang w:eastAsia="zh-CN"/>
              </w:rPr>
              <w:t>对政府事务不熟悉，对高新区法律事务理解差，工作思路和工作程序差，可操作性差。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1218" w:type="dxa"/>
            <w:vAlign w:val="center"/>
          </w:tcPr>
          <w:p>
            <w:pPr>
              <w:widowControl/>
              <w:spacing w:beforeLines="0" w:afterLines="0"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投入</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团队</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人员</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情况</w:t>
            </w:r>
          </w:p>
        </w:tc>
        <w:tc>
          <w:tcPr>
            <w:tcW w:w="1294" w:type="dxa"/>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lang w:val="en-US" w:eastAsia="zh-CN"/>
              </w:rPr>
              <w:t>16</w:t>
            </w:r>
            <w:r>
              <w:rPr>
                <w:rFonts w:hint="eastAsia" w:ascii="仿宋_GB2312" w:hAnsi="仿宋_GB2312" w:eastAsia="仿宋_GB2312" w:cs="仿宋_GB2312"/>
                <w:sz w:val="28"/>
                <w:szCs w:val="28"/>
              </w:rPr>
              <w:t>分</w:t>
            </w:r>
          </w:p>
          <w:p>
            <w:pPr>
              <w:pStyle w:val="4"/>
              <w:jc w:val="left"/>
              <w:rPr>
                <w:rFonts w:hint="eastAsia" w:ascii="仿宋_GB2312" w:hAnsi="仿宋_GB2312" w:eastAsia="仿宋_GB2312" w:cs="仿宋_GB2312"/>
                <w:sz w:val="28"/>
                <w:szCs w:val="28"/>
                <w:lang w:val="en-US" w:eastAsia="zh-CN"/>
              </w:rPr>
            </w:pPr>
          </w:p>
        </w:tc>
        <w:tc>
          <w:tcPr>
            <w:tcW w:w="6244" w:type="dxa"/>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spacing w:val="-6"/>
                <w:kern w:val="0"/>
                <w:sz w:val="24"/>
                <w:szCs w:val="24"/>
                <w:highlight w:val="none"/>
                <w:lang w:val="en-US" w:eastAsia="zh-CN"/>
              </w:rPr>
              <w:t>1、</w:t>
            </w:r>
            <w:r>
              <w:rPr>
                <w:rFonts w:hint="eastAsia" w:ascii="仿宋_GB2312" w:hAnsi="仿宋_GB2312" w:eastAsia="仿宋_GB2312" w:cs="仿宋_GB2312"/>
                <w:bCs/>
                <w:sz w:val="24"/>
                <w:szCs w:val="24"/>
              </w:rPr>
              <w:t>根据投标人所指定的为本项目服务的律师团队的情况进行评分：</w:t>
            </w:r>
          </w:p>
          <w:p>
            <w:pPr>
              <w:widowControl/>
              <w:spacing w:before="156" w:beforeLines="50" w:line="5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bCs/>
                <w:sz w:val="24"/>
                <w:szCs w:val="24"/>
              </w:rPr>
              <w:t>团队成员律师执业年限</w:t>
            </w:r>
            <w:r>
              <w:rPr>
                <w:rFonts w:hint="eastAsia" w:ascii="仿宋_GB2312" w:hAnsi="仿宋_GB2312" w:eastAsia="仿宋_GB2312" w:cs="仿宋_GB2312"/>
                <w:kern w:val="0"/>
                <w:sz w:val="24"/>
                <w:szCs w:val="24"/>
              </w:rPr>
              <w:t>≥10年的，每人得</w:t>
            </w:r>
            <w:r>
              <w:rPr>
                <w:rFonts w:hint="eastAsia" w:ascii="仿宋_GB2312" w:hAnsi="仿宋_GB2312" w:eastAsia="仿宋_GB2312" w:cs="仿宋_GB2312"/>
                <w:kern w:val="0"/>
                <w:sz w:val="24"/>
                <w:szCs w:val="24"/>
                <w:lang w:val="en-US" w:eastAsia="zh-CN"/>
              </w:rPr>
              <w:t>4</w:t>
            </w:r>
            <w:r>
              <w:rPr>
                <w:rFonts w:hint="eastAsia" w:ascii="仿宋_GB2312" w:hAnsi="仿宋_GB2312" w:eastAsia="仿宋_GB2312" w:cs="仿宋_GB2312"/>
                <w:kern w:val="0"/>
                <w:sz w:val="24"/>
                <w:szCs w:val="24"/>
              </w:rPr>
              <w:t>分；</w:t>
            </w:r>
          </w:p>
          <w:p>
            <w:pPr>
              <w:widowControl/>
              <w:spacing w:before="156" w:beforeLines="50" w:line="5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5年≤</w:t>
            </w:r>
            <w:r>
              <w:rPr>
                <w:rFonts w:hint="eastAsia" w:ascii="仿宋_GB2312" w:hAnsi="仿宋_GB2312" w:eastAsia="仿宋_GB2312" w:cs="仿宋_GB2312"/>
                <w:bCs/>
                <w:sz w:val="24"/>
                <w:szCs w:val="24"/>
              </w:rPr>
              <w:t>团队成员律师执业年限</w:t>
            </w:r>
            <w:r>
              <w:rPr>
                <w:rFonts w:hint="eastAsia" w:ascii="仿宋_GB2312" w:hAnsi="仿宋_GB2312" w:eastAsia="仿宋_GB2312" w:cs="仿宋_GB2312"/>
                <w:kern w:val="0"/>
                <w:sz w:val="24"/>
                <w:szCs w:val="24"/>
              </w:rPr>
              <w:t>＜10年的，每人得</w:t>
            </w:r>
            <w:r>
              <w:rPr>
                <w:rFonts w:hint="eastAsia" w:ascii="仿宋_GB2312" w:hAnsi="仿宋_GB2312" w:eastAsia="仿宋_GB2312" w:cs="仿宋_GB2312"/>
                <w:kern w:val="0"/>
                <w:sz w:val="24"/>
                <w:szCs w:val="24"/>
                <w:lang w:val="en-US" w:eastAsia="zh-CN"/>
              </w:rPr>
              <w:t>2</w:t>
            </w:r>
            <w:r>
              <w:rPr>
                <w:rFonts w:hint="eastAsia" w:ascii="仿宋_GB2312" w:hAnsi="仿宋_GB2312" w:eastAsia="仿宋_GB2312" w:cs="仿宋_GB2312"/>
                <w:kern w:val="0"/>
                <w:sz w:val="24"/>
                <w:szCs w:val="24"/>
              </w:rPr>
              <w:t>分；</w:t>
            </w:r>
          </w:p>
          <w:p>
            <w:pPr>
              <w:widowControl/>
              <w:spacing w:before="156" w:beforeLines="50" w:line="5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2年≤</w:t>
            </w:r>
            <w:r>
              <w:rPr>
                <w:rFonts w:hint="eastAsia" w:ascii="仿宋_GB2312" w:hAnsi="仿宋_GB2312" w:eastAsia="仿宋_GB2312" w:cs="仿宋_GB2312"/>
                <w:bCs/>
                <w:sz w:val="24"/>
                <w:szCs w:val="24"/>
              </w:rPr>
              <w:t>团队成员律师执业年限</w:t>
            </w:r>
            <w:r>
              <w:rPr>
                <w:rFonts w:hint="eastAsia" w:ascii="仿宋_GB2312" w:hAnsi="仿宋_GB2312" w:eastAsia="仿宋_GB2312" w:cs="仿宋_GB2312"/>
                <w:kern w:val="0"/>
                <w:sz w:val="24"/>
                <w:szCs w:val="24"/>
              </w:rPr>
              <w:t>＜5年的，每人得</w:t>
            </w:r>
            <w:r>
              <w:rPr>
                <w:rFonts w:hint="eastAsia" w:ascii="仿宋_GB2312" w:hAnsi="仿宋_GB2312" w:eastAsia="仿宋_GB2312" w:cs="仿宋_GB2312"/>
                <w:kern w:val="0"/>
                <w:sz w:val="24"/>
                <w:szCs w:val="24"/>
                <w:lang w:val="en-US" w:eastAsia="zh-CN"/>
              </w:rPr>
              <w:t>1</w:t>
            </w:r>
            <w:r>
              <w:rPr>
                <w:rFonts w:hint="eastAsia" w:ascii="仿宋_GB2312" w:hAnsi="仿宋_GB2312" w:eastAsia="仿宋_GB2312" w:cs="仿宋_GB2312"/>
                <w:kern w:val="0"/>
                <w:sz w:val="24"/>
                <w:szCs w:val="24"/>
              </w:rPr>
              <w:t>分。</w:t>
            </w:r>
          </w:p>
          <w:p>
            <w:pPr>
              <w:pStyle w:val="2"/>
              <w:spacing w:line="560" w:lineRule="exact"/>
              <w:jc w:val="left"/>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kern w:val="0"/>
                <w:sz w:val="24"/>
                <w:szCs w:val="24"/>
              </w:rPr>
              <w:t>本</w:t>
            </w:r>
            <w:r>
              <w:rPr>
                <w:rFonts w:hint="eastAsia" w:ascii="仿宋_GB2312" w:hAnsi="仿宋_GB2312" w:eastAsia="仿宋_GB2312" w:cs="仿宋_GB2312"/>
                <w:kern w:val="0"/>
                <w:sz w:val="24"/>
                <w:szCs w:val="24"/>
                <w:lang w:val="en-US" w:eastAsia="zh-CN"/>
              </w:rPr>
              <w:t>小</w:t>
            </w:r>
            <w:r>
              <w:rPr>
                <w:rFonts w:hint="eastAsia" w:ascii="仿宋_GB2312" w:hAnsi="仿宋_GB2312" w:eastAsia="仿宋_GB2312" w:cs="仿宋_GB2312"/>
                <w:kern w:val="0"/>
                <w:sz w:val="24"/>
                <w:szCs w:val="24"/>
              </w:rPr>
              <w:t>项按</w:t>
            </w:r>
            <w:r>
              <w:rPr>
                <w:rFonts w:hint="eastAsia" w:ascii="仿宋_GB2312" w:hAnsi="仿宋_GB2312" w:eastAsia="仿宋_GB2312" w:cs="仿宋_GB2312"/>
                <w:bCs/>
                <w:sz w:val="24"/>
                <w:szCs w:val="24"/>
              </w:rPr>
              <w:t>执业年限最</w:t>
            </w:r>
            <w:r>
              <w:rPr>
                <w:rFonts w:hint="eastAsia" w:ascii="仿宋_GB2312" w:hAnsi="仿宋_GB2312" w:eastAsia="仿宋_GB2312" w:cs="仿宋_GB2312"/>
                <w:bCs/>
                <w:sz w:val="24"/>
                <w:szCs w:val="24"/>
                <w:highlight w:val="none"/>
              </w:rPr>
              <w:t>长的</w:t>
            </w:r>
            <w:r>
              <w:rPr>
                <w:rFonts w:hint="eastAsia" w:ascii="仿宋_GB2312" w:hAnsi="仿宋_GB2312" w:eastAsia="仿宋_GB2312" w:cs="仿宋_GB2312"/>
                <w:bCs/>
                <w:sz w:val="24"/>
                <w:szCs w:val="24"/>
                <w:highlight w:val="none"/>
                <w:lang w:eastAsia="zh-CN"/>
              </w:rPr>
              <w:t>两</w:t>
            </w:r>
            <w:r>
              <w:rPr>
                <w:rFonts w:hint="eastAsia" w:ascii="仿宋_GB2312" w:hAnsi="仿宋_GB2312" w:eastAsia="仿宋_GB2312" w:cs="仿宋_GB2312"/>
                <w:bCs/>
                <w:sz w:val="24"/>
                <w:szCs w:val="24"/>
                <w:highlight w:val="none"/>
              </w:rPr>
              <w:t>人计算，最多得</w:t>
            </w:r>
            <w:r>
              <w:rPr>
                <w:rFonts w:hint="eastAsia" w:ascii="仿宋_GB2312" w:hAnsi="仿宋_GB2312" w:eastAsia="仿宋_GB2312" w:cs="仿宋_GB2312"/>
                <w:bCs/>
                <w:sz w:val="24"/>
                <w:szCs w:val="24"/>
                <w:highlight w:val="none"/>
                <w:lang w:val="en-US" w:eastAsia="zh-CN"/>
              </w:rPr>
              <w:t>8</w:t>
            </w:r>
            <w:r>
              <w:rPr>
                <w:rFonts w:hint="eastAsia" w:ascii="仿宋_GB2312" w:hAnsi="仿宋_GB2312" w:eastAsia="仿宋_GB2312" w:cs="仿宋_GB2312"/>
                <w:bCs/>
                <w:sz w:val="24"/>
                <w:szCs w:val="24"/>
                <w:highlight w:val="none"/>
              </w:rPr>
              <w:t>分</w:t>
            </w:r>
            <w:r>
              <w:rPr>
                <w:rFonts w:hint="eastAsia" w:ascii="仿宋_GB2312" w:hAnsi="仿宋_GB2312" w:eastAsia="仿宋_GB2312" w:cs="仿宋_GB2312"/>
                <w:bCs/>
                <w:sz w:val="24"/>
                <w:szCs w:val="24"/>
                <w:highlight w:val="none"/>
                <w:lang w:eastAsia="zh-CN"/>
              </w:rPr>
              <w:t>。</w:t>
            </w:r>
          </w:p>
          <w:p>
            <w:pPr>
              <w:widowControl/>
              <w:numPr>
                <w:ilvl w:val="0"/>
                <w:numId w:val="1"/>
              </w:numPr>
              <w:spacing w:before="156" w:beforeLines="50" w:line="560" w:lineRule="exact"/>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sz w:val="24"/>
                <w:szCs w:val="24"/>
                <w:highlight w:val="none"/>
                <w:lang w:eastAsia="zh-CN"/>
              </w:rPr>
              <w:t>团队成员</w:t>
            </w:r>
            <w:r>
              <w:rPr>
                <w:rFonts w:hint="eastAsia" w:ascii="仿宋_GB2312" w:hAnsi="仿宋_GB2312" w:eastAsia="仿宋_GB2312" w:cs="仿宋_GB2312"/>
                <w:b w:val="0"/>
                <w:bCs w:val="0"/>
                <w:color w:val="auto"/>
                <w:sz w:val="24"/>
                <w:szCs w:val="24"/>
                <w:highlight w:val="none"/>
              </w:rPr>
              <w:t>自20</w:t>
            </w:r>
            <w:r>
              <w:rPr>
                <w:rFonts w:hint="eastAsia" w:ascii="仿宋_GB2312" w:hAnsi="仿宋_GB2312" w:eastAsia="仿宋_GB2312" w:cs="仿宋_GB2312"/>
                <w:b w:val="0"/>
                <w:bCs w:val="0"/>
                <w:color w:val="auto"/>
                <w:sz w:val="24"/>
                <w:szCs w:val="24"/>
                <w:highlight w:val="none"/>
                <w:lang w:val="en-US" w:eastAsia="zh-CN"/>
              </w:rPr>
              <w:t>21</w:t>
            </w:r>
            <w:r>
              <w:rPr>
                <w:rFonts w:hint="eastAsia" w:ascii="仿宋_GB2312" w:hAnsi="仿宋_GB2312" w:eastAsia="仿宋_GB2312" w:cs="仿宋_GB2312"/>
                <w:b w:val="0"/>
                <w:bCs w:val="0"/>
                <w:color w:val="auto"/>
                <w:sz w:val="24"/>
                <w:szCs w:val="24"/>
                <w:highlight w:val="none"/>
              </w:rPr>
              <w:t>年</w:t>
            </w:r>
            <w:r>
              <w:rPr>
                <w:rFonts w:hint="eastAsia" w:ascii="仿宋_GB2312" w:hAnsi="仿宋_GB2312" w:eastAsia="仿宋_GB2312" w:cs="仿宋_GB2312"/>
                <w:b w:val="0"/>
                <w:bCs w:val="0"/>
                <w:color w:val="auto"/>
                <w:sz w:val="24"/>
                <w:szCs w:val="24"/>
                <w:highlight w:val="none"/>
                <w:lang w:val="en-US" w:eastAsia="zh-CN"/>
              </w:rPr>
              <w:t>1月1日</w:t>
            </w:r>
            <w:r>
              <w:rPr>
                <w:rFonts w:hint="eastAsia" w:ascii="仿宋_GB2312" w:hAnsi="仿宋_GB2312" w:eastAsia="仿宋_GB2312" w:cs="仿宋_GB2312"/>
                <w:b w:val="0"/>
                <w:bCs w:val="0"/>
                <w:color w:val="auto"/>
                <w:sz w:val="24"/>
                <w:szCs w:val="24"/>
                <w:highlight w:val="none"/>
              </w:rPr>
              <w:t>以来</w:t>
            </w:r>
            <w:r>
              <w:rPr>
                <w:rFonts w:hint="eastAsia" w:ascii="仿宋_GB2312" w:hAnsi="仿宋_GB2312" w:eastAsia="仿宋_GB2312" w:cs="仿宋_GB2312"/>
                <w:b w:val="0"/>
                <w:bCs w:val="0"/>
                <w:color w:val="auto"/>
                <w:kern w:val="0"/>
                <w:sz w:val="24"/>
                <w:szCs w:val="24"/>
                <w:highlight w:val="none"/>
                <w:lang w:eastAsia="zh-CN"/>
              </w:rPr>
              <w:t>曾</w:t>
            </w:r>
            <w:r>
              <w:rPr>
                <w:rFonts w:hint="eastAsia" w:ascii="仿宋_GB2312" w:hAnsi="仿宋_GB2312" w:eastAsia="仿宋_GB2312" w:cs="仿宋_GB2312"/>
                <w:b w:val="0"/>
                <w:bCs w:val="0"/>
                <w:color w:val="auto"/>
                <w:kern w:val="0"/>
                <w:sz w:val="24"/>
                <w:szCs w:val="24"/>
                <w:highlight w:val="none"/>
              </w:rPr>
              <w:t>获</w:t>
            </w:r>
            <w:r>
              <w:rPr>
                <w:rFonts w:hint="eastAsia" w:ascii="仿宋_GB2312" w:hAnsi="仿宋_GB2312" w:eastAsia="仿宋_GB2312" w:cs="仿宋_GB2312"/>
                <w:b w:val="0"/>
                <w:bCs w:val="0"/>
                <w:kern w:val="0"/>
                <w:sz w:val="24"/>
                <w:szCs w:val="24"/>
                <w:highlight w:val="none"/>
              </w:rPr>
              <w:t>得市级或以上管理部门（或行业协会）</w:t>
            </w:r>
            <w:r>
              <w:rPr>
                <w:rFonts w:hint="eastAsia" w:ascii="仿宋_GB2312" w:hAnsi="仿宋_GB2312" w:eastAsia="仿宋_GB2312" w:cs="仿宋_GB2312"/>
                <w:b w:val="0"/>
                <w:bCs w:val="0"/>
                <w:kern w:val="0"/>
                <w:sz w:val="24"/>
                <w:szCs w:val="24"/>
                <w:highlight w:val="none"/>
                <w:lang w:eastAsia="zh-CN"/>
              </w:rPr>
              <w:t>相关</w:t>
            </w:r>
            <w:r>
              <w:rPr>
                <w:rFonts w:hint="eastAsia" w:ascii="仿宋_GB2312" w:hAnsi="仿宋_GB2312" w:eastAsia="仿宋_GB2312" w:cs="仿宋_GB2312"/>
                <w:b w:val="0"/>
                <w:bCs w:val="0"/>
                <w:kern w:val="0"/>
                <w:sz w:val="24"/>
                <w:szCs w:val="24"/>
                <w:highlight w:val="none"/>
              </w:rPr>
              <w:t>表彰的，</w:t>
            </w:r>
            <w:r>
              <w:rPr>
                <w:rFonts w:hint="eastAsia" w:ascii="仿宋_GB2312" w:hAnsi="仿宋_GB2312" w:eastAsia="仿宋_GB2312" w:cs="仿宋_GB2312"/>
                <w:b w:val="0"/>
                <w:bCs w:val="0"/>
                <w:color w:val="auto"/>
                <w:kern w:val="0"/>
                <w:sz w:val="24"/>
                <w:szCs w:val="24"/>
                <w:highlight w:val="none"/>
                <w:lang w:eastAsia="zh-CN"/>
              </w:rPr>
              <w:t>每项得</w:t>
            </w:r>
            <w:r>
              <w:rPr>
                <w:rFonts w:hint="eastAsia" w:ascii="仿宋_GB2312" w:hAnsi="仿宋_GB2312" w:eastAsia="仿宋_GB2312" w:cs="仿宋_GB2312"/>
                <w:b w:val="0"/>
                <w:bCs w:val="0"/>
                <w:color w:val="auto"/>
                <w:kern w:val="0"/>
                <w:sz w:val="24"/>
                <w:szCs w:val="24"/>
                <w:lang w:val="en-US" w:eastAsia="zh-CN"/>
              </w:rPr>
              <w:t>4分，本小项最多得</w:t>
            </w:r>
            <w:r>
              <w:rPr>
                <w:rFonts w:hint="eastAsia" w:ascii="仿宋_GB2312" w:hAnsi="仿宋_GB2312" w:eastAsia="仿宋_GB2312" w:cs="仿宋_GB2312"/>
                <w:b w:val="0"/>
                <w:bCs w:val="0"/>
                <w:color w:val="auto"/>
                <w:kern w:val="0"/>
                <w:sz w:val="24"/>
                <w:szCs w:val="24"/>
                <w:highlight w:val="none"/>
                <w:lang w:val="en-US" w:eastAsia="zh-CN"/>
              </w:rPr>
              <w:t>8</w:t>
            </w:r>
            <w:r>
              <w:rPr>
                <w:rFonts w:hint="eastAsia" w:ascii="仿宋_GB2312" w:hAnsi="仿宋_GB2312" w:eastAsia="仿宋_GB2312" w:cs="仿宋_GB2312"/>
                <w:b w:val="0"/>
                <w:bCs w:val="0"/>
                <w:color w:val="auto"/>
                <w:kern w:val="0"/>
                <w:sz w:val="24"/>
                <w:szCs w:val="24"/>
              </w:rPr>
              <w:t>分。</w:t>
            </w:r>
          </w:p>
          <w:p>
            <w:pPr>
              <w:widowControl/>
              <w:numPr>
                <w:ilvl w:val="-1"/>
                <w:numId w:val="0"/>
              </w:numPr>
              <w:spacing w:before="156" w:beforeLines="50" w:line="560" w:lineRule="exact"/>
              <w:jc w:val="left"/>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本项满分16分。</w:t>
            </w:r>
          </w:p>
          <w:p>
            <w:pPr>
              <w:pStyle w:val="2"/>
              <w:spacing w:line="560" w:lineRule="exact"/>
              <w:jc w:val="left"/>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kern w:val="0"/>
                <w:sz w:val="24"/>
                <w:szCs w:val="24"/>
              </w:rPr>
              <w:t>注：</w:t>
            </w:r>
            <w:r>
              <w:rPr>
                <w:rFonts w:hint="eastAsia" w:ascii="仿宋_GB2312" w:hAnsi="仿宋_GB2312" w:eastAsia="仿宋_GB2312" w:cs="仿宋_GB2312"/>
                <w:b/>
                <w:bCs/>
                <w:kern w:val="0"/>
                <w:sz w:val="24"/>
                <w:szCs w:val="24"/>
                <w:lang w:val="en-US" w:eastAsia="zh-CN"/>
              </w:rPr>
              <w:t>1、第1项</w:t>
            </w:r>
            <w:r>
              <w:rPr>
                <w:rFonts w:hint="eastAsia" w:ascii="仿宋_GB2312" w:hAnsi="仿宋_GB2312" w:eastAsia="仿宋_GB2312" w:cs="仿宋_GB2312"/>
                <w:b/>
                <w:bCs/>
                <w:sz w:val="24"/>
                <w:szCs w:val="24"/>
                <w:lang w:eastAsia="zh-CN"/>
              </w:rPr>
              <w:t>律师团队成员不含实习律师或律师助理，如有本项不得分。投标文件中需提供上述执业证书的复印件加盖投标人公章，执业年限以首次批准律师职业的年度（律师执业证号第6-9位）为准（若证书未能体现执业年限可提供相关的证明文件）。</w:t>
            </w:r>
          </w:p>
          <w:p>
            <w:pPr>
              <w:keepNext w:val="0"/>
              <w:keepLines w:val="0"/>
              <w:pageBreakBefore w:val="0"/>
              <w:kinsoku/>
              <w:wordWrap/>
              <w:overflowPunct/>
              <w:topLinePunct w:val="0"/>
              <w:autoSpaceDE/>
              <w:autoSpaceDN/>
              <w:bidi w:val="0"/>
              <w:spacing w:afterAutospacing="0" w:line="560" w:lineRule="exact"/>
              <w:jc w:val="left"/>
              <w:textAlignment w:val="auto"/>
              <w:rPr>
                <w:rFonts w:hint="eastAsia"/>
                <w:sz w:val="21"/>
                <w:szCs w:val="21"/>
                <w:lang w:eastAsia="zh-CN"/>
              </w:rPr>
            </w:pPr>
            <w:r>
              <w:rPr>
                <w:rFonts w:hint="eastAsia" w:ascii="仿宋_GB2312" w:hAnsi="仿宋_GB2312" w:eastAsia="仿宋_GB2312" w:cs="仿宋_GB2312"/>
                <w:b/>
                <w:bCs/>
                <w:kern w:val="0"/>
                <w:sz w:val="24"/>
                <w:szCs w:val="24"/>
                <w:lang w:val="en-US" w:eastAsia="zh-CN"/>
              </w:rPr>
              <w:t>2、</w:t>
            </w:r>
            <w:r>
              <w:rPr>
                <w:rFonts w:hint="eastAsia" w:ascii="仿宋_GB2312" w:hAnsi="仿宋_GB2312" w:eastAsia="仿宋_GB2312" w:cs="仿宋_GB2312"/>
                <w:b/>
                <w:bCs/>
                <w:kern w:val="0"/>
                <w:sz w:val="24"/>
                <w:szCs w:val="24"/>
              </w:rPr>
              <w:t>投标文件中需提供能证明上述荣誉及表彰情况的证明材料（如公告文件、荣誉证书等）</w:t>
            </w:r>
            <w:r>
              <w:rPr>
                <w:rFonts w:hint="eastAsia" w:ascii="仿宋_GB2312" w:hAnsi="仿宋_GB2312" w:eastAsia="仿宋_GB2312" w:cs="仿宋_GB2312"/>
                <w:b/>
                <w:bCs/>
                <w:kern w:val="0"/>
                <w:sz w:val="24"/>
                <w:szCs w:val="24"/>
                <w:lang w:eastAsia="zh-CN"/>
              </w:rPr>
              <w:t>证明</w:t>
            </w:r>
            <w:r>
              <w:rPr>
                <w:rFonts w:hint="eastAsia" w:ascii="仿宋_GB2312" w:hAnsi="仿宋_GB2312" w:eastAsia="仿宋_GB2312" w:cs="仿宋_GB2312"/>
                <w:b/>
                <w:bCs/>
                <w:kern w:val="0"/>
                <w:sz w:val="24"/>
                <w:szCs w:val="24"/>
              </w:rPr>
              <w:t>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218" w:type="dxa"/>
            <w:vAlign w:val="center"/>
          </w:tcPr>
          <w:p>
            <w:pPr>
              <w:spacing w:beforeLines="0" w:afterLines="0" w:line="400" w:lineRule="exact"/>
              <w:jc w:val="center"/>
              <w:rPr>
                <w:rFonts w:hint="eastAsia" w:ascii="仿宋_GB2312" w:hAnsi="仿宋_GB2312" w:eastAsia="仿宋_GB2312" w:cs="仿宋_GB2312"/>
                <w:kern w:val="0"/>
                <w:sz w:val="28"/>
                <w:szCs w:val="28"/>
              </w:rPr>
            </w:pPr>
          </w:p>
          <w:p>
            <w:pPr>
              <w:spacing w:beforeLines="0" w:afterLines="0" w:line="400" w:lineRule="exact"/>
              <w:jc w:val="center"/>
              <w:rPr>
                <w:rFonts w:hint="eastAsia" w:ascii="仿宋_GB2312" w:hAnsi="仿宋_GB2312" w:eastAsia="仿宋_GB2312" w:cs="仿宋_GB2312"/>
                <w:kern w:val="0"/>
                <w:sz w:val="28"/>
                <w:szCs w:val="28"/>
              </w:rPr>
            </w:pPr>
          </w:p>
          <w:p>
            <w:pPr>
              <w:spacing w:beforeLines="0" w:afterLines="0" w:line="400" w:lineRule="exact"/>
              <w:jc w:val="center"/>
              <w:rPr>
                <w:rFonts w:hint="eastAsia" w:ascii="仿宋_GB2312" w:hAnsi="仿宋_GB2312" w:eastAsia="仿宋_GB2312" w:cs="仿宋_GB2312"/>
                <w:kern w:val="0"/>
                <w:sz w:val="28"/>
                <w:szCs w:val="28"/>
              </w:rPr>
            </w:pPr>
          </w:p>
          <w:p>
            <w:pPr>
              <w:spacing w:beforeLines="0" w:afterLines="0" w:line="400" w:lineRule="exact"/>
              <w:jc w:val="center"/>
              <w:rPr>
                <w:rFonts w:hint="eastAsia" w:ascii="仿宋_GB2312" w:hAnsi="仿宋_GB2312" w:eastAsia="仿宋_GB2312" w:cs="仿宋_GB2312"/>
                <w:kern w:val="0"/>
                <w:sz w:val="28"/>
                <w:szCs w:val="28"/>
              </w:rPr>
            </w:pPr>
          </w:p>
          <w:p>
            <w:pPr>
              <w:spacing w:beforeLines="0" w:afterLines="0" w:line="400" w:lineRule="exact"/>
              <w:jc w:val="center"/>
              <w:rPr>
                <w:rFonts w:hint="eastAsia" w:ascii="仿宋_GB2312" w:hAnsi="仿宋_GB2312" w:eastAsia="仿宋_GB2312" w:cs="仿宋_GB2312"/>
                <w:kern w:val="0"/>
                <w:sz w:val="28"/>
                <w:szCs w:val="28"/>
              </w:rPr>
            </w:pPr>
          </w:p>
          <w:p>
            <w:pPr>
              <w:spacing w:beforeLines="0" w:afterLines="0" w:line="400" w:lineRule="exact"/>
              <w:jc w:val="center"/>
              <w:rPr>
                <w:rFonts w:hint="eastAsia" w:ascii="仿宋_GB2312" w:hAnsi="仿宋_GB2312" w:eastAsia="仿宋_GB2312" w:cs="仿宋_GB2312"/>
                <w:kern w:val="0"/>
                <w:sz w:val="28"/>
                <w:szCs w:val="28"/>
              </w:rPr>
            </w:pPr>
          </w:p>
          <w:p>
            <w:pPr>
              <w:spacing w:beforeLines="0" w:afterLines="0" w:line="400" w:lineRule="exact"/>
              <w:jc w:val="center"/>
              <w:rPr>
                <w:rFonts w:hint="eastAsia" w:ascii="仿宋_GB2312" w:hAnsi="仿宋_GB2312" w:eastAsia="仿宋_GB2312" w:cs="仿宋_GB2312"/>
                <w:kern w:val="0"/>
                <w:sz w:val="28"/>
                <w:szCs w:val="28"/>
              </w:rPr>
            </w:pPr>
          </w:p>
          <w:p>
            <w:pPr>
              <w:spacing w:beforeLines="0" w:afterLines="0" w:line="400" w:lineRule="exact"/>
              <w:jc w:val="center"/>
              <w:rPr>
                <w:rFonts w:hint="eastAsia" w:ascii="仿宋_GB2312" w:hAnsi="仿宋_GB2312" w:eastAsia="仿宋_GB2312" w:cs="仿宋_GB2312"/>
                <w:kern w:val="0"/>
                <w:sz w:val="28"/>
                <w:szCs w:val="28"/>
              </w:rPr>
            </w:pPr>
          </w:p>
          <w:p>
            <w:pPr>
              <w:spacing w:beforeLines="0" w:afterLines="0" w:line="400" w:lineRule="exact"/>
              <w:jc w:val="center"/>
              <w:rPr>
                <w:rFonts w:hint="eastAsia" w:ascii="仿宋_GB2312" w:hAnsi="仿宋_GB2312" w:eastAsia="仿宋_GB2312" w:cs="仿宋_GB2312"/>
                <w:kern w:val="0"/>
                <w:sz w:val="28"/>
                <w:szCs w:val="28"/>
              </w:rPr>
            </w:pPr>
          </w:p>
          <w:p>
            <w:pPr>
              <w:spacing w:beforeLines="0" w:afterLines="0" w:line="400" w:lineRule="exact"/>
              <w:jc w:val="center"/>
              <w:rPr>
                <w:rFonts w:hint="eastAsia" w:ascii="仿宋_GB2312" w:hAnsi="仿宋_GB2312" w:eastAsia="仿宋_GB2312" w:cs="仿宋_GB2312"/>
                <w:kern w:val="0"/>
                <w:sz w:val="28"/>
                <w:szCs w:val="28"/>
              </w:rPr>
            </w:pPr>
          </w:p>
          <w:p>
            <w:pPr>
              <w:spacing w:beforeLines="0" w:afterLines="0" w:line="40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拟派</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lang w:eastAsia="zh-CN"/>
              </w:rPr>
              <w:t>团队</w:t>
            </w:r>
            <w:r>
              <w:rPr>
                <w:rFonts w:hint="eastAsia" w:ascii="仿宋_GB2312" w:hAnsi="仿宋_GB2312" w:eastAsia="仿宋_GB2312" w:cs="仿宋_GB2312"/>
                <w:kern w:val="0"/>
                <w:sz w:val="28"/>
                <w:szCs w:val="28"/>
                <w:lang w:val="en-US" w:eastAsia="zh-CN"/>
              </w:rPr>
              <w:t xml:space="preserve">  成</w:t>
            </w:r>
            <w:r>
              <w:rPr>
                <w:rFonts w:hint="eastAsia" w:ascii="仿宋_GB2312" w:hAnsi="仿宋_GB2312" w:eastAsia="仿宋_GB2312" w:cs="仿宋_GB2312"/>
                <w:kern w:val="0"/>
                <w:sz w:val="28"/>
                <w:szCs w:val="28"/>
              </w:rPr>
              <w:t>员</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工作</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经验</w:t>
            </w:r>
          </w:p>
        </w:tc>
        <w:tc>
          <w:tcPr>
            <w:tcW w:w="1294" w:type="dxa"/>
            <w:vAlign w:val="center"/>
          </w:tcPr>
          <w:p>
            <w:pPr>
              <w:pStyle w:val="2"/>
              <w:rPr>
                <w:rFonts w:hint="eastAsia" w:ascii="仿宋_GB2312" w:hAnsi="仿宋_GB2312" w:eastAsia="仿宋_GB2312" w:cs="仿宋_GB2312"/>
                <w:sz w:val="28"/>
                <w:szCs w:val="28"/>
                <w:lang w:val="en-US" w:eastAsia="zh-CN"/>
              </w:rPr>
            </w:pPr>
          </w:p>
          <w:p>
            <w:pPr>
              <w:pStyle w:val="2"/>
              <w:rPr>
                <w:rFonts w:hint="eastAsia" w:ascii="仿宋_GB2312" w:hAnsi="仿宋_GB2312" w:eastAsia="仿宋_GB2312" w:cs="仿宋_GB2312"/>
                <w:sz w:val="28"/>
                <w:szCs w:val="28"/>
                <w:lang w:val="en-US" w:eastAsia="zh-CN"/>
              </w:rPr>
            </w:pPr>
          </w:p>
          <w:p>
            <w:pPr>
              <w:pStyle w:val="2"/>
              <w:rPr>
                <w:rFonts w:hint="eastAsia" w:ascii="仿宋_GB2312" w:hAnsi="仿宋_GB2312" w:eastAsia="仿宋_GB2312" w:cs="仿宋_GB2312"/>
                <w:sz w:val="28"/>
                <w:szCs w:val="28"/>
                <w:lang w:val="en-US" w:eastAsia="zh-CN"/>
              </w:rPr>
            </w:pPr>
          </w:p>
          <w:p>
            <w:pPr>
              <w:pStyle w:val="2"/>
              <w:rPr>
                <w:rFonts w:hint="eastAsia" w:ascii="仿宋_GB2312" w:hAnsi="仿宋_GB2312" w:eastAsia="仿宋_GB2312" w:cs="仿宋_GB2312"/>
                <w:sz w:val="28"/>
                <w:szCs w:val="28"/>
                <w:lang w:val="en-US" w:eastAsia="zh-CN"/>
              </w:rPr>
            </w:pPr>
          </w:p>
          <w:p>
            <w:pPr>
              <w:pStyle w:val="2"/>
              <w:rPr>
                <w:rFonts w:hint="eastAsia" w:ascii="仿宋_GB2312" w:hAnsi="仿宋_GB2312" w:eastAsia="仿宋_GB2312" w:cs="仿宋_GB2312"/>
                <w:sz w:val="28"/>
                <w:szCs w:val="28"/>
                <w:lang w:val="en-US" w:eastAsia="zh-CN"/>
              </w:rPr>
            </w:pPr>
          </w:p>
          <w:p>
            <w:pPr>
              <w:pStyle w:val="2"/>
              <w:rPr>
                <w:rFonts w:hint="eastAsia" w:ascii="仿宋_GB2312" w:hAnsi="仿宋_GB2312" w:eastAsia="仿宋_GB2312" w:cs="仿宋_GB2312"/>
                <w:sz w:val="28"/>
                <w:szCs w:val="28"/>
                <w:lang w:val="en-US" w:eastAsia="zh-CN"/>
              </w:rPr>
            </w:pPr>
          </w:p>
          <w:p>
            <w:pPr>
              <w:pStyle w:val="2"/>
              <w:rPr>
                <w:rFonts w:hint="eastAsia" w:ascii="仿宋_GB2312" w:hAnsi="仿宋_GB2312" w:eastAsia="仿宋_GB2312" w:cs="仿宋_GB2312"/>
                <w:sz w:val="28"/>
                <w:szCs w:val="28"/>
                <w:lang w:val="en-US" w:eastAsia="zh-CN"/>
              </w:rPr>
            </w:pPr>
          </w:p>
          <w:p>
            <w:pPr>
              <w:pStyle w:val="2"/>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20分</w:t>
            </w:r>
          </w:p>
        </w:tc>
        <w:tc>
          <w:tcPr>
            <w:tcW w:w="6244" w:type="dxa"/>
            <w:vAlign w:val="top"/>
          </w:tcPr>
          <w:p>
            <w:pPr>
              <w:widowControl/>
              <w:spacing w:before="156" w:beforeLines="50" w:line="5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根据投标</w:t>
            </w:r>
            <w:r>
              <w:rPr>
                <w:rFonts w:hint="eastAsia" w:ascii="仿宋_GB2312" w:hAnsi="仿宋_GB2312" w:eastAsia="仿宋_GB2312" w:cs="仿宋_GB2312"/>
                <w:kern w:val="0"/>
                <w:sz w:val="24"/>
                <w:szCs w:val="24"/>
                <w:lang w:eastAsia="zh-CN"/>
              </w:rPr>
              <w:t>律师团</w:t>
            </w:r>
            <w:r>
              <w:rPr>
                <w:rFonts w:hint="eastAsia" w:ascii="仿宋_GB2312" w:hAnsi="仿宋_GB2312" w:eastAsia="仿宋_GB2312" w:cs="仿宋_GB2312"/>
                <w:kern w:val="0"/>
                <w:sz w:val="24"/>
                <w:szCs w:val="24"/>
                <w:highlight w:val="none"/>
                <w:lang w:eastAsia="zh-CN"/>
              </w:rPr>
              <w:t>队</w:t>
            </w:r>
            <w:r>
              <w:rPr>
                <w:rFonts w:hint="eastAsia" w:ascii="仿宋_GB2312" w:hAnsi="仿宋_GB2312" w:eastAsia="仿宋_GB2312" w:cs="仿宋_GB2312"/>
                <w:color w:val="auto"/>
                <w:kern w:val="0"/>
                <w:sz w:val="24"/>
                <w:szCs w:val="24"/>
                <w:highlight w:val="none"/>
              </w:rPr>
              <w:t>自20</w:t>
            </w:r>
            <w:r>
              <w:rPr>
                <w:rFonts w:hint="eastAsia" w:ascii="仿宋_GB2312" w:hAnsi="仿宋_GB2312" w:eastAsia="仿宋_GB2312" w:cs="仿宋_GB2312"/>
                <w:color w:val="auto"/>
                <w:kern w:val="0"/>
                <w:sz w:val="24"/>
                <w:szCs w:val="24"/>
                <w:highlight w:val="none"/>
                <w:lang w:val="en-US" w:eastAsia="zh-CN"/>
              </w:rPr>
              <w:t>21</w:t>
            </w:r>
            <w:r>
              <w:rPr>
                <w:rFonts w:hint="eastAsia" w:ascii="仿宋_GB2312" w:hAnsi="仿宋_GB2312" w:eastAsia="仿宋_GB2312" w:cs="仿宋_GB2312"/>
                <w:color w:val="auto"/>
                <w:kern w:val="0"/>
                <w:sz w:val="24"/>
                <w:szCs w:val="24"/>
                <w:highlight w:val="none"/>
              </w:rPr>
              <w:t>年1月1日以来曾</w:t>
            </w:r>
            <w:r>
              <w:rPr>
                <w:rFonts w:hint="eastAsia" w:ascii="仿宋_GB2312" w:hAnsi="仿宋_GB2312" w:eastAsia="仿宋_GB2312" w:cs="仿宋_GB2312"/>
                <w:color w:val="auto"/>
                <w:kern w:val="0"/>
                <w:sz w:val="24"/>
                <w:szCs w:val="24"/>
                <w:highlight w:val="none"/>
                <w:lang w:eastAsia="zh-CN"/>
              </w:rPr>
              <w:t>为</w:t>
            </w:r>
            <w:r>
              <w:rPr>
                <w:rFonts w:hint="eastAsia" w:ascii="仿宋_GB2312" w:hAnsi="仿宋_GB2312" w:eastAsia="仿宋_GB2312" w:cs="仿宋_GB2312"/>
                <w:color w:val="000000"/>
                <w:kern w:val="0"/>
                <w:sz w:val="24"/>
                <w:szCs w:val="24"/>
                <w:highlight w:val="none"/>
              </w:rPr>
              <w:t>党委、政府及相关部门提供法律服务的相关业绩情况进行评</w:t>
            </w:r>
            <w:r>
              <w:rPr>
                <w:rFonts w:hint="eastAsia" w:ascii="仿宋_GB2312" w:hAnsi="仿宋_GB2312" w:eastAsia="仿宋_GB2312" w:cs="仿宋_GB2312"/>
                <w:kern w:val="0"/>
                <w:sz w:val="24"/>
                <w:szCs w:val="24"/>
              </w:rPr>
              <w:t>分：</w:t>
            </w:r>
          </w:p>
          <w:p>
            <w:pPr>
              <w:widowControl/>
              <w:numPr>
                <w:ilvl w:val="0"/>
                <w:numId w:val="2"/>
              </w:numPr>
              <w:spacing w:before="156" w:beforeLines="50" w:line="560" w:lineRule="exact"/>
              <w:jc w:val="left"/>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color w:val="auto"/>
                <w:kern w:val="0"/>
                <w:sz w:val="24"/>
                <w:szCs w:val="24"/>
                <w:highlight w:val="none"/>
                <w:lang w:val="en-US" w:eastAsia="zh-CN"/>
              </w:rPr>
              <w:t>团队负责人自2021年以来</w:t>
            </w:r>
            <w:r>
              <w:rPr>
                <w:rFonts w:hint="eastAsia" w:ascii="仿宋_GB2312" w:hAnsi="仿宋_GB2312" w:eastAsia="仿宋_GB2312" w:cs="仿宋_GB2312"/>
                <w:color w:val="auto"/>
                <w:kern w:val="0"/>
                <w:sz w:val="24"/>
                <w:szCs w:val="24"/>
                <w:highlight w:val="none"/>
              </w:rPr>
              <w:t>曾担任党委、政府及相关部门</w:t>
            </w:r>
            <w:r>
              <w:rPr>
                <w:rFonts w:hint="eastAsia" w:ascii="仿宋_GB2312" w:hAnsi="仿宋_GB2312" w:eastAsia="仿宋_GB2312" w:cs="仿宋_GB2312"/>
                <w:strike w:val="0"/>
                <w:dstrike w:val="0"/>
                <w:color w:val="auto"/>
                <w:kern w:val="0"/>
                <w:sz w:val="24"/>
                <w:szCs w:val="24"/>
                <w:highlight w:val="none"/>
                <w:lang w:eastAsia="zh-CN"/>
              </w:rPr>
              <w:t>的</w:t>
            </w:r>
            <w:r>
              <w:rPr>
                <w:rFonts w:hint="eastAsia" w:ascii="仿宋_GB2312" w:hAnsi="仿宋_GB2312" w:eastAsia="仿宋_GB2312" w:cs="仿宋_GB2312"/>
                <w:color w:val="auto"/>
                <w:kern w:val="0"/>
                <w:sz w:val="24"/>
                <w:szCs w:val="24"/>
                <w:highlight w:val="none"/>
              </w:rPr>
              <w:t>法律顾问，每个单位得</w:t>
            </w:r>
            <w:r>
              <w:rPr>
                <w:rFonts w:hint="eastAsia" w:ascii="仿宋_GB2312" w:hAnsi="仿宋_GB2312" w:eastAsia="仿宋_GB2312" w:cs="仿宋_GB2312"/>
                <w:kern w:val="0"/>
                <w:sz w:val="24"/>
                <w:szCs w:val="24"/>
                <w:highlight w:val="none"/>
                <w:lang w:val="en-US" w:eastAsia="zh-CN"/>
              </w:rPr>
              <w:t>3</w:t>
            </w:r>
            <w:r>
              <w:rPr>
                <w:rFonts w:hint="eastAsia" w:ascii="仿宋_GB2312" w:hAnsi="仿宋_GB2312" w:eastAsia="仿宋_GB2312" w:cs="仿宋_GB2312"/>
                <w:kern w:val="0"/>
                <w:sz w:val="24"/>
                <w:szCs w:val="24"/>
                <w:highlight w:val="none"/>
              </w:rPr>
              <w:t>分</w:t>
            </w:r>
            <w:r>
              <w:rPr>
                <w:rFonts w:hint="eastAsia" w:ascii="仿宋_GB2312" w:hAnsi="仿宋_GB2312" w:eastAsia="仿宋_GB2312" w:cs="仿宋_GB2312"/>
                <w:kern w:val="0"/>
                <w:sz w:val="24"/>
                <w:szCs w:val="24"/>
                <w:highlight w:val="none"/>
                <w:lang w:eastAsia="zh-CN"/>
              </w:rPr>
              <w:t>，</w:t>
            </w:r>
            <w:r>
              <w:rPr>
                <w:rFonts w:hint="eastAsia" w:ascii="仿宋_GB2312" w:hAnsi="仿宋_GB2312" w:eastAsia="仿宋_GB2312" w:cs="仿宋_GB2312"/>
                <w:kern w:val="0"/>
                <w:sz w:val="24"/>
                <w:szCs w:val="24"/>
                <w:highlight w:val="none"/>
                <w:lang w:val="en-US" w:eastAsia="zh-CN"/>
              </w:rPr>
              <w:t>若在同一单位</w:t>
            </w:r>
            <w:r>
              <w:rPr>
                <w:rFonts w:hint="eastAsia" w:ascii="仿宋_GB2312" w:hAnsi="仿宋_GB2312" w:eastAsia="仿宋_GB2312" w:cs="仿宋_GB2312"/>
                <w:kern w:val="0"/>
                <w:sz w:val="24"/>
                <w:szCs w:val="24"/>
                <w:highlight w:val="none"/>
                <w:lang w:eastAsia="zh-CN"/>
              </w:rPr>
              <w:t>连续</w:t>
            </w:r>
            <w:r>
              <w:rPr>
                <w:rFonts w:hint="eastAsia" w:ascii="仿宋_GB2312" w:hAnsi="仿宋_GB2312" w:eastAsia="仿宋_GB2312" w:cs="仿宋_GB2312"/>
                <w:kern w:val="0"/>
                <w:sz w:val="24"/>
                <w:szCs w:val="24"/>
                <w:highlight w:val="none"/>
                <w:lang w:val="en-US" w:eastAsia="zh-CN"/>
              </w:rPr>
              <w:t>担任的，则每增加一年增加1分；团队其他成员自2021年以来</w:t>
            </w:r>
            <w:r>
              <w:rPr>
                <w:rFonts w:hint="eastAsia" w:ascii="仿宋_GB2312" w:hAnsi="仿宋_GB2312" w:eastAsia="仿宋_GB2312" w:cs="仿宋_GB2312"/>
                <w:color w:val="auto"/>
                <w:kern w:val="0"/>
                <w:sz w:val="24"/>
                <w:szCs w:val="24"/>
                <w:highlight w:val="none"/>
              </w:rPr>
              <w:t>曾担任党委、政府及相关部门</w:t>
            </w:r>
            <w:r>
              <w:rPr>
                <w:rFonts w:hint="eastAsia" w:ascii="仿宋_GB2312" w:hAnsi="仿宋_GB2312" w:eastAsia="仿宋_GB2312" w:cs="仿宋_GB2312"/>
                <w:strike w:val="0"/>
                <w:dstrike w:val="0"/>
                <w:color w:val="auto"/>
                <w:kern w:val="0"/>
                <w:sz w:val="24"/>
                <w:szCs w:val="24"/>
                <w:highlight w:val="none"/>
                <w:lang w:eastAsia="zh-CN"/>
              </w:rPr>
              <w:t>的</w:t>
            </w:r>
            <w:r>
              <w:rPr>
                <w:rFonts w:hint="eastAsia" w:ascii="仿宋_GB2312" w:hAnsi="仿宋_GB2312" w:eastAsia="仿宋_GB2312" w:cs="仿宋_GB2312"/>
                <w:color w:val="auto"/>
                <w:kern w:val="0"/>
                <w:sz w:val="24"/>
                <w:szCs w:val="24"/>
                <w:highlight w:val="none"/>
              </w:rPr>
              <w:t>法律顾问，每个单位得</w:t>
            </w:r>
            <w:r>
              <w:rPr>
                <w:rFonts w:hint="eastAsia" w:ascii="仿宋_GB2312" w:hAnsi="仿宋_GB2312" w:eastAsia="仿宋_GB2312" w:cs="仿宋_GB2312"/>
                <w:kern w:val="0"/>
                <w:sz w:val="24"/>
                <w:szCs w:val="24"/>
                <w:highlight w:val="none"/>
                <w:lang w:val="en-US" w:eastAsia="zh-CN"/>
              </w:rPr>
              <w:t>3</w:t>
            </w:r>
            <w:r>
              <w:rPr>
                <w:rFonts w:hint="eastAsia" w:ascii="仿宋_GB2312" w:hAnsi="仿宋_GB2312" w:eastAsia="仿宋_GB2312" w:cs="仿宋_GB2312"/>
                <w:kern w:val="0"/>
                <w:sz w:val="24"/>
                <w:szCs w:val="24"/>
                <w:highlight w:val="none"/>
              </w:rPr>
              <w:t>分</w:t>
            </w:r>
            <w:r>
              <w:rPr>
                <w:rFonts w:hint="eastAsia" w:ascii="仿宋_GB2312" w:hAnsi="仿宋_GB2312" w:eastAsia="仿宋_GB2312" w:cs="仿宋_GB2312"/>
                <w:kern w:val="0"/>
                <w:sz w:val="24"/>
                <w:szCs w:val="24"/>
                <w:highlight w:val="none"/>
                <w:lang w:val="en-US" w:eastAsia="zh-CN"/>
              </w:rPr>
              <w:t>。</w:t>
            </w:r>
            <w:r>
              <w:rPr>
                <w:rFonts w:hint="eastAsia" w:ascii="仿宋_GB2312" w:hAnsi="仿宋_GB2312" w:eastAsia="仿宋_GB2312" w:cs="仿宋_GB2312"/>
                <w:kern w:val="0"/>
                <w:sz w:val="24"/>
                <w:szCs w:val="24"/>
                <w:highlight w:val="none"/>
                <w:lang w:eastAsia="zh-CN"/>
              </w:rPr>
              <w:t>本</w:t>
            </w:r>
            <w:r>
              <w:rPr>
                <w:rFonts w:hint="eastAsia" w:ascii="仿宋_GB2312" w:hAnsi="仿宋_GB2312" w:eastAsia="仿宋_GB2312" w:cs="仿宋_GB2312"/>
                <w:kern w:val="0"/>
                <w:sz w:val="24"/>
                <w:szCs w:val="24"/>
                <w:highlight w:val="none"/>
                <w:lang w:val="en-US" w:eastAsia="zh-CN"/>
              </w:rPr>
              <w:t>小</w:t>
            </w:r>
            <w:r>
              <w:rPr>
                <w:rFonts w:hint="eastAsia" w:ascii="仿宋_GB2312" w:hAnsi="仿宋_GB2312" w:eastAsia="仿宋_GB2312" w:cs="仿宋_GB2312"/>
                <w:kern w:val="0"/>
                <w:sz w:val="24"/>
                <w:szCs w:val="24"/>
                <w:highlight w:val="none"/>
                <w:lang w:eastAsia="zh-CN"/>
              </w:rPr>
              <w:t>项满分</w:t>
            </w:r>
            <w:r>
              <w:rPr>
                <w:rFonts w:hint="eastAsia" w:ascii="仿宋_GB2312" w:hAnsi="仿宋_GB2312" w:eastAsia="仿宋_GB2312" w:cs="仿宋_GB2312"/>
                <w:kern w:val="0"/>
                <w:sz w:val="24"/>
                <w:szCs w:val="24"/>
                <w:highlight w:val="none"/>
                <w:lang w:val="en-US" w:eastAsia="zh-CN"/>
              </w:rPr>
              <w:t>12分。</w:t>
            </w:r>
          </w:p>
          <w:p>
            <w:pPr>
              <w:widowControl/>
              <w:numPr>
                <w:ilvl w:val="0"/>
                <w:numId w:val="2"/>
              </w:numPr>
              <w:spacing w:before="156" w:beforeLines="50" w:afterLines="0" w:line="560" w:lineRule="exact"/>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eastAsia="zh-CN"/>
              </w:rPr>
              <w:t>团队中除负责人以外的成员自</w:t>
            </w:r>
            <w:r>
              <w:rPr>
                <w:rFonts w:hint="eastAsia" w:ascii="仿宋_GB2312" w:hAnsi="仿宋_GB2312" w:eastAsia="仿宋_GB2312" w:cs="仿宋_GB2312"/>
                <w:kern w:val="0"/>
                <w:sz w:val="24"/>
                <w:szCs w:val="24"/>
                <w:highlight w:val="none"/>
                <w:lang w:val="en-US" w:eastAsia="zh-CN"/>
              </w:rPr>
              <w:t>2021年以来</w:t>
            </w:r>
            <w:r>
              <w:rPr>
                <w:rFonts w:hint="eastAsia" w:ascii="仿宋_GB2312" w:hAnsi="仿宋_GB2312" w:eastAsia="仿宋_GB2312" w:cs="仿宋_GB2312"/>
                <w:kern w:val="0"/>
                <w:sz w:val="24"/>
                <w:szCs w:val="24"/>
                <w:highlight w:val="none"/>
                <w:lang w:eastAsia="zh-CN"/>
              </w:rPr>
              <w:t>代理政府</w:t>
            </w:r>
            <w:r>
              <w:rPr>
                <w:rFonts w:hint="eastAsia" w:ascii="仿宋_GB2312" w:hAnsi="仿宋_GB2312" w:eastAsia="仿宋_GB2312" w:cs="仿宋_GB2312"/>
                <w:kern w:val="0"/>
                <w:sz w:val="24"/>
                <w:szCs w:val="24"/>
                <w:highlight w:val="none"/>
                <w:lang w:val="en-US" w:eastAsia="zh-CN"/>
              </w:rPr>
              <w:t>行政复议或</w:t>
            </w:r>
            <w:r>
              <w:rPr>
                <w:rFonts w:hint="eastAsia" w:ascii="仿宋_GB2312" w:hAnsi="仿宋_GB2312" w:eastAsia="仿宋_GB2312" w:cs="仿宋_GB2312"/>
                <w:kern w:val="0"/>
                <w:sz w:val="24"/>
                <w:szCs w:val="24"/>
                <w:highlight w:val="none"/>
                <w:lang w:eastAsia="zh-CN"/>
              </w:rPr>
              <w:t>行政诉讼</w:t>
            </w:r>
            <w:r>
              <w:rPr>
                <w:rFonts w:hint="eastAsia" w:ascii="仿宋_GB2312" w:hAnsi="仿宋_GB2312" w:eastAsia="仿宋_GB2312" w:cs="仿宋_GB2312"/>
                <w:kern w:val="0"/>
                <w:sz w:val="24"/>
                <w:szCs w:val="24"/>
                <w:highlight w:val="none"/>
              </w:rPr>
              <w:t>案件的</w:t>
            </w:r>
            <w:r>
              <w:rPr>
                <w:rFonts w:hint="eastAsia" w:ascii="仿宋_GB2312" w:hAnsi="仿宋_GB2312" w:eastAsia="仿宋_GB2312" w:cs="仿宋_GB2312"/>
                <w:kern w:val="0"/>
                <w:sz w:val="24"/>
                <w:szCs w:val="24"/>
                <w:highlight w:val="none"/>
                <w:lang w:eastAsia="zh-CN"/>
              </w:rPr>
              <w:t>（</w:t>
            </w:r>
            <w:r>
              <w:rPr>
                <w:rFonts w:hint="eastAsia" w:ascii="仿宋_GB2312" w:hAnsi="仿宋_GB2312" w:eastAsia="仿宋_GB2312" w:cs="仿宋_GB2312"/>
                <w:kern w:val="0"/>
                <w:sz w:val="24"/>
                <w:szCs w:val="24"/>
                <w:highlight w:val="none"/>
                <w:lang w:val="en-US" w:eastAsia="zh-CN"/>
              </w:rPr>
              <w:t>案件有一、二审程序的计为一个案件，不分别计算；审判监督程序算独立案件</w:t>
            </w:r>
            <w:r>
              <w:rPr>
                <w:rFonts w:hint="eastAsia" w:ascii="仿宋_GB2312" w:hAnsi="仿宋_GB2312" w:eastAsia="仿宋_GB2312" w:cs="仿宋_GB2312"/>
                <w:kern w:val="0"/>
                <w:sz w:val="24"/>
                <w:szCs w:val="24"/>
                <w:highlight w:val="none"/>
                <w:lang w:eastAsia="zh-CN"/>
              </w:rPr>
              <w:t>）</w:t>
            </w:r>
            <w:r>
              <w:rPr>
                <w:rFonts w:hint="eastAsia" w:ascii="仿宋_GB2312" w:hAnsi="仿宋_GB2312" w:eastAsia="仿宋_GB2312" w:cs="仿宋_GB2312"/>
                <w:kern w:val="0"/>
                <w:sz w:val="24"/>
                <w:szCs w:val="24"/>
                <w:highlight w:val="none"/>
              </w:rPr>
              <w:t>，</w:t>
            </w:r>
            <w:r>
              <w:rPr>
                <w:rFonts w:hint="eastAsia" w:ascii="仿宋_GB2312" w:hAnsi="仿宋_GB2312" w:eastAsia="仿宋_GB2312" w:cs="仿宋_GB2312"/>
                <w:kern w:val="0"/>
                <w:sz w:val="24"/>
                <w:szCs w:val="24"/>
                <w:highlight w:val="none"/>
                <w:lang w:eastAsia="zh-CN"/>
              </w:rPr>
              <w:t>每个案件</w:t>
            </w:r>
            <w:r>
              <w:rPr>
                <w:rFonts w:hint="eastAsia" w:ascii="仿宋_GB2312" w:hAnsi="仿宋_GB2312" w:eastAsia="仿宋_GB2312" w:cs="仿宋_GB2312"/>
                <w:kern w:val="0"/>
                <w:sz w:val="24"/>
                <w:szCs w:val="24"/>
                <w:highlight w:val="none"/>
                <w:lang w:val="en-US" w:eastAsia="zh-CN"/>
              </w:rPr>
              <w:t>0.5分。本小项</w:t>
            </w:r>
            <w:r>
              <w:rPr>
                <w:rFonts w:hint="eastAsia" w:ascii="仿宋_GB2312" w:hAnsi="仿宋_GB2312" w:eastAsia="仿宋_GB2312" w:cs="仿宋_GB2312"/>
                <w:kern w:val="0"/>
                <w:sz w:val="24"/>
                <w:szCs w:val="24"/>
                <w:highlight w:val="none"/>
                <w:lang w:eastAsia="zh-CN"/>
              </w:rPr>
              <w:t>满分</w:t>
            </w:r>
            <w:r>
              <w:rPr>
                <w:rFonts w:hint="eastAsia" w:ascii="仿宋_GB2312" w:hAnsi="仿宋_GB2312" w:eastAsia="仿宋_GB2312" w:cs="仿宋_GB2312"/>
                <w:kern w:val="0"/>
                <w:sz w:val="24"/>
                <w:szCs w:val="24"/>
                <w:highlight w:val="none"/>
                <w:lang w:val="en-US" w:eastAsia="zh-CN"/>
              </w:rPr>
              <w:t>8</w:t>
            </w:r>
            <w:r>
              <w:rPr>
                <w:rFonts w:hint="eastAsia" w:ascii="仿宋_GB2312" w:hAnsi="仿宋_GB2312" w:eastAsia="仿宋_GB2312" w:cs="仿宋_GB2312"/>
                <w:kern w:val="0"/>
                <w:sz w:val="24"/>
                <w:szCs w:val="24"/>
                <w:highlight w:val="none"/>
              </w:rPr>
              <w:t>分。</w:t>
            </w:r>
          </w:p>
          <w:p>
            <w:pPr>
              <w:widowControl/>
              <w:numPr>
                <w:ilvl w:val="0"/>
                <w:numId w:val="0"/>
              </w:numPr>
              <w:spacing w:before="156" w:beforeLines="50" w:line="560" w:lineRule="exact"/>
              <w:jc w:val="left"/>
              <w:rPr>
                <w:rFonts w:hint="eastAsia" w:ascii="仿宋_GB2312" w:hAnsi="仿宋_GB2312" w:eastAsia="仿宋_GB2312" w:cs="仿宋_GB2312"/>
                <w:kern w:val="2"/>
                <w:sz w:val="24"/>
                <w:szCs w:val="24"/>
                <w:highlight w:val="none"/>
                <w:lang w:val="en-US" w:eastAsia="zh-CN"/>
              </w:rPr>
            </w:pPr>
            <w:r>
              <w:rPr>
                <w:rFonts w:hint="eastAsia" w:ascii="仿宋_GB2312" w:hAnsi="仿宋_GB2312" w:eastAsia="仿宋_GB2312" w:cs="仿宋_GB2312"/>
                <w:kern w:val="2"/>
                <w:sz w:val="24"/>
                <w:szCs w:val="24"/>
                <w:highlight w:val="none"/>
                <w:lang w:val="en-US" w:eastAsia="zh-CN"/>
              </w:rPr>
              <w:t>本项满分20分。</w:t>
            </w:r>
          </w:p>
          <w:p>
            <w:pPr>
              <w:widowControl/>
              <w:spacing w:before="156" w:beforeLines="50" w:line="560" w:lineRule="exact"/>
              <w:jc w:val="left"/>
              <w:rPr>
                <w:rFonts w:hint="eastAsia"/>
              </w:rPr>
            </w:pPr>
            <w:r>
              <w:rPr>
                <w:rFonts w:hint="eastAsia" w:ascii="仿宋_GB2312" w:hAnsi="仿宋_GB2312" w:eastAsia="仿宋_GB2312" w:cs="仿宋_GB2312"/>
                <w:b/>
                <w:bCs/>
                <w:kern w:val="0"/>
                <w:sz w:val="24"/>
                <w:szCs w:val="24"/>
                <w:highlight w:val="none"/>
              </w:rPr>
              <w:t>注:投标文件中</w:t>
            </w:r>
            <w:r>
              <w:rPr>
                <w:rFonts w:hint="eastAsia" w:ascii="仿宋_GB2312" w:hAnsi="仿宋_GB2312" w:eastAsia="仿宋_GB2312" w:cs="仿宋_GB2312"/>
                <w:b/>
                <w:bCs/>
                <w:kern w:val="0"/>
                <w:sz w:val="24"/>
                <w:szCs w:val="24"/>
                <w:highlight w:val="none"/>
                <w:lang w:val="en-US" w:eastAsia="zh-CN"/>
              </w:rPr>
              <w:t>须</w:t>
            </w:r>
            <w:r>
              <w:rPr>
                <w:rFonts w:hint="eastAsia" w:ascii="仿宋_GB2312" w:hAnsi="仿宋_GB2312" w:eastAsia="仿宋_GB2312" w:cs="仿宋_GB2312"/>
                <w:b/>
                <w:bCs/>
                <w:kern w:val="0"/>
                <w:sz w:val="24"/>
                <w:szCs w:val="24"/>
                <w:highlight w:val="none"/>
              </w:rPr>
              <w:t>提供上述对应的法律授权委</w:t>
            </w:r>
            <w:r>
              <w:rPr>
                <w:rFonts w:hint="eastAsia" w:ascii="仿宋_GB2312" w:hAnsi="仿宋_GB2312" w:eastAsia="仿宋_GB2312" w:cs="仿宋_GB2312"/>
                <w:b/>
                <w:bCs/>
                <w:kern w:val="0"/>
                <w:sz w:val="24"/>
                <w:szCs w:val="24"/>
              </w:rPr>
              <w:t>托书或服务合同关键页、判决书、裁定书等能证明法律委托关系和事实的证明材料复印件</w:t>
            </w:r>
            <w:r>
              <w:rPr>
                <w:rFonts w:hint="eastAsia" w:ascii="仿宋_GB2312" w:hAnsi="仿宋_GB2312" w:eastAsia="仿宋_GB2312" w:cs="仿宋_GB2312"/>
                <w:b/>
                <w:bCs/>
                <w:kern w:val="0"/>
                <w:sz w:val="24"/>
                <w:szCs w:val="24"/>
                <w:lang w:val="en-US" w:eastAsia="zh-CN"/>
              </w:rPr>
              <w:t>并</w:t>
            </w:r>
            <w:r>
              <w:rPr>
                <w:rFonts w:hint="eastAsia" w:ascii="仿宋_GB2312" w:hAnsi="仿宋_GB2312" w:eastAsia="仿宋_GB2312" w:cs="仿宋_GB2312"/>
                <w:b/>
                <w:bCs/>
                <w:kern w:val="0"/>
                <w:sz w:val="24"/>
                <w:szCs w:val="24"/>
              </w:rPr>
              <w:t>加盖投标人公章</w:t>
            </w:r>
            <w:r>
              <w:rPr>
                <w:rFonts w:hint="eastAsia" w:ascii="仿宋_GB2312" w:hAnsi="仿宋_GB2312" w:eastAsia="仿宋_GB2312" w:cs="仿宋_GB2312"/>
                <w:b/>
                <w:bCs/>
                <w:kern w:val="0"/>
                <w:sz w:val="24"/>
                <w:szCs w:val="24"/>
                <w:lang w:eastAsia="zh-CN"/>
              </w:rPr>
              <w:t>，其中</w:t>
            </w:r>
            <w:r>
              <w:rPr>
                <w:rFonts w:hint="eastAsia" w:ascii="仿宋_GB2312" w:hAnsi="仿宋_GB2312" w:eastAsia="仿宋_GB2312" w:cs="仿宋_GB2312"/>
                <w:b/>
                <w:bCs/>
                <w:kern w:val="0"/>
                <w:sz w:val="24"/>
                <w:szCs w:val="24"/>
                <w:highlight w:val="none"/>
                <w:lang w:eastAsia="zh-CN"/>
              </w:rPr>
              <w:t>第</w:t>
            </w:r>
            <w:r>
              <w:rPr>
                <w:rFonts w:hint="eastAsia" w:ascii="仿宋_GB2312" w:hAnsi="仿宋_GB2312" w:eastAsia="仿宋_GB2312" w:cs="仿宋_GB2312"/>
                <w:b/>
                <w:bCs/>
                <w:kern w:val="0"/>
                <w:sz w:val="24"/>
                <w:szCs w:val="24"/>
                <w:highlight w:val="none"/>
                <w:lang w:val="en-US" w:eastAsia="zh-CN"/>
              </w:rPr>
              <w:t>1项</w:t>
            </w:r>
            <w:r>
              <w:rPr>
                <w:rFonts w:hint="eastAsia" w:ascii="仿宋_GB2312" w:hAnsi="仿宋_GB2312" w:eastAsia="仿宋_GB2312" w:cs="仿宋_GB2312"/>
                <w:b/>
                <w:bCs/>
                <w:kern w:val="0"/>
                <w:sz w:val="24"/>
                <w:highlight w:val="none"/>
              </w:rPr>
              <w:t>须同时</w:t>
            </w:r>
            <w:r>
              <w:rPr>
                <w:rFonts w:hint="eastAsia" w:ascii="仿宋_GB2312" w:hAnsi="仿宋_GB2312" w:eastAsia="仿宋_GB2312" w:cs="仿宋_GB2312"/>
                <w:b/>
                <w:bCs/>
                <w:kern w:val="0"/>
                <w:sz w:val="24"/>
                <w:highlight w:val="none"/>
                <w:lang w:eastAsia="zh-CN"/>
              </w:rPr>
              <w:t>附上</w:t>
            </w:r>
            <w:r>
              <w:rPr>
                <w:rFonts w:hint="eastAsia" w:ascii="仿宋_GB2312" w:hAnsi="仿宋_GB2312" w:eastAsia="仿宋_GB2312" w:cs="仿宋_GB2312"/>
                <w:b/>
                <w:bCs/>
                <w:kern w:val="0"/>
                <w:sz w:val="24"/>
                <w:highlight w:val="none"/>
              </w:rPr>
              <w:t>担任顾问期间所出具的法律意见或其他工作成果复印件1-2份</w:t>
            </w:r>
            <w:r>
              <w:rPr>
                <w:rFonts w:hint="eastAsia" w:ascii="仿宋_GB2312" w:hAnsi="仿宋_GB2312" w:eastAsia="仿宋_GB2312" w:cs="仿宋_GB2312"/>
                <w:b/>
                <w:bCs/>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218" w:type="dxa"/>
            <w:vAlign w:val="center"/>
          </w:tcPr>
          <w:p>
            <w:pPr>
              <w:widowControl/>
              <w:spacing w:line="3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spacing w:val="32"/>
                <w:kern w:val="0"/>
                <w:sz w:val="28"/>
                <w:szCs w:val="28"/>
                <w:lang w:val="en-US" w:eastAsia="zh-CN"/>
              </w:rPr>
              <w:t>投标人  情况</w:t>
            </w:r>
          </w:p>
          <w:p>
            <w:pPr>
              <w:widowControl/>
              <w:spacing w:beforeLines="0" w:afterLines="0" w:line="400" w:lineRule="exact"/>
              <w:jc w:val="center"/>
              <w:rPr>
                <w:rFonts w:hint="eastAsia" w:ascii="仿宋_GB2312" w:hAnsi="仿宋_GB2312" w:eastAsia="仿宋_GB2312" w:cs="仿宋_GB2312"/>
                <w:color w:val="000000"/>
                <w:sz w:val="28"/>
                <w:szCs w:val="28"/>
                <w:lang w:eastAsia="zh-CN"/>
              </w:rPr>
            </w:pPr>
          </w:p>
        </w:tc>
        <w:tc>
          <w:tcPr>
            <w:tcW w:w="1294" w:type="dxa"/>
            <w:vAlign w:val="center"/>
          </w:tcPr>
          <w:p>
            <w:pPr>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14分</w:t>
            </w:r>
          </w:p>
          <w:p>
            <w:pPr>
              <w:widowControl/>
              <w:jc w:val="center"/>
              <w:rPr>
                <w:rFonts w:ascii="宋体" w:hAnsi="宋体" w:cs="宋体"/>
                <w:color w:val="000000"/>
                <w:kern w:val="0"/>
                <w:sz w:val="21"/>
                <w:szCs w:val="21"/>
              </w:rPr>
            </w:pPr>
          </w:p>
        </w:tc>
        <w:tc>
          <w:tcPr>
            <w:tcW w:w="6244" w:type="dxa"/>
            <w:vAlign w:val="center"/>
          </w:tcPr>
          <w:p>
            <w:pPr>
              <w:widowControl/>
              <w:numPr>
                <w:ilvl w:val="-1"/>
                <w:numId w:val="0"/>
              </w:numPr>
              <w:snapToGrid/>
              <w:spacing w:before="0" w:beforeAutospacing="0" w:afterLines="0" w:line="560" w:lineRule="exac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b w:val="0"/>
                <w:bCs w:val="0"/>
                <w:sz w:val="24"/>
                <w:lang w:val="en-US" w:eastAsia="zh-CN"/>
              </w:rPr>
              <w:t>1、</w:t>
            </w:r>
            <w:r>
              <w:rPr>
                <w:rFonts w:hint="eastAsia" w:ascii="仿宋_GB2312" w:hAnsi="仿宋_GB2312" w:eastAsia="仿宋_GB2312" w:cs="仿宋_GB2312"/>
                <w:sz w:val="24"/>
              </w:rPr>
              <w:t>投标</w:t>
            </w:r>
            <w:r>
              <w:rPr>
                <w:rFonts w:hint="eastAsia" w:ascii="仿宋_GB2312" w:hAnsi="仿宋_GB2312" w:eastAsia="仿宋_GB2312" w:cs="仿宋_GB2312"/>
                <w:sz w:val="24"/>
                <w:highlight w:val="none"/>
              </w:rPr>
              <w:t>人自</w:t>
            </w:r>
            <w:r>
              <w:rPr>
                <w:rFonts w:hint="eastAsia" w:ascii="仿宋_GB2312" w:hAnsi="仿宋_GB2312" w:eastAsia="仿宋_GB2312" w:cs="仿宋_GB2312"/>
                <w:color w:val="auto"/>
                <w:sz w:val="24"/>
                <w:highlight w:val="none"/>
              </w:rPr>
              <w:t>20</w:t>
            </w:r>
            <w:r>
              <w:rPr>
                <w:rFonts w:hint="eastAsia" w:ascii="仿宋_GB2312" w:hAnsi="仿宋_GB2312" w:eastAsia="仿宋_GB2312" w:cs="仿宋_GB2312"/>
                <w:color w:val="auto"/>
                <w:sz w:val="24"/>
                <w:highlight w:val="none"/>
                <w:lang w:val="en-US" w:eastAsia="zh-CN"/>
              </w:rPr>
              <w:t>21</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lang w:val="en-US" w:eastAsia="zh-CN"/>
              </w:rPr>
              <w:t>1月1日</w:t>
            </w:r>
            <w:r>
              <w:rPr>
                <w:rFonts w:hint="eastAsia" w:ascii="仿宋_GB2312" w:hAnsi="仿宋_GB2312" w:eastAsia="仿宋_GB2312" w:cs="仿宋_GB2312"/>
                <w:color w:val="auto"/>
                <w:sz w:val="24"/>
                <w:highlight w:val="none"/>
              </w:rPr>
              <w:t>以来</w:t>
            </w:r>
            <w:r>
              <w:rPr>
                <w:rFonts w:hint="eastAsia" w:ascii="仿宋_GB2312" w:hAnsi="仿宋_GB2312" w:eastAsia="仿宋_GB2312" w:cs="仿宋_GB2312"/>
                <w:sz w:val="24"/>
                <w:highlight w:val="none"/>
              </w:rPr>
              <w:t>曾获得市级</w:t>
            </w:r>
            <w:r>
              <w:rPr>
                <w:rFonts w:hint="eastAsia" w:ascii="仿宋_GB2312" w:hAnsi="仿宋_GB2312" w:eastAsia="仿宋_GB2312" w:cs="仿宋_GB2312"/>
                <w:sz w:val="24"/>
                <w:highlight w:val="none"/>
                <w:lang w:val="en-US" w:eastAsia="zh-CN"/>
              </w:rPr>
              <w:t>优秀律所</w:t>
            </w:r>
            <w:r>
              <w:rPr>
                <w:rFonts w:hint="eastAsia" w:ascii="仿宋_GB2312" w:hAnsi="仿宋_GB2312" w:eastAsia="仿宋_GB2312" w:cs="仿宋_GB2312"/>
                <w:sz w:val="24"/>
                <w:highlight w:val="none"/>
              </w:rPr>
              <w:t>的，每项荣誉得</w:t>
            </w:r>
            <w:r>
              <w:rPr>
                <w:rFonts w:hint="eastAsia" w:ascii="仿宋_GB2312" w:hAnsi="仿宋_GB2312" w:eastAsia="仿宋_GB2312" w:cs="仿宋_GB2312"/>
                <w:sz w:val="24"/>
                <w:highlight w:val="none"/>
                <w:lang w:val="en-US" w:eastAsia="zh-CN"/>
              </w:rPr>
              <w:t>6</w:t>
            </w:r>
            <w:r>
              <w:rPr>
                <w:rFonts w:hint="eastAsia" w:ascii="仿宋_GB2312" w:hAnsi="仿宋_GB2312" w:eastAsia="仿宋_GB2312" w:cs="仿宋_GB2312"/>
                <w:sz w:val="24"/>
                <w:highlight w:val="none"/>
              </w:rPr>
              <w:t>分。本</w:t>
            </w:r>
            <w:r>
              <w:rPr>
                <w:rFonts w:hint="eastAsia" w:ascii="仿宋_GB2312" w:hAnsi="仿宋_GB2312" w:eastAsia="仿宋_GB2312" w:cs="仿宋_GB2312"/>
                <w:sz w:val="24"/>
                <w:highlight w:val="none"/>
                <w:lang w:val="en-US" w:eastAsia="zh-CN"/>
              </w:rPr>
              <w:t>小</w:t>
            </w:r>
            <w:r>
              <w:rPr>
                <w:rFonts w:hint="eastAsia" w:ascii="仿宋_GB2312" w:hAnsi="仿宋_GB2312" w:eastAsia="仿宋_GB2312" w:cs="仿宋_GB2312"/>
                <w:sz w:val="24"/>
                <w:highlight w:val="none"/>
              </w:rPr>
              <w:t>项满分</w:t>
            </w:r>
            <w:r>
              <w:rPr>
                <w:rFonts w:hint="eastAsia" w:ascii="仿宋_GB2312" w:hAnsi="仿宋_GB2312" w:eastAsia="仿宋_GB2312" w:cs="仿宋_GB2312"/>
                <w:sz w:val="24"/>
                <w:highlight w:val="none"/>
                <w:lang w:val="en-US" w:eastAsia="zh-CN"/>
              </w:rPr>
              <w:t>6</w:t>
            </w:r>
            <w:r>
              <w:rPr>
                <w:rFonts w:hint="eastAsia" w:ascii="仿宋_GB2312" w:hAnsi="仿宋_GB2312" w:eastAsia="仿宋_GB2312" w:cs="仿宋_GB2312"/>
                <w:sz w:val="24"/>
                <w:highlight w:val="none"/>
              </w:rPr>
              <w:t>分。</w:t>
            </w:r>
          </w:p>
          <w:p>
            <w:pPr>
              <w:widowControl/>
              <w:snapToGrid w:val="0"/>
              <w:spacing w:before="100" w:beforeAutospacing="1" w:afterLines="0" w:line="560" w:lineRule="exac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2、</w:t>
            </w:r>
            <w:r>
              <w:rPr>
                <w:rFonts w:hint="eastAsia" w:ascii="仿宋_GB2312" w:hAnsi="仿宋_GB2312" w:eastAsia="仿宋_GB2312" w:cs="仿宋_GB2312"/>
                <w:kern w:val="0"/>
                <w:sz w:val="24"/>
                <w:szCs w:val="24"/>
                <w:highlight w:val="none"/>
              </w:rPr>
              <w:t>投标人</w:t>
            </w:r>
            <w:r>
              <w:rPr>
                <w:rFonts w:hint="eastAsia" w:ascii="仿宋_GB2312" w:hAnsi="仿宋_GB2312" w:eastAsia="仿宋_GB2312" w:cs="仿宋_GB2312"/>
                <w:color w:val="auto"/>
                <w:kern w:val="0"/>
                <w:sz w:val="24"/>
                <w:szCs w:val="24"/>
                <w:highlight w:val="none"/>
              </w:rPr>
              <w:t>自20</w:t>
            </w:r>
            <w:r>
              <w:rPr>
                <w:rFonts w:hint="eastAsia" w:ascii="仿宋_GB2312" w:hAnsi="仿宋_GB2312" w:eastAsia="仿宋_GB2312" w:cs="仿宋_GB2312"/>
                <w:color w:val="auto"/>
                <w:kern w:val="0"/>
                <w:sz w:val="24"/>
                <w:szCs w:val="24"/>
                <w:highlight w:val="none"/>
                <w:lang w:val="en-US" w:eastAsia="zh-CN"/>
              </w:rPr>
              <w:t>21</w:t>
            </w:r>
            <w:r>
              <w:rPr>
                <w:rFonts w:hint="eastAsia" w:ascii="仿宋_GB2312" w:hAnsi="仿宋_GB2312" w:eastAsia="仿宋_GB2312" w:cs="仿宋_GB2312"/>
                <w:color w:val="auto"/>
                <w:kern w:val="0"/>
                <w:sz w:val="24"/>
                <w:szCs w:val="24"/>
                <w:highlight w:val="none"/>
              </w:rPr>
              <w:t>年</w:t>
            </w:r>
            <w:r>
              <w:rPr>
                <w:rFonts w:hint="eastAsia" w:ascii="仿宋_GB2312" w:hAnsi="仿宋_GB2312" w:eastAsia="仿宋_GB2312" w:cs="仿宋_GB2312"/>
                <w:color w:val="auto"/>
                <w:kern w:val="0"/>
                <w:sz w:val="24"/>
                <w:szCs w:val="24"/>
                <w:highlight w:val="none"/>
                <w:lang w:val="en-US" w:eastAsia="zh-CN"/>
              </w:rPr>
              <w:t>1月1日</w:t>
            </w:r>
            <w:r>
              <w:rPr>
                <w:rFonts w:hint="eastAsia" w:ascii="仿宋_GB2312" w:hAnsi="仿宋_GB2312" w:eastAsia="仿宋_GB2312" w:cs="仿宋_GB2312"/>
                <w:color w:val="auto"/>
                <w:kern w:val="0"/>
                <w:sz w:val="24"/>
                <w:szCs w:val="24"/>
                <w:highlight w:val="none"/>
              </w:rPr>
              <w:t>以来</w:t>
            </w:r>
            <w:r>
              <w:rPr>
                <w:rFonts w:hint="eastAsia" w:ascii="仿宋_GB2312" w:hAnsi="仿宋_GB2312" w:eastAsia="仿宋_GB2312" w:cs="仿宋_GB2312"/>
                <w:color w:val="auto"/>
                <w:kern w:val="0"/>
                <w:sz w:val="24"/>
                <w:szCs w:val="24"/>
                <w:highlight w:val="none"/>
                <w:lang w:val="en-US" w:eastAsia="zh-CN"/>
              </w:rPr>
              <w:t>曾获得省级及以上级别优秀律所的</w:t>
            </w:r>
            <w:r>
              <w:rPr>
                <w:rFonts w:hint="eastAsia" w:ascii="仿宋_GB2312" w:hAnsi="仿宋_GB2312" w:eastAsia="仿宋_GB2312" w:cs="仿宋_GB2312"/>
                <w:color w:val="auto"/>
                <w:kern w:val="0"/>
                <w:sz w:val="24"/>
                <w:szCs w:val="24"/>
                <w:highlight w:val="none"/>
              </w:rPr>
              <w:t>，每</w:t>
            </w:r>
            <w:r>
              <w:rPr>
                <w:rFonts w:hint="eastAsia" w:ascii="仿宋_GB2312" w:hAnsi="仿宋_GB2312" w:eastAsia="仿宋_GB2312" w:cs="仿宋_GB2312"/>
                <w:color w:val="auto"/>
                <w:kern w:val="0"/>
                <w:sz w:val="24"/>
                <w:szCs w:val="24"/>
                <w:highlight w:val="none"/>
                <w:lang w:val="en-US" w:eastAsia="zh-CN"/>
              </w:rPr>
              <w:t>项荣誉</w:t>
            </w:r>
            <w:r>
              <w:rPr>
                <w:rFonts w:hint="eastAsia" w:ascii="仿宋_GB2312" w:hAnsi="仿宋_GB2312" w:eastAsia="仿宋_GB2312" w:cs="仿宋_GB2312"/>
                <w:color w:val="auto"/>
                <w:kern w:val="0"/>
                <w:sz w:val="24"/>
                <w:szCs w:val="24"/>
                <w:highlight w:val="none"/>
              </w:rPr>
              <w:t>得</w:t>
            </w:r>
            <w:r>
              <w:rPr>
                <w:rFonts w:hint="eastAsia" w:ascii="仿宋_GB2312" w:hAnsi="仿宋_GB2312" w:eastAsia="仿宋_GB2312" w:cs="仿宋_GB2312"/>
                <w:color w:val="auto"/>
                <w:kern w:val="0"/>
                <w:sz w:val="24"/>
                <w:szCs w:val="24"/>
                <w:highlight w:val="none"/>
                <w:lang w:val="en-US" w:eastAsia="zh-CN"/>
              </w:rPr>
              <w:t>8</w:t>
            </w:r>
            <w:r>
              <w:rPr>
                <w:rFonts w:hint="eastAsia" w:ascii="仿宋_GB2312" w:hAnsi="仿宋_GB2312" w:eastAsia="仿宋_GB2312" w:cs="仿宋_GB2312"/>
                <w:kern w:val="0"/>
                <w:sz w:val="24"/>
                <w:szCs w:val="24"/>
                <w:highlight w:val="none"/>
              </w:rPr>
              <w:t>分</w:t>
            </w:r>
            <w:r>
              <w:rPr>
                <w:rFonts w:hint="eastAsia" w:ascii="仿宋_GB2312" w:hAnsi="仿宋_GB2312" w:eastAsia="仿宋_GB2312" w:cs="仿宋_GB2312"/>
                <w:kern w:val="0"/>
                <w:sz w:val="24"/>
                <w:szCs w:val="24"/>
                <w:highlight w:val="none"/>
                <w:lang w:val="en-US" w:eastAsia="zh-CN"/>
              </w:rPr>
              <w:t>。</w:t>
            </w:r>
            <w:r>
              <w:rPr>
                <w:rFonts w:hint="eastAsia" w:ascii="仿宋_GB2312" w:hAnsi="仿宋_GB2312" w:eastAsia="仿宋_GB2312" w:cs="仿宋_GB2312"/>
                <w:kern w:val="0"/>
                <w:sz w:val="24"/>
                <w:szCs w:val="24"/>
                <w:highlight w:val="none"/>
                <w:lang w:eastAsia="zh-CN"/>
              </w:rPr>
              <w:t>本</w:t>
            </w:r>
            <w:r>
              <w:rPr>
                <w:rFonts w:hint="eastAsia" w:ascii="仿宋_GB2312" w:hAnsi="仿宋_GB2312" w:eastAsia="仿宋_GB2312" w:cs="仿宋_GB2312"/>
                <w:kern w:val="0"/>
                <w:sz w:val="24"/>
                <w:szCs w:val="24"/>
                <w:highlight w:val="none"/>
                <w:lang w:val="en-US" w:eastAsia="zh-CN"/>
              </w:rPr>
              <w:t>小</w:t>
            </w:r>
            <w:r>
              <w:rPr>
                <w:rFonts w:hint="eastAsia" w:ascii="仿宋_GB2312" w:hAnsi="仿宋_GB2312" w:eastAsia="仿宋_GB2312" w:cs="仿宋_GB2312"/>
                <w:kern w:val="0"/>
                <w:sz w:val="24"/>
                <w:szCs w:val="24"/>
                <w:highlight w:val="none"/>
                <w:lang w:eastAsia="zh-CN"/>
              </w:rPr>
              <w:t>项满分</w:t>
            </w:r>
            <w:r>
              <w:rPr>
                <w:rFonts w:hint="eastAsia" w:ascii="仿宋_GB2312" w:hAnsi="仿宋_GB2312" w:eastAsia="仿宋_GB2312" w:cs="仿宋_GB2312"/>
                <w:kern w:val="0"/>
                <w:sz w:val="24"/>
                <w:szCs w:val="24"/>
                <w:highlight w:val="none"/>
                <w:lang w:val="en-US" w:eastAsia="zh-CN"/>
              </w:rPr>
              <w:t>8分。</w:t>
            </w:r>
          </w:p>
          <w:p>
            <w:pPr>
              <w:widowControl/>
              <w:numPr>
                <w:ilvl w:val="0"/>
                <w:numId w:val="0"/>
              </w:numPr>
              <w:spacing w:before="156" w:beforeLines="50" w:line="560" w:lineRule="exact"/>
              <w:jc w:val="left"/>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kern w:val="2"/>
                <w:sz w:val="24"/>
                <w:szCs w:val="24"/>
                <w:highlight w:val="none"/>
                <w:lang w:val="en-US" w:eastAsia="zh-CN"/>
              </w:rPr>
              <w:t>本项满分14分。</w:t>
            </w:r>
          </w:p>
          <w:p>
            <w:pPr>
              <w:pStyle w:val="7"/>
              <w:spacing w:before="156" w:beforeLines="50" w:beforeAutospacing="0" w:after="0" w:afterLines="0" w:afterAutospacing="0" w:line="560" w:lineRule="exact"/>
              <w:jc w:val="left"/>
              <w:rPr>
                <w:rFonts w:hint="eastAsia" w:eastAsia="宋体" w:cs="宋体"/>
                <w:color w:val="000000"/>
                <w:sz w:val="21"/>
                <w:szCs w:val="21"/>
                <w:lang w:val="en-US" w:eastAsia="zh-CN"/>
              </w:rPr>
            </w:pPr>
            <w:r>
              <w:rPr>
                <w:rFonts w:hint="eastAsia" w:ascii="仿宋_GB2312" w:hAnsi="仿宋_GB2312" w:eastAsia="仿宋_GB2312" w:cs="仿宋_GB2312"/>
                <w:b/>
                <w:bCs w:val="0"/>
                <w:kern w:val="0"/>
                <w:sz w:val="24"/>
                <w:szCs w:val="24"/>
              </w:rPr>
              <w:t xml:space="preserve">注: </w:t>
            </w:r>
            <w:r>
              <w:rPr>
                <w:rFonts w:hint="eastAsia" w:ascii="仿宋_GB2312" w:hAnsi="仿宋_GB2312" w:eastAsia="仿宋_GB2312" w:cs="仿宋_GB2312"/>
                <w:b/>
                <w:spacing w:val="-4"/>
                <w:sz w:val="24"/>
                <w:szCs w:val="24"/>
              </w:rPr>
              <w:t>投标文件中</w:t>
            </w:r>
            <w:r>
              <w:rPr>
                <w:rFonts w:hint="eastAsia" w:ascii="仿宋_GB2312" w:hAnsi="仿宋_GB2312" w:eastAsia="仿宋_GB2312" w:cs="仿宋_GB2312"/>
                <w:b/>
                <w:spacing w:val="-4"/>
                <w:sz w:val="24"/>
                <w:szCs w:val="24"/>
                <w:lang w:val="en-US" w:eastAsia="zh-CN"/>
              </w:rPr>
              <w:t>须</w:t>
            </w:r>
            <w:r>
              <w:rPr>
                <w:rFonts w:hint="eastAsia" w:ascii="仿宋_GB2312" w:hAnsi="仿宋_GB2312" w:eastAsia="仿宋_GB2312" w:cs="仿宋_GB2312"/>
                <w:b/>
                <w:spacing w:val="-4"/>
                <w:sz w:val="24"/>
                <w:szCs w:val="24"/>
              </w:rPr>
              <w:t>提供</w:t>
            </w:r>
            <w:r>
              <w:rPr>
                <w:rFonts w:hint="eastAsia" w:ascii="仿宋_GB2312" w:hAnsi="仿宋_GB2312" w:eastAsia="仿宋_GB2312" w:cs="仿宋_GB2312"/>
                <w:b/>
                <w:bCs/>
                <w:sz w:val="24"/>
              </w:rPr>
              <w:t>上述荣誉情况证明文件（包括但不限于公示文件、公告文件、荣誉证书等）复印件</w:t>
            </w:r>
            <w:r>
              <w:rPr>
                <w:rFonts w:hint="eastAsia" w:ascii="仿宋_GB2312" w:hAnsi="仿宋_GB2312" w:eastAsia="仿宋_GB2312" w:cs="仿宋_GB2312"/>
                <w:b/>
                <w:bCs w:val="0"/>
                <w:kern w:val="0"/>
                <w:sz w:val="24"/>
                <w:szCs w:val="24"/>
                <w:lang w:val="en-US" w:eastAsia="zh-CN"/>
              </w:rPr>
              <w:t>并</w:t>
            </w:r>
            <w:r>
              <w:rPr>
                <w:rFonts w:hint="eastAsia" w:ascii="仿宋_GB2312" w:hAnsi="仿宋_GB2312" w:eastAsia="仿宋_GB2312" w:cs="仿宋_GB2312"/>
                <w:b/>
                <w:bCs w:val="0"/>
                <w:kern w:val="0"/>
                <w:sz w:val="24"/>
                <w:szCs w:val="24"/>
              </w:rPr>
              <w:t>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7" w:hRule="atLeast"/>
          <w:jc w:val="center"/>
        </w:trPr>
        <w:tc>
          <w:tcPr>
            <w:tcW w:w="1218" w:type="dxa"/>
            <w:vAlign w:val="center"/>
          </w:tcPr>
          <w:p>
            <w:pPr>
              <w:widowControl w:val="0"/>
              <w:spacing w:beforeLines="0" w:afterLines="0" w:line="400" w:lineRule="exac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同类</w:t>
            </w:r>
          </w:p>
          <w:p>
            <w:pPr>
              <w:widowControl w:val="0"/>
              <w:spacing w:beforeLines="0" w:afterLines="0" w:line="400" w:lineRule="exac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项目</w:t>
            </w:r>
          </w:p>
          <w:p>
            <w:pPr>
              <w:widowControl w:val="0"/>
              <w:spacing w:beforeLines="0" w:afterLines="0" w:line="400" w:lineRule="exac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经验</w:t>
            </w:r>
          </w:p>
        </w:tc>
        <w:tc>
          <w:tcPr>
            <w:tcW w:w="1294" w:type="dxa"/>
            <w:vAlign w:val="center"/>
          </w:tcPr>
          <w:p>
            <w:pPr>
              <w:widowControl w:val="0"/>
              <w:spacing w:beforeLines="0" w:afterLines="0" w:line="400" w:lineRule="exac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20分</w:t>
            </w:r>
          </w:p>
        </w:tc>
        <w:tc>
          <w:tcPr>
            <w:tcW w:w="6244" w:type="dxa"/>
            <w:vAlign w:val="center"/>
          </w:tcPr>
          <w:p>
            <w:pPr>
              <w:widowControl/>
              <w:numPr>
                <w:ilvl w:val="-1"/>
                <w:numId w:val="0"/>
              </w:numPr>
              <w:snapToGrid/>
              <w:spacing w:before="0" w:beforeAutospacing="0" w:afterLines="0" w:line="560" w:lineRule="exac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b w:val="0"/>
                <w:bCs w:val="0"/>
                <w:sz w:val="24"/>
                <w:lang w:val="en-US" w:eastAsia="zh-CN"/>
              </w:rPr>
              <w:t>1、</w:t>
            </w:r>
            <w:r>
              <w:rPr>
                <w:rFonts w:hint="eastAsia" w:ascii="仿宋_GB2312" w:hAnsi="仿宋_GB2312" w:eastAsia="仿宋_GB2312" w:cs="仿宋_GB2312"/>
                <w:sz w:val="24"/>
              </w:rPr>
              <w:t>投标</w:t>
            </w:r>
            <w:r>
              <w:rPr>
                <w:rFonts w:hint="eastAsia" w:ascii="仿宋_GB2312" w:hAnsi="仿宋_GB2312" w:eastAsia="仿宋_GB2312" w:cs="仿宋_GB2312"/>
                <w:sz w:val="24"/>
                <w:highlight w:val="none"/>
              </w:rPr>
              <w:t>人自</w:t>
            </w:r>
            <w:r>
              <w:rPr>
                <w:rFonts w:hint="eastAsia" w:ascii="仿宋_GB2312" w:hAnsi="仿宋_GB2312" w:eastAsia="仿宋_GB2312" w:cs="仿宋_GB2312"/>
                <w:color w:val="auto"/>
                <w:sz w:val="24"/>
                <w:highlight w:val="none"/>
              </w:rPr>
              <w:t>20</w:t>
            </w:r>
            <w:r>
              <w:rPr>
                <w:rFonts w:hint="eastAsia" w:ascii="仿宋_GB2312" w:hAnsi="仿宋_GB2312" w:eastAsia="仿宋_GB2312" w:cs="仿宋_GB2312"/>
                <w:color w:val="auto"/>
                <w:sz w:val="24"/>
                <w:highlight w:val="none"/>
                <w:lang w:val="en-US" w:eastAsia="zh-CN"/>
              </w:rPr>
              <w:t>21</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lang w:val="en-US" w:eastAsia="zh-CN"/>
              </w:rPr>
              <w:t>1月1日</w:t>
            </w:r>
            <w:r>
              <w:rPr>
                <w:rFonts w:hint="eastAsia" w:ascii="仿宋_GB2312" w:hAnsi="仿宋_GB2312" w:eastAsia="仿宋_GB2312" w:cs="仿宋_GB2312"/>
                <w:color w:val="auto"/>
                <w:sz w:val="24"/>
                <w:highlight w:val="none"/>
              </w:rPr>
              <w:t>以来</w:t>
            </w:r>
            <w:r>
              <w:rPr>
                <w:rFonts w:hint="eastAsia" w:ascii="仿宋_GB2312" w:hAnsi="仿宋_GB2312" w:eastAsia="仿宋_GB2312" w:cs="仿宋_GB2312"/>
                <w:color w:val="auto"/>
                <w:sz w:val="24"/>
                <w:highlight w:val="none"/>
                <w:lang w:val="en-US" w:eastAsia="zh-CN"/>
              </w:rPr>
              <w:t>曾担任政府及相关部门驻点法律顾问且服务年限满一年的，每个单位得2分，若在同一单位连续担任的，则每增加一年增加1分。</w:t>
            </w:r>
            <w:r>
              <w:rPr>
                <w:rFonts w:hint="eastAsia" w:ascii="仿宋_GB2312" w:hAnsi="仿宋_GB2312" w:eastAsia="仿宋_GB2312" w:cs="仿宋_GB2312"/>
                <w:sz w:val="24"/>
                <w:highlight w:val="none"/>
              </w:rPr>
              <w:t>本</w:t>
            </w:r>
            <w:r>
              <w:rPr>
                <w:rFonts w:hint="eastAsia" w:ascii="仿宋_GB2312" w:hAnsi="仿宋_GB2312" w:eastAsia="仿宋_GB2312" w:cs="仿宋_GB2312"/>
                <w:sz w:val="24"/>
                <w:highlight w:val="none"/>
                <w:lang w:val="en-US" w:eastAsia="zh-CN"/>
              </w:rPr>
              <w:t>小</w:t>
            </w:r>
            <w:r>
              <w:rPr>
                <w:rFonts w:hint="eastAsia" w:ascii="仿宋_GB2312" w:hAnsi="仿宋_GB2312" w:eastAsia="仿宋_GB2312" w:cs="仿宋_GB2312"/>
                <w:sz w:val="24"/>
                <w:highlight w:val="none"/>
              </w:rPr>
              <w:t>项满分</w:t>
            </w:r>
            <w:r>
              <w:rPr>
                <w:rFonts w:hint="eastAsia" w:ascii="仿宋_GB2312" w:hAnsi="仿宋_GB2312" w:eastAsia="仿宋_GB2312" w:cs="仿宋_GB2312"/>
                <w:sz w:val="24"/>
                <w:highlight w:val="none"/>
                <w:lang w:val="en-US" w:eastAsia="zh-CN"/>
              </w:rPr>
              <w:t>10</w:t>
            </w:r>
            <w:r>
              <w:rPr>
                <w:rFonts w:hint="eastAsia" w:ascii="仿宋_GB2312" w:hAnsi="仿宋_GB2312" w:eastAsia="仿宋_GB2312" w:cs="仿宋_GB2312"/>
                <w:sz w:val="24"/>
                <w:highlight w:val="none"/>
              </w:rPr>
              <w:t>分。</w:t>
            </w:r>
          </w:p>
          <w:p>
            <w:pPr>
              <w:widowControl/>
              <w:snapToGrid w:val="0"/>
              <w:spacing w:before="100" w:beforeAutospacing="1" w:afterLines="0" w:line="560" w:lineRule="exac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2、</w:t>
            </w:r>
            <w:r>
              <w:rPr>
                <w:rFonts w:hint="eastAsia" w:ascii="仿宋_GB2312" w:hAnsi="仿宋_GB2312" w:eastAsia="仿宋_GB2312" w:cs="仿宋_GB2312"/>
                <w:kern w:val="0"/>
                <w:sz w:val="24"/>
                <w:szCs w:val="24"/>
                <w:highlight w:val="none"/>
              </w:rPr>
              <w:t>投标人</w:t>
            </w:r>
            <w:r>
              <w:rPr>
                <w:rFonts w:hint="eastAsia" w:ascii="仿宋_GB2312" w:hAnsi="仿宋_GB2312" w:eastAsia="仿宋_GB2312" w:cs="仿宋_GB2312"/>
                <w:color w:val="auto"/>
                <w:kern w:val="0"/>
                <w:sz w:val="24"/>
                <w:szCs w:val="24"/>
                <w:highlight w:val="none"/>
              </w:rPr>
              <w:t>自20</w:t>
            </w:r>
            <w:r>
              <w:rPr>
                <w:rFonts w:hint="eastAsia" w:ascii="仿宋_GB2312" w:hAnsi="仿宋_GB2312" w:eastAsia="仿宋_GB2312" w:cs="仿宋_GB2312"/>
                <w:color w:val="auto"/>
                <w:kern w:val="0"/>
                <w:sz w:val="24"/>
                <w:szCs w:val="24"/>
                <w:highlight w:val="none"/>
                <w:lang w:val="en-US" w:eastAsia="zh-CN"/>
              </w:rPr>
              <w:t>21</w:t>
            </w:r>
            <w:r>
              <w:rPr>
                <w:rFonts w:hint="eastAsia" w:ascii="仿宋_GB2312" w:hAnsi="仿宋_GB2312" w:eastAsia="仿宋_GB2312" w:cs="仿宋_GB2312"/>
                <w:color w:val="auto"/>
                <w:kern w:val="0"/>
                <w:sz w:val="24"/>
                <w:szCs w:val="24"/>
                <w:highlight w:val="none"/>
              </w:rPr>
              <w:t>年</w:t>
            </w:r>
            <w:r>
              <w:rPr>
                <w:rFonts w:hint="eastAsia" w:ascii="仿宋_GB2312" w:hAnsi="仿宋_GB2312" w:eastAsia="仿宋_GB2312" w:cs="仿宋_GB2312"/>
                <w:color w:val="auto"/>
                <w:kern w:val="0"/>
                <w:sz w:val="24"/>
                <w:szCs w:val="24"/>
                <w:highlight w:val="none"/>
                <w:lang w:val="en-US" w:eastAsia="zh-CN"/>
              </w:rPr>
              <w:t>1月1日</w:t>
            </w:r>
            <w:r>
              <w:rPr>
                <w:rFonts w:hint="eastAsia" w:ascii="仿宋_GB2312" w:hAnsi="仿宋_GB2312" w:eastAsia="仿宋_GB2312" w:cs="仿宋_GB2312"/>
                <w:color w:val="auto"/>
                <w:kern w:val="0"/>
                <w:sz w:val="24"/>
                <w:szCs w:val="24"/>
                <w:highlight w:val="none"/>
              </w:rPr>
              <w:t>以来</w:t>
            </w:r>
            <w:r>
              <w:rPr>
                <w:rFonts w:hint="eastAsia" w:ascii="仿宋_GB2312" w:hAnsi="仿宋_GB2312" w:eastAsia="仿宋_GB2312" w:cs="仿宋_GB2312"/>
                <w:color w:val="auto"/>
                <w:kern w:val="0"/>
                <w:sz w:val="24"/>
                <w:szCs w:val="24"/>
                <w:highlight w:val="none"/>
                <w:lang w:val="en-US" w:eastAsia="zh-CN"/>
              </w:rPr>
              <w:t>曾担任党委、政府及相关部门的法律顾问，每个单位得2分，</w:t>
            </w:r>
            <w:r>
              <w:rPr>
                <w:rFonts w:hint="eastAsia" w:ascii="仿宋_GB2312" w:hAnsi="仿宋_GB2312" w:eastAsia="仿宋_GB2312" w:cs="仿宋_GB2312"/>
                <w:color w:val="auto"/>
                <w:sz w:val="24"/>
                <w:highlight w:val="none"/>
                <w:lang w:val="en-US" w:eastAsia="zh-CN"/>
              </w:rPr>
              <w:t>若在同一单位连续担任的，则每增加一年增加1分。</w:t>
            </w:r>
            <w:r>
              <w:rPr>
                <w:rFonts w:hint="eastAsia" w:ascii="仿宋_GB2312" w:hAnsi="仿宋_GB2312" w:eastAsia="仿宋_GB2312" w:cs="仿宋_GB2312"/>
                <w:kern w:val="0"/>
                <w:sz w:val="24"/>
                <w:szCs w:val="24"/>
                <w:highlight w:val="none"/>
                <w:lang w:eastAsia="zh-CN"/>
              </w:rPr>
              <w:t>本</w:t>
            </w:r>
            <w:r>
              <w:rPr>
                <w:rFonts w:hint="eastAsia" w:ascii="仿宋_GB2312" w:hAnsi="仿宋_GB2312" w:eastAsia="仿宋_GB2312" w:cs="仿宋_GB2312"/>
                <w:kern w:val="0"/>
                <w:sz w:val="24"/>
                <w:szCs w:val="24"/>
                <w:highlight w:val="none"/>
                <w:lang w:val="en-US" w:eastAsia="zh-CN"/>
              </w:rPr>
              <w:t>小</w:t>
            </w:r>
            <w:r>
              <w:rPr>
                <w:rFonts w:hint="eastAsia" w:ascii="仿宋_GB2312" w:hAnsi="仿宋_GB2312" w:eastAsia="仿宋_GB2312" w:cs="仿宋_GB2312"/>
                <w:kern w:val="0"/>
                <w:sz w:val="24"/>
                <w:szCs w:val="24"/>
                <w:highlight w:val="none"/>
                <w:lang w:eastAsia="zh-CN"/>
              </w:rPr>
              <w:t>项满分</w:t>
            </w:r>
            <w:r>
              <w:rPr>
                <w:rFonts w:hint="eastAsia" w:ascii="仿宋_GB2312" w:hAnsi="仿宋_GB2312" w:eastAsia="仿宋_GB2312" w:cs="仿宋_GB2312"/>
                <w:kern w:val="0"/>
                <w:sz w:val="24"/>
                <w:szCs w:val="24"/>
                <w:highlight w:val="none"/>
                <w:lang w:val="en-US" w:eastAsia="zh-CN"/>
              </w:rPr>
              <w:t>10分。</w:t>
            </w:r>
          </w:p>
          <w:p>
            <w:pPr>
              <w:widowControl/>
              <w:numPr>
                <w:ilvl w:val="-1"/>
                <w:numId w:val="0"/>
              </w:numPr>
              <w:spacing w:before="0" w:afterLines="0" w:line="560" w:lineRule="exact"/>
              <w:rPr>
                <w:rFonts w:hint="eastAsia" w:ascii="仿宋_GB2312" w:hAnsi="仿宋_GB2312" w:eastAsia="仿宋_GB2312" w:cs="仿宋_GB2312"/>
                <w:b w:val="0"/>
                <w:i w:val="0"/>
                <w:caps w:val="0"/>
                <w:spacing w:val="0"/>
                <w:w w:val="100"/>
                <w:sz w:val="24"/>
                <w:highlight w:val="none"/>
              </w:rPr>
            </w:pPr>
            <w:r>
              <w:rPr>
                <w:rFonts w:hint="eastAsia" w:ascii="仿宋_GB2312" w:hAnsi="仿宋_GB2312" w:eastAsia="仿宋_GB2312" w:cs="仿宋_GB2312"/>
                <w:kern w:val="2"/>
                <w:sz w:val="24"/>
                <w:szCs w:val="24"/>
                <w:highlight w:val="none"/>
                <w:lang w:val="en-US" w:eastAsia="zh-CN"/>
              </w:rPr>
              <w:t>本项满分20分。</w:t>
            </w:r>
          </w:p>
          <w:p>
            <w:pPr>
              <w:pStyle w:val="7"/>
              <w:spacing w:before="156" w:beforeLines="50" w:beforeAutospacing="0" w:after="0" w:afterLines="0" w:afterAutospacing="0" w:line="560" w:lineRule="exact"/>
              <w:jc w:val="left"/>
              <w:rPr>
                <w:rFonts w:hint="eastAsia" w:ascii="仿宋_GB2312" w:hAnsi="仿宋_GB2312" w:eastAsia="仿宋_GB2312" w:cs="仿宋_GB2312"/>
                <w:b/>
                <w:i w:val="0"/>
                <w:caps w:val="0"/>
                <w:color w:val="000000"/>
                <w:spacing w:val="0"/>
                <w:w w:val="100"/>
                <w:sz w:val="24"/>
                <w:lang w:val="en-US" w:eastAsia="zh-CN"/>
              </w:rPr>
            </w:pPr>
            <w:r>
              <w:rPr>
                <w:rFonts w:hint="eastAsia" w:ascii="仿宋_GB2312" w:hAnsi="仿宋_GB2312" w:eastAsia="仿宋_GB2312" w:cs="仿宋_GB2312"/>
                <w:b/>
                <w:i w:val="0"/>
                <w:caps w:val="0"/>
                <w:color w:val="000000"/>
                <w:spacing w:val="0"/>
                <w:w w:val="100"/>
                <w:sz w:val="24"/>
              </w:rPr>
              <w:t xml:space="preserve">注: </w:t>
            </w:r>
            <w:r>
              <w:rPr>
                <w:rFonts w:hint="eastAsia" w:ascii="仿宋_GB2312" w:hAnsi="仿宋_GB2312" w:eastAsia="仿宋_GB2312" w:cs="仿宋_GB2312"/>
                <w:b/>
                <w:i w:val="0"/>
                <w:caps w:val="0"/>
                <w:color w:val="000000"/>
                <w:spacing w:val="0"/>
                <w:w w:val="100"/>
                <w:sz w:val="24"/>
                <w:lang w:val="en-US" w:eastAsia="zh-CN"/>
              </w:rPr>
              <w:t>1、本项所提供的证明材料不得与“拟派团队成员工作经验”重复；</w:t>
            </w:r>
          </w:p>
          <w:p>
            <w:pPr>
              <w:pStyle w:val="7"/>
              <w:spacing w:before="156" w:beforeLines="50" w:beforeAutospacing="0" w:after="0" w:afterLines="0" w:afterAutospacing="0" w:line="560" w:lineRule="exact"/>
              <w:jc w:val="left"/>
              <w:rPr>
                <w:rFonts w:hint="eastAsia" w:ascii="仿宋_GB2312" w:hAnsi="仿宋_GB2312" w:eastAsia="仿宋_GB2312" w:cs="仿宋_GB2312"/>
                <w:b/>
                <w:bCs w:val="0"/>
                <w:kern w:val="0"/>
                <w:sz w:val="24"/>
                <w:szCs w:val="24"/>
                <w:lang w:val="en-US" w:eastAsia="zh-CN"/>
              </w:rPr>
            </w:pPr>
            <w:r>
              <w:rPr>
                <w:rFonts w:hint="eastAsia" w:ascii="仿宋_GB2312" w:hAnsi="仿宋_GB2312" w:eastAsia="仿宋_GB2312" w:cs="仿宋_GB2312"/>
                <w:b/>
                <w:i w:val="0"/>
                <w:caps w:val="0"/>
                <w:color w:val="000000"/>
                <w:spacing w:val="0"/>
                <w:w w:val="100"/>
                <w:sz w:val="24"/>
                <w:lang w:val="en-US" w:eastAsia="zh-CN"/>
              </w:rPr>
              <w:t>2、</w:t>
            </w:r>
            <w:r>
              <w:rPr>
                <w:rFonts w:hint="eastAsia" w:ascii="仿宋_GB2312" w:hAnsi="仿宋_GB2312" w:eastAsia="仿宋_GB2312" w:cs="仿宋_GB2312"/>
                <w:b/>
                <w:i w:val="0"/>
                <w:caps w:val="0"/>
                <w:color w:val="000000"/>
                <w:spacing w:val="-4"/>
                <w:w w:val="100"/>
                <w:sz w:val="24"/>
              </w:rPr>
              <w:t>投标文件中需提供</w:t>
            </w:r>
            <w:r>
              <w:rPr>
                <w:rFonts w:hint="eastAsia" w:ascii="仿宋_GB2312" w:hAnsi="仿宋_GB2312" w:eastAsia="仿宋_GB2312" w:cs="仿宋_GB2312"/>
                <w:b/>
                <w:i w:val="0"/>
                <w:caps w:val="0"/>
                <w:color w:val="000000"/>
                <w:spacing w:val="0"/>
                <w:w w:val="100"/>
                <w:sz w:val="24"/>
              </w:rPr>
              <w:t>上述对应的法律授权委托书或服务合同关键页等能证明法律委托关系和工作记录等事实的证明材料复印件加盖投标人公章。</w:t>
            </w:r>
          </w:p>
        </w:tc>
      </w:tr>
    </w:tbl>
    <w:p>
      <w:pPr>
        <w:pStyle w:val="2"/>
        <w:rPr>
          <w:rFonts w:hint="eastAsia" w:ascii="仿宋_GB2312" w:hAnsi="仿宋_GB2312" w:eastAsia="仿宋_GB2312" w:cs="仿宋_GB2312"/>
          <w:sz w:val="32"/>
          <w:szCs w:val="32"/>
          <w:lang w:val="en-US" w:eastAsia="zh-CN"/>
        </w:rPr>
      </w:pPr>
    </w:p>
    <w:p>
      <w:pPr>
        <w:pStyle w:val="2"/>
        <w:jc w:val="both"/>
        <w:rPr>
          <w:rFonts w:hint="eastAsia" w:ascii="仿宋_GB2312" w:hAnsi="仿宋_GB2312" w:eastAsia="仿宋_GB2312" w:cs="仿宋_GB2312"/>
          <w:b w:val="0"/>
          <w:bCs/>
          <w:i w:val="0"/>
          <w:caps w:val="0"/>
          <w:color w:val="000000"/>
          <w:spacing w:val="0"/>
          <w:kern w:val="44"/>
          <w:sz w:val="48"/>
          <w:szCs w:val="48"/>
          <w:shd w:val="clear" w:color="auto"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1DDCB9"/>
    <w:multiLevelType w:val="singleLevel"/>
    <w:tmpl w:val="621DDCB9"/>
    <w:lvl w:ilvl="0" w:tentative="0">
      <w:start w:val="1"/>
      <w:numFmt w:val="decimal"/>
      <w:suff w:val="nothing"/>
      <w:lvlText w:val="%1、"/>
      <w:lvlJc w:val="left"/>
    </w:lvl>
  </w:abstractNum>
  <w:abstractNum w:abstractNumId="1">
    <w:nsid w:val="62381E9D"/>
    <w:multiLevelType w:val="singleLevel"/>
    <w:tmpl w:val="62381E9D"/>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2F7464"/>
    <w:rsid w:val="01474020"/>
    <w:rsid w:val="01A42867"/>
    <w:rsid w:val="02950821"/>
    <w:rsid w:val="038011C6"/>
    <w:rsid w:val="03BD7C37"/>
    <w:rsid w:val="04384FCE"/>
    <w:rsid w:val="062B076A"/>
    <w:rsid w:val="07572B83"/>
    <w:rsid w:val="08752BD0"/>
    <w:rsid w:val="0A5022E8"/>
    <w:rsid w:val="0B0C764B"/>
    <w:rsid w:val="0C317234"/>
    <w:rsid w:val="0C841808"/>
    <w:rsid w:val="0F14040C"/>
    <w:rsid w:val="0F537C4B"/>
    <w:rsid w:val="0F8F05EE"/>
    <w:rsid w:val="11CF2CDA"/>
    <w:rsid w:val="1242279E"/>
    <w:rsid w:val="14B44659"/>
    <w:rsid w:val="1A1045A1"/>
    <w:rsid w:val="1AEF2F37"/>
    <w:rsid w:val="1B110000"/>
    <w:rsid w:val="1D7C2D72"/>
    <w:rsid w:val="1E604F24"/>
    <w:rsid w:val="208D5307"/>
    <w:rsid w:val="2175602E"/>
    <w:rsid w:val="24AC5DF1"/>
    <w:rsid w:val="24E66E8A"/>
    <w:rsid w:val="2511499D"/>
    <w:rsid w:val="26AE0808"/>
    <w:rsid w:val="26B242DB"/>
    <w:rsid w:val="27A83978"/>
    <w:rsid w:val="27BF7D68"/>
    <w:rsid w:val="2A1B0F05"/>
    <w:rsid w:val="2C1C0024"/>
    <w:rsid w:val="2E4E2709"/>
    <w:rsid w:val="2E862ADF"/>
    <w:rsid w:val="2F5E571B"/>
    <w:rsid w:val="300A6D4C"/>
    <w:rsid w:val="30E373C6"/>
    <w:rsid w:val="31E0589A"/>
    <w:rsid w:val="320C05D9"/>
    <w:rsid w:val="326F6C16"/>
    <w:rsid w:val="331A33A8"/>
    <w:rsid w:val="35BF4A5F"/>
    <w:rsid w:val="3632288A"/>
    <w:rsid w:val="365A09DC"/>
    <w:rsid w:val="36D4739A"/>
    <w:rsid w:val="371F53B7"/>
    <w:rsid w:val="387F45BC"/>
    <w:rsid w:val="3A340713"/>
    <w:rsid w:val="3A754480"/>
    <w:rsid w:val="3DFF1D1E"/>
    <w:rsid w:val="3F0D39B9"/>
    <w:rsid w:val="3F396F4C"/>
    <w:rsid w:val="3FE92F9C"/>
    <w:rsid w:val="41A46AAC"/>
    <w:rsid w:val="42013A5A"/>
    <w:rsid w:val="431747D8"/>
    <w:rsid w:val="448F2162"/>
    <w:rsid w:val="45425FF5"/>
    <w:rsid w:val="45AD4CA6"/>
    <w:rsid w:val="46350E0A"/>
    <w:rsid w:val="472F3DA4"/>
    <w:rsid w:val="475C7721"/>
    <w:rsid w:val="47967739"/>
    <w:rsid w:val="47B81101"/>
    <w:rsid w:val="4A2D1ED8"/>
    <w:rsid w:val="4ADB7FD5"/>
    <w:rsid w:val="4BA61C27"/>
    <w:rsid w:val="4D44692E"/>
    <w:rsid w:val="4DEF1414"/>
    <w:rsid w:val="4E3350D4"/>
    <w:rsid w:val="4FF7798C"/>
    <w:rsid w:val="50AE4662"/>
    <w:rsid w:val="511955B2"/>
    <w:rsid w:val="515F3090"/>
    <w:rsid w:val="52FB21C5"/>
    <w:rsid w:val="53F95A87"/>
    <w:rsid w:val="54F5253B"/>
    <w:rsid w:val="552409C1"/>
    <w:rsid w:val="55AF385D"/>
    <w:rsid w:val="55EA2B3F"/>
    <w:rsid w:val="571A08EC"/>
    <w:rsid w:val="58F8288D"/>
    <w:rsid w:val="5ABE108F"/>
    <w:rsid w:val="5BA938A2"/>
    <w:rsid w:val="5D833165"/>
    <w:rsid w:val="5DC362BA"/>
    <w:rsid w:val="5EDD6169"/>
    <w:rsid w:val="5EF22A86"/>
    <w:rsid w:val="617E2E92"/>
    <w:rsid w:val="62252D2A"/>
    <w:rsid w:val="623E2AD6"/>
    <w:rsid w:val="6528256B"/>
    <w:rsid w:val="662F7464"/>
    <w:rsid w:val="664F0AC2"/>
    <w:rsid w:val="67FB3D75"/>
    <w:rsid w:val="68782D39"/>
    <w:rsid w:val="6EE02C9F"/>
    <w:rsid w:val="6FC36A96"/>
    <w:rsid w:val="7027546B"/>
    <w:rsid w:val="71F22614"/>
    <w:rsid w:val="722B099B"/>
    <w:rsid w:val="724361B5"/>
    <w:rsid w:val="73157EF3"/>
    <w:rsid w:val="7486022C"/>
    <w:rsid w:val="76496200"/>
    <w:rsid w:val="775459A2"/>
    <w:rsid w:val="786C6787"/>
    <w:rsid w:val="794D151E"/>
    <w:rsid w:val="7B5347E0"/>
    <w:rsid w:val="7F166584"/>
    <w:rsid w:val="B7F2B14D"/>
    <w:rsid w:val="DCEFE861"/>
    <w:rsid w:val="DFFFB52A"/>
    <w:rsid w:val="FF7A0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jc w:val="center"/>
    </w:pPr>
    <w:rPr>
      <w:rFonts w:ascii="宋体" w:hAnsi="宋体"/>
      <w:szCs w:val="20"/>
    </w:rPr>
  </w:style>
  <w:style w:type="paragraph" w:styleId="4">
    <w:name w:val="Body Text"/>
    <w:basedOn w:val="1"/>
    <w:qFormat/>
    <w:uiPriority w:val="0"/>
    <w:pPr>
      <w:autoSpaceDE w:val="0"/>
      <w:autoSpaceDN w:val="0"/>
      <w:adjustRightInd w:val="0"/>
      <w:jc w:val="center"/>
      <w:textAlignment w:val="baseline"/>
    </w:pPr>
    <w:rPr>
      <w:rFonts w:ascii="宋体"/>
      <w:kern w:val="0"/>
      <w:sz w:val="32"/>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olor w:val="000000"/>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2019-04-03T01:04:00Z</dcterms:created>
  <dc:creator>罗雪怡</dc:creator>
  <cp:lastModifiedBy>user</cp:lastModifiedBy>
  <cp:lastPrinted>2023-03-07T09:00:00Z</cp:lastPrinted>
  <dcterms:modified xsi:type="dcterms:W3CDTF">2024-03-22T15:11:28Z</dcterms:modified>
  <dc:title>项目招标评分细则</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