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珠海理工学校香洲校区体育馆羽毛球场地胶采购需求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ind w:firstLine="424" w:firstLineChars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珠海理工学校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  <w:t>香洲校区体育馆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羽毛球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  <w:t>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地胶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eastAsia="zh-CN"/>
        </w:rPr>
        <w:t>采购报价清单</w:t>
      </w:r>
    </w:p>
    <w:tbl>
      <w:tblPr>
        <w:tblStyle w:val="6"/>
        <w:tblpPr w:leftFromText="180" w:rightFromText="180" w:vertAnchor="page" w:horzAnchor="page" w:tblpX="1293" w:tblpY="2997"/>
        <w:tblW w:w="96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375"/>
        <w:gridCol w:w="2435"/>
        <w:gridCol w:w="720"/>
        <w:gridCol w:w="855"/>
        <w:gridCol w:w="975"/>
        <w:gridCol w:w="975"/>
        <w:gridCol w:w="18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6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2240" w:firstLineChars="51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12167" w:firstLineChars="5050"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6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widowControl/>
              <w:tabs>
                <w:tab w:val="left" w:pos="6795"/>
              </w:tabs>
              <w:spacing w:line="48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项目报价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价格</w:t>
            </w: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PVC运动地胶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水晶砂6.0mm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平方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324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水晶砂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弹胶垫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</w:rPr>
              <w:t>技术参数见下文，</w:t>
            </w:r>
            <w:r>
              <w:rPr>
                <w:rFonts w:hint="eastAsia"/>
                <w:color w:val="000000" w:themeColor="text1"/>
                <w:sz w:val="22"/>
                <w:szCs w:val="16"/>
              </w:rPr>
              <w:t>带“★”的为重要参数，</w:t>
            </w:r>
            <w:r>
              <w:rPr>
                <w:rFonts w:hint="eastAsia"/>
                <w:color w:val="000000" w:themeColor="text1"/>
                <w:sz w:val="22"/>
                <w:szCs w:val="16"/>
                <w:lang w:eastAsia="zh-CN"/>
              </w:rPr>
              <w:t>所需证明</w:t>
            </w:r>
            <w:r>
              <w:rPr>
                <w:rFonts w:hint="eastAsia"/>
                <w:b/>
                <w:bCs/>
                <w:color w:val="000000" w:themeColor="text1"/>
                <w:sz w:val="22"/>
                <w:szCs w:val="16"/>
              </w:rPr>
              <w:t>不按要求提供或提供不全者</w:t>
            </w:r>
            <w:r>
              <w:rPr>
                <w:rFonts w:hint="eastAsia"/>
                <w:b/>
                <w:bCs/>
                <w:color w:val="000000" w:themeColor="text1"/>
                <w:sz w:val="22"/>
                <w:szCs w:val="16"/>
                <w:lang w:eastAsia="zh-CN"/>
              </w:rPr>
              <w:t>不得参加最终竞价评审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000000" w:themeColor="text1"/>
                <w:sz w:val="22"/>
                <w:szCs w:val="16"/>
                <w:lang w:eastAsia="zh-CN"/>
              </w:rPr>
              <w:t>环节</w:t>
            </w:r>
            <w:r>
              <w:rPr>
                <w:rFonts w:hint="eastAsia"/>
                <w:b/>
                <w:bCs/>
                <w:sz w:val="21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羽毛球场专用基底（含收边）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弹胶垫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(30.5*30.5*1.45cm)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平方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385.9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spacing w:line="276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美纹纸\油墨\焊线（双面焊接）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护角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PVC35*35软包边条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vMerge w:val="continue"/>
            <w:tcBorders>
              <w:left w:val="nil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5473"/>
              </w:tabs>
              <w:ind w:firstLine="360" w:firstLineChars="15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合计（元）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包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括原场地的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拆除和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重新全部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　　</w:t>
            </w:r>
            <w:r>
              <w:rPr>
                <w:rFonts w:hint="eastAsia"/>
                <w:b/>
                <w:bCs/>
              </w:rPr>
              <w:t xml:space="preserve">施工方案：采用悬浮地板镶入弹性胶垫的 (一平方395个），水晶砂的专业羽毛球PVC运动防滑地胶 ，厚度是6.0mm（之前的是4.5mm）。 墙柱边角采用35*35软包边条作保护。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        </w:t>
            </w:r>
          </w:p>
        </w:tc>
      </w:tr>
    </w:tbl>
    <w:p>
      <w:pPr>
        <w:spacing w:line="360" w:lineRule="auto"/>
        <w:jc w:val="both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numPr>
          <w:ilvl w:val="0"/>
          <w:numId w:val="1"/>
        </w:numPr>
        <w:tabs>
          <w:tab w:val="left" w:pos="1402"/>
        </w:tabs>
        <w:bidi w:val="0"/>
        <w:jc w:val="left"/>
        <w:rPr>
          <w:rFonts w:hint="eastAsia"/>
          <w:b/>
          <w:bCs/>
          <w:color w:val="000000" w:themeColor="text1"/>
          <w:sz w:val="22"/>
          <w:szCs w:val="16"/>
        </w:rPr>
      </w:pPr>
      <w:r>
        <w:rPr>
          <w:rFonts w:hint="eastAsia"/>
          <w:b/>
          <w:bCs/>
          <w:color w:val="000000" w:themeColor="text1"/>
          <w:sz w:val="22"/>
          <w:szCs w:val="16"/>
        </w:rPr>
        <w:t>悬浮式拼装地板</w:t>
      </w:r>
    </w:p>
    <w:p>
      <w:pPr>
        <w:numPr>
          <w:ilvl w:val="0"/>
          <w:numId w:val="0"/>
        </w:numPr>
        <w:tabs>
          <w:tab w:val="left" w:pos="1402"/>
        </w:tabs>
        <w:bidi w:val="0"/>
        <w:jc w:val="left"/>
        <w:rPr>
          <w:rFonts w:hint="eastAsia"/>
          <w:b/>
          <w:bCs/>
          <w:color w:val="000000" w:themeColor="text1"/>
          <w:sz w:val="22"/>
          <w:szCs w:val="16"/>
          <w:lang w:val="en-US" w:eastAsia="zh-CN"/>
        </w:rPr>
      </w:pPr>
    </w:p>
    <w:p>
      <w:pPr>
        <w:numPr>
          <w:ilvl w:val="0"/>
          <w:numId w:val="0"/>
        </w:numPr>
        <w:tabs>
          <w:tab w:val="left" w:pos="1402"/>
        </w:tabs>
        <w:bidi w:val="0"/>
        <w:jc w:val="left"/>
        <w:rPr>
          <w:b/>
          <w:bCs/>
          <w:color w:val="000000" w:themeColor="text1"/>
          <w:sz w:val="22"/>
          <w:szCs w:val="16"/>
        </w:rPr>
      </w:pPr>
      <w:r>
        <w:rPr>
          <w:rFonts w:hint="eastAsia"/>
          <w:b/>
          <w:bCs/>
          <w:color w:val="000000" w:themeColor="text1"/>
          <w:sz w:val="22"/>
          <w:szCs w:val="16"/>
          <w:lang w:val="en-US" w:eastAsia="zh-CN"/>
        </w:rPr>
        <w:t>1、</w:t>
      </w:r>
      <w:r>
        <w:rPr>
          <w:rFonts w:hint="eastAsia"/>
          <w:b/>
          <w:bCs/>
          <w:color w:val="000000" w:themeColor="text1"/>
          <w:sz w:val="22"/>
          <w:szCs w:val="16"/>
        </w:rPr>
        <w:t>产品要求</w:t>
      </w:r>
      <w:r>
        <w:rPr>
          <w:rFonts w:hint="eastAsia"/>
          <w:b/>
          <w:bCs/>
          <w:color w:val="000000" w:themeColor="text1"/>
          <w:sz w:val="22"/>
          <w:szCs w:val="16"/>
          <w:lang w:eastAsia="zh-CN"/>
        </w:rPr>
        <w:t>（现场提供样品）</w:t>
      </w:r>
      <w:r>
        <w:rPr>
          <w:rFonts w:hint="eastAsia"/>
          <w:b/>
          <w:bCs/>
          <w:color w:val="000000" w:themeColor="text1"/>
          <w:sz w:val="22"/>
          <w:szCs w:val="16"/>
        </w:rPr>
        <w:t>：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1.产品规格：30.5×30.5×1.45cm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2.单块克重；</w:t>
      </w:r>
    </w:p>
    <w:p>
      <w:pPr>
        <w:spacing w:line="360" w:lineRule="auto"/>
      </w:pPr>
      <w:r>
        <w:rPr>
          <w:rFonts w:hint="eastAsia"/>
          <w:color w:val="000000" w:themeColor="text1"/>
          <w:sz w:val="22"/>
          <w:szCs w:val="16"/>
        </w:rPr>
        <w:t>3.材料：100%原生料高性能聚丙烯共聚物；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 xml:space="preserve">4.外观质量：地板颜色均匀一致，无明显色差；表面无龟裂、起泡、塑化不良、地板表面无毛刺； 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5.三层结构，上层为加粗加厚的风车花纹面层、中层是十字交叉承载层、底层为支撑柱；面层哑光磨砂处理，可有效增强地板表面耐磨与防滑效果，提升安全舒适度；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6.底部全部为加粗加固的交叉十字支撑柱和圆筒支撑柱（可选择增加弹垫减震系统），增大排水空间的同时提供强力的支撑缓冲效果；</w:t>
      </w:r>
    </w:p>
    <w:p>
      <w:pPr>
        <w:spacing w:line="360" w:lineRule="auto"/>
      </w:pPr>
      <w:r>
        <w:rPr>
          <w:rFonts w:hint="eastAsia"/>
          <w:color w:val="000000" w:themeColor="text1"/>
          <w:sz w:val="22"/>
          <w:szCs w:val="16"/>
        </w:rPr>
        <w:t>7.卡扣为最新三代锁扣设计，可有效防止脱扣、位移等问题。</w:t>
      </w:r>
    </w:p>
    <w:p>
      <w:pPr>
        <w:pStyle w:val="5"/>
        <w:spacing w:after="0" w:line="360" w:lineRule="auto"/>
        <w:ind w:left="0" w:leftChars="0" w:firstLine="0" w:firstLineChars="0"/>
        <w:jc w:val="left"/>
        <w:rPr>
          <w:rFonts w:hint="eastAsia" w:ascii="宋体" w:hAnsi="Times New Roman"/>
          <w:b/>
          <w:bCs/>
          <w:color w:val="000000" w:themeColor="text1"/>
          <w:kern w:val="0"/>
          <w:sz w:val="22"/>
          <w:szCs w:val="16"/>
          <w:lang w:eastAsia="zh-CN"/>
        </w:rPr>
      </w:pPr>
    </w:p>
    <w:p>
      <w:pPr>
        <w:pStyle w:val="5"/>
        <w:spacing w:after="0" w:line="360" w:lineRule="auto"/>
        <w:ind w:left="0" w:leftChars="0" w:firstLine="0" w:firstLineChars="0"/>
        <w:jc w:val="left"/>
        <w:rPr>
          <w:rFonts w:ascii="宋体" w:hAnsi="Times New Roman"/>
          <w:b/>
          <w:bCs/>
          <w:color w:val="000000" w:themeColor="text1"/>
          <w:kern w:val="0"/>
          <w:sz w:val="22"/>
          <w:szCs w:val="16"/>
        </w:rPr>
      </w:pPr>
      <w:r>
        <w:rPr>
          <w:rFonts w:hint="eastAsia" w:ascii="宋体" w:hAnsi="Times New Roman"/>
          <w:b/>
          <w:bCs/>
          <w:color w:val="000000" w:themeColor="text1"/>
          <w:kern w:val="0"/>
          <w:sz w:val="22"/>
          <w:szCs w:val="16"/>
          <w:lang w:eastAsia="zh-CN"/>
        </w:rPr>
        <w:t>２、</w:t>
      </w:r>
      <w:r>
        <w:rPr>
          <w:rFonts w:hint="eastAsia" w:ascii="宋体" w:hAnsi="Times New Roman"/>
          <w:b/>
          <w:bCs/>
          <w:color w:val="000000" w:themeColor="text1"/>
          <w:kern w:val="0"/>
          <w:sz w:val="22"/>
          <w:szCs w:val="16"/>
        </w:rPr>
        <w:t>厂家资质要求</w:t>
      </w:r>
      <w:r>
        <w:rPr>
          <w:rFonts w:hint="eastAsia"/>
          <w:color w:val="000000" w:themeColor="text1"/>
          <w:sz w:val="22"/>
          <w:szCs w:val="16"/>
        </w:rPr>
        <w:t>（</w:t>
      </w:r>
      <w:r>
        <w:rPr>
          <w:rFonts w:hint="eastAsia"/>
          <w:b/>
          <w:bCs/>
          <w:color w:val="000000" w:themeColor="text1"/>
          <w:sz w:val="22"/>
          <w:szCs w:val="16"/>
          <w:lang w:eastAsia="zh-CN"/>
        </w:rPr>
        <w:t>提供</w:t>
      </w:r>
      <w:r>
        <w:rPr>
          <w:rFonts w:hint="eastAsia"/>
          <w:b/>
          <w:bCs/>
          <w:color w:val="000000" w:themeColor="text1"/>
          <w:sz w:val="22"/>
          <w:szCs w:val="16"/>
        </w:rPr>
        <w:t>检测报告扫描件加盖公章，原件备查</w:t>
      </w:r>
      <w:r>
        <w:rPr>
          <w:rFonts w:hint="eastAsia"/>
          <w:color w:val="000000" w:themeColor="text1"/>
          <w:sz w:val="22"/>
          <w:szCs w:val="16"/>
        </w:rPr>
        <w:t>）</w:t>
      </w:r>
      <w:r>
        <w:rPr>
          <w:rFonts w:hint="eastAsia" w:ascii="宋体" w:hAnsi="Times New Roman"/>
          <w:b/>
          <w:bCs/>
          <w:color w:val="000000" w:themeColor="text1"/>
          <w:kern w:val="0"/>
          <w:sz w:val="22"/>
          <w:szCs w:val="16"/>
        </w:rPr>
        <w:t>：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★1.悬浮式拼装地板生产厂家提供符合GB/T 14833-2020标准的出具的球反弹率≥97%的检测报告。；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★2.悬浮式拼装地板生产厂家提供符合GB/T 11982.1-2015标准的耐污染性（绿茶，2h）检测0级报告。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★3.悬浮式拼装地板生产厂家提供符合GB/T 11547-2008标准的耐酸（50%硫酸溶液，50℃，50h），耐碱（50%氢氧化钠溶液，50℃，50h）检测报告。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★4.悬浮式拼装地板生产厂家提供符合GB36246-2018《中小学合成材料面层运动场地》标准的化学有害物检测报告。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★5.悬浮式拼装地板生产厂家提供符合GB36246-2018《中小学合成材料面层运动场地》标准的物理性能检测报告。</w:t>
      </w:r>
    </w:p>
    <w:p>
      <w:pPr>
        <w:spacing w:line="360" w:lineRule="auto"/>
        <w:rPr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★6.单板侧向承压≥45000N。</w:t>
      </w:r>
    </w:p>
    <w:p>
      <w:pPr>
        <w:spacing w:line="360" w:lineRule="auto"/>
        <w:rPr>
          <w:rFonts w:hint="eastAsia"/>
          <w:color w:val="000000" w:themeColor="text1"/>
          <w:sz w:val="22"/>
          <w:szCs w:val="16"/>
        </w:rPr>
      </w:pPr>
      <w:r>
        <w:rPr>
          <w:rFonts w:hint="eastAsia"/>
          <w:color w:val="000000" w:themeColor="text1"/>
          <w:sz w:val="22"/>
          <w:szCs w:val="16"/>
        </w:rPr>
        <w:t>★7.悬浮式拼装地板生产厂家提供符合GB/T8427-2019 标准的标准出具的耐光色牢度≥8级检测报告。</w:t>
      </w:r>
    </w:p>
    <w:p>
      <w:pPr>
        <w:spacing w:line="360" w:lineRule="auto"/>
        <w:rPr>
          <w:rFonts w:hint="eastAsia"/>
          <w:color w:val="000000" w:themeColor="text1"/>
          <w:sz w:val="22"/>
          <w:szCs w:val="16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宋体" w:hAnsi="宋体" w:eastAsia="宋体"/>
          <w:b/>
          <w:bCs w:val="0"/>
          <w:sz w:val="24"/>
          <w:szCs w:val="24"/>
        </w:rPr>
      </w:pPr>
      <w:r>
        <w:rPr>
          <w:rFonts w:ascii="宋体" w:hAnsi="宋体" w:eastAsia="宋体"/>
          <w:b/>
          <w:bCs w:val="0"/>
          <w:sz w:val="24"/>
          <w:szCs w:val="24"/>
        </w:rPr>
        <w:t>PVC运动地</w:t>
      </w:r>
      <w:r>
        <w:rPr>
          <w:rFonts w:hint="eastAsia" w:ascii="宋体" w:hAnsi="宋体" w:eastAsia="宋体"/>
          <w:b/>
          <w:bCs w:val="0"/>
          <w:sz w:val="24"/>
          <w:szCs w:val="24"/>
          <w:lang w:eastAsia="zh-CN"/>
        </w:rPr>
        <w:t>胶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宋体" w:hAnsi="宋体" w:eastAsia="宋体"/>
          <w:b/>
          <w:bCs w:val="0"/>
          <w:sz w:val="24"/>
          <w:szCs w:val="24"/>
        </w:rPr>
      </w:pPr>
      <w:r>
        <w:rPr>
          <w:rFonts w:hint="eastAsia" w:ascii="宋体" w:hAnsi="宋体" w:eastAsia="宋体"/>
          <w:b/>
          <w:bCs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/>
          <w:b/>
          <w:bCs w:val="0"/>
          <w:sz w:val="24"/>
          <w:szCs w:val="24"/>
        </w:rPr>
        <w:t>产品要求</w:t>
      </w:r>
      <w:r>
        <w:rPr>
          <w:rFonts w:hint="eastAsia"/>
          <w:b/>
          <w:bCs/>
          <w:color w:val="000000" w:themeColor="text1"/>
          <w:sz w:val="22"/>
          <w:szCs w:val="16"/>
          <w:lang w:eastAsia="zh-CN"/>
        </w:rPr>
        <w:t>（现场提供样品）</w:t>
      </w:r>
      <w:r>
        <w:rPr>
          <w:rFonts w:hint="eastAsia" w:ascii="宋体" w:hAnsi="宋体" w:eastAsia="宋体"/>
          <w:b/>
          <w:bCs w:val="0"/>
          <w:sz w:val="24"/>
          <w:szCs w:val="24"/>
        </w:rPr>
        <w:t>：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100%原生料生产加工而成，无毒、无味、绿色环保</w:t>
      </w:r>
      <w:r>
        <w:rPr>
          <w:rFonts w:hint="eastAsia" w:ascii="宋体" w:hAnsi="宋体" w:eastAsia="宋体"/>
          <w:bCs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ascii="宋体" w:hAnsi="宋体" w:eastAsia="宋体"/>
          <w:bCs/>
          <w:sz w:val="24"/>
          <w:szCs w:val="24"/>
        </w:rPr>
        <w:t>耐磨防滑，双色双倍率无钙发泡缓冲层，密实稳定加强层，高强度玻纤网格布稳定层，背板为密闭式防移动背板</w:t>
      </w:r>
      <w:r>
        <w:rPr>
          <w:rFonts w:hint="eastAsia" w:ascii="宋体" w:hAnsi="宋体" w:eastAsia="宋体"/>
          <w:bCs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性能优越，脚感舒适，结构稳定。</w:t>
      </w:r>
    </w:p>
    <w:p>
      <w:pPr>
        <w:spacing w:line="360" w:lineRule="auto"/>
        <w:rPr>
          <w:rFonts w:ascii="宋体" w:hAnsi="宋体" w:eastAsia="宋体"/>
          <w:b/>
          <w:bCs w:val="0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/>
          <w:b/>
          <w:sz w:val="24"/>
          <w:szCs w:val="24"/>
        </w:rPr>
        <w:t>产品参数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 w:val="0"/>
          <w:sz w:val="24"/>
          <w:szCs w:val="24"/>
        </w:rPr>
        <w:t>提供具有CMA和CNAS标识的检测报告</w:t>
      </w:r>
      <w:r>
        <w:rPr>
          <w:rFonts w:hint="eastAsia" w:ascii="宋体" w:hAnsi="宋体" w:eastAsia="宋体"/>
          <w:b/>
          <w:bCs w:val="0"/>
          <w:sz w:val="24"/>
          <w:szCs w:val="24"/>
          <w:lang w:eastAsia="zh-CN"/>
        </w:rPr>
        <w:t>或</w:t>
      </w:r>
      <w:r>
        <w:rPr>
          <w:rFonts w:hint="eastAsia" w:ascii="宋体" w:hAnsi="宋体" w:eastAsia="宋体"/>
          <w:b/>
          <w:bCs w:val="0"/>
          <w:sz w:val="24"/>
          <w:szCs w:val="24"/>
        </w:rPr>
        <w:t>全国认证认可信息公共服务平台查询截图</w:t>
      </w:r>
      <w:r>
        <w:rPr>
          <w:rFonts w:hint="eastAsia" w:ascii="宋体" w:hAnsi="宋体" w:eastAsia="宋体"/>
          <w:b/>
          <w:bCs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b/>
          <w:bCs w:val="0"/>
          <w:sz w:val="24"/>
          <w:szCs w:val="24"/>
        </w:rPr>
        <w:t>：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★1</w:t>
      </w:r>
      <w:r>
        <w:rPr>
          <w:rFonts w:ascii="宋体" w:hAnsi="宋体" w:eastAsia="宋体"/>
          <w:bCs/>
          <w:sz w:val="24"/>
          <w:szCs w:val="24"/>
        </w:rPr>
        <w:t>.总厚度</w:t>
      </w:r>
      <w:r>
        <w:rPr>
          <w:rFonts w:hint="eastAsia" w:ascii="宋体" w:hAnsi="宋体" w:eastAsia="宋体"/>
          <w:bCs/>
          <w:sz w:val="24"/>
          <w:szCs w:val="24"/>
        </w:rPr>
        <w:t>：≥</w:t>
      </w:r>
      <w:r>
        <w:rPr>
          <w:rFonts w:ascii="宋体" w:hAnsi="宋体" w:eastAsia="宋体"/>
          <w:bCs/>
          <w:sz w:val="24"/>
          <w:szCs w:val="24"/>
        </w:rPr>
        <w:t>6.0mm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★2</w:t>
      </w:r>
      <w:r>
        <w:rPr>
          <w:rFonts w:ascii="宋体" w:hAnsi="宋体" w:eastAsia="宋体"/>
          <w:bCs/>
          <w:sz w:val="24"/>
          <w:szCs w:val="24"/>
        </w:rPr>
        <w:t>.</w:t>
      </w:r>
      <w:r>
        <w:rPr>
          <w:rFonts w:hint="eastAsia" w:ascii="宋体" w:hAnsi="宋体" w:eastAsia="宋体"/>
          <w:bCs/>
          <w:sz w:val="24"/>
          <w:szCs w:val="24"/>
        </w:rPr>
        <w:t>抗滑值：</w:t>
      </w:r>
      <w:r>
        <w:rPr>
          <w:rFonts w:ascii="宋体" w:hAnsi="宋体" w:eastAsia="宋体"/>
          <w:bCs/>
          <w:sz w:val="24"/>
          <w:szCs w:val="24"/>
        </w:rPr>
        <w:t>80-110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ascii="宋体" w:hAnsi="宋体" w:eastAsia="宋体"/>
          <w:bCs/>
          <w:sz w:val="24"/>
          <w:szCs w:val="24"/>
        </w:rPr>
        <w:t>3.</w:t>
      </w:r>
      <w:r>
        <w:rPr>
          <w:rFonts w:hint="eastAsia" w:ascii="宋体" w:hAnsi="宋体" w:eastAsia="宋体"/>
          <w:bCs/>
          <w:sz w:val="24"/>
          <w:szCs w:val="24"/>
        </w:rPr>
        <w:t>冲击吸收：≥</w:t>
      </w:r>
      <w:r>
        <w:rPr>
          <w:rFonts w:ascii="宋体" w:hAnsi="宋体" w:eastAsia="宋体"/>
          <w:bCs/>
          <w:sz w:val="24"/>
          <w:szCs w:val="24"/>
        </w:rPr>
        <w:t>20</w:t>
      </w:r>
      <w:r>
        <w:rPr>
          <w:rFonts w:hint="eastAsia" w:ascii="宋体" w:hAnsi="宋体" w:eastAsia="宋体"/>
          <w:bCs/>
          <w:sz w:val="24"/>
          <w:szCs w:val="24"/>
        </w:rPr>
        <w:t>%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ascii="宋体" w:hAnsi="宋体" w:eastAsia="宋体"/>
          <w:bCs/>
          <w:sz w:val="24"/>
          <w:szCs w:val="24"/>
        </w:rPr>
        <w:t xml:space="preserve">4. </w:t>
      </w:r>
      <w:r>
        <w:rPr>
          <w:rFonts w:hint="eastAsia" w:ascii="宋体" w:hAnsi="宋体" w:eastAsia="宋体"/>
          <w:sz w:val="24"/>
          <w:szCs w:val="24"/>
        </w:rPr>
        <w:t>氯乙烯含量：≤1mg/kg</w:t>
      </w:r>
    </w:p>
    <w:p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ascii="宋体" w:hAnsi="宋体" w:eastAsia="宋体"/>
          <w:bCs/>
          <w:sz w:val="24"/>
          <w:szCs w:val="24"/>
        </w:rPr>
        <w:t xml:space="preserve">5. </w:t>
      </w:r>
      <w:r>
        <w:rPr>
          <w:rFonts w:hint="eastAsia" w:ascii="宋体" w:hAnsi="宋体" w:eastAsia="宋体"/>
          <w:sz w:val="24"/>
          <w:szCs w:val="24"/>
        </w:rPr>
        <w:t>二氯乙烷含量：≤5 mg/kg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ascii="宋体" w:hAnsi="宋体" w:eastAsia="宋体"/>
          <w:bCs/>
          <w:sz w:val="24"/>
          <w:szCs w:val="24"/>
        </w:rPr>
        <w:t>6.</w:t>
      </w:r>
      <w:r>
        <w:rPr>
          <w:rFonts w:hint="eastAsia" w:ascii="宋体" w:hAnsi="宋体" w:eastAsia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耐化学性：无溶解、膨胀、波纹、褶皱、裂纹、剥落、起泡。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为保证产品的耐盐腐蚀性（如雨水，汗水等），中性盐雾试验不低于</w:t>
      </w:r>
      <w:r>
        <w:rPr>
          <w:rFonts w:ascii="宋体" w:hAnsi="宋体" w:eastAsia="宋体"/>
          <w:sz w:val="24"/>
          <w:szCs w:val="24"/>
        </w:rPr>
        <w:t>6500h后，拉伸强度≥5.0MPa；断裂伸长率≥40%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>★</w:t>
      </w:r>
      <w:r>
        <w:rPr>
          <w:rFonts w:ascii="宋体" w:hAnsi="宋体" w:eastAsia="宋体"/>
          <w:bCs/>
          <w:sz w:val="24"/>
          <w:szCs w:val="24"/>
        </w:rPr>
        <w:t>8.</w:t>
      </w:r>
      <w:r>
        <w:rPr>
          <w:rFonts w:hint="eastAsia" w:ascii="宋体" w:hAnsi="宋体" w:eastAsia="宋体"/>
          <w:bCs/>
          <w:sz w:val="24"/>
          <w:szCs w:val="24"/>
        </w:rPr>
        <w:t>为保证产品使用寿命，自然环境老化不低于20000h后，垂直变形符合GB36246-2018标准0</w:t>
      </w:r>
      <w:r>
        <w:rPr>
          <w:rFonts w:ascii="宋体" w:hAnsi="宋体" w:eastAsia="宋体"/>
          <w:bCs/>
          <w:sz w:val="24"/>
          <w:szCs w:val="24"/>
        </w:rPr>
        <w:t>.6-3.0mm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>★9</w:t>
      </w:r>
      <w:r>
        <w:rPr>
          <w:rFonts w:ascii="宋体" w:hAnsi="宋体" w:eastAsia="宋体"/>
          <w:bCs/>
          <w:sz w:val="24"/>
          <w:szCs w:val="24"/>
        </w:rPr>
        <w:t>.</w:t>
      </w:r>
      <w:r>
        <w:rPr>
          <w:rFonts w:hint="eastAsia" w:ascii="宋体" w:hAnsi="宋体" w:eastAsia="宋体"/>
          <w:bCs/>
          <w:sz w:val="24"/>
          <w:szCs w:val="24"/>
        </w:rPr>
        <w:t>为保证产品老化后强度稳定，臭氧老化不低于</w:t>
      </w:r>
      <w:r>
        <w:rPr>
          <w:rFonts w:ascii="宋体" w:hAnsi="宋体" w:eastAsia="宋体"/>
          <w:bCs/>
          <w:sz w:val="24"/>
          <w:szCs w:val="24"/>
        </w:rPr>
        <w:t>9500h后，邵氏硬度依据GB/T531.1-2008检测标准70-90 Shore A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>★1</w:t>
      </w:r>
      <w:r>
        <w:rPr>
          <w:rFonts w:ascii="宋体" w:hAnsi="宋体" w:eastAsia="宋体"/>
          <w:bCs/>
          <w:sz w:val="24"/>
          <w:szCs w:val="24"/>
        </w:rPr>
        <w:t>0.</w:t>
      </w:r>
      <w:r>
        <w:rPr>
          <w:rFonts w:hint="eastAsia" w:ascii="宋体" w:hAnsi="宋体" w:eastAsia="宋体"/>
          <w:bCs/>
          <w:sz w:val="24"/>
          <w:szCs w:val="24"/>
        </w:rPr>
        <w:t>为保证产品环保性能，有害物质锑、砷、钡等不低于</w:t>
      </w:r>
      <w:r>
        <w:rPr>
          <w:rFonts w:ascii="宋体" w:hAnsi="宋体" w:eastAsia="宋体"/>
          <w:bCs/>
          <w:sz w:val="24"/>
          <w:szCs w:val="24"/>
        </w:rPr>
        <w:t>8种可迁移元素未检出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bCs/>
          <w:color w:val="auto"/>
          <w:sz w:val="24"/>
          <w:szCs w:val="24"/>
          <w:highlight w:val="none"/>
          <w:lang w:eastAsia="zh-CN"/>
        </w:rPr>
        <w:t>　</w:t>
      </w:r>
    </w:p>
    <w:p>
      <w:pPr>
        <w:spacing w:line="360" w:lineRule="auto"/>
        <w:rPr>
          <w:rFonts w:hint="eastAsia" w:ascii="宋体" w:hAnsi="宋体" w:eastAsia="宋体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/>
          <w:bCs/>
          <w:color w:val="auto"/>
          <w:sz w:val="24"/>
          <w:szCs w:val="24"/>
          <w:highlight w:val="none"/>
          <w:lang w:eastAsia="zh-CN"/>
        </w:rPr>
        <w:t>　　</w:t>
      </w:r>
    </w:p>
    <w:p>
      <w:pPr>
        <w:pStyle w:val="5"/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998" w:right="1306" w:bottom="11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5FB27"/>
    <w:multiLevelType w:val="singleLevel"/>
    <w:tmpl w:val="9F55FB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263F63"/>
    <w:rsid w:val="00027AFF"/>
    <w:rsid w:val="00037206"/>
    <w:rsid w:val="00052D69"/>
    <w:rsid w:val="00067694"/>
    <w:rsid w:val="00094449"/>
    <w:rsid w:val="000B6FCC"/>
    <w:rsid w:val="000E7F2E"/>
    <w:rsid w:val="000F26E5"/>
    <w:rsid w:val="0012426F"/>
    <w:rsid w:val="001668A4"/>
    <w:rsid w:val="001B5821"/>
    <w:rsid w:val="001B6064"/>
    <w:rsid w:val="001C244F"/>
    <w:rsid w:val="001E7BC8"/>
    <w:rsid w:val="002105A7"/>
    <w:rsid w:val="002130DD"/>
    <w:rsid w:val="002152FB"/>
    <w:rsid w:val="0022023F"/>
    <w:rsid w:val="00223140"/>
    <w:rsid w:val="00231233"/>
    <w:rsid w:val="0024454A"/>
    <w:rsid w:val="00263F63"/>
    <w:rsid w:val="002845DC"/>
    <w:rsid w:val="00286F87"/>
    <w:rsid w:val="00292A42"/>
    <w:rsid w:val="002C2E65"/>
    <w:rsid w:val="002C59C8"/>
    <w:rsid w:val="002C76F7"/>
    <w:rsid w:val="003041C2"/>
    <w:rsid w:val="0032170A"/>
    <w:rsid w:val="00337A26"/>
    <w:rsid w:val="0037351A"/>
    <w:rsid w:val="003949D9"/>
    <w:rsid w:val="003C1B01"/>
    <w:rsid w:val="003E6B52"/>
    <w:rsid w:val="003F315C"/>
    <w:rsid w:val="003F7484"/>
    <w:rsid w:val="004474FA"/>
    <w:rsid w:val="00451766"/>
    <w:rsid w:val="00455EFA"/>
    <w:rsid w:val="00456D97"/>
    <w:rsid w:val="00470DFC"/>
    <w:rsid w:val="004A3E14"/>
    <w:rsid w:val="004C39B9"/>
    <w:rsid w:val="004C7C38"/>
    <w:rsid w:val="0050390C"/>
    <w:rsid w:val="005141B3"/>
    <w:rsid w:val="00526F10"/>
    <w:rsid w:val="0053014D"/>
    <w:rsid w:val="00530A91"/>
    <w:rsid w:val="00542C48"/>
    <w:rsid w:val="005465DE"/>
    <w:rsid w:val="00561667"/>
    <w:rsid w:val="005A0162"/>
    <w:rsid w:val="005A4F23"/>
    <w:rsid w:val="005B073C"/>
    <w:rsid w:val="005B1F89"/>
    <w:rsid w:val="005C09DC"/>
    <w:rsid w:val="005D6708"/>
    <w:rsid w:val="0060456D"/>
    <w:rsid w:val="00636DCA"/>
    <w:rsid w:val="00693CA4"/>
    <w:rsid w:val="006B55CC"/>
    <w:rsid w:val="006C23A0"/>
    <w:rsid w:val="006F2EF3"/>
    <w:rsid w:val="00700446"/>
    <w:rsid w:val="00700913"/>
    <w:rsid w:val="00700981"/>
    <w:rsid w:val="0070178A"/>
    <w:rsid w:val="007176D5"/>
    <w:rsid w:val="00720725"/>
    <w:rsid w:val="00725CDB"/>
    <w:rsid w:val="007316DD"/>
    <w:rsid w:val="00764C8E"/>
    <w:rsid w:val="00765F31"/>
    <w:rsid w:val="00787205"/>
    <w:rsid w:val="007C4779"/>
    <w:rsid w:val="007C6023"/>
    <w:rsid w:val="007D26EE"/>
    <w:rsid w:val="007E56FA"/>
    <w:rsid w:val="00805219"/>
    <w:rsid w:val="0081726C"/>
    <w:rsid w:val="00821586"/>
    <w:rsid w:val="00836D56"/>
    <w:rsid w:val="00863A02"/>
    <w:rsid w:val="008844D9"/>
    <w:rsid w:val="00896B24"/>
    <w:rsid w:val="008C0FE1"/>
    <w:rsid w:val="008C773E"/>
    <w:rsid w:val="008F2E7F"/>
    <w:rsid w:val="00904FCE"/>
    <w:rsid w:val="00924A38"/>
    <w:rsid w:val="009816C9"/>
    <w:rsid w:val="0098244C"/>
    <w:rsid w:val="00984B75"/>
    <w:rsid w:val="009E13A9"/>
    <w:rsid w:val="00A02877"/>
    <w:rsid w:val="00A04C4E"/>
    <w:rsid w:val="00A35023"/>
    <w:rsid w:val="00A3698A"/>
    <w:rsid w:val="00A4742B"/>
    <w:rsid w:val="00AB3E43"/>
    <w:rsid w:val="00AC2663"/>
    <w:rsid w:val="00AD03A8"/>
    <w:rsid w:val="00B07992"/>
    <w:rsid w:val="00B13249"/>
    <w:rsid w:val="00B20C9A"/>
    <w:rsid w:val="00B72EC1"/>
    <w:rsid w:val="00B94B5F"/>
    <w:rsid w:val="00BB7011"/>
    <w:rsid w:val="00BD184B"/>
    <w:rsid w:val="00BD7CB0"/>
    <w:rsid w:val="00BE3028"/>
    <w:rsid w:val="00BF7142"/>
    <w:rsid w:val="00C01D64"/>
    <w:rsid w:val="00C21402"/>
    <w:rsid w:val="00C41616"/>
    <w:rsid w:val="00C83080"/>
    <w:rsid w:val="00CB23E1"/>
    <w:rsid w:val="00CB7088"/>
    <w:rsid w:val="00CD2DF1"/>
    <w:rsid w:val="00CD3D86"/>
    <w:rsid w:val="00CD77BF"/>
    <w:rsid w:val="00CE27B6"/>
    <w:rsid w:val="00CF3385"/>
    <w:rsid w:val="00D05DCA"/>
    <w:rsid w:val="00D103C6"/>
    <w:rsid w:val="00D17BD1"/>
    <w:rsid w:val="00D4101A"/>
    <w:rsid w:val="00D43D88"/>
    <w:rsid w:val="00D45074"/>
    <w:rsid w:val="00D66ED4"/>
    <w:rsid w:val="00D67909"/>
    <w:rsid w:val="00D73C66"/>
    <w:rsid w:val="00D8047D"/>
    <w:rsid w:val="00D82784"/>
    <w:rsid w:val="00D85F07"/>
    <w:rsid w:val="00DA04A3"/>
    <w:rsid w:val="00DB4487"/>
    <w:rsid w:val="00DC52C0"/>
    <w:rsid w:val="00E062D5"/>
    <w:rsid w:val="00E16F51"/>
    <w:rsid w:val="00E30C02"/>
    <w:rsid w:val="00E33DEB"/>
    <w:rsid w:val="00E33F5E"/>
    <w:rsid w:val="00E83F41"/>
    <w:rsid w:val="00EA4344"/>
    <w:rsid w:val="00EA5B83"/>
    <w:rsid w:val="00EA6A38"/>
    <w:rsid w:val="00ED7D4B"/>
    <w:rsid w:val="00EE3800"/>
    <w:rsid w:val="00EF0C89"/>
    <w:rsid w:val="00F11A2A"/>
    <w:rsid w:val="00F24A28"/>
    <w:rsid w:val="00F73062"/>
    <w:rsid w:val="00F77735"/>
    <w:rsid w:val="00F9275D"/>
    <w:rsid w:val="00FA21C3"/>
    <w:rsid w:val="00FB1012"/>
    <w:rsid w:val="01396EDA"/>
    <w:rsid w:val="04053334"/>
    <w:rsid w:val="0A60064A"/>
    <w:rsid w:val="0BEC7515"/>
    <w:rsid w:val="0FAC3B86"/>
    <w:rsid w:val="139B66A0"/>
    <w:rsid w:val="15195AFE"/>
    <w:rsid w:val="39A94B9C"/>
    <w:rsid w:val="3D274AB1"/>
    <w:rsid w:val="3E7133AC"/>
    <w:rsid w:val="535541C1"/>
    <w:rsid w:val="65C16940"/>
    <w:rsid w:val="67C3794B"/>
    <w:rsid w:val="67E01EBE"/>
    <w:rsid w:val="6B4E50C9"/>
    <w:rsid w:val="6C2067F9"/>
    <w:rsid w:val="6D3E27B7"/>
    <w:rsid w:val="7214383E"/>
    <w:rsid w:val="7A79401E"/>
    <w:rsid w:val="7E7B773A"/>
    <w:rsid w:val="7E8F37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autoRedefine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8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8F4F-46E5-48FC-BD4D-4B064FF6DA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336</Characters>
  <Lines>2</Lines>
  <Paragraphs>1</Paragraphs>
  <TotalTime>14</TotalTime>
  <ScaleCrop>false</ScaleCrop>
  <LinksUpToDate>false</LinksUpToDate>
  <CharactersWithSpaces>393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2024-03-08T00:55:00Z</dcterms:created>
  <dc:creator>Administrator</dc:creator>
  <cp:lastModifiedBy>zongwuchu</cp:lastModifiedBy>
  <cp:lastPrinted>2023-05-18T03:39:00Z</cp:lastPrinted>
  <dcterms:modified xsi:type="dcterms:W3CDTF">2024-03-08T07:40:17Z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150374BAF449495CB77D684AE4FCBC00_12</vt:lpwstr>
  </property>
</Properties>
</file>