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cs="Times New Roman"/>
          <w:b/>
          <w:bCs/>
          <w:kern w:val="0"/>
          <w:sz w:val="32"/>
          <w:szCs w:val="32"/>
        </w:rPr>
      </w:pPr>
      <w:r>
        <w:rPr>
          <w:rFonts w:ascii="宋体" w:hAnsi="宋体" w:cs="宋体"/>
          <w:b/>
          <w:bCs/>
          <w:kern w:val="0"/>
          <w:sz w:val="32"/>
          <w:szCs w:val="32"/>
        </w:rPr>
        <w:t xml:space="preserve"> </w:t>
      </w:r>
    </w:p>
    <w:p>
      <w:pPr>
        <w:spacing w:line="360" w:lineRule="auto"/>
        <w:jc w:val="center"/>
        <w:rPr>
          <w:rFonts w:eastAsia="华文新魏" w:cs="华文新魏"/>
          <w:b/>
          <w:bCs/>
          <w:spacing w:val="20"/>
          <w:kern w:val="10"/>
          <w:sz w:val="72"/>
          <w:szCs w:val="72"/>
        </w:rPr>
      </w:pPr>
      <w:r>
        <w:rPr>
          <w:rFonts w:hint="eastAsia" w:eastAsia="华文新魏" w:cs="华文新魏"/>
          <w:b/>
          <w:bCs/>
          <w:spacing w:val="20"/>
          <w:kern w:val="10"/>
          <w:sz w:val="72"/>
          <w:szCs w:val="72"/>
        </w:rPr>
        <w:t>中山市技师学院</w:t>
      </w:r>
    </w:p>
    <w:p>
      <w:pPr>
        <w:pStyle w:val="2"/>
        <w:ind w:firstLine="210"/>
      </w:pPr>
    </w:p>
    <w:p>
      <w:pPr>
        <w:spacing w:line="360" w:lineRule="auto"/>
        <w:jc w:val="center"/>
        <w:rPr>
          <w:rFonts w:hint="eastAsia" w:ascii="华文新魏" w:hAnsi="Times New Roman" w:eastAsia="华文新魏" w:cs="华文新魏"/>
          <w:b/>
          <w:bCs/>
          <w:spacing w:val="20"/>
          <w:kern w:val="10"/>
          <w:sz w:val="44"/>
          <w:szCs w:val="44"/>
          <w:lang w:val="en-US" w:eastAsia="zh-CN"/>
        </w:rPr>
      </w:pPr>
      <w:r>
        <w:rPr>
          <w:rFonts w:hint="eastAsia" w:ascii="华文新魏" w:hAnsi="Times New Roman" w:eastAsia="华文新魏" w:cs="华文新魏"/>
          <w:b/>
          <w:bCs/>
          <w:spacing w:val="20"/>
          <w:kern w:val="10"/>
          <w:sz w:val="44"/>
          <w:szCs w:val="44"/>
          <w:lang w:val="en-US" w:eastAsia="zh-CN"/>
        </w:rPr>
        <w:t>两校区</w:t>
      </w:r>
      <w:r>
        <w:rPr>
          <w:rFonts w:hint="eastAsia" w:ascii="华文新魏" w:hAnsi="Times New Roman" w:eastAsia="华文新魏" w:cs="华文新魏"/>
          <w:b/>
          <w:bCs/>
          <w:spacing w:val="20"/>
          <w:kern w:val="10"/>
          <w:sz w:val="44"/>
          <w:szCs w:val="44"/>
        </w:rPr>
        <w:t>20</w:t>
      </w:r>
      <w:r>
        <w:rPr>
          <w:rFonts w:hint="eastAsia" w:ascii="华文新魏" w:hAnsi="Times New Roman" w:eastAsia="华文新魏" w:cs="华文新魏"/>
          <w:b/>
          <w:bCs/>
          <w:color w:val="auto"/>
          <w:spacing w:val="20"/>
          <w:kern w:val="10"/>
          <w:sz w:val="44"/>
          <w:szCs w:val="44"/>
        </w:rPr>
        <w:t>2</w:t>
      </w:r>
      <w:r>
        <w:rPr>
          <w:rFonts w:hint="default" w:ascii="华文新魏" w:hAnsi="Times New Roman" w:eastAsia="华文新魏" w:cs="华文新魏"/>
          <w:b/>
          <w:bCs/>
          <w:color w:val="auto"/>
          <w:spacing w:val="20"/>
          <w:kern w:val="10"/>
          <w:sz w:val="44"/>
          <w:szCs w:val="44"/>
          <w:lang w:val="en-US"/>
        </w:rPr>
        <w:t>4</w:t>
      </w:r>
      <w:r>
        <w:rPr>
          <w:rFonts w:hint="eastAsia" w:ascii="华文新魏" w:hAnsi="Times New Roman" w:eastAsia="华文新魏" w:cs="华文新魏"/>
          <w:b/>
          <w:bCs/>
          <w:spacing w:val="20"/>
          <w:kern w:val="10"/>
          <w:sz w:val="44"/>
          <w:szCs w:val="44"/>
        </w:rPr>
        <w:t>年</w:t>
      </w:r>
      <w:r>
        <w:rPr>
          <w:rFonts w:hint="eastAsia" w:ascii="华文新魏" w:hAnsi="Times New Roman" w:eastAsia="华文新魏" w:cs="华文新魏"/>
          <w:b/>
          <w:bCs/>
          <w:spacing w:val="20"/>
          <w:kern w:val="10"/>
          <w:sz w:val="44"/>
          <w:szCs w:val="44"/>
          <w:lang w:val="en-US" w:eastAsia="zh-CN"/>
        </w:rPr>
        <w:t>办公设备维护耗材</w:t>
      </w:r>
    </w:p>
    <w:p>
      <w:pPr>
        <w:spacing w:line="360" w:lineRule="auto"/>
        <w:jc w:val="center"/>
        <w:rPr>
          <w:rFonts w:ascii="华文新魏" w:hAnsi="Times New Roman" w:eastAsia="华文新魏" w:cs="华文新魏"/>
          <w:b/>
          <w:bCs/>
          <w:spacing w:val="20"/>
          <w:kern w:val="10"/>
          <w:sz w:val="44"/>
          <w:szCs w:val="44"/>
        </w:rPr>
      </w:pPr>
      <w:r>
        <w:rPr>
          <w:rFonts w:hint="eastAsia" w:ascii="华文新魏" w:hAnsi="Times New Roman" w:eastAsia="华文新魏" w:cs="华文新魏"/>
          <w:b/>
          <w:bCs/>
          <w:spacing w:val="20"/>
          <w:kern w:val="10"/>
          <w:sz w:val="44"/>
          <w:szCs w:val="44"/>
          <w:lang w:val="en-US" w:eastAsia="zh-CN"/>
        </w:rPr>
        <w:t>供货资格</w:t>
      </w:r>
      <w:r>
        <w:rPr>
          <w:rFonts w:hint="eastAsia" w:ascii="华文新魏" w:hAnsi="Times New Roman" w:eastAsia="华文新魏" w:cs="华文新魏"/>
          <w:b/>
          <w:bCs/>
          <w:spacing w:val="20"/>
          <w:kern w:val="10"/>
          <w:sz w:val="44"/>
          <w:szCs w:val="44"/>
        </w:rPr>
        <w:t>采购项目</w:t>
      </w:r>
    </w:p>
    <w:p>
      <w:pPr>
        <w:spacing w:line="360" w:lineRule="auto"/>
        <w:jc w:val="center"/>
        <w:rPr>
          <w:rFonts w:hint="default" w:eastAsia="华文新魏" w:cs="华文新魏"/>
          <w:b/>
          <w:bCs/>
          <w:spacing w:val="20"/>
          <w:kern w:val="10"/>
          <w:sz w:val="72"/>
          <w:szCs w:val="72"/>
          <w:lang w:val="en-US" w:eastAsia="zh-CN"/>
        </w:rPr>
      </w:pPr>
      <w:r>
        <w:rPr>
          <w:rFonts w:hint="eastAsia" w:ascii="华文新魏" w:hAnsi="Times New Roman" w:eastAsia="华文新魏" w:cs="华文新魏"/>
          <w:b/>
          <w:bCs/>
          <w:spacing w:val="20"/>
          <w:kern w:val="10"/>
          <w:sz w:val="44"/>
          <w:szCs w:val="44"/>
        </w:rPr>
        <w:t>项目编号：</w:t>
      </w:r>
      <w:bookmarkStart w:id="0" w:name="OLE_LINK2"/>
      <w:r>
        <w:rPr>
          <w:rFonts w:hint="eastAsia" w:ascii="华文新魏" w:hAnsi="Times New Roman" w:eastAsia="华文新魏" w:cs="华文新魏"/>
          <w:b/>
          <w:bCs/>
          <w:spacing w:val="20"/>
          <w:kern w:val="10"/>
          <w:sz w:val="44"/>
          <w:szCs w:val="44"/>
        </w:rPr>
        <w:t>ZSSJSXYHP202</w:t>
      </w:r>
      <w:r>
        <w:rPr>
          <w:rFonts w:hint="default" w:ascii="华文新魏" w:hAnsi="Times New Roman" w:eastAsia="华文新魏" w:cs="华文新魏"/>
          <w:b/>
          <w:bCs/>
          <w:spacing w:val="20"/>
          <w:kern w:val="10"/>
          <w:sz w:val="44"/>
          <w:szCs w:val="44"/>
          <w:lang w:val="en-US" w:eastAsia="zh-CN"/>
        </w:rPr>
        <w:t>4</w:t>
      </w:r>
      <w:r>
        <w:rPr>
          <w:rFonts w:hint="eastAsia" w:ascii="华文新魏" w:hAnsi="Times New Roman" w:eastAsia="华文新魏" w:cs="华文新魏"/>
          <w:b/>
          <w:bCs/>
          <w:spacing w:val="20"/>
          <w:kern w:val="10"/>
          <w:sz w:val="44"/>
          <w:szCs w:val="44"/>
        </w:rPr>
        <w:t>XNCG0</w:t>
      </w:r>
      <w:bookmarkEnd w:id="0"/>
      <w:r>
        <w:rPr>
          <w:rFonts w:hint="default" w:ascii="华文新魏" w:hAnsi="Times New Roman" w:eastAsia="华文新魏" w:cs="华文新魏"/>
          <w:b/>
          <w:bCs/>
          <w:spacing w:val="20"/>
          <w:kern w:val="10"/>
          <w:sz w:val="44"/>
          <w:szCs w:val="44"/>
          <w:lang w:val="en-US" w:eastAsia="zh-CN"/>
        </w:rPr>
        <w:t>03</w:t>
      </w:r>
    </w:p>
    <w:p>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竞争性磋商文件</w:t>
      </w:r>
    </w:p>
    <w:p>
      <w:pPr>
        <w:rPr>
          <w:rFonts w:cs="Times New Roman"/>
        </w:rPr>
      </w:pPr>
      <w:r>
        <w:t xml:space="preserve"> </w:t>
      </w:r>
    </w:p>
    <w:p>
      <w:pPr>
        <w:jc w:val="center"/>
        <w:rPr>
          <w:rFonts w:cs="Times New Roman"/>
        </w:rPr>
      </w:pPr>
      <w:r>
        <w:rPr>
          <w:rFonts w:eastAsia="华文新魏" w:cs="Times New Roman"/>
          <w:b/>
          <w:bCs/>
          <w:spacing w:val="100"/>
          <w:sz w:val="30"/>
          <w:szCs w:val="30"/>
        </w:rPr>
        <w:drawing>
          <wp:anchor distT="0" distB="0" distL="114300" distR="114300" simplePos="0" relativeHeight="251659264" behindDoc="0" locked="0" layoutInCell="1" allowOverlap="1">
            <wp:simplePos x="0" y="0"/>
            <wp:positionH relativeFrom="column">
              <wp:posOffset>1860550</wp:posOffset>
            </wp:positionH>
            <wp:positionV relativeFrom="paragraph">
              <wp:posOffset>85090</wp:posOffset>
            </wp:positionV>
            <wp:extent cx="1552575" cy="1612900"/>
            <wp:effectExtent l="0" t="0" r="9525"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1552575" cy="1612900"/>
                    </a:xfrm>
                    <a:prstGeom prst="rect">
                      <a:avLst/>
                    </a:prstGeom>
                    <a:noFill/>
                    <a:ln>
                      <a:noFill/>
                    </a:ln>
                  </pic:spPr>
                </pic:pic>
              </a:graphicData>
            </a:graphic>
          </wp:anchor>
        </w:drawing>
      </w:r>
    </w:p>
    <w:p>
      <w:pPr>
        <w:jc w:val="center"/>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jc w:val="center"/>
      </w:pPr>
      <w: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90" w:name="_GoBack"/>
      <w:bookmarkEnd w:id="90"/>
    </w:p>
    <w:p>
      <w:pPr>
        <w:spacing w:line="800" w:lineRule="exact"/>
        <w:jc w:val="center"/>
        <w:rPr>
          <w:rFonts w:eastAsia="黑体" w:cs="Times New Roman"/>
          <w:sz w:val="20"/>
          <w:szCs w:val="20"/>
        </w:rPr>
      </w:pPr>
      <w:r>
        <w:rPr>
          <w:rFonts w:hint="eastAsia" w:eastAsia="黑体" w:cs="黑体"/>
          <w:sz w:val="36"/>
          <w:szCs w:val="36"/>
        </w:rPr>
        <w:t>采购单位：中山市技师学院</w:t>
      </w:r>
    </w:p>
    <w:p>
      <w:pPr>
        <w:spacing w:line="800" w:lineRule="exact"/>
        <w:jc w:val="center"/>
        <w:rPr>
          <w:rFonts w:eastAsia="黑体" w:cs="Times New Roman"/>
          <w:sz w:val="40"/>
          <w:szCs w:val="40"/>
        </w:rPr>
      </w:pPr>
      <w:r>
        <w:rPr>
          <w:rFonts w:eastAsia="黑体"/>
          <w:sz w:val="40"/>
          <w:szCs w:val="40"/>
        </w:rPr>
        <w:t>2</w:t>
      </w:r>
      <w:r>
        <w:rPr>
          <w:rFonts w:eastAsia="黑体"/>
          <w:color w:val="auto"/>
          <w:sz w:val="40"/>
          <w:szCs w:val="40"/>
        </w:rPr>
        <w:t>02</w:t>
      </w:r>
      <w:r>
        <w:rPr>
          <w:rFonts w:hint="default" w:eastAsia="黑体"/>
          <w:color w:val="auto"/>
          <w:sz w:val="40"/>
          <w:szCs w:val="40"/>
          <w:lang w:val="en-US"/>
        </w:rPr>
        <w:t>4</w:t>
      </w:r>
      <w:r>
        <w:rPr>
          <w:rFonts w:hint="eastAsia" w:eastAsia="黑体" w:cs="黑体"/>
          <w:color w:val="auto"/>
          <w:sz w:val="40"/>
          <w:szCs w:val="40"/>
        </w:rPr>
        <w:t>年</w:t>
      </w:r>
      <w:r>
        <w:rPr>
          <w:rFonts w:eastAsia="黑体"/>
          <w:color w:val="auto"/>
          <w:sz w:val="40"/>
          <w:szCs w:val="40"/>
        </w:rPr>
        <w:t xml:space="preserve"> </w:t>
      </w:r>
      <w:r>
        <w:rPr>
          <w:rFonts w:hint="default" w:eastAsia="黑体"/>
          <w:color w:val="auto"/>
          <w:sz w:val="40"/>
          <w:szCs w:val="40"/>
          <w:lang w:val="en-US" w:eastAsia="zh-CN"/>
        </w:rPr>
        <w:t>1</w:t>
      </w:r>
      <w:r>
        <w:rPr>
          <w:rFonts w:hint="eastAsia" w:eastAsia="黑体" w:cs="黑体"/>
          <w:color w:val="auto"/>
          <w:sz w:val="40"/>
          <w:szCs w:val="40"/>
        </w:rPr>
        <w:t>月</w:t>
      </w:r>
    </w:p>
    <w:p>
      <w:pPr>
        <w:jc w:val="center"/>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jc w:val="center"/>
        <w:rPr>
          <w:rFonts w:ascii="黑体" w:eastAsia="黑体" w:cs="Times New Roman"/>
          <w:b/>
          <w:bCs/>
          <w:sz w:val="32"/>
          <w:szCs w:val="32"/>
        </w:rPr>
      </w:pPr>
      <w:r>
        <w:rPr>
          <w:rFonts w:hint="eastAsia" w:ascii="黑体" w:eastAsia="黑体" w:cs="黑体"/>
          <w:b/>
          <w:bCs/>
          <w:sz w:val="32"/>
          <w:szCs w:val="32"/>
        </w:rPr>
        <w:t>目　录</w:t>
      </w:r>
    </w:p>
    <w:p>
      <w:pPr>
        <w:spacing w:line="440" w:lineRule="exact"/>
        <w:rPr>
          <w:rFonts w:ascii="宋体" w:cs="Times New Roman"/>
        </w:rPr>
      </w:pPr>
    </w:p>
    <w:p>
      <w:pPr>
        <w:pStyle w:val="24"/>
        <w:tabs>
          <w:tab w:val="right" w:leader="dot" w:pos="8504"/>
          <w:tab w:val="clear" w:pos="8299"/>
        </w:tabs>
        <w:spacing w:line="240" w:lineRule="auto"/>
        <w:jc w:val="center"/>
        <w:rPr>
          <w:rFonts w:cs="Times New Roman"/>
          <w:b/>
          <w:bCs/>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rFonts w:cs="Times New Roman"/>
          <w:b/>
          <w:bCs/>
        </w:rPr>
        <w:fldChar w:fldCharType="end"/>
      </w:r>
      <w:r>
        <w:rPr>
          <w:rFonts w:hint="eastAsia"/>
          <w:b/>
          <w:bCs/>
        </w:rPr>
        <w:t>3</w:t>
      </w:r>
    </w:p>
    <w:p>
      <w:pPr>
        <w:pStyle w:val="24"/>
        <w:tabs>
          <w:tab w:val="right" w:leader="dot" w:pos="8504"/>
          <w:tab w:val="clear" w:pos="8299"/>
        </w:tabs>
        <w:spacing w:line="480" w:lineRule="auto"/>
        <w:jc w:val="center"/>
        <w:rPr>
          <w:rFonts w:cs="Times New Roma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rFonts w:cs="Times New Roman"/>
          <w:b/>
          <w:bCs/>
        </w:rPr>
        <w:fldChar w:fldCharType="end"/>
      </w:r>
      <w:r>
        <w:rPr>
          <w:rFonts w:hint="eastAsia"/>
          <w:b/>
          <w:bCs/>
        </w:rPr>
        <w:t>5</w:t>
      </w:r>
    </w:p>
    <w:p>
      <w:pPr>
        <w:pStyle w:val="24"/>
        <w:tabs>
          <w:tab w:val="right" w:leader="dot" w:pos="8504"/>
          <w:tab w:val="clear" w:pos="8299"/>
        </w:tabs>
        <w:spacing w:line="480" w:lineRule="auto"/>
        <w:jc w:val="center"/>
        <w:rPr>
          <w:rFonts w:cs="Times New Roman"/>
        </w:rPr>
      </w:pPr>
      <w:r>
        <w:fldChar w:fldCharType="begin"/>
      </w:r>
      <w:r>
        <w:instrText xml:space="preserve"> HYPERLINK \l "_Toc26765" </w:instrText>
      </w:r>
      <w:r>
        <w:fldChar w:fldCharType="separate"/>
      </w:r>
      <w:r>
        <w:rPr>
          <w:rFonts w:hint="eastAsia"/>
          <w:b/>
          <w:bCs/>
        </w:rPr>
        <w:t>第三章　磋商须知</w:t>
      </w:r>
      <w:r>
        <w:rPr>
          <w:rFonts w:cs="Times New Roman"/>
        </w:rPr>
        <w:tab/>
      </w:r>
      <w:r>
        <w:rPr>
          <w:rFonts w:hint="eastAsia" w:cs="Times New Roman"/>
          <w:lang w:val="en-US" w:eastAsia="zh-CN"/>
        </w:rPr>
        <w:t>9</w:t>
      </w:r>
      <w:r>
        <w:rPr>
          <w:rFonts w:hint="eastAsia"/>
          <w:b/>
          <w:bCs/>
        </w:rPr>
        <w:fldChar w:fldCharType="end"/>
      </w:r>
    </w:p>
    <w:p>
      <w:pPr>
        <w:pStyle w:val="24"/>
        <w:tabs>
          <w:tab w:val="right" w:leader="dot" w:pos="8504"/>
          <w:tab w:val="clear" w:pos="8299"/>
        </w:tabs>
        <w:spacing w:line="480" w:lineRule="auto"/>
        <w:jc w:val="center"/>
        <w:rPr>
          <w:rFonts w:hint="eastAsia" w:eastAsia="宋体" w:cs="Times New Roman"/>
          <w:b/>
          <w:bCs/>
          <w:lang w:val="en-US" w:eastAsia="zh-CN"/>
        </w:rPr>
      </w:pPr>
      <w:r>
        <w:fldChar w:fldCharType="begin"/>
      </w:r>
      <w:r>
        <w:instrText xml:space="preserve"> HYPERLINK \l "_Toc14499" </w:instrText>
      </w:r>
      <w:r>
        <w:fldChar w:fldCharType="separate"/>
      </w:r>
      <w:r>
        <w:rPr>
          <w:rFonts w:hint="eastAsia"/>
          <w:b/>
          <w:bCs/>
        </w:rPr>
        <w:t>第四章　磋商、评审</w:t>
      </w:r>
      <w:bookmarkStart w:id="1" w:name="_Hlt529448655"/>
      <w:bookmarkStart w:id="2" w:name="_Hlt529448656"/>
      <w:r>
        <w:rPr>
          <w:rFonts w:hint="eastAsia"/>
          <w:b/>
          <w:bCs/>
        </w:rPr>
        <w:t>、</w:t>
      </w:r>
      <w:bookmarkEnd w:id="1"/>
      <w:bookmarkEnd w:id="2"/>
      <w:r>
        <w:rPr>
          <w:rFonts w:hint="eastAsia"/>
          <w:b/>
          <w:bCs/>
        </w:rPr>
        <w:t>成交</w:t>
      </w:r>
      <w:r>
        <w:rPr>
          <w:rFonts w:cs="Times New Roman"/>
          <w:b/>
          <w:bCs/>
        </w:rPr>
        <w:tab/>
      </w:r>
      <w:r>
        <w:rPr>
          <w:rFonts w:cs="Times New Roman"/>
          <w:b/>
          <w:bCs/>
        </w:rPr>
        <w:fldChar w:fldCharType="end"/>
      </w:r>
      <w:r>
        <w:rPr>
          <w:rFonts w:hint="eastAsia"/>
          <w:b/>
          <w:bCs/>
        </w:rPr>
        <w:t>2</w:t>
      </w:r>
      <w:r>
        <w:rPr>
          <w:rFonts w:hint="eastAsia"/>
          <w:b/>
          <w:bCs/>
          <w:lang w:val="en-US" w:eastAsia="zh-CN"/>
        </w:rPr>
        <w:t>1</w:t>
      </w:r>
    </w:p>
    <w:p>
      <w:pPr>
        <w:pStyle w:val="24"/>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rFonts w:cs="Times New Roman"/>
          <w:b/>
          <w:bCs/>
        </w:rPr>
        <w:fldChar w:fldCharType="end"/>
      </w:r>
      <w:r>
        <w:rPr>
          <w:rFonts w:hint="eastAsia" w:cs="Times New Roman"/>
          <w:b/>
          <w:bCs/>
          <w:lang w:val="en-US" w:eastAsia="zh-CN"/>
        </w:rPr>
        <w:t>29</w:t>
      </w:r>
    </w:p>
    <w:p>
      <w:pPr>
        <w:pStyle w:val="24"/>
        <w:tabs>
          <w:tab w:val="right" w:leader="dot" w:pos="8504"/>
          <w:tab w:val="clear" w:pos="8299"/>
        </w:tabs>
        <w:spacing w:line="480" w:lineRule="auto"/>
        <w:jc w:val="center"/>
        <w:rPr>
          <w:rFonts w:hint="eastAsia" w:eastAsia="宋体" w:cs="Times New Roman"/>
          <w:lang w:val="en-US" w:eastAsia="zh-C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rFonts w:cs="Times New Roman"/>
          <w:b/>
          <w:bCs/>
        </w:rPr>
        <w:fldChar w:fldCharType="end"/>
      </w:r>
      <w:r>
        <w:rPr>
          <w:rFonts w:hint="eastAsia"/>
          <w:b/>
          <w:bCs/>
        </w:rPr>
        <w:t>3</w:t>
      </w:r>
      <w:r>
        <w:rPr>
          <w:rFonts w:hint="eastAsia"/>
          <w:b/>
          <w:bCs/>
          <w:lang w:val="en-US" w:eastAsia="zh-CN"/>
        </w:rPr>
        <w:t>0</w:t>
      </w:r>
    </w:p>
    <w:p>
      <w:pPr>
        <w:autoSpaceDE w:val="0"/>
        <w:autoSpaceDN w:val="0"/>
        <w:adjustRightInd w:val="0"/>
        <w:snapToGrid w:val="0"/>
        <w:spacing w:before="156" w:beforeLines="50" w:after="156" w:afterLines="50" w:line="360" w:lineRule="auto"/>
        <w:rPr>
          <w:rFonts w:ascii="宋体" w:cs="Times New Roman"/>
        </w:rPr>
      </w:pPr>
      <w:r>
        <w:fldChar w:fldCharType="end"/>
      </w:r>
      <w:r>
        <w:rPr>
          <w:rFonts w:ascii="宋体" w:hAnsi="宋体" w:cs="宋体"/>
        </w:rPr>
        <w:t xml:space="preserve"> </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pacing w:line="360" w:lineRule="auto"/>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pPr>
        <w:spacing w:line="440" w:lineRule="exact"/>
        <w:ind w:firstLine="420"/>
        <w:rPr>
          <w:rFonts w:ascii="仿宋_GB2312" w:hAnsi="宋体" w:cs="Times New Roman"/>
          <w:sz w:val="28"/>
          <w:szCs w:val="28"/>
        </w:rPr>
      </w:pPr>
      <w:r>
        <w:rPr>
          <w:rFonts w:hint="eastAsia" w:cs="宋体"/>
          <w:kern w:val="28"/>
        </w:rPr>
        <w:t>中山市技师学院（以下简书称“采购人”）对</w:t>
      </w:r>
      <w:r>
        <w:rPr>
          <w:rFonts w:hint="eastAsia" w:ascii="宋体" w:hAnsi="宋体" w:cs="宋体"/>
        </w:rPr>
        <w:t>中山市技师学院</w:t>
      </w:r>
      <w:r>
        <w:rPr>
          <w:rFonts w:hint="eastAsia" w:ascii="宋体" w:hAnsi="宋体" w:cs="宋体"/>
          <w:lang w:val="en-US" w:eastAsia="zh-CN"/>
        </w:rPr>
        <w:t>两校区2024年办公设备维护耗材供货资格采购项目</w:t>
      </w:r>
      <w:r>
        <w:rPr>
          <w:rFonts w:hint="eastAsia" w:cs="宋体"/>
          <w:kern w:val="28"/>
        </w:rPr>
        <w:t>以竞争性磋商方式采购，欢迎符合资格条件的供应商参加。</w:t>
      </w:r>
    </w:p>
    <w:p>
      <w:pPr>
        <w:spacing w:line="440" w:lineRule="exact"/>
        <w:ind w:firstLine="420"/>
        <w:rPr>
          <w:color w:val="auto"/>
          <w:kern w:val="28"/>
        </w:rPr>
      </w:pPr>
      <w:r>
        <w:rPr>
          <w:rFonts w:hint="eastAsia" w:cs="宋体"/>
          <w:kern w:val="28"/>
        </w:rPr>
        <w:t>一、采购项目编号：</w:t>
      </w:r>
      <w:r>
        <w:rPr>
          <w:rFonts w:hint="eastAsia" w:cs="宋体"/>
        </w:rPr>
        <w:t>ZSS</w:t>
      </w:r>
      <w:r>
        <w:rPr>
          <w:rFonts w:hint="eastAsia" w:cs="宋体"/>
          <w:color w:val="auto"/>
        </w:rPr>
        <w:t>JSXYHP202</w:t>
      </w:r>
      <w:r>
        <w:rPr>
          <w:rFonts w:hint="default" w:cs="宋体"/>
          <w:color w:val="auto"/>
          <w:lang w:val="en-US"/>
        </w:rPr>
        <w:t>4</w:t>
      </w:r>
      <w:r>
        <w:rPr>
          <w:rFonts w:hint="eastAsia" w:cs="宋体"/>
          <w:color w:val="auto"/>
        </w:rPr>
        <w:t>XNCG0</w:t>
      </w:r>
      <w:r>
        <w:rPr>
          <w:rFonts w:hint="default" w:cs="宋体"/>
          <w:color w:val="auto"/>
          <w:lang w:val="en-US" w:eastAsia="zh-CN"/>
        </w:rPr>
        <w:t>03</w:t>
      </w:r>
      <w:r>
        <w:rPr>
          <w:rFonts w:hint="eastAsia" w:cs="宋体"/>
          <w:color w:val="auto"/>
        </w:rPr>
        <w:t xml:space="preserve"> </w:t>
      </w:r>
      <w:r>
        <w:rPr>
          <w:color w:val="auto"/>
          <w:kern w:val="28"/>
        </w:rPr>
        <w:t xml:space="preserve"> </w:t>
      </w:r>
    </w:p>
    <w:p>
      <w:pPr>
        <w:spacing w:line="440" w:lineRule="exact"/>
        <w:ind w:firstLine="420"/>
        <w:rPr>
          <w:rFonts w:cs="Times New Roman"/>
          <w:kern w:val="28"/>
        </w:rPr>
      </w:pPr>
      <w:r>
        <w:rPr>
          <w:rFonts w:hint="eastAsia" w:cs="宋体"/>
          <w:color w:val="auto"/>
          <w:kern w:val="28"/>
        </w:rPr>
        <w:t>二、项目名称：</w:t>
      </w:r>
      <w:r>
        <w:rPr>
          <w:rFonts w:hint="eastAsia" w:ascii="宋体" w:hAnsi="宋体" w:cs="宋体"/>
          <w:color w:val="auto"/>
        </w:rPr>
        <w:t>中山市技师学院两校区2024年办公设备维护耗材</w:t>
      </w:r>
      <w:r>
        <w:rPr>
          <w:rFonts w:hint="eastAsia" w:ascii="宋体" w:hAnsi="宋体" w:cs="宋体"/>
          <w:color w:val="auto"/>
          <w:lang w:val="en-US" w:eastAsia="zh-CN"/>
        </w:rPr>
        <w:t>供货资格</w:t>
      </w:r>
      <w:r>
        <w:rPr>
          <w:rFonts w:hint="eastAsia" w:ascii="宋体" w:hAnsi="宋体" w:cs="宋体"/>
          <w:color w:val="auto"/>
        </w:rPr>
        <w:t>采购项目</w:t>
      </w:r>
      <w:r>
        <w:rPr>
          <w:rFonts w:hint="eastAsia" w:cs="宋体"/>
          <w:kern w:val="28"/>
        </w:rPr>
        <w:t>。</w:t>
      </w:r>
    </w:p>
    <w:p>
      <w:pPr>
        <w:spacing w:line="440" w:lineRule="exact"/>
        <w:ind w:firstLine="420" w:firstLineChars="200"/>
        <w:rPr>
          <w:rFonts w:cs="Times New Roman"/>
          <w:kern w:val="28"/>
        </w:rPr>
      </w:pPr>
      <w:r>
        <w:rPr>
          <w:rFonts w:hint="eastAsia" w:cs="宋体"/>
          <w:kern w:val="28"/>
        </w:rPr>
        <w:t>三、采购预算</w:t>
      </w:r>
      <w:r>
        <w:rPr>
          <w:rFonts w:hint="eastAsia" w:cs="宋体"/>
          <w:color w:val="auto"/>
          <w:kern w:val="28"/>
        </w:rPr>
        <w:t>：</w:t>
      </w:r>
      <w:r>
        <w:rPr>
          <w:rFonts w:hint="default" w:cs="宋体"/>
          <w:color w:val="auto"/>
          <w:kern w:val="28"/>
          <w:lang w:val="en-US" w:eastAsia="zh-CN"/>
        </w:rPr>
        <w:t>193000</w:t>
      </w:r>
      <w:r>
        <w:rPr>
          <w:rFonts w:hint="eastAsia" w:ascii="宋体" w:hAnsi="宋体" w:cs="宋体"/>
          <w:color w:val="auto"/>
        </w:rPr>
        <w:t>元</w:t>
      </w:r>
      <w:r>
        <w:rPr>
          <w:rFonts w:hint="eastAsia" w:ascii="宋体" w:hAnsi="宋体" w:cs="宋体"/>
          <w:color w:val="auto"/>
          <w:lang w:val="en-US" w:eastAsia="zh-CN"/>
        </w:rPr>
        <w:t>,</w:t>
      </w:r>
      <w:r>
        <w:rPr>
          <w:rFonts w:hint="eastAsia" w:cs="宋体" w:asciiTheme="minorEastAsia" w:hAnsiTheme="minorEastAsia" w:eastAsiaTheme="minorEastAsia"/>
          <w:color w:val="auto"/>
        </w:rPr>
        <w:t>超过最高限价视为无效投标</w:t>
      </w:r>
    </w:p>
    <w:p>
      <w:pPr>
        <w:autoSpaceDE w:val="0"/>
        <w:autoSpaceDN w:val="0"/>
        <w:adjustRightInd w:val="0"/>
        <w:snapToGrid w:val="0"/>
        <w:spacing w:line="440" w:lineRule="exact"/>
        <w:ind w:firstLine="420" w:firstLineChars="200"/>
        <w:rPr>
          <w:rFonts w:ascii="宋体" w:cs="Times New Roman"/>
          <w:u w:val="single"/>
        </w:rPr>
      </w:pPr>
      <w:r>
        <w:rPr>
          <w:rFonts w:hint="eastAsia" w:ascii="宋体" w:hAnsi="宋体" w:cs="宋体"/>
          <w:lang w:val="zh-CN"/>
        </w:rPr>
        <w:t>四、采购数量：</w:t>
      </w:r>
      <w:r>
        <w:rPr>
          <w:rFonts w:ascii="宋体" w:hAnsi="宋体" w:cs="宋体"/>
          <w:lang w:val="zh-CN"/>
        </w:rPr>
        <w:t>1</w:t>
      </w:r>
      <w:r>
        <w:rPr>
          <w:rFonts w:hint="eastAsia" w:ascii="宋体" w:hAnsi="宋体" w:cs="宋体"/>
          <w:lang w:val="zh-CN"/>
        </w:rPr>
        <w:t>项。</w:t>
      </w:r>
    </w:p>
    <w:p>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五、采购</w:t>
      </w:r>
      <w:r>
        <w:rPr>
          <w:rFonts w:hint="eastAsia" w:ascii="宋体" w:hAnsi="宋体" w:cs="宋体"/>
        </w:rPr>
        <w:t>项目内容及其它要求</w:t>
      </w:r>
    </w:p>
    <w:p>
      <w:pPr>
        <w:widowControl/>
        <w:numPr>
          <w:ilvl w:val="0"/>
          <w:numId w:val="1"/>
        </w:numPr>
        <w:spacing w:line="440" w:lineRule="exact"/>
        <w:jc w:val="left"/>
        <w:rPr>
          <w:rFonts w:cs="Times New Roman"/>
          <w:kern w:val="28"/>
        </w:rPr>
      </w:pPr>
      <w:r>
        <w:rPr>
          <w:rFonts w:hint="eastAsia" w:cs="宋体"/>
          <w:kern w:val="28"/>
        </w:rPr>
        <w:t>项目编号：</w:t>
      </w:r>
      <w:r>
        <w:rPr>
          <w:rFonts w:hint="eastAsia" w:cs="宋体"/>
        </w:rPr>
        <w:t>ZSSJSXYHP202</w:t>
      </w:r>
      <w:r>
        <w:rPr>
          <w:rFonts w:hint="default" w:cs="宋体"/>
          <w:lang w:val="en-US" w:eastAsia="zh-CN"/>
        </w:rPr>
        <w:t>4</w:t>
      </w:r>
      <w:r>
        <w:rPr>
          <w:rFonts w:hint="eastAsia" w:cs="宋体"/>
        </w:rPr>
        <w:t>XNCG0</w:t>
      </w:r>
      <w:r>
        <w:rPr>
          <w:rFonts w:hint="default" w:cs="宋体"/>
          <w:lang w:val="en-US" w:eastAsia="zh-CN"/>
        </w:rPr>
        <w:t>03</w:t>
      </w:r>
      <w:r>
        <w:rPr>
          <w:rFonts w:hint="eastAsia" w:cs="宋体"/>
          <w:kern w:val="28"/>
        </w:rPr>
        <w:t>。</w:t>
      </w:r>
    </w:p>
    <w:p>
      <w:pPr>
        <w:widowControl/>
        <w:numPr>
          <w:ilvl w:val="0"/>
          <w:numId w:val="1"/>
        </w:numPr>
        <w:spacing w:line="440" w:lineRule="exact"/>
        <w:jc w:val="left"/>
        <w:rPr>
          <w:rFonts w:ascii="宋体" w:hAnsi="宋体" w:cs="宋体"/>
        </w:rPr>
      </w:pPr>
      <w:r>
        <w:rPr>
          <w:rFonts w:hint="eastAsia" w:ascii="宋体" w:hAnsi="宋体" w:cs="宋体"/>
        </w:rPr>
        <w:t>采购内容：详见磋商文件第二部分“用户需求书”的内容。供应商须对全部采购内容进行报价，不允许只对部份内容报价。</w:t>
      </w:r>
    </w:p>
    <w:p>
      <w:pPr>
        <w:widowControl/>
        <w:numPr>
          <w:ilvl w:val="0"/>
          <w:numId w:val="1"/>
        </w:numPr>
        <w:spacing w:line="440" w:lineRule="exact"/>
        <w:jc w:val="left"/>
      </w:pPr>
      <w:r>
        <w:rPr>
          <w:rFonts w:hint="eastAsia" w:ascii="宋体" w:hAnsi="宋体" w:cs="宋体"/>
        </w:rPr>
        <w:t>特别说明：《财政部关于政府采购竞争性磋商采购方式管理暂行办法有关问题的补充通知》中规定，采用竞争性磋商采购方式采购的项目，在采购过程中符合要求的供应商只有2家的，竞争性磋商采购活动可以继续进行。采购过程中符合要求的供应商只有1家的，采购人应当终止竞争性磋商采购活动，发布项目终止公告并说明原因，重新开展采购活动。</w:t>
      </w:r>
    </w:p>
    <w:p>
      <w:pPr>
        <w:widowControl/>
        <w:numPr>
          <w:ilvl w:val="0"/>
          <w:numId w:val="1"/>
        </w:numPr>
        <w:spacing w:line="440" w:lineRule="exact"/>
        <w:jc w:val="left"/>
        <w:rPr>
          <w:rFonts w:ascii="宋体" w:cs="Times New Roman"/>
        </w:rPr>
      </w:pPr>
      <w:r>
        <w:rPr>
          <w:rFonts w:hint="eastAsia" w:ascii="宋体" w:hAnsi="宋体" w:cs="宋体"/>
        </w:rPr>
        <w:t>本项目不允许提交备选方案。</w:t>
      </w:r>
    </w:p>
    <w:p>
      <w:pPr>
        <w:adjustRightInd w:val="0"/>
        <w:snapToGrid w:val="0"/>
        <w:spacing w:line="440" w:lineRule="exact"/>
        <w:ind w:firstLine="420" w:firstLineChars="200"/>
        <w:rPr>
          <w:rFonts w:ascii="宋体" w:cs="Times New Roman"/>
        </w:rPr>
      </w:pPr>
      <w:r>
        <w:rPr>
          <w:rFonts w:hint="eastAsia" w:ascii="宋体" w:hAnsi="宋体" w:cs="宋体"/>
          <w:lang w:val="zh-CN"/>
        </w:rPr>
        <w:t>六</w:t>
      </w:r>
      <w:r>
        <w:rPr>
          <w:rFonts w:hint="eastAsia" w:ascii="宋体" w:hAnsi="宋体" w:cs="宋体"/>
        </w:rPr>
        <w:t>、供应商资格条件：</w:t>
      </w:r>
    </w:p>
    <w:p>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具有独立承担民事责任能力的在中华人民共和国境内注册的企业法人或其他组织机构（提供营业执照复印件加盖公章）；</w:t>
      </w:r>
      <w:r>
        <w:rPr>
          <w:rFonts w:ascii="宋体" w:hAnsi="宋体" w:cs="宋体"/>
        </w:rPr>
        <w:t xml:space="preserve"> </w:t>
      </w:r>
    </w:p>
    <w:p>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2.2</w:t>
      </w:r>
      <w:r>
        <w:rPr>
          <w:rFonts w:hint="eastAsia" w:ascii="宋体" w:hAnsi="宋体" w:cs="宋体"/>
        </w:rPr>
        <w:t>有依法缴纳税收和社会保障资金的良好记录；</w:t>
      </w:r>
    </w:p>
    <w:p>
      <w:pPr>
        <w:widowControl/>
        <w:tabs>
          <w:tab w:val="left" w:pos="420"/>
          <w:tab w:val="left" w:pos="525"/>
          <w:tab w:val="left" w:pos="9639"/>
        </w:tabs>
        <w:spacing w:line="360" w:lineRule="auto"/>
        <w:ind w:left="420" w:right="-6" w:rightChars="-3"/>
        <w:jc w:val="left"/>
        <w:rPr>
          <w:rFonts w:ascii="宋体" w:cs="Times New Roman"/>
        </w:rPr>
      </w:pPr>
      <w:r>
        <w:rPr>
          <w:rFonts w:ascii="宋体" w:hAnsi="宋体" w:cs="宋体"/>
          <w:kern w:val="28"/>
        </w:rPr>
        <w:t>2.3</w:t>
      </w:r>
      <w:r>
        <w:rPr>
          <w:rFonts w:hint="eastAsia" w:ascii="宋体" w:hAnsi="宋体" w:cs="宋体"/>
        </w:rPr>
        <w:t>具有履行合同所必需的设备和专业技术能力；</w:t>
      </w:r>
    </w:p>
    <w:p>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pPr>
        <w:widowControl/>
        <w:numPr>
          <w:ilvl w:val="0"/>
          <w:numId w:val="3"/>
        </w:numPr>
        <w:tabs>
          <w:tab w:val="left" w:pos="420"/>
          <w:tab w:val="left" w:pos="525"/>
          <w:tab w:val="left" w:pos="9639"/>
        </w:tabs>
        <w:spacing w:line="360" w:lineRule="auto"/>
        <w:ind w:right="-6" w:rightChars="-3"/>
        <w:jc w:val="left"/>
        <w:rPr>
          <w:rFonts w:ascii="宋体"/>
        </w:rPr>
      </w:pPr>
      <w:r>
        <w:rPr>
          <w:rFonts w:hint="eastAsia" w:ascii="宋体" w:hAnsi="宋体" w:cs="宋体"/>
        </w:rPr>
        <w:t>供应商未被采购人曝光或记录供应商不良行为（提供</w:t>
      </w:r>
      <w:r>
        <w:rPr>
          <w:rFonts w:hint="eastAsia" w:cs="宋体"/>
          <w:kern w:val="28"/>
        </w:rPr>
        <w:t>《投标人资格声明函》</w:t>
      </w:r>
      <w:r>
        <w:rPr>
          <w:rFonts w:hint="eastAsia" w:ascii="宋体" w:hAnsi="宋体" w:cs="宋体"/>
        </w:rPr>
        <w:t>）；</w:t>
      </w:r>
    </w:p>
    <w:p>
      <w:pPr>
        <w:widowControl/>
        <w:numPr>
          <w:ilvl w:val="0"/>
          <w:numId w:val="2"/>
        </w:numPr>
        <w:spacing w:line="360" w:lineRule="auto"/>
        <w:rPr>
          <w:rFonts w:cs="Times New Roman"/>
          <w:kern w:val="28"/>
        </w:rPr>
      </w:pPr>
      <w:r>
        <w:rPr>
          <w:rFonts w:hint="eastAsia" w:cs="宋体"/>
          <w:kern w:val="28"/>
        </w:rPr>
        <w:t>为采购项目提供整体设计、规范编制或者项目管理、监理、检测等服务的供应商，不得再参加该采购项目的其他采购活动；（提供《投标人资格声明函》）；</w:t>
      </w:r>
    </w:p>
    <w:p>
      <w:pPr>
        <w:widowControl/>
        <w:numPr>
          <w:ilvl w:val="0"/>
          <w:numId w:val="2"/>
        </w:numPr>
        <w:spacing w:line="360" w:lineRule="auto"/>
        <w:rPr>
          <w:rFonts w:cs="Times New Roman"/>
          <w:kern w:val="28"/>
        </w:rPr>
      </w:pPr>
      <w:r>
        <w:rPr>
          <w:rFonts w:hint="eastAsia" w:cs="宋体"/>
          <w:kern w:val="28"/>
        </w:rPr>
        <w:t>单位负责人为同一人或者存在直接控股、管理关系的不同供应商，不得参加同一合同项下的采购活动；（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pPr>
        <w:widowControl/>
        <w:numPr>
          <w:ilvl w:val="0"/>
          <w:numId w:val="2"/>
        </w:numPr>
        <w:spacing w:line="360" w:lineRule="auto"/>
        <w:rPr>
          <w:rFonts w:cs="Times New Roman"/>
          <w:kern w:val="28"/>
        </w:rPr>
      </w:pP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3" w:name="_Hlk38352078"/>
      <w:r>
        <w:rPr>
          <w:rFonts w:hint="eastAsia" w:cs="宋体"/>
          <w:kern w:val="28"/>
        </w:rPr>
        <w:t>投标截止日前在“信用中国”网站（</w:t>
      </w:r>
      <w:r>
        <w:rPr>
          <w:kern w:val="28"/>
        </w:rPr>
        <w:t>www.creditchina.gov.cn</w:t>
      </w:r>
      <w:r>
        <w:rPr>
          <w:rFonts w:hint="eastAsia" w:cs="宋体"/>
          <w:kern w:val="28"/>
        </w:rPr>
        <w:t>）查询结果截图</w:t>
      </w:r>
      <w:bookmarkEnd w:id="3"/>
      <w:r>
        <w:rPr>
          <w:rFonts w:hint="eastAsia" w:cs="宋体"/>
          <w:kern w:val="28"/>
        </w:rPr>
        <w:t>作为证明材料，采购人在开标当天查询验证）。</w:t>
      </w:r>
    </w:p>
    <w:p>
      <w:pPr>
        <w:widowControl/>
        <w:numPr>
          <w:ilvl w:val="0"/>
          <w:numId w:val="2"/>
        </w:numPr>
        <w:spacing w:line="360" w:lineRule="auto"/>
        <w:rPr>
          <w:rFonts w:cs="Times New Roman"/>
          <w:kern w:val="28"/>
        </w:rPr>
      </w:pP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4"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4"/>
      <w:r>
        <w:rPr>
          <w:rFonts w:hint="eastAsia" w:cs="宋体"/>
          <w:kern w:val="28"/>
        </w:rPr>
        <w:t>作为证明材料，采购人在开标当天查询验证）。</w:t>
      </w:r>
    </w:p>
    <w:p>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本项目不接受联合体投标；</w:t>
      </w:r>
    </w:p>
    <w:p>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七</w:t>
      </w:r>
      <w:r>
        <w:rPr>
          <w:rFonts w:hint="eastAsia" w:ascii="宋体" w:hAnsi="宋体" w:cs="宋体"/>
        </w:rPr>
        <w:t>、</w:t>
      </w:r>
      <w:r>
        <w:rPr>
          <w:rFonts w:hint="eastAsia" w:cs="宋体"/>
          <w:kern w:val="28"/>
        </w:rPr>
        <w:t>符合资格的供应商</w:t>
      </w:r>
      <w:r>
        <w:rPr>
          <w:rFonts w:hint="eastAsia" w:cs="宋体"/>
          <w:color w:val="auto"/>
          <w:kern w:val="28"/>
        </w:rPr>
        <w:t>须在</w:t>
      </w:r>
      <w:r>
        <w:rPr>
          <w:rFonts w:hint="eastAsia"/>
          <w:color w:val="auto"/>
          <w:kern w:val="28"/>
        </w:rPr>
        <w:t>202</w:t>
      </w:r>
      <w:r>
        <w:rPr>
          <w:rFonts w:hint="eastAsia"/>
          <w:color w:val="auto"/>
          <w:kern w:val="28"/>
          <w:lang w:val="en-US" w:eastAsia="zh-CN"/>
        </w:rPr>
        <w:t>4</w:t>
      </w:r>
      <w:r>
        <w:rPr>
          <w:rFonts w:hint="eastAsia" w:cs="宋体"/>
          <w:color w:val="auto"/>
          <w:kern w:val="28"/>
        </w:rPr>
        <w:t>年</w:t>
      </w:r>
      <w:r>
        <w:rPr>
          <w:rFonts w:hint="eastAsia" w:cs="宋体"/>
          <w:color w:val="auto"/>
          <w:kern w:val="28"/>
          <w:lang w:val="en-US" w:eastAsia="zh-CN"/>
        </w:rPr>
        <w:t>1</w:t>
      </w:r>
      <w:r>
        <w:rPr>
          <w:rFonts w:hint="eastAsia" w:cs="宋体"/>
          <w:color w:val="auto"/>
          <w:kern w:val="28"/>
        </w:rPr>
        <w:t>月</w:t>
      </w:r>
      <w:r>
        <w:rPr>
          <w:rFonts w:hint="eastAsia"/>
          <w:color w:val="auto"/>
          <w:kern w:val="28"/>
          <w:lang w:val="en-US" w:eastAsia="zh-CN"/>
        </w:rPr>
        <w:t>22</w:t>
      </w:r>
      <w:r>
        <w:rPr>
          <w:rFonts w:hint="eastAsia" w:cs="宋体"/>
          <w:color w:val="auto"/>
          <w:kern w:val="28"/>
        </w:rPr>
        <w:t>日至</w:t>
      </w:r>
      <w:r>
        <w:rPr>
          <w:rFonts w:hint="eastAsia"/>
          <w:color w:val="auto"/>
          <w:kern w:val="28"/>
        </w:rPr>
        <w:t>202</w:t>
      </w:r>
      <w:r>
        <w:rPr>
          <w:rFonts w:hint="eastAsia"/>
          <w:color w:val="auto"/>
          <w:kern w:val="28"/>
          <w:lang w:val="en-US" w:eastAsia="zh-CN"/>
        </w:rPr>
        <w:t>4</w:t>
      </w:r>
      <w:r>
        <w:rPr>
          <w:rFonts w:hint="eastAsia" w:cs="宋体"/>
          <w:color w:val="auto"/>
          <w:kern w:val="28"/>
        </w:rPr>
        <w:t>年</w:t>
      </w:r>
      <w:r>
        <w:rPr>
          <w:rFonts w:hint="eastAsia" w:cs="宋体"/>
          <w:color w:val="auto"/>
          <w:kern w:val="28"/>
          <w:lang w:val="en-US" w:eastAsia="zh-CN"/>
        </w:rPr>
        <w:t>1</w:t>
      </w:r>
      <w:r>
        <w:rPr>
          <w:rFonts w:hint="eastAsia" w:cs="宋体"/>
          <w:color w:val="auto"/>
          <w:kern w:val="28"/>
        </w:rPr>
        <w:t>月</w:t>
      </w:r>
      <w:r>
        <w:rPr>
          <w:rFonts w:hint="eastAsia"/>
          <w:color w:val="auto"/>
          <w:kern w:val="28"/>
          <w:lang w:val="en-US" w:eastAsia="zh-CN"/>
        </w:rPr>
        <w:t>26</w:t>
      </w:r>
      <w:r>
        <w:rPr>
          <w:rFonts w:hint="eastAsia" w:cs="宋体"/>
          <w:color w:val="auto"/>
          <w:kern w:val="28"/>
        </w:rPr>
        <w:t>日</w:t>
      </w:r>
      <w:r>
        <w:rPr>
          <w:rFonts w:hint="eastAsia" w:ascii="宋体" w:hAnsi="宋体" w:cs="宋体"/>
          <w:color w:val="auto"/>
        </w:rPr>
        <w:t>期</w:t>
      </w:r>
      <w:r>
        <w:rPr>
          <w:rFonts w:hint="eastAsia" w:ascii="宋体" w:hAnsi="宋体" w:cs="宋体"/>
        </w:rPr>
        <w:t>间（上午</w:t>
      </w:r>
      <w:r>
        <w:rPr>
          <w:rFonts w:ascii="宋体" w:hAnsi="宋体" w:cs="宋体"/>
        </w:rPr>
        <w:t>8:30</w:t>
      </w:r>
      <w:r>
        <w:rPr>
          <w:rFonts w:ascii="宋体" w:cs="宋体"/>
        </w:rPr>
        <w:t>-</w:t>
      </w:r>
      <w:r>
        <w:rPr>
          <w:rFonts w:ascii="宋体" w:hAnsi="宋体" w:cs="宋体"/>
        </w:rPr>
        <w:t>12:</w:t>
      </w:r>
      <w:r>
        <w:rPr>
          <w:rFonts w:ascii="宋体" w:cs="宋体"/>
        </w:rPr>
        <w:t>00</w:t>
      </w:r>
      <w:r>
        <w:rPr>
          <w:rFonts w:hint="eastAsia" w:ascii="宋体" w:hAnsi="宋体" w:cs="宋体"/>
        </w:rPr>
        <w:t>，下午</w:t>
      </w:r>
      <w:r>
        <w:rPr>
          <w:rFonts w:ascii="宋体" w:hAnsi="宋体" w:cs="宋体"/>
        </w:rPr>
        <w:t>14:30</w:t>
      </w:r>
      <w:r>
        <w:rPr>
          <w:rFonts w:ascii="宋体" w:cs="宋体"/>
        </w:rPr>
        <w:t>-</w:t>
      </w:r>
      <w:r>
        <w:rPr>
          <w:rFonts w:ascii="宋体" w:hAnsi="宋体" w:cs="宋体"/>
        </w:rPr>
        <w:t>1</w:t>
      </w:r>
      <w:r>
        <w:rPr>
          <w:rFonts w:hint="eastAsia" w:ascii="宋体" w:hAnsi="宋体" w:cs="宋体"/>
          <w:lang w:val="en-US" w:eastAsia="zh-CN"/>
        </w:rPr>
        <w:t>6</w:t>
      </w:r>
      <w:r>
        <w:rPr>
          <w:rFonts w:ascii="宋体" w:hAnsi="宋体" w:cs="宋体"/>
        </w:rPr>
        <w:t>:</w:t>
      </w:r>
      <w:r>
        <w:rPr>
          <w:rFonts w:ascii="宋体" w:cs="宋体"/>
        </w:rPr>
        <w:t>00</w:t>
      </w:r>
      <w:r>
        <w:rPr>
          <w:rFonts w:hint="eastAsia" w:ascii="宋体" w:hAnsi="宋体" w:cs="宋体"/>
        </w:rPr>
        <w:t>，法定节假日除外）自行下载并填写报名表，附上营业执照复印件和经办人身份证的复印件（均需加盖公章）进行现场报名（疫情期间可采用邮寄方式进行报名参与）</w:t>
      </w:r>
      <w:r>
        <w:rPr>
          <w:rFonts w:hint="eastAsia" w:cs="宋体"/>
          <w:kern w:val="28"/>
        </w:rPr>
        <w:t>。</w:t>
      </w:r>
      <w:r>
        <w:rPr>
          <w:rFonts w:hint="eastAsia" w:ascii="宋体" w:hAnsi="宋体" w:cs="宋体"/>
        </w:rPr>
        <w:t>磋商文件索取：请各供应商到中山市技师学院网站（</w:t>
      </w:r>
      <w:r>
        <w:rPr>
          <w:rFonts w:ascii="宋体" w:hAnsi="宋体" w:cs="宋体"/>
        </w:rPr>
        <w:t>http://www.zsjx.cn</w:t>
      </w:r>
      <w:r>
        <w:rPr>
          <w:rFonts w:hint="eastAsia" w:ascii="宋体" w:hAnsi="宋体" w:cs="宋体"/>
        </w:rPr>
        <w:t>）下载。</w:t>
      </w:r>
    </w:p>
    <w:p>
      <w:pPr>
        <w:adjustRightInd w:val="0"/>
        <w:snapToGrid w:val="0"/>
        <w:spacing w:line="440" w:lineRule="exact"/>
        <w:ind w:firstLine="441" w:firstLineChars="210"/>
        <w:rPr>
          <w:rFonts w:ascii="宋体" w:cs="Times New Roman"/>
          <w:color w:val="auto"/>
        </w:rPr>
      </w:pPr>
      <w:r>
        <w:rPr>
          <w:rFonts w:hint="eastAsia" w:ascii="宋体" w:hAnsi="宋体" w:cs="宋体"/>
        </w:rPr>
        <w:t>八、响应文件递</w:t>
      </w:r>
      <w:r>
        <w:rPr>
          <w:rFonts w:hint="eastAsia" w:ascii="宋体" w:hAnsi="宋体" w:cs="宋体"/>
          <w:color w:val="auto"/>
        </w:rPr>
        <w:t>交截止时间：202</w:t>
      </w:r>
      <w:r>
        <w:rPr>
          <w:rFonts w:hint="eastAsia" w:ascii="宋体" w:hAnsi="宋体" w:cs="宋体"/>
          <w:color w:val="auto"/>
          <w:lang w:val="en-US" w:eastAsia="zh-CN"/>
        </w:rPr>
        <w:t>4</w:t>
      </w:r>
      <w:r>
        <w:rPr>
          <w:rFonts w:hint="eastAsia" w:ascii="宋体" w:hAnsi="宋体" w:cs="宋体"/>
          <w:color w:val="auto"/>
        </w:rPr>
        <w:t>年</w:t>
      </w:r>
      <w:r>
        <w:rPr>
          <w:rFonts w:hint="eastAsia" w:ascii="宋体" w:hAnsi="宋体" w:cs="宋体"/>
          <w:color w:val="auto"/>
          <w:lang w:val="en-US" w:eastAsia="zh-CN"/>
        </w:rPr>
        <w:t>2</w:t>
      </w:r>
      <w:r>
        <w:rPr>
          <w:rFonts w:hint="eastAsia" w:ascii="宋体" w:hAnsi="宋体" w:cs="宋体"/>
          <w:color w:val="auto"/>
        </w:rPr>
        <w:t>月</w:t>
      </w:r>
      <w:r>
        <w:rPr>
          <w:rFonts w:hint="eastAsia" w:ascii="宋体" w:hAnsi="宋体" w:cs="宋体"/>
          <w:color w:val="auto"/>
          <w:lang w:val="en-US" w:eastAsia="zh-CN"/>
        </w:rPr>
        <w:t>1</w:t>
      </w:r>
      <w:r>
        <w:rPr>
          <w:rFonts w:hint="eastAsia" w:ascii="宋体" w:hAnsi="宋体" w:cs="宋体"/>
          <w:color w:val="auto"/>
        </w:rPr>
        <w:t>日上午1</w:t>
      </w:r>
      <w:r>
        <w:rPr>
          <w:rFonts w:hint="eastAsia" w:ascii="宋体" w:hAnsi="宋体" w:cs="宋体"/>
          <w:color w:val="auto"/>
          <w:lang w:val="en-US" w:eastAsia="zh-CN"/>
        </w:rPr>
        <w:t>0</w:t>
      </w:r>
      <w:r>
        <w:rPr>
          <w:rFonts w:ascii="宋体" w:hAnsi="宋体" w:cs="宋体"/>
          <w:color w:val="auto"/>
        </w:rPr>
        <w:t>:</w:t>
      </w:r>
      <w:r>
        <w:rPr>
          <w:rFonts w:hint="eastAsia" w:ascii="宋体" w:hAnsi="宋体" w:cs="宋体"/>
          <w:color w:val="auto"/>
        </w:rPr>
        <w:t>00。</w:t>
      </w:r>
    </w:p>
    <w:p>
      <w:pPr>
        <w:adjustRightInd w:val="0"/>
        <w:snapToGrid w:val="0"/>
        <w:spacing w:line="440" w:lineRule="exact"/>
        <w:ind w:firstLine="441" w:firstLineChars="210"/>
        <w:rPr>
          <w:rFonts w:ascii="宋体" w:cs="Times New Roman"/>
        </w:rPr>
      </w:pPr>
      <w:r>
        <w:rPr>
          <w:rFonts w:hint="eastAsia" w:ascii="宋体" w:hAnsi="宋体" w:cs="宋体"/>
        </w:rPr>
        <w:t>九、中山市黄圃镇祥安北路6号中山市技师学院（北校区）综合楼六楼总务处605室递交的响应文件，不接收邮寄方式递交的响应文件。</w:t>
      </w:r>
    </w:p>
    <w:p>
      <w:pPr>
        <w:adjustRightInd w:val="0"/>
        <w:snapToGrid w:val="0"/>
        <w:spacing w:line="440" w:lineRule="exact"/>
        <w:ind w:firstLine="441" w:firstLineChars="210"/>
        <w:rPr>
          <w:rFonts w:ascii="宋体" w:cs="Times New Roman"/>
          <w:color w:val="auto"/>
        </w:rPr>
      </w:pPr>
      <w:r>
        <w:rPr>
          <w:rFonts w:hint="eastAsia" w:ascii="宋体" w:hAnsi="宋体" w:cs="宋体"/>
        </w:rPr>
        <w:t>十、磋商时间</w:t>
      </w:r>
      <w:r>
        <w:rPr>
          <w:rFonts w:hint="eastAsia" w:ascii="宋体" w:hAnsi="宋体" w:cs="宋体"/>
          <w:color w:val="auto"/>
        </w:rPr>
        <w:t>：20</w:t>
      </w:r>
      <w:r>
        <w:rPr>
          <w:rFonts w:hint="eastAsia" w:ascii="宋体" w:hAnsi="宋体" w:cs="宋体"/>
          <w:color w:val="auto"/>
          <w:lang w:val="en-US" w:eastAsia="zh-CN"/>
        </w:rPr>
        <w:t>24</w:t>
      </w:r>
      <w:r>
        <w:rPr>
          <w:rFonts w:hint="eastAsia" w:ascii="宋体" w:hAnsi="宋体" w:cs="宋体"/>
          <w:color w:val="auto"/>
        </w:rPr>
        <w:t>年</w:t>
      </w:r>
      <w:r>
        <w:rPr>
          <w:rFonts w:hint="eastAsia" w:ascii="宋体" w:hAnsi="宋体" w:cs="宋体"/>
          <w:color w:val="auto"/>
          <w:lang w:val="en-US" w:eastAsia="zh-CN"/>
        </w:rPr>
        <w:t>2</w:t>
      </w:r>
      <w:r>
        <w:rPr>
          <w:rFonts w:hint="eastAsia" w:ascii="宋体" w:hAnsi="宋体" w:cs="宋体"/>
          <w:color w:val="auto"/>
        </w:rPr>
        <w:t>月</w:t>
      </w:r>
      <w:r>
        <w:rPr>
          <w:rFonts w:hint="eastAsia" w:ascii="宋体" w:hAnsi="宋体" w:cs="宋体"/>
          <w:color w:val="auto"/>
          <w:lang w:val="en-US" w:eastAsia="zh-CN"/>
        </w:rPr>
        <w:t>1</w:t>
      </w:r>
      <w:r>
        <w:rPr>
          <w:rFonts w:hint="eastAsia" w:ascii="宋体" w:hAnsi="宋体" w:cs="宋体"/>
          <w:color w:val="auto"/>
        </w:rPr>
        <w:t>日上午1</w:t>
      </w:r>
      <w:r>
        <w:rPr>
          <w:rFonts w:hint="eastAsia" w:ascii="宋体" w:hAnsi="宋体" w:cs="宋体"/>
          <w:color w:val="auto"/>
          <w:lang w:val="en-US" w:eastAsia="zh-CN"/>
        </w:rPr>
        <w:t>0</w:t>
      </w:r>
      <w:r>
        <w:rPr>
          <w:rFonts w:ascii="宋体" w:hAnsi="宋体" w:cs="宋体"/>
          <w:color w:val="auto"/>
        </w:rPr>
        <w:t>:</w:t>
      </w:r>
      <w:r>
        <w:rPr>
          <w:rFonts w:hint="eastAsia" w:ascii="宋体" w:hAnsi="宋体" w:cs="宋体"/>
          <w:color w:val="auto"/>
        </w:rPr>
        <w:t>00。</w:t>
      </w:r>
    </w:p>
    <w:p>
      <w:pPr>
        <w:adjustRightInd w:val="0"/>
        <w:snapToGrid w:val="0"/>
        <w:spacing w:line="440" w:lineRule="exact"/>
        <w:ind w:firstLine="441" w:firstLineChars="210"/>
        <w:rPr>
          <w:rFonts w:ascii="宋体" w:cs="Times New Roman"/>
        </w:rPr>
      </w:pPr>
      <w:r>
        <w:rPr>
          <w:rFonts w:hint="eastAsia" w:ascii="宋体" w:hAnsi="宋体" w:cs="宋体"/>
        </w:rPr>
        <w:t>十一、磋商地点：中山市技师学院（北校区）综合楼六楼总务处605室。</w:t>
      </w:r>
      <w:r>
        <w:rPr>
          <w:rFonts w:ascii="宋体" w:hAnsi="宋体" w:cs="宋体"/>
        </w:rPr>
        <w:t xml:space="preserve"> </w:t>
      </w:r>
    </w:p>
    <w:p>
      <w:pPr>
        <w:adjustRightInd w:val="0"/>
        <w:snapToGrid w:val="0"/>
        <w:spacing w:line="440" w:lineRule="exact"/>
        <w:ind w:firstLine="420" w:firstLineChars="200"/>
        <w:rPr>
          <w:rFonts w:ascii="宋体" w:cs="Times New Roman"/>
        </w:rPr>
      </w:pPr>
      <w:r>
        <w:rPr>
          <w:rFonts w:hint="eastAsia" w:ascii="宋体" w:hAnsi="宋体" w:cs="宋体"/>
        </w:rPr>
        <w:t>十二、联系事项</w:t>
      </w:r>
    </w:p>
    <w:p>
      <w:pPr>
        <w:adjustRightInd w:val="0"/>
        <w:snapToGrid w:val="0"/>
        <w:spacing w:line="440" w:lineRule="exact"/>
        <w:ind w:firstLine="945" w:firstLineChars="450"/>
        <w:rPr>
          <w:rFonts w:ascii="宋体" w:cs="Times New Roman"/>
        </w:rPr>
      </w:pPr>
      <w:r>
        <w:rPr>
          <w:rFonts w:hint="eastAsia" w:ascii="宋体" w:hAnsi="宋体" w:cs="宋体"/>
        </w:rPr>
        <w:t>采购人：中山市技师学院</w:t>
      </w:r>
      <w:r>
        <w:rPr>
          <w:rFonts w:ascii="宋体" w:hAnsi="宋体" w:cs="宋体"/>
        </w:rPr>
        <w:t xml:space="preserve"> </w:t>
      </w:r>
    </w:p>
    <w:p>
      <w:pPr>
        <w:adjustRightInd w:val="0"/>
        <w:snapToGrid w:val="0"/>
        <w:spacing w:line="440" w:lineRule="exact"/>
        <w:ind w:firstLine="945" w:firstLineChars="450"/>
        <w:rPr>
          <w:rFonts w:ascii="宋体" w:cs="Times New Roman"/>
        </w:rPr>
      </w:pPr>
      <w:r>
        <w:rPr>
          <w:rFonts w:hint="eastAsia" w:ascii="宋体" w:hAnsi="宋体" w:cs="宋体"/>
        </w:rPr>
        <w:t>联系地址：中山市黄圃镇祥安北路6号</w:t>
      </w:r>
    </w:p>
    <w:p>
      <w:pPr>
        <w:adjustRightInd w:val="0"/>
        <w:snapToGrid w:val="0"/>
        <w:spacing w:line="440" w:lineRule="exact"/>
        <w:ind w:firstLine="945" w:firstLineChars="450"/>
        <w:rPr>
          <w:rFonts w:ascii="宋体" w:cs="宋体"/>
        </w:rPr>
      </w:pPr>
      <w:r>
        <w:rPr>
          <w:rFonts w:hint="eastAsia" w:ascii="宋体" w:hAnsi="宋体" w:cs="宋体"/>
        </w:rPr>
        <w:t>联系人：杨老师，联系电话：</w:t>
      </w:r>
      <w:r>
        <w:rPr>
          <w:rFonts w:ascii="宋体" w:cs="宋体"/>
        </w:rPr>
        <w:t>0760-</w:t>
      </w:r>
      <w:r>
        <w:rPr>
          <w:rFonts w:hint="eastAsia" w:ascii="宋体" w:cs="宋体"/>
        </w:rPr>
        <w:t>23503636</w:t>
      </w:r>
    </w:p>
    <w:p>
      <w:pPr>
        <w:spacing w:line="440" w:lineRule="exact"/>
        <w:ind w:right="420" w:firstLine="945" w:firstLineChars="450"/>
        <w:rPr>
          <w:rFonts w:ascii="宋体" w:cs="Times New Roman"/>
        </w:rPr>
      </w:pPr>
      <w:r>
        <w:rPr>
          <w:rFonts w:hint="eastAsia" w:ascii="宋体" w:hAnsi="宋体" w:cs="宋体"/>
        </w:rPr>
        <w:t>传真：</w:t>
      </w:r>
      <w:r>
        <w:rPr>
          <w:rFonts w:ascii="宋体" w:cs="宋体"/>
        </w:rPr>
        <w:t>0760-</w:t>
      </w:r>
      <w:r>
        <w:rPr>
          <w:rFonts w:hint="eastAsia" w:ascii="宋体" w:cs="宋体"/>
        </w:rPr>
        <w:t>23503636</w:t>
      </w:r>
      <w:r>
        <w:rPr>
          <w:rFonts w:hint="eastAsia" w:ascii="宋体" w:hAnsi="宋体" w:cs="宋体"/>
        </w:rPr>
        <w:t>，邮编：</w:t>
      </w:r>
      <w:r>
        <w:rPr>
          <w:rFonts w:ascii="宋体" w:hAnsi="宋体" w:cs="宋体"/>
        </w:rPr>
        <w:t>528400</w:t>
      </w:r>
      <w:r>
        <w:rPr>
          <w:rFonts w:hint="eastAsia" w:ascii="宋体" w:hAnsi="宋体" w:cs="宋体"/>
        </w:rPr>
        <w:t>。</w:t>
      </w:r>
    </w:p>
    <w:p>
      <w:pPr>
        <w:adjustRightInd w:val="0"/>
        <w:snapToGrid w:val="0"/>
        <w:spacing w:line="440" w:lineRule="exact"/>
        <w:ind w:left="5460" w:leftChars="500" w:hanging="4410" w:hangingChars="2100"/>
        <w:jc w:val="left"/>
        <w:rPr>
          <w:rFonts w:cs="Times New Roman"/>
          <w:u w:val="single"/>
        </w:rPr>
      </w:pPr>
      <w:r>
        <w:rPr>
          <w:rFonts w:ascii="宋体" w:hAnsi="宋体" w:cs="宋体"/>
        </w:rPr>
        <w:t xml:space="preserve">                                           </w:t>
      </w:r>
      <w:r>
        <w:rPr>
          <w:rFonts w:hint="eastAsia" w:cs="宋体"/>
        </w:rPr>
        <w:t>发布人：中山市技师学院</w:t>
      </w:r>
    </w:p>
    <w:p>
      <w:pPr>
        <w:spacing w:line="440" w:lineRule="exact"/>
        <w:ind w:right="840"/>
        <w:jc w:val="right"/>
        <w:rPr>
          <w:rFonts w:cs="Times New Roman"/>
          <w:color w:val="auto"/>
        </w:rPr>
      </w:pPr>
      <w:r>
        <w:rPr>
          <w:rFonts w:hint="eastAsia" w:cs="宋体"/>
          <w:color w:val="auto"/>
        </w:rPr>
        <w:t>发布时间：</w:t>
      </w:r>
      <w:r>
        <w:rPr>
          <w:rFonts w:hint="eastAsia"/>
          <w:color w:val="auto"/>
        </w:rPr>
        <w:t>202</w:t>
      </w:r>
      <w:r>
        <w:rPr>
          <w:rFonts w:hint="eastAsia"/>
          <w:color w:val="auto"/>
          <w:lang w:val="en-US" w:eastAsia="zh-CN"/>
        </w:rPr>
        <w:t>4</w:t>
      </w:r>
      <w:r>
        <w:rPr>
          <w:rFonts w:hint="eastAsia" w:cs="宋体"/>
          <w:color w:val="auto"/>
        </w:rPr>
        <w:t>年</w:t>
      </w:r>
      <w:r>
        <w:rPr>
          <w:rFonts w:hint="eastAsia" w:cs="宋体"/>
          <w:color w:val="auto"/>
          <w:lang w:val="en-US" w:eastAsia="zh-CN"/>
        </w:rPr>
        <w:t>1</w:t>
      </w:r>
      <w:r>
        <w:rPr>
          <w:rFonts w:hint="eastAsia" w:cs="宋体"/>
          <w:color w:val="auto"/>
        </w:rPr>
        <w:t>月</w:t>
      </w:r>
      <w:r>
        <w:rPr>
          <w:rFonts w:hint="eastAsia" w:cs="宋体"/>
          <w:color w:val="auto"/>
          <w:lang w:val="en-US" w:eastAsia="zh-CN"/>
        </w:rPr>
        <w:t>22</w:t>
      </w:r>
      <w:r>
        <w:rPr>
          <w:rFonts w:hint="eastAsia" w:cs="宋体"/>
          <w:color w:val="auto"/>
        </w:rPr>
        <w:t>日</w:t>
      </w:r>
    </w:p>
    <w:p>
      <w:pPr>
        <w:pStyle w:val="2"/>
        <w:ind w:firstLine="0" w:firstLineChars="0"/>
        <w:rPr>
          <w:rFonts w:cs="Times New Roman"/>
        </w:rPr>
      </w:pPr>
    </w:p>
    <w:p>
      <w:pPr>
        <w:pStyle w:val="2"/>
        <w:ind w:firstLine="0" w:firstLineChars="0"/>
        <w:rPr>
          <w:rFonts w:cs="Times New Roman"/>
        </w:rPr>
      </w:pPr>
    </w:p>
    <w:p>
      <w:pPr>
        <w:pStyle w:val="2"/>
        <w:ind w:firstLine="0" w:firstLineChars="0"/>
        <w:rPr>
          <w:rFonts w:cs="Times New Roman"/>
        </w:rPr>
      </w:pPr>
    </w:p>
    <w:p>
      <w:pPr>
        <w:spacing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pPr>
        <w:numPr>
          <w:ilvl w:val="0"/>
          <w:numId w:val="4"/>
        </w:numPr>
        <w:tabs>
          <w:tab w:val="left" w:pos="540"/>
          <w:tab w:val="left" w:pos="574"/>
        </w:tabs>
        <w:spacing w:line="360" w:lineRule="auto"/>
        <w:outlineLvl w:val="0"/>
        <w:rPr>
          <w:rFonts w:ascii="宋体" w:cs="Times New Roman"/>
          <w:b/>
          <w:bCs/>
          <w:color w:val="auto"/>
        </w:rPr>
      </w:pPr>
      <w:r>
        <w:rPr>
          <w:rFonts w:hint="eastAsia" w:ascii="宋体" w:hAnsi="宋体" w:cs="宋体"/>
          <w:b/>
          <w:bCs/>
        </w:rPr>
        <w:t>说明</w:t>
      </w:r>
    </w:p>
    <w:p>
      <w:pPr>
        <w:numPr>
          <w:ilvl w:val="0"/>
          <w:numId w:val="5"/>
        </w:numPr>
        <w:tabs>
          <w:tab w:val="left" w:pos="425"/>
        </w:tabs>
        <w:adjustRightInd w:val="0"/>
        <w:snapToGrid w:val="0"/>
        <w:spacing w:line="360" w:lineRule="auto"/>
        <w:rPr>
          <w:rFonts w:hint="eastAsia"/>
          <w:color w:val="auto"/>
          <w:kern w:val="28"/>
        </w:rPr>
      </w:pPr>
      <w:r>
        <w:rPr>
          <w:rFonts w:hint="eastAsia" w:ascii="宋体" w:hAnsi="宋体" w:cs="宋体"/>
          <w:b/>
          <w:bCs/>
          <w:u w:val="double"/>
          <w:lang w:val="en-US" w:eastAsia="zh-CN"/>
        </w:rPr>
        <w:t>本项目磋商内容</w:t>
      </w:r>
      <w:r>
        <w:rPr>
          <w:rFonts w:hint="eastAsia" w:ascii="宋体" w:hAnsi="宋体" w:cs="宋体"/>
          <w:b/>
          <w:bCs/>
          <w:color w:val="auto"/>
          <w:u w:val="double"/>
        </w:rPr>
        <w:t>，</w:t>
      </w:r>
      <w:r>
        <w:rPr>
          <w:rFonts w:hint="eastAsia" w:ascii="宋体" w:hAnsi="宋体" w:eastAsia="宋体" w:cs="宋体"/>
          <w:b/>
          <w:bCs/>
          <w:u w:val="double"/>
          <w:lang w:val="en-US" w:eastAsia="zh-CN"/>
        </w:rPr>
        <w:t>中山市技师学院两校区2024年办公设备维护耗材供货资格采购项目</w:t>
      </w:r>
      <w:r>
        <w:rPr>
          <w:rFonts w:hint="eastAsia" w:ascii="宋体" w:hAnsi="宋体" w:cs="宋体"/>
          <w:b/>
          <w:bCs/>
          <w:u w:val="double"/>
          <w:lang w:val="en-US" w:eastAsia="zh-CN"/>
        </w:rPr>
        <w:t>。</w:t>
      </w:r>
    </w:p>
    <w:p>
      <w:pPr>
        <w:numPr>
          <w:ilvl w:val="0"/>
          <w:numId w:val="5"/>
        </w:numPr>
        <w:tabs>
          <w:tab w:val="left" w:pos="425"/>
        </w:tabs>
        <w:adjustRightInd w:val="0"/>
        <w:snapToGrid w:val="0"/>
        <w:spacing w:line="360" w:lineRule="auto"/>
      </w:pPr>
      <w:r>
        <w:rPr>
          <w:rFonts w:hint="eastAsia" w:ascii="宋体" w:cs="Times New Roman"/>
          <w:lang w:val="en-US" w:eastAsia="zh-CN"/>
        </w:rPr>
        <w:t>本次招标服务范围为：中山市技师学院东校区（中山市东区兴文路72号）、北校区（中山市黄圃镇横石路），采购预算：193000元，</w:t>
      </w:r>
      <w:r>
        <w:rPr>
          <w:rFonts w:hint="eastAsia" w:cs="宋体" w:asciiTheme="minorEastAsia" w:hAnsiTheme="minorEastAsia" w:eastAsiaTheme="minorEastAsia"/>
          <w:color w:val="auto"/>
        </w:rPr>
        <w:t>超过最高限价视为无效投标</w:t>
      </w:r>
      <w:r>
        <w:rPr>
          <w:rFonts w:hint="eastAsia" w:cs="宋体" w:asciiTheme="minorEastAsia" w:hAnsiTheme="minorEastAsia" w:eastAsiaTheme="minorEastAsia"/>
          <w:color w:val="auto"/>
          <w:lang w:eastAsia="zh-CN"/>
        </w:rPr>
        <w:t>。</w:t>
      </w:r>
    </w:p>
    <w:p>
      <w:pPr>
        <w:numPr>
          <w:ilvl w:val="0"/>
          <w:numId w:val="5"/>
        </w:numPr>
        <w:tabs>
          <w:tab w:val="left" w:pos="425"/>
        </w:tabs>
        <w:adjustRightInd w:val="0"/>
        <w:snapToGrid w:val="0"/>
        <w:spacing w:line="360" w:lineRule="auto"/>
        <w:rPr>
          <w:rFonts w:hint="eastAsia" w:ascii="宋体" w:hAnsi="宋体" w:eastAsia="宋体" w:cs="宋体"/>
          <w:highlight w:val="none"/>
          <w:lang w:val="en-US" w:eastAsia="zh-CN"/>
        </w:rPr>
      </w:pPr>
      <w:r>
        <w:rPr>
          <w:rFonts w:hint="eastAsia" w:ascii="宋体" w:hAnsi="宋体"/>
          <w:b w:val="0"/>
          <w:bCs/>
          <w:color w:val="auto"/>
          <w:highlight w:val="none"/>
          <w:lang w:eastAsia="zh-CN"/>
        </w:rPr>
        <w:t>合同</w:t>
      </w:r>
      <w:r>
        <w:rPr>
          <w:rFonts w:hint="eastAsia" w:ascii="宋体" w:hAnsi="宋体"/>
          <w:b w:val="0"/>
          <w:bCs/>
          <w:color w:val="auto"/>
          <w:highlight w:val="none"/>
        </w:rPr>
        <w:t>期：</w:t>
      </w:r>
      <w:r>
        <w:rPr>
          <w:rFonts w:hint="eastAsia" w:ascii="宋体" w:hAnsi="宋体" w:eastAsia="宋体" w:cs="宋体"/>
          <w:highlight w:val="none"/>
          <w:lang w:val="en-US" w:eastAsia="zh-CN"/>
        </w:rPr>
        <w:t>签订之日至2024年12月31日。</w:t>
      </w:r>
    </w:p>
    <w:p>
      <w:pPr>
        <w:numPr>
          <w:ilvl w:val="0"/>
          <w:numId w:val="5"/>
        </w:numPr>
        <w:tabs>
          <w:tab w:val="left" w:pos="425"/>
        </w:tabs>
        <w:adjustRightInd w:val="0"/>
        <w:snapToGrid w:val="0"/>
        <w:spacing w:line="360" w:lineRule="auto"/>
        <w:rPr>
          <w:rFonts w:ascii="宋体" w:cs="Times New Roman"/>
        </w:rPr>
      </w:pPr>
      <w:r>
        <w:rPr>
          <w:rFonts w:hint="eastAsia" w:ascii="宋体" w:hAnsi="宋体"/>
          <w:b w:val="0"/>
          <w:bCs/>
          <w:color w:val="auto"/>
          <w:lang w:eastAsia="zh-CN"/>
        </w:rPr>
        <w:t>采购类型：</w:t>
      </w:r>
      <w:r>
        <w:rPr>
          <w:rFonts w:hint="eastAsia" w:ascii="宋体" w:hAnsi="宋体" w:cs="宋体"/>
          <w:highlight w:val="none"/>
          <w:lang w:val="en-US" w:eastAsia="zh-CN"/>
        </w:rPr>
        <w:t>本项目不定具体数量，本次采购为协议服务资格的取得，并不代表货物售出</w:t>
      </w:r>
      <w:r>
        <w:rPr>
          <w:rFonts w:hint="eastAsia" w:ascii="宋体" w:hAnsi="宋体" w:cs="宋体"/>
          <w:highlight w:val="none"/>
        </w:rPr>
        <w:t>。</w:t>
      </w:r>
    </w:p>
    <w:p>
      <w:pPr>
        <w:numPr>
          <w:ilvl w:val="0"/>
          <w:numId w:val="5"/>
        </w:numPr>
        <w:tabs>
          <w:tab w:val="left" w:pos="425"/>
        </w:tabs>
        <w:adjustRightInd w:val="0"/>
        <w:snapToGrid w:val="0"/>
        <w:spacing w:line="360" w:lineRule="auto"/>
        <w:rPr>
          <w:rFonts w:ascii="宋体" w:cs="Times New Roman"/>
          <w:b w:val="0"/>
          <w:bCs/>
        </w:rPr>
      </w:pPr>
      <w:r>
        <w:rPr>
          <w:rFonts w:hint="eastAsia" w:ascii="宋体" w:hAnsi="宋体"/>
          <w:b w:val="0"/>
          <w:bCs/>
          <w:color w:val="auto"/>
        </w:rPr>
        <w:t>采购人有权在签订合同时对项目方案作适当修改调整或对产品数量作适量增加或减少</w:t>
      </w:r>
      <w:r>
        <w:rPr>
          <w:rFonts w:hint="eastAsia" w:ascii="宋体" w:hAnsi="宋体"/>
          <w:b w:val="0"/>
          <w:bCs/>
          <w:color w:val="auto"/>
          <w:lang w:eastAsia="zh-CN"/>
        </w:rPr>
        <w:t>。</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本需求中带“★”的条款为实质性条款，必须满足，如有不满足或负偏离的响应文件将被认定为无效投标。</w:t>
      </w:r>
    </w:p>
    <w:p>
      <w:pPr>
        <w:numPr>
          <w:ilvl w:val="0"/>
          <w:numId w:val="5"/>
        </w:numPr>
        <w:tabs>
          <w:tab w:val="left" w:pos="425"/>
        </w:tabs>
        <w:adjustRightInd w:val="0"/>
        <w:snapToGrid w:val="0"/>
        <w:spacing w:line="360" w:lineRule="auto"/>
        <w:rPr>
          <w:rFonts w:ascii="宋体" w:cs="Times New Roman"/>
        </w:rPr>
      </w:pPr>
      <w:r>
        <w:rPr>
          <w:rFonts w:hint="eastAsia" w:cs="宋体"/>
        </w:rPr>
        <w:t>凡标示有“▲”符号的技术参数将作为重点评分的对象，不代表实质性条款。</w:t>
      </w:r>
      <w:r>
        <w:rPr>
          <w:rFonts w:hint="eastAsia" w:ascii="宋体" w:hAnsi="宋体" w:cs="宋体"/>
        </w:rPr>
        <w:t>供应商在响应投标方案中对这部分内容应尽量列出具体参数或作出详细应答。如果成交供应商只简单注明“符合”或“满足”，将影响其技术商务得分。</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供应商必须确保项目及所有配套件的完整性和可靠性。对于磋商文件没有列出，而对该项目的正常运行和维护必不可少的部件、配件等，供应商有责任给予补充。</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供应商须对本项目进行整体投标，任何只对其中一部分内容进行的投标都被视为无效投标。</w:t>
      </w:r>
    </w:p>
    <w:p>
      <w:pPr>
        <w:numPr>
          <w:ilvl w:val="0"/>
          <w:numId w:val="5"/>
        </w:numPr>
        <w:tabs>
          <w:tab w:val="left" w:pos="425"/>
        </w:tabs>
        <w:adjustRightInd w:val="0"/>
        <w:snapToGrid w:val="0"/>
        <w:spacing w:line="360" w:lineRule="auto"/>
        <w:rPr>
          <w:rFonts w:ascii="宋体" w:cs="Times New Roman"/>
          <w:color w:val="auto"/>
          <w:lang w:val="hr-HR"/>
        </w:rPr>
      </w:pPr>
      <w:r>
        <w:rPr>
          <w:rFonts w:hint="eastAsia" w:ascii="宋体" w:hAnsi="宋体" w:cs="宋体"/>
          <w:lang w:val="hr-HR"/>
        </w:rPr>
        <w:t>★本项目的磋商报价应包括：标的、运费、保管、调试、验收、保修、税费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w:t>
      </w:r>
      <w:r>
        <w:rPr>
          <w:rFonts w:hint="eastAsia" w:ascii="宋体" w:hAnsi="宋体" w:cs="宋体"/>
          <w:color w:val="auto"/>
          <w:lang w:val="hr-HR"/>
        </w:rPr>
        <w:t>用</w:t>
      </w:r>
    </w:p>
    <w:p>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本项目由成交供应商承包和负责磋商文件对成交供应商要求的一切事宜及责任。</w:t>
      </w:r>
    </w:p>
    <w:p>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本项目不接受联合体磋商，成交供应商未经采购人批准，不得以任何方式转包或分包本项目。</w:t>
      </w:r>
    </w:p>
    <w:p>
      <w:pPr>
        <w:pStyle w:val="2"/>
        <w:ind w:firstLine="210"/>
        <w:rPr>
          <w:rFonts w:ascii="宋体" w:hAnsi="宋体" w:cs="宋体"/>
          <w:lang w:val="hr-HR"/>
        </w:rPr>
      </w:pPr>
    </w:p>
    <w:p>
      <w:pPr>
        <w:numPr>
          <w:ilvl w:val="0"/>
          <w:numId w:val="4"/>
        </w:numPr>
        <w:tabs>
          <w:tab w:val="left" w:pos="540"/>
          <w:tab w:val="left" w:pos="574"/>
        </w:tabs>
        <w:spacing w:line="360" w:lineRule="auto"/>
        <w:outlineLvl w:val="0"/>
        <w:rPr>
          <w:rFonts w:ascii="宋体" w:hAnsi="宋体" w:cs="宋体"/>
          <w:b/>
          <w:bCs/>
        </w:rPr>
      </w:pPr>
      <w:r>
        <w:rPr>
          <w:rFonts w:hint="eastAsia" w:ascii="宋体" w:hAnsi="宋体" w:cs="宋体"/>
          <w:b/>
          <w:bCs/>
        </w:rPr>
        <w:t>采购清单</w:t>
      </w:r>
    </w:p>
    <w:p>
      <w:pPr>
        <w:pStyle w:val="2"/>
        <w:ind w:firstLine="210"/>
        <w:rPr>
          <w:rFonts w:cs="Times New Roman"/>
        </w:rPr>
      </w:pPr>
    </w:p>
    <w:tbl>
      <w:tblPr>
        <w:tblStyle w:val="35"/>
        <w:tblW w:w="10140" w:type="dxa"/>
        <w:tblInd w:w="-6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0"/>
        <w:gridCol w:w="1310"/>
        <w:gridCol w:w="6170"/>
        <w:gridCol w:w="69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物品编码</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物品名称</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计量单位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100343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色带架</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LQ2680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100344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联想7650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100348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夏普2008D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100349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C3020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100351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三星C9201黑色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100352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三星C9201彩色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100353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佳能LBP2900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100354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佳能2900/佳能MFC4720W/佳能LBP3108/佳能6018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100357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佳能MF4010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100358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HPofficeJet pro 7740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100358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HP1007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100359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HPofficeJet pro 7510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100359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HP1008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100360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hp1536/HP1008/HP1007/HP4770/hp1106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100363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HP1536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100364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HPCP2035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100365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 M226dw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100366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 M403dn</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100367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HP4712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100368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HP5200/hp281/三星M2876/hp1006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100369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施乐115w/三星1666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100370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奔图M6500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100373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Brother MFC-7340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100374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兄弟MFC7340/7220/7055/7360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100375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美能达L266/c226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100376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理光MP1610/MP2013L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100380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TONERTW114/hp1213/hp1536/hp1108/兄弟7180/佳能m401/7470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100381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油墨</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HQ40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100396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墨盒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爱普生WF-7728黑色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100397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墨盒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爱普生WF-7728彩色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100406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墨盒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Canon ix4000黑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100407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墨合</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Canon ix4000彩</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夏普AR1808S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100420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兄弟1818/88A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100422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Brother MFC-7340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100423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7340/7650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100424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兄弟7360/兄弟7055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100427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美能达C226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100432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HP1007/hpcf247hpm181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100433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HP1025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100434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HP1025/1108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100436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HPM439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100437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佳能4712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100440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HPM436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100442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三星X3220NR原装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100445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100446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鼓架</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兄弟7340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100450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佳能2900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100451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HP1536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100452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HP1025/施乐115w/佳能8100/佳能6018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100455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墨盒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爱普生 XP-15080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100456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HP1106/hp281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100457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HP5200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100459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兄弟7340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100461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100464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佳能4712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100469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鼓架</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兄弟7340/7055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100470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鼓架</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hp1025/115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100473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美能达C226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100474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夏普2008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100477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2503LC高容量红色(理光MP C2011SP)</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100478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2503LC高容量黄色(理光MP C2011SP)</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100479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2503LC高容量蓝色(理光MP C2011SP)</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100480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MPC2503高容量黑色(理光MP C2011SP)</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100481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国产各色(三星X3220)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100483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国产各色(佳能663)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100486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炭粉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佳能C3226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100487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奔图CP1108DN彩色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100488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奔图CP1108DN黑色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100489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NPG-67L(三色）配佳能C3275用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100490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NPG-67(黑色）配佳能C3275用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100491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 color larserjet CP5225 dn</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100492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鼓粉(4色)套</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惠普 cp5225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100493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 416A 黑色（HP Color Laserjet MFP M480打印机）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100494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 416A 青色（HP Color Laserjet MFP M480打印机）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100495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 416A 黄色（HP Color Laserjet MFP M480打印机）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100496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 416A 红色（HP Color Laserjet MFP M480打印机）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100497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蜡纸</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HQ40LC （2卷/盒）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100498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三星.ML-1666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100499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打印机墨水</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爱普生  M1128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惠普cp5225（4色）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100501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惠普cp5225（黑色）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100502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惠普m480f（4色)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100503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惠普m480f</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100504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打印机碳粉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惠普M281fdw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100505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打印机硒鼓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惠普M281fdw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100506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打印机碳粉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 LBP6018L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100507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打印机硒鼓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 LBP6018L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100508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美能达bizhub-c360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100509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佳能iR C3120L 黑色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100520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佳能iR C3120L 黄色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100521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佳能iR C3120L 红色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100522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佳能iR C3120L 青色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100523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美能达6180en</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100524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 LaserJet MFP M437 nda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pagepro 6180en 黑色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100526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打印机碳粉</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惠普108A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100529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HP-M1552NF</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100534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佳能LBP233dw A4黑白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100535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黑色硒鼓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兄弟 MFC-L8900CDW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100536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红色硒鼓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兄弟 MFC-L8900CDW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100537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蓝色硒鼓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兄弟 MFC-L8900CDW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100538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黄色硒鼓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兄弟 MFC-L8900CDW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100539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惠普 Laser JET1022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100540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HP1020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100541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HP1116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100543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佳能MF112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100544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三星M2876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100546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hp12133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100547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粉盒</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三星M2876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100549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硒鼓</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佳能LBP222dn黑色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100556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碳带</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斑马888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r>
    </w:tbl>
    <w:p>
      <w:pPr>
        <w:pStyle w:val="2"/>
        <w:ind w:firstLine="210"/>
        <w:rPr>
          <w:rFonts w:cs="Times New Roman"/>
        </w:rPr>
      </w:pPr>
    </w:p>
    <w:p>
      <w:pPr>
        <w:autoSpaceDN w:val="0"/>
        <w:snapToGrid w:val="0"/>
        <w:spacing w:line="360" w:lineRule="auto"/>
        <w:rPr>
          <w:color w:val="auto"/>
        </w:rPr>
      </w:pPr>
      <w:r>
        <w:rPr>
          <w:rFonts w:hint="eastAsia" w:ascii="宋体" w:cs="宋体"/>
          <w:bCs/>
          <w:color w:val="auto"/>
          <w:szCs w:val="21"/>
          <w:highlight w:val="none"/>
        </w:rPr>
        <w:t>注： 如采购人所需物品超出上述采购清单，则采购价格参考当时市场价格的成交折扣率的价格向采购人供货。</w:t>
      </w:r>
    </w:p>
    <w:p>
      <w:pPr>
        <w:pStyle w:val="2"/>
        <w:ind w:firstLine="630" w:firstLineChars="300"/>
        <w:rPr>
          <w:rFonts w:ascii="宋体" w:hAnsi="宋体" w:cs="Calibri"/>
          <w:color w:val="auto"/>
          <w:sz w:val="21"/>
        </w:rPr>
      </w:pPr>
      <w:r>
        <w:rPr>
          <w:rFonts w:hint="eastAsia" w:ascii="宋体" w:hAnsi="宋体" w:cs="Calibri"/>
          <w:color w:val="auto"/>
          <w:sz w:val="21"/>
          <w:lang w:eastAsia="zh-CN"/>
        </w:rPr>
        <w:t>③</w:t>
      </w:r>
      <w:r>
        <w:rPr>
          <w:rFonts w:hint="eastAsia" w:ascii="宋体" w:hAnsi="宋体"/>
          <w:color w:val="auto"/>
        </w:rPr>
        <w:t>★</w:t>
      </w:r>
      <w:r>
        <w:rPr>
          <w:rFonts w:hint="eastAsia" w:ascii="宋体" w:hAnsi="宋体" w:cs="Calibri"/>
          <w:color w:val="auto"/>
          <w:sz w:val="21"/>
        </w:rPr>
        <w:t>送货单需要及时送至采购人仓库办理入库手续，如因供应商未及时提交送货单造成入库手续延迟，导致无法报销，责任由供应商自行承担。</w:t>
      </w:r>
    </w:p>
    <w:p>
      <w:pPr>
        <w:pStyle w:val="2"/>
        <w:ind w:firstLine="630" w:firstLineChars="300"/>
        <w:rPr>
          <w:rFonts w:ascii="宋体" w:hAnsi="宋体" w:cs="Calibri"/>
          <w:color w:val="auto"/>
          <w:sz w:val="21"/>
        </w:rPr>
      </w:pPr>
      <w:r>
        <w:rPr>
          <w:rFonts w:hint="eastAsia" w:ascii="宋体" w:hAnsi="宋体" w:cs="Calibri"/>
          <w:color w:val="auto"/>
          <w:sz w:val="21"/>
          <w:lang w:eastAsia="zh-CN"/>
        </w:rPr>
        <w:t>④</w:t>
      </w:r>
      <w:r>
        <w:rPr>
          <w:rFonts w:hint="eastAsia" w:ascii="宋体" w:hAnsi="宋体"/>
          <w:color w:val="auto"/>
        </w:rPr>
        <w:t>★</w:t>
      </w:r>
      <w:r>
        <w:rPr>
          <w:rFonts w:hint="eastAsia" w:ascii="宋体" w:hAnsi="宋体" w:cs="Calibri"/>
          <w:color w:val="auto"/>
          <w:sz w:val="21"/>
        </w:rPr>
        <w:t>未有签收人签名的送货单仓库将拒绝办理入库手续，未办理入库手续的送货单一律不予报销。</w:t>
      </w:r>
    </w:p>
    <w:p>
      <w:pPr>
        <w:pStyle w:val="2"/>
        <w:ind w:firstLine="630" w:firstLineChars="300"/>
        <w:rPr>
          <w:rFonts w:hint="eastAsia" w:ascii="宋体" w:hAnsi="宋体" w:cs="Calibri"/>
          <w:color w:val="auto"/>
          <w:sz w:val="21"/>
        </w:rPr>
      </w:pPr>
      <w:r>
        <w:rPr>
          <w:rFonts w:hint="eastAsia" w:ascii="宋体" w:hAnsi="宋体" w:cs="Calibri"/>
          <w:color w:val="auto"/>
          <w:sz w:val="21"/>
          <w:lang w:eastAsia="zh-CN"/>
        </w:rPr>
        <w:t>⑤</w:t>
      </w:r>
      <w:r>
        <w:rPr>
          <w:rFonts w:hint="eastAsia" w:ascii="宋体" w:hAnsi="宋体"/>
          <w:color w:val="auto"/>
        </w:rPr>
        <w:t>★</w:t>
      </w:r>
      <w:r>
        <w:rPr>
          <w:rFonts w:hint="eastAsia" w:ascii="宋体" w:hAnsi="宋体" w:cs="Calibri"/>
          <w:color w:val="auto"/>
          <w:sz w:val="21"/>
        </w:rPr>
        <w:t>质保要求：供应商提供的所有耗材和配件需为原厂正货，并需在验收时向采购人提供所有耗材及配件的原包装以便查询其正货来源；配件保修期为一年，供货后一个月之内出现质量问题，供应商应免费更换。</w:t>
      </w:r>
    </w:p>
    <w:p>
      <w:pPr>
        <w:pStyle w:val="2"/>
        <w:ind w:firstLine="630" w:firstLineChars="300"/>
        <w:rPr>
          <w:rFonts w:hint="eastAsia" w:ascii="宋体" w:hAnsi="宋体" w:cs="Calibri"/>
          <w:color w:val="auto"/>
          <w:sz w:val="21"/>
        </w:rPr>
      </w:pPr>
    </w:p>
    <w:p>
      <w:pPr>
        <w:numPr>
          <w:ilvl w:val="0"/>
          <w:numId w:val="4"/>
        </w:numPr>
        <w:tabs>
          <w:tab w:val="left" w:pos="540"/>
          <w:tab w:val="left" w:pos="574"/>
        </w:tabs>
        <w:spacing w:line="360" w:lineRule="auto"/>
        <w:outlineLvl w:val="0"/>
        <w:rPr>
          <w:rFonts w:cs="Times New Roman"/>
        </w:rPr>
      </w:pPr>
      <w:r>
        <w:rPr>
          <w:rFonts w:hint="eastAsia" w:ascii="宋体" w:hAnsi="宋体" w:cs="宋体"/>
          <w:b/>
          <w:bCs/>
          <w:lang w:val="en-US" w:eastAsia="zh-CN"/>
        </w:rPr>
        <w:t>验收</w:t>
      </w:r>
    </w:p>
    <w:p>
      <w:pPr>
        <w:tabs>
          <w:tab w:val="left" w:pos="900"/>
        </w:tabs>
        <w:autoSpaceDE w:val="0"/>
        <w:autoSpaceDN w:val="0"/>
        <w:adjustRightInd w:val="0"/>
        <w:snapToGrid w:val="0"/>
        <w:spacing w:line="360" w:lineRule="auto"/>
        <w:ind w:firstLine="420" w:firstLineChars="200"/>
        <w:rPr>
          <w:rFonts w:ascii="宋体" w:cs="宋体"/>
          <w:color w:val="auto"/>
          <w:szCs w:val="21"/>
        </w:rPr>
      </w:pPr>
      <w:r>
        <w:rPr>
          <w:rFonts w:hint="eastAsia" w:ascii="宋体" w:cs="宋体"/>
          <w:color w:val="auto"/>
          <w:szCs w:val="21"/>
        </w:rPr>
        <w:t>采购人按国家有关规定、规范进行验收。因货物质量问题发生争议时，由本地质量技术监督部门鉴定。货物符合质量技术标准的，鉴定费由采购人承担；否则鉴定费由成交供应商承担。</w:t>
      </w:r>
    </w:p>
    <w:p>
      <w:pPr>
        <w:numPr>
          <w:ilvl w:val="0"/>
          <w:numId w:val="4"/>
        </w:numPr>
        <w:tabs>
          <w:tab w:val="left" w:pos="540"/>
          <w:tab w:val="left" w:pos="574"/>
        </w:tabs>
        <w:spacing w:line="360" w:lineRule="auto"/>
        <w:outlineLvl w:val="0"/>
        <w:rPr>
          <w:rFonts w:ascii="宋体" w:cs="Times New Roman"/>
          <w:b/>
          <w:bCs/>
        </w:rPr>
      </w:pPr>
      <w:r>
        <w:rPr>
          <w:rFonts w:hint="eastAsia" w:ascii="宋体" w:hAnsi="宋体" w:cs="宋体"/>
          <w:b/>
          <w:bCs/>
        </w:rPr>
        <w:t>付款方式</w:t>
      </w:r>
    </w:p>
    <w:p>
      <w:pPr>
        <w:tabs>
          <w:tab w:val="left" w:pos="900"/>
        </w:tabs>
        <w:autoSpaceDE w:val="0"/>
        <w:autoSpaceDN w:val="0"/>
        <w:adjustRightInd w:val="0"/>
        <w:snapToGrid w:val="0"/>
        <w:spacing w:line="360" w:lineRule="auto"/>
        <w:ind w:firstLine="420" w:firstLineChars="200"/>
        <w:rPr>
          <w:rFonts w:ascii="宋体" w:cs="宋体"/>
          <w:color w:val="auto"/>
          <w:szCs w:val="21"/>
        </w:rPr>
      </w:pPr>
      <w:r>
        <w:rPr>
          <w:rFonts w:hint="eastAsia" w:ascii="宋体" w:cs="宋体"/>
          <w:color w:val="auto"/>
          <w:szCs w:val="21"/>
        </w:rPr>
        <w:t>1.根据实际数量进行结算支付：实际结算价=最高限价表中的单价×数量×成交折扣率。</w:t>
      </w:r>
    </w:p>
    <w:p>
      <w:pPr>
        <w:tabs>
          <w:tab w:val="left" w:pos="900"/>
        </w:tabs>
        <w:autoSpaceDE w:val="0"/>
        <w:autoSpaceDN w:val="0"/>
        <w:adjustRightInd w:val="0"/>
        <w:snapToGrid w:val="0"/>
        <w:spacing w:line="360" w:lineRule="auto"/>
        <w:ind w:firstLine="420" w:firstLineChars="200"/>
        <w:rPr>
          <w:rFonts w:ascii="宋体"/>
          <w:color w:val="auto"/>
          <w:szCs w:val="21"/>
        </w:rPr>
      </w:pPr>
      <w:r>
        <w:rPr>
          <w:rFonts w:hint="eastAsia" w:ascii="宋体" w:cs="宋体"/>
          <w:color w:val="auto"/>
          <w:szCs w:val="21"/>
        </w:rPr>
        <w:t>2.成交供应商凭以下有效文件与采购人结算：</w:t>
      </w:r>
    </w:p>
    <w:p>
      <w:pPr>
        <w:autoSpaceDN w:val="0"/>
        <w:adjustRightInd w:val="0"/>
        <w:snapToGrid w:val="0"/>
        <w:spacing w:line="360" w:lineRule="auto"/>
        <w:ind w:firstLine="315" w:firstLineChars="150"/>
        <w:rPr>
          <w:rFonts w:ascii="宋体"/>
          <w:color w:val="auto"/>
          <w:szCs w:val="21"/>
        </w:rPr>
      </w:pPr>
      <w:r>
        <w:rPr>
          <w:rFonts w:hint="eastAsia" w:ascii="宋体" w:cs="宋体"/>
          <w:color w:val="auto"/>
          <w:szCs w:val="21"/>
        </w:rPr>
        <w:t>（1）合同；</w:t>
      </w:r>
    </w:p>
    <w:p>
      <w:pPr>
        <w:autoSpaceDN w:val="0"/>
        <w:adjustRightInd w:val="0"/>
        <w:snapToGrid w:val="0"/>
        <w:spacing w:line="360" w:lineRule="auto"/>
        <w:ind w:firstLine="315" w:firstLineChars="150"/>
        <w:rPr>
          <w:rFonts w:ascii="宋体"/>
          <w:color w:val="auto"/>
          <w:szCs w:val="21"/>
        </w:rPr>
      </w:pPr>
      <w:r>
        <w:rPr>
          <w:rFonts w:hint="eastAsia" w:ascii="宋体" w:cs="宋体"/>
          <w:color w:val="auto"/>
          <w:szCs w:val="21"/>
        </w:rPr>
        <w:t>（2）成交供应商开具的正式发票；</w:t>
      </w:r>
    </w:p>
    <w:p>
      <w:pPr>
        <w:autoSpaceDN w:val="0"/>
        <w:adjustRightInd w:val="0"/>
        <w:snapToGrid w:val="0"/>
        <w:spacing w:line="360" w:lineRule="auto"/>
        <w:ind w:firstLine="315" w:firstLineChars="150"/>
        <w:rPr>
          <w:rFonts w:ascii="宋体"/>
          <w:color w:val="auto"/>
          <w:szCs w:val="21"/>
        </w:rPr>
      </w:pPr>
      <w:r>
        <w:rPr>
          <w:rFonts w:hint="eastAsia" w:ascii="宋体" w:cs="宋体"/>
          <w:color w:val="auto"/>
          <w:szCs w:val="21"/>
        </w:rPr>
        <w:t>（3）成交供应商开具的耗材更换服务单</w:t>
      </w:r>
      <w:r>
        <w:rPr>
          <w:rFonts w:hint="eastAsia" w:ascii="宋体" w:cs="宋体"/>
          <w:color w:val="auto"/>
          <w:szCs w:val="21"/>
          <w:lang w:val="en-US" w:eastAsia="zh-CN"/>
        </w:rPr>
        <w:t>或</w:t>
      </w:r>
      <w:r>
        <w:rPr>
          <w:rFonts w:hint="eastAsia" w:ascii="宋体" w:hAnsi="宋体" w:cs="宋体"/>
        </w:rPr>
        <w:t>采购人仓库管理部门的货物验收入库单</w:t>
      </w:r>
      <w:r>
        <w:rPr>
          <w:rFonts w:hint="eastAsia" w:ascii="宋体" w:cs="宋体"/>
          <w:color w:val="auto"/>
          <w:szCs w:val="21"/>
        </w:rPr>
        <w:t>；</w:t>
      </w:r>
    </w:p>
    <w:p>
      <w:pPr>
        <w:autoSpaceDN w:val="0"/>
        <w:adjustRightInd w:val="0"/>
        <w:snapToGrid w:val="0"/>
        <w:spacing w:line="360" w:lineRule="auto"/>
        <w:ind w:firstLine="315" w:firstLineChars="150"/>
        <w:rPr>
          <w:rFonts w:ascii="宋体"/>
          <w:color w:val="auto"/>
          <w:szCs w:val="21"/>
        </w:rPr>
      </w:pPr>
      <w:r>
        <w:rPr>
          <w:rFonts w:hint="eastAsia" w:ascii="宋体" w:cs="宋体"/>
          <w:color w:val="auto"/>
          <w:szCs w:val="21"/>
        </w:rPr>
        <w:t>（4）成交通知书。</w:t>
      </w:r>
    </w:p>
    <w:p>
      <w:pPr>
        <w:tabs>
          <w:tab w:val="left" w:pos="630"/>
        </w:tabs>
        <w:spacing w:line="360" w:lineRule="auto"/>
        <w:ind w:firstLine="420" w:firstLineChars="200"/>
        <w:rPr>
          <w:rFonts w:ascii="宋体" w:cs="Times New Roman"/>
        </w:rPr>
      </w:pPr>
      <w:r>
        <w:rPr>
          <w:rFonts w:ascii="宋体" w:hAnsi="宋体" w:cs="宋体"/>
        </w:rPr>
        <w:t>3.</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pPr>
        <w:tabs>
          <w:tab w:val="left" w:pos="540"/>
          <w:tab w:val="left" w:pos="574"/>
        </w:tabs>
        <w:spacing w:line="360" w:lineRule="auto"/>
        <w:outlineLvl w:val="0"/>
        <w:rPr>
          <w:rFonts w:cs="Times New Roman"/>
          <w:b/>
          <w:bCs/>
        </w:rPr>
      </w:pPr>
      <w:r>
        <w:rPr>
          <w:rFonts w:hint="eastAsia" w:cs="宋体"/>
          <w:b/>
          <w:bCs/>
        </w:rPr>
        <w:t>五、采购人配合条件</w:t>
      </w:r>
    </w:p>
    <w:p>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pPr>
        <w:pStyle w:val="2"/>
        <w:ind w:firstLine="210"/>
        <w:rPr>
          <w:rFonts w:cs="Times New Roman"/>
        </w:rPr>
      </w:pPr>
    </w:p>
    <w:p>
      <w:pPr>
        <w:rPr>
          <w:rFonts w:cs="Times New Roman"/>
        </w:rPr>
      </w:pPr>
    </w:p>
    <w:p>
      <w:pPr>
        <w:pStyle w:val="3"/>
        <w:numPr>
          <w:ilvl w:val="0"/>
          <w:numId w:val="6"/>
        </w:numPr>
        <w:spacing w:before="0" w:after="0" w:line="360" w:lineRule="auto"/>
        <w:jc w:val="center"/>
        <w:rPr>
          <w:rFonts w:ascii="黑体" w:eastAsia="黑体"/>
          <w:b w:val="0"/>
          <w:bCs w:val="0"/>
          <w:kern w:val="2"/>
          <w:sz w:val="36"/>
          <w:szCs w:val="36"/>
        </w:rPr>
      </w:pPr>
      <w:bookmarkStart w:id="5" w:name="_Toc14797"/>
      <w:bookmarkStart w:id="6" w:name="_Toc26765"/>
      <w:r>
        <w:rPr>
          <w:rFonts w:hint="eastAsia" w:ascii="黑体" w:eastAsia="黑体" w:cs="黑体"/>
          <w:b w:val="0"/>
          <w:bCs w:val="0"/>
          <w:kern w:val="2"/>
          <w:sz w:val="36"/>
          <w:szCs w:val="36"/>
        </w:rPr>
        <w:t>磋商须知</w:t>
      </w:r>
      <w:bookmarkEnd w:id="5"/>
      <w:bookmarkEnd w:id="6"/>
    </w:p>
    <w:p>
      <w:pPr>
        <w:pStyle w:val="4"/>
        <w:spacing w:before="0" w:after="0" w:line="360" w:lineRule="auto"/>
        <w:jc w:val="center"/>
        <w:rPr>
          <w:rFonts w:cs="Times New Roman"/>
          <w:b w:val="0"/>
          <w:bCs w:val="0"/>
        </w:rPr>
      </w:pPr>
      <w:bookmarkStart w:id="7" w:name="_Toc22467"/>
      <w:bookmarkStart w:id="8" w:name="_Toc30342"/>
      <w:r>
        <w:rPr>
          <w:rFonts w:hint="eastAsia" w:cs="黑体"/>
          <w:b w:val="0"/>
          <w:bCs w:val="0"/>
        </w:rPr>
        <w:t>一、说明</w:t>
      </w:r>
      <w:bookmarkEnd w:id="7"/>
      <w:bookmarkEnd w:id="8"/>
    </w:p>
    <w:p>
      <w:pPr>
        <w:pStyle w:val="3"/>
        <w:numPr>
          <w:ilvl w:val="0"/>
          <w:numId w:val="7"/>
        </w:numPr>
        <w:spacing w:before="0" w:after="0" w:line="360" w:lineRule="auto"/>
        <w:ind w:left="924" w:hanging="924"/>
        <w:rPr>
          <w:rStyle w:val="74"/>
          <w:rFonts w:ascii="宋体" w:eastAsia="宋体" w:cs="Times New Roman"/>
          <w:sz w:val="21"/>
          <w:szCs w:val="21"/>
        </w:rPr>
      </w:pPr>
      <w:bookmarkStart w:id="9" w:name="_Toc30333"/>
      <w:bookmarkStart w:id="10" w:name="_Toc31962"/>
      <w:bookmarkStart w:id="11" w:name="_Toc3122"/>
      <w:r>
        <w:rPr>
          <w:rStyle w:val="74"/>
          <w:rFonts w:hint="eastAsia" w:ascii="宋体" w:hAnsi="宋体" w:eastAsia="宋体" w:cs="宋体"/>
          <w:sz w:val="21"/>
          <w:szCs w:val="21"/>
        </w:rPr>
        <w:t>采购项目与采购当事人</w:t>
      </w:r>
      <w:bookmarkEnd w:id="9"/>
      <w:bookmarkEnd w:id="10"/>
      <w:bookmarkEnd w:id="11"/>
    </w:p>
    <w:p>
      <w:pPr>
        <w:numPr>
          <w:ilvl w:val="1"/>
          <w:numId w:val="8"/>
        </w:numPr>
        <w:spacing w:line="360" w:lineRule="auto"/>
        <w:rPr>
          <w:rFonts w:ascii="宋体" w:cs="Times New Roman"/>
        </w:rPr>
      </w:pPr>
      <w:bookmarkStart w:id="12" w:name="_Ref179620493"/>
      <w:r>
        <w:rPr>
          <w:rFonts w:hint="eastAsia" w:ascii="宋体" w:hAnsi="宋体" w:cs="宋体"/>
        </w:rPr>
        <w:t>采购人已拥有一笔资金，采购人计划将一部分资金或全部资金用于支付本次磋商后所签订合同项下的款项。</w:t>
      </w:r>
    </w:p>
    <w:p>
      <w:pPr>
        <w:numPr>
          <w:ilvl w:val="1"/>
          <w:numId w:val="8"/>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pPr>
        <w:numPr>
          <w:ilvl w:val="1"/>
          <w:numId w:val="8"/>
        </w:numPr>
        <w:spacing w:line="360" w:lineRule="auto"/>
        <w:rPr>
          <w:rFonts w:ascii="宋体" w:cs="Times New Roman"/>
        </w:rPr>
      </w:pPr>
      <w:r>
        <w:rPr>
          <w:rFonts w:hint="eastAsia" w:ascii="宋体" w:hAnsi="宋体" w:cs="宋体"/>
        </w:rPr>
        <w:t>采购人：中山市技师学院。</w:t>
      </w:r>
    </w:p>
    <w:bookmarkEnd w:id="12"/>
    <w:p>
      <w:pPr>
        <w:numPr>
          <w:ilvl w:val="1"/>
          <w:numId w:val="8"/>
        </w:numPr>
        <w:spacing w:line="360" w:lineRule="auto"/>
        <w:rPr>
          <w:rFonts w:ascii="宋体" w:cs="Times New Roman"/>
        </w:rPr>
      </w:pPr>
      <w:bookmarkStart w:id="13" w:name="_Toc25007"/>
      <w:bookmarkStart w:id="14" w:name="_Toc29078"/>
      <w:r>
        <w:rPr>
          <w:rFonts w:hint="eastAsia" w:ascii="宋体" w:hAnsi="宋体" w:cs="宋体"/>
        </w:rPr>
        <w:t>供应商（或报价人）：指响应本磋商文件要求，参加磋商的法人或者其他组织。任何未在采购人处报名的法人或其他组织均不得参加磋商报价。</w:t>
      </w:r>
    </w:p>
    <w:p>
      <w:pPr>
        <w:numPr>
          <w:ilvl w:val="1"/>
          <w:numId w:val="8"/>
        </w:numPr>
        <w:spacing w:line="360" w:lineRule="auto"/>
        <w:rPr>
          <w:rFonts w:ascii="宋体" w:cs="Times New Roman"/>
        </w:rPr>
      </w:pPr>
      <w:r>
        <w:rPr>
          <w:rFonts w:hint="eastAsia" w:ascii="宋体" w:hAnsi="宋体" w:cs="宋体"/>
        </w:rPr>
        <w:t>成交供应商：是指经法定程序确定并授予合同的供应商。</w:t>
      </w:r>
    </w:p>
    <w:p>
      <w:pPr>
        <w:numPr>
          <w:ilvl w:val="1"/>
          <w:numId w:val="8"/>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w:t>
      </w:r>
      <w:bookmarkEnd w:id="13"/>
      <w:bookmarkEnd w:id="14"/>
      <w:r>
        <w:rPr>
          <w:rStyle w:val="74"/>
          <w:rFonts w:hint="eastAsia" w:ascii="宋体" w:hAnsi="宋体" w:eastAsia="宋体" w:cs="宋体"/>
          <w:sz w:val="21"/>
          <w:szCs w:val="21"/>
        </w:rPr>
        <w:t>供应商</w:t>
      </w:r>
    </w:p>
    <w:p>
      <w:pPr>
        <w:numPr>
          <w:ilvl w:val="1"/>
          <w:numId w:val="9"/>
        </w:numPr>
        <w:spacing w:line="360" w:lineRule="auto"/>
        <w:rPr>
          <w:rFonts w:ascii="宋体" w:cs="Times New Roman"/>
        </w:rPr>
      </w:pPr>
      <w:bookmarkStart w:id="15" w:name="_Toc24222"/>
      <w:bookmarkStart w:id="16" w:name="_Toc30313"/>
      <w:r>
        <w:rPr>
          <w:rFonts w:hint="eastAsia" w:ascii="宋体" w:hAnsi="宋体" w:cs="宋体"/>
        </w:rPr>
        <w:t>除非下文另有规定，凡是在中华人民共和国境内注册且为人民币流通区域内的供应商均可报价。</w:t>
      </w:r>
    </w:p>
    <w:p>
      <w:pPr>
        <w:numPr>
          <w:ilvl w:val="1"/>
          <w:numId w:val="9"/>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pPr>
        <w:numPr>
          <w:ilvl w:val="1"/>
          <w:numId w:val="9"/>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1"/>
          <w:numId w:val="9"/>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pPr>
        <w:numPr>
          <w:ilvl w:val="1"/>
          <w:numId w:val="9"/>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pPr>
        <w:numPr>
          <w:ilvl w:val="1"/>
          <w:numId w:val="9"/>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pPr>
        <w:numPr>
          <w:ilvl w:val="1"/>
          <w:numId w:val="9"/>
        </w:numPr>
        <w:spacing w:line="360" w:lineRule="auto"/>
        <w:rPr>
          <w:rFonts w:ascii="宋体" w:cs="Times New Roman"/>
        </w:rPr>
      </w:pPr>
      <w:r>
        <w:rPr>
          <w:rFonts w:hint="eastAsia" w:ascii="宋体" w:hAnsi="宋体" w:cs="宋体"/>
        </w:rPr>
        <w:t>为采购项目提供整体设计、规范编制或者项目管理、监理、检测等服务的供应商，不得再参加该采购项目的采购活动。</w:t>
      </w:r>
    </w:p>
    <w:p>
      <w:pPr>
        <w:numPr>
          <w:ilvl w:val="1"/>
          <w:numId w:val="9"/>
        </w:numPr>
        <w:spacing w:line="360" w:lineRule="auto"/>
        <w:rPr>
          <w:rFonts w:ascii="宋体" w:cs="Times New Roman"/>
        </w:rPr>
      </w:pPr>
      <w:r>
        <w:rPr>
          <w:rFonts w:hint="eastAsia" w:ascii="宋体" w:hAnsi="宋体" w:cs="宋体"/>
        </w:rPr>
        <w:t>本项目不接受联合体磋商。</w:t>
      </w:r>
    </w:p>
    <w:p>
      <w:pPr>
        <w:numPr>
          <w:ilvl w:val="1"/>
          <w:numId w:val="9"/>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pPr>
        <w:numPr>
          <w:ilvl w:val="1"/>
          <w:numId w:val="9"/>
        </w:numPr>
        <w:spacing w:line="360" w:lineRule="auto"/>
        <w:rPr>
          <w:rFonts w:ascii="宋体" w:cs="Times New Roman"/>
        </w:rPr>
      </w:pPr>
      <w:r>
        <w:rPr>
          <w:rFonts w:hint="eastAsia" w:ascii="宋体" w:hAnsi="宋体" w:cs="宋体"/>
        </w:rPr>
        <w:t>磋商文件《竞争性磋商邀请函》要求的其他条件。</w:t>
      </w:r>
    </w:p>
    <w:bookmarkEnd w:id="15"/>
    <w:bookmarkEnd w:id="16"/>
    <w:p>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合格的货物、服务及工程</w:t>
      </w:r>
    </w:p>
    <w:p>
      <w:pPr>
        <w:numPr>
          <w:ilvl w:val="1"/>
          <w:numId w:val="10"/>
        </w:numPr>
        <w:spacing w:line="360" w:lineRule="auto"/>
        <w:rPr>
          <w:rFonts w:ascii="宋体" w:cs="Times New Roman"/>
        </w:rPr>
      </w:pP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货物必须是合法生产、合法来源的符合国家有关标准要求的货物，并满足本竞争性磋商文件规定的规格、参数、质量、价格、有效期、售后服务等要求。</w:t>
      </w:r>
    </w:p>
    <w:p>
      <w:pPr>
        <w:numPr>
          <w:ilvl w:val="1"/>
          <w:numId w:val="10"/>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pPr>
        <w:numPr>
          <w:ilvl w:val="1"/>
          <w:numId w:val="10"/>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磋商费用</w:t>
      </w:r>
    </w:p>
    <w:p>
      <w:pPr>
        <w:numPr>
          <w:ilvl w:val="1"/>
          <w:numId w:val="11"/>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现场考察或者召开开标前答疑会</w:t>
      </w:r>
    </w:p>
    <w:p>
      <w:pPr>
        <w:numPr>
          <w:ilvl w:val="1"/>
          <w:numId w:val="12"/>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pPr>
        <w:numPr>
          <w:ilvl w:val="2"/>
          <w:numId w:val="13"/>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pPr>
        <w:numPr>
          <w:ilvl w:val="2"/>
          <w:numId w:val="13"/>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pPr>
        <w:numPr>
          <w:ilvl w:val="1"/>
          <w:numId w:val="12"/>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其他</w:t>
      </w:r>
    </w:p>
    <w:p>
      <w:pPr>
        <w:numPr>
          <w:ilvl w:val="1"/>
          <w:numId w:val="14"/>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pPr>
        <w:numPr>
          <w:ilvl w:val="1"/>
          <w:numId w:val="14"/>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纪律与保密事项</w:t>
      </w:r>
    </w:p>
    <w:p>
      <w:pPr>
        <w:numPr>
          <w:ilvl w:val="0"/>
          <w:numId w:val="15"/>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pPr>
        <w:numPr>
          <w:ilvl w:val="0"/>
          <w:numId w:val="15"/>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pPr>
        <w:numPr>
          <w:ilvl w:val="0"/>
          <w:numId w:val="15"/>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pPr>
        <w:numPr>
          <w:ilvl w:val="0"/>
          <w:numId w:val="15"/>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pPr>
        <w:numPr>
          <w:ilvl w:val="0"/>
          <w:numId w:val="15"/>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pPr>
        <w:numPr>
          <w:ilvl w:val="0"/>
          <w:numId w:val="15"/>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pPr>
        <w:numPr>
          <w:ilvl w:val="0"/>
          <w:numId w:val="15"/>
        </w:numPr>
        <w:spacing w:line="360" w:lineRule="auto"/>
        <w:jc w:val="left"/>
        <w:rPr>
          <w:rFonts w:ascii="宋体" w:cs="Times New Roman"/>
        </w:rPr>
      </w:pPr>
      <w:bookmarkStart w:id="17" w:name="_Hlk36653371"/>
      <w:r>
        <w:rPr>
          <w:rFonts w:hint="eastAsia" w:ascii="宋体" w:hAnsi="宋体" w:cs="宋体"/>
        </w:rPr>
        <w:t>依据《中山市技师学院供应商管理制度》的规定，</w:t>
      </w:r>
      <w:bookmarkEnd w:id="17"/>
      <w:r>
        <w:rPr>
          <w:rFonts w:hint="eastAsia" w:ascii="宋体" w:hAnsi="宋体" w:cs="宋体"/>
        </w:rPr>
        <w:t>供应商存在以下情形的，将被列入供应商不良行为：</w:t>
      </w:r>
    </w:p>
    <w:p>
      <w:pPr>
        <w:numPr>
          <w:ilvl w:val="0"/>
          <w:numId w:val="16"/>
        </w:numPr>
        <w:spacing w:line="360" w:lineRule="auto"/>
        <w:ind w:firstLine="415"/>
        <w:rPr>
          <w:rFonts w:ascii="宋体" w:cs="Times New Roman"/>
        </w:rPr>
      </w:pPr>
      <w:r>
        <w:rPr>
          <w:rFonts w:hint="eastAsia" w:ascii="宋体" w:hAnsi="宋体" w:cs="宋体"/>
        </w:rPr>
        <w:t>提供虚假材料谋取中标、成交的；</w:t>
      </w:r>
    </w:p>
    <w:p>
      <w:pPr>
        <w:numPr>
          <w:ilvl w:val="0"/>
          <w:numId w:val="16"/>
        </w:numPr>
        <w:spacing w:line="360" w:lineRule="auto"/>
        <w:ind w:firstLine="415"/>
        <w:rPr>
          <w:rFonts w:ascii="宋体" w:cs="Times New Roman"/>
        </w:rPr>
      </w:pPr>
      <w:r>
        <w:rPr>
          <w:rFonts w:hint="eastAsia" w:ascii="宋体" w:hAnsi="宋体" w:cs="宋体"/>
        </w:rPr>
        <w:t>采用不正当手段诋毁、排挤其他供应商的；</w:t>
      </w:r>
    </w:p>
    <w:p>
      <w:pPr>
        <w:numPr>
          <w:ilvl w:val="0"/>
          <w:numId w:val="16"/>
        </w:numPr>
        <w:spacing w:line="360" w:lineRule="auto"/>
        <w:ind w:firstLine="415"/>
        <w:rPr>
          <w:rFonts w:ascii="宋体" w:cs="Times New Roman"/>
        </w:rPr>
      </w:pPr>
      <w:r>
        <w:rPr>
          <w:rFonts w:hint="eastAsia" w:ascii="宋体" w:hAnsi="宋体" w:cs="宋体"/>
        </w:rPr>
        <w:t>与采购单位、采购代理机构或者其他供应商恶意串通的；</w:t>
      </w:r>
    </w:p>
    <w:p>
      <w:pPr>
        <w:numPr>
          <w:ilvl w:val="0"/>
          <w:numId w:val="16"/>
        </w:numPr>
        <w:spacing w:line="360" w:lineRule="auto"/>
        <w:ind w:firstLine="415"/>
        <w:rPr>
          <w:rFonts w:ascii="宋体" w:cs="Times New Roman"/>
        </w:rPr>
      </w:pPr>
      <w:r>
        <w:rPr>
          <w:rFonts w:hint="eastAsia" w:ascii="宋体" w:hAnsi="宋体" w:cs="宋体"/>
        </w:rPr>
        <w:t>中标后无正当理由不与采购单位签订采购合同的；</w:t>
      </w:r>
    </w:p>
    <w:p>
      <w:pPr>
        <w:numPr>
          <w:ilvl w:val="0"/>
          <w:numId w:val="16"/>
        </w:numPr>
        <w:spacing w:line="360" w:lineRule="auto"/>
        <w:ind w:firstLine="415"/>
        <w:rPr>
          <w:rFonts w:ascii="宋体" w:cs="Times New Roman"/>
        </w:rPr>
      </w:pPr>
      <w:r>
        <w:rPr>
          <w:rFonts w:hint="eastAsia" w:ascii="宋体" w:hAnsi="宋体" w:cs="宋体"/>
        </w:rPr>
        <w:t>擅自变更或者终止采购合同的；</w:t>
      </w:r>
    </w:p>
    <w:p>
      <w:pPr>
        <w:numPr>
          <w:ilvl w:val="0"/>
          <w:numId w:val="16"/>
        </w:numPr>
        <w:spacing w:line="360" w:lineRule="auto"/>
        <w:ind w:firstLine="415"/>
        <w:rPr>
          <w:rFonts w:ascii="宋体" w:cs="Times New Roman"/>
        </w:rPr>
      </w:pPr>
      <w:r>
        <w:rPr>
          <w:rFonts w:hint="eastAsia" w:ascii="宋体" w:hAnsi="宋体" w:cs="宋体"/>
        </w:rPr>
        <w:t>提供的商品不符合国家环保标准或者不按规定做好节能产品供应的；</w:t>
      </w:r>
    </w:p>
    <w:p>
      <w:pPr>
        <w:numPr>
          <w:ilvl w:val="0"/>
          <w:numId w:val="16"/>
        </w:numPr>
        <w:spacing w:line="360" w:lineRule="auto"/>
        <w:ind w:firstLine="415"/>
        <w:rPr>
          <w:rFonts w:ascii="宋体" w:cs="Times New Roman"/>
        </w:rPr>
      </w:pPr>
      <w:r>
        <w:rPr>
          <w:rFonts w:hint="eastAsia" w:ascii="宋体" w:hAnsi="宋体" w:cs="宋体"/>
        </w:rPr>
        <w:t>向采购单位、采购代理机构等行贿或者提供其他不正当利益的；</w:t>
      </w:r>
    </w:p>
    <w:p>
      <w:pPr>
        <w:numPr>
          <w:ilvl w:val="0"/>
          <w:numId w:val="16"/>
        </w:numPr>
        <w:spacing w:line="360" w:lineRule="auto"/>
        <w:ind w:firstLine="415"/>
        <w:rPr>
          <w:rFonts w:ascii="宋体" w:cs="Times New Roman"/>
        </w:rPr>
      </w:pPr>
      <w:r>
        <w:rPr>
          <w:rFonts w:hint="eastAsia" w:ascii="宋体" w:hAnsi="宋体" w:cs="宋体"/>
        </w:rPr>
        <w:t>无正当理由发生投诉二次（含二次）以上的；</w:t>
      </w:r>
    </w:p>
    <w:p>
      <w:pPr>
        <w:numPr>
          <w:ilvl w:val="0"/>
          <w:numId w:val="16"/>
        </w:numPr>
        <w:spacing w:line="360" w:lineRule="auto"/>
        <w:ind w:firstLine="415"/>
        <w:rPr>
          <w:rFonts w:ascii="宋体" w:cs="Times New Roman"/>
        </w:rPr>
      </w:pPr>
      <w:r>
        <w:rPr>
          <w:rFonts w:hint="eastAsia" w:ascii="宋体" w:hAnsi="宋体" w:cs="宋体"/>
        </w:rPr>
        <w:t>拒绝学院监督检查或者提供虚假情况的；</w:t>
      </w:r>
    </w:p>
    <w:p>
      <w:pPr>
        <w:numPr>
          <w:ilvl w:val="0"/>
          <w:numId w:val="16"/>
        </w:numPr>
        <w:spacing w:line="360" w:lineRule="auto"/>
        <w:ind w:left="420" w:leftChars="200" w:firstLine="415"/>
        <w:jc w:val="left"/>
        <w:rPr>
          <w:rFonts w:ascii="宋体" w:cs="Times New Roman"/>
        </w:rPr>
      </w:pPr>
      <w:r>
        <w:rPr>
          <w:rFonts w:hint="eastAsia" w:ascii="宋体" w:hAnsi="宋体" w:cs="宋体"/>
        </w:rPr>
        <w:t>将中标项目转让给他人的；</w:t>
      </w:r>
    </w:p>
    <w:p>
      <w:pPr>
        <w:numPr>
          <w:ilvl w:val="0"/>
          <w:numId w:val="16"/>
        </w:numPr>
        <w:spacing w:line="360" w:lineRule="auto"/>
        <w:ind w:left="424" w:leftChars="202" w:firstLine="415"/>
        <w:rPr>
          <w:rFonts w:ascii="宋体" w:cs="Times New Roman"/>
        </w:rPr>
      </w:pPr>
      <w:r>
        <w:rPr>
          <w:rFonts w:hint="eastAsia" w:ascii="宋体" w:hAnsi="宋体" w:cs="宋体"/>
        </w:rPr>
        <w:t>拒绝履行合同义务的；</w:t>
      </w:r>
    </w:p>
    <w:p>
      <w:pPr>
        <w:numPr>
          <w:ilvl w:val="0"/>
          <w:numId w:val="16"/>
        </w:numPr>
        <w:spacing w:line="360" w:lineRule="auto"/>
        <w:ind w:left="424" w:leftChars="202" w:firstLine="415"/>
        <w:rPr>
          <w:rFonts w:ascii="宋体" w:cs="Times New Roman"/>
        </w:rPr>
      </w:pPr>
      <w:r>
        <w:rPr>
          <w:rFonts w:hint="eastAsia" w:ascii="宋体" w:hAnsi="宋体" w:cs="宋体"/>
        </w:rPr>
        <w:t>一个年度内有学院给予采购项目质量评价为差评的；</w:t>
      </w:r>
    </w:p>
    <w:p>
      <w:pPr>
        <w:numPr>
          <w:ilvl w:val="0"/>
          <w:numId w:val="15"/>
        </w:numPr>
        <w:spacing w:line="360" w:lineRule="auto"/>
        <w:jc w:val="left"/>
        <w:rPr>
          <w:rFonts w:ascii="宋体" w:cs="Times New Roman"/>
        </w:rPr>
      </w:pPr>
      <w:r>
        <w:rPr>
          <w:rFonts w:hint="eastAsia" w:ascii="宋体" w:hAnsi="宋体" w:cs="宋体"/>
        </w:rPr>
        <w:t>依据《中山市技师学院供应商管理制度》的规定，供应商若存在不良行为，学院可终止项目合同，或曝光其不良行为，或禁止该供应商一至三年内不得参与学院的校内采购活动。</w:t>
      </w:r>
    </w:p>
    <w:p>
      <w:pPr>
        <w:numPr>
          <w:ilvl w:val="0"/>
          <w:numId w:val="15"/>
        </w:numPr>
        <w:spacing w:line="360" w:lineRule="auto"/>
        <w:jc w:val="left"/>
        <w:rPr>
          <w:rFonts w:ascii="宋体" w:cs="Times New Roman"/>
        </w:rPr>
      </w:pPr>
      <w:r>
        <w:rPr>
          <w:rFonts w:hint="eastAsia" w:ascii="宋体" w:hAnsi="宋体" w:cs="宋体"/>
        </w:rPr>
        <w:t>依据《中山市技师学院供应商管理制度》的规定，供应商若存在不良行为，情节较为严重的，学院应将其从合格供应商库中剔除</w:t>
      </w:r>
      <w:r>
        <w:rPr>
          <w:rFonts w:ascii="宋体" w:cs="宋体"/>
        </w:rPr>
        <w:t>,</w:t>
      </w:r>
      <w:r>
        <w:rPr>
          <w:rFonts w:hint="eastAsia" w:ascii="宋体" w:hAnsi="宋体" w:cs="宋体"/>
        </w:rPr>
        <w:t>并由学院报告给上级采购主管部门进行处理。</w:t>
      </w:r>
    </w:p>
    <w:p>
      <w:pPr>
        <w:pStyle w:val="4"/>
        <w:spacing w:before="0" w:after="0" w:line="360" w:lineRule="auto"/>
        <w:jc w:val="center"/>
        <w:rPr>
          <w:rFonts w:cs="Times New Roman"/>
        </w:rPr>
      </w:pPr>
      <w:bookmarkStart w:id="18" w:name="_Toc18742"/>
      <w:bookmarkStart w:id="19" w:name="_Toc20073"/>
      <w:r>
        <w:rPr>
          <w:rFonts w:hint="eastAsia" w:cs="黑体"/>
        </w:rPr>
        <w:t>二、</w:t>
      </w:r>
      <w:bookmarkEnd w:id="18"/>
      <w:bookmarkEnd w:id="19"/>
      <w:r>
        <w:rPr>
          <w:rFonts w:hint="eastAsia" w:cs="黑体"/>
        </w:rPr>
        <w:t>磋商文件</w:t>
      </w:r>
    </w:p>
    <w:p>
      <w:pPr>
        <w:pStyle w:val="3"/>
        <w:numPr>
          <w:ilvl w:val="0"/>
          <w:numId w:val="7"/>
        </w:numPr>
        <w:spacing w:before="0" w:after="0" w:line="360" w:lineRule="auto"/>
        <w:ind w:left="924" w:hanging="924"/>
        <w:rPr>
          <w:rStyle w:val="74"/>
          <w:rFonts w:ascii="宋体" w:eastAsia="宋体" w:cs="Times New Roman"/>
          <w:sz w:val="24"/>
          <w:szCs w:val="24"/>
        </w:rPr>
      </w:pPr>
      <w:bookmarkStart w:id="20" w:name="_Toc16586"/>
      <w:bookmarkStart w:id="21" w:name="_Toc13210"/>
      <w:r>
        <w:rPr>
          <w:rStyle w:val="74"/>
          <w:rFonts w:hint="eastAsia" w:ascii="宋体" w:hAnsi="宋体" w:eastAsia="宋体" w:cs="宋体"/>
          <w:sz w:val="24"/>
          <w:szCs w:val="24"/>
        </w:rPr>
        <w:t>磋商文件的编制参照与构成</w:t>
      </w:r>
      <w:bookmarkEnd w:id="20"/>
      <w:bookmarkEnd w:id="21"/>
    </w:p>
    <w:p>
      <w:pPr>
        <w:numPr>
          <w:ilvl w:val="1"/>
          <w:numId w:val="17"/>
        </w:numPr>
        <w:spacing w:line="360" w:lineRule="auto"/>
        <w:rPr>
          <w:rFonts w:ascii="宋体" w:cs="Times New Roman"/>
        </w:rPr>
      </w:pPr>
      <w:r>
        <w:rPr>
          <w:rFonts w:hint="eastAsia" w:ascii="宋体" w:hAnsi="宋体" w:cs="宋体"/>
        </w:rPr>
        <w:t>本磋商文件的编制参照是《政府采购竞争性磋商采购方式管理暂行办法》等。</w:t>
      </w:r>
    </w:p>
    <w:p>
      <w:pPr>
        <w:numPr>
          <w:ilvl w:val="1"/>
          <w:numId w:val="17"/>
        </w:numPr>
        <w:spacing w:line="360" w:lineRule="auto"/>
        <w:rPr>
          <w:rFonts w:ascii="宋体" w:cs="Times New Roman"/>
        </w:rPr>
      </w:pPr>
      <w:r>
        <w:rPr>
          <w:rFonts w:hint="eastAsia" w:ascii="宋体" w:hAnsi="宋体" w:cs="宋体"/>
        </w:rPr>
        <w:t>磋商文件由下列文件以及在采购过程中发出的修改及补充文件组成：</w:t>
      </w:r>
    </w:p>
    <w:p>
      <w:pPr>
        <w:numPr>
          <w:ilvl w:val="0"/>
          <w:numId w:val="18"/>
        </w:numPr>
        <w:spacing w:line="360" w:lineRule="auto"/>
        <w:ind w:firstLine="415"/>
        <w:rPr>
          <w:rFonts w:ascii="宋体" w:cs="Times New Roman"/>
        </w:rPr>
      </w:pPr>
      <w:bookmarkStart w:id="22" w:name="_Hlk36650065"/>
      <w:r>
        <w:rPr>
          <w:rFonts w:hint="eastAsia" w:ascii="宋体" w:hAnsi="宋体" w:cs="宋体"/>
        </w:rPr>
        <w:t>竞争性磋商邀请函</w:t>
      </w:r>
    </w:p>
    <w:bookmarkEnd w:id="22"/>
    <w:p>
      <w:pPr>
        <w:numPr>
          <w:ilvl w:val="0"/>
          <w:numId w:val="18"/>
        </w:numPr>
        <w:spacing w:line="360" w:lineRule="auto"/>
        <w:ind w:firstLine="415"/>
        <w:rPr>
          <w:rFonts w:ascii="宋体" w:cs="Times New Roman"/>
        </w:rPr>
      </w:pPr>
      <w:r>
        <w:rPr>
          <w:rFonts w:hint="eastAsia" w:ascii="宋体" w:hAnsi="宋体" w:cs="宋体"/>
        </w:rPr>
        <w:t>用户需求书</w:t>
      </w:r>
    </w:p>
    <w:p>
      <w:pPr>
        <w:numPr>
          <w:ilvl w:val="0"/>
          <w:numId w:val="18"/>
        </w:numPr>
        <w:spacing w:line="360" w:lineRule="auto"/>
        <w:ind w:firstLine="415"/>
        <w:rPr>
          <w:rFonts w:ascii="宋体" w:cs="Times New Roman"/>
        </w:rPr>
      </w:pPr>
      <w:r>
        <w:rPr>
          <w:rFonts w:hint="eastAsia" w:ascii="宋体" w:hAnsi="宋体" w:cs="宋体"/>
        </w:rPr>
        <w:t>磋商须知</w:t>
      </w:r>
    </w:p>
    <w:p>
      <w:pPr>
        <w:numPr>
          <w:ilvl w:val="0"/>
          <w:numId w:val="18"/>
        </w:numPr>
        <w:spacing w:line="360" w:lineRule="auto"/>
        <w:ind w:firstLine="415"/>
        <w:rPr>
          <w:rFonts w:ascii="宋体" w:cs="Times New Roman"/>
        </w:rPr>
      </w:pPr>
      <w:r>
        <w:rPr>
          <w:rFonts w:hint="eastAsia" w:ascii="宋体" w:hAnsi="宋体" w:cs="宋体"/>
        </w:rPr>
        <w:t>磋商、评审、成交</w:t>
      </w:r>
    </w:p>
    <w:p>
      <w:pPr>
        <w:numPr>
          <w:ilvl w:val="0"/>
          <w:numId w:val="18"/>
        </w:numPr>
        <w:spacing w:line="360" w:lineRule="auto"/>
        <w:ind w:firstLine="415"/>
        <w:rPr>
          <w:rFonts w:ascii="宋体" w:cs="Times New Roman"/>
        </w:rPr>
      </w:pPr>
      <w:r>
        <w:rPr>
          <w:rFonts w:hint="eastAsia" w:ascii="宋体" w:hAnsi="宋体" w:cs="宋体"/>
        </w:rPr>
        <w:t>合同书格式</w:t>
      </w:r>
    </w:p>
    <w:p>
      <w:pPr>
        <w:numPr>
          <w:ilvl w:val="0"/>
          <w:numId w:val="18"/>
        </w:numPr>
        <w:spacing w:line="360" w:lineRule="auto"/>
        <w:ind w:firstLine="415"/>
        <w:rPr>
          <w:rFonts w:ascii="宋体" w:cs="Times New Roman"/>
        </w:rPr>
      </w:pPr>
      <w:r>
        <w:rPr>
          <w:rFonts w:hint="eastAsia" w:ascii="宋体" w:hAnsi="宋体" w:cs="宋体"/>
        </w:rPr>
        <w:t>响应文件格式</w:t>
      </w:r>
    </w:p>
    <w:p>
      <w:pPr>
        <w:numPr>
          <w:ilvl w:val="0"/>
          <w:numId w:val="18"/>
        </w:numPr>
        <w:spacing w:line="360" w:lineRule="auto"/>
        <w:ind w:firstLine="415"/>
        <w:rPr>
          <w:rFonts w:ascii="宋体" w:cs="Times New Roman"/>
        </w:rPr>
      </w:pPr>
      <w:r>
        <w:rPr>
          <w:rFonts w:hint="eastAsia" w:ascii="宋体" w:hAnsi="宋体" w:cs="宋体"/>
        </w:rPr>
        <w:t>在采购过程中由采购人发出的修正和补充文件等</w:t>
      </w:r>
    </w:p>
    <w:p>
      <w:pPr>
        <w:numPr>
          <w:ilvl w:val="1"/>
          <w:numId w:val="17"/>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pPr>
        <w:numPr>
          <w:ilvl w:val="1"/>
          <w:numId w:val="17"/>
        </w:numPr>
        <w:spacing w:line="360" w:lineRule="auto"/>
        <w:rPr>
          <w:rFonts w:cs="Times New Roman"/>
        </w:rPr>
      </w:pPr>
      <w:r>
        <w:rPr>
          <w:rFonts w:hint="eastAsia" w:cs="宋体"/>
        </w:rPr>
        <w:t>本项目磋商文件解释权归“中山市技师学院”所有。</w:t>
      </w:r>
    </w:p>
    <w:p>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磋商文件的澄清</w:t>
      </w:r>
      <w:r>
        <w:rPr>
          <w:rFonts w:hint="eastAsia" w:ascii="宋体" w:hAnsi="宋体" w:cs="宋体"/>
          <w:sz w:val="21"/>
          <w:szCs w:val="21"/>
        </w:rPr>
        <w:t>和修改</w:t>
      </w:r>
    </w:p>
    <w:p>
      <w:pPr>
        <w:numPr>
          <w:ilvl w:val="1"/>
          <w:numId w:val="19"/>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pPr>
        <w:numPr>
          <w:ilvl w:val="1"/>
          <w:numId w:val="19"/>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pPr>
        <w:numPr>
          <w:ilvl w:val="1"/>
          <w:numId w:val="19"/>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pPr>
        <w:numPr>
          <w:ilvl w:val="1"/>
          <w:numId w:val="19"/>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pPr>
        <w:numPr>
          <w:ilvl w:val="1"/>
          <w:numId w:val="19"/>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pPr>
        <w:numPr>
          <w:ilvl w:val="1"/>
          <w:numId w:val="19"/>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pPr>
        <w:numPr>
          <w:ilvl w:val="1"/>
          <w:numId w:val="19"/>
        </w:numPr>
        <w:spacing w:line="360" w:lineRule="auto"/>
        <w:rPr>
          <w:rFonts w:ascii="宋体" w:hAnsi="宋体" w:cs="宋体"/>
        </w:rPr>
      </w:pPr>
      <w:bookmarkStart w:id="23"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23"/>
    </w:p>
    <w:p>
      <w:pPr>
        <w:pStyle w:val="2"/>
        <w:ind w:firstLine="210"/>
      </w:pPr>
    </w:p>
    <w:p>
      <w:pPr>
        <w:pStyle w:val="4"/>
        <w:numPr>
          <w:ilvl w:val="0"/>
          <w:numId w:val="20"/>
        </w:numPr>
        <w:spacing w:before="0" w:after="0" w:line="360" w:lineRule="auto"/>
        <w:jc w:val="center"/>
        <w:rPr>
          <w:rFonts w:cs="Times New Roman"/>
        </w:rPr>
      </w:pPr>
      <w:bookmarkStart w:id="24" w:name="_Toc1041"/>
      <w:bookmarkStart w:id="25" w:name="_Toc18547"/>
      <w:r>
        <w:rPr>
          <w:rFonts w:hint="eastAsia" w:cs="黑体"/>
        </w:rPr>
        <w:t>响应文件的编制</w:t>
      </w:r>
      <w:bookmarkEnd w:id="24"/>
      <w:bookmarkEnd w:id="25"/>
    </w:p>
    <w:p>
      <w:pPr>
        <w:pStyle w:val="3"/>
        <w:numPr>
          <w:ilvl w:val="0"/>
          <w:numId w:val="7"/>
        </w:numPr>
        <w:spacing w:before="0" w:after="0" w:line="360" w:lineRule="auto"/>
        <w:ind w:left="924" w:hanging="924"/>
        <w:rPr>
          <w:rStyle w:val="74"/>
          <w:rFonts w:ascii="宋体" w:eastAsia="宋体" w:cs="Times New Roman"/>
          <w:sz w:val="21"/>
          <w:szCs w:val="21"/>
        </w:rPr>
      </w:pPr>
      <w:bookmarkStart w:id="26" w:name="_Toc25330"/>
      <w:bookmarkStart w:id="27" w:name="_Toc23209"/>
      <w:bookmarkStart w:id="28" w:name="_Toc14248"/>
      <w:bookmarkStart w:id="29" w:name="_Toc9516"/>
      <w:r>
        <w:rPr>
          <w:rStyle w:val="74"/>
          <w:rFonts w:hint="eastAsia" w:ascii="宋体" w:hAnsi="宋体" w:eastAsia="宋体" w:cs="宋体"/>
          <w:sz w:val="21"/>
          <w:szCs w:val="21"/>
        </w:rPr>
        <w:t>报价的语言</w:t>
      </w:r>
      <w:bookmarkEnd w:id="26"/>
    </w:p>
    <w:p>
      <w:pPr>
        <w:numPr>
          <w:ilvl w:val="1"/>
          <w:numId w:val="21"/>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pPr>
        <w:pStyle w:val="3"/>
        <w:numPr>
          <w:ilvl w:val="0"/>
          <w:numId w:val="7"/>
        </w:numPr>
        <w:spacing w:before="0" w:after="0" w:line="360" w:lineRule="auto"/>
        <w:ind w:left="924" w:hanging="924"/>
        <w:rPr>
          <w:rStyle w:val="74"/>
          <w:rFonts w:ascii="宋体" w:eastAsia="宋体" w:cs="Times New Roman"/>
          <w:sz w:val="21"/>
          <w:szCs w:val="21"/>
        </w:rPr>
      </w:pPr>
      <w:bookmarkStart w:id="30" w:name="_Toc15585"/>
      <w:r>
        <w:rPr>
          <w:rStyle w:val="74"/>
          <w:rFonts w:hint="eastAsia" w:ascii="宋体" w:hAnsi="宋体" w:eastAsia="宋体" w:cs="宋体"/>
          <w:sz w:val="21"/>
          <w:szCs w:val="21"/>
        </w:rPr>
        <w:t>磋商范围及磋商文件中计量单位的使用</w:t>
      </w:r>
      <w:bookmarkEnd w:id="30"/>
    </w:p>
    <w:p>
      <w:pPr>
        <w:numPr>
          <w:ilvl w:val="1"/>
          <w:numId w:val="22"/>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pPr>
        <w:numPr>
          <w:ilvl w:val="1"/>
          <w:numId w:val="22"/>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pPr>
        <w:numPr>
          <w:ilvl w:val="1"/>
          <w:numId w:val="22"/>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磋商报价要求</w:t>
      </w:r>
    </w:p>
    <w:p>
      <w:pPr>
        <w:numPr>
          <w:ilvl w:val="1"/>
          <w:numId w:val="23"/>
        </w:numPr>
        <w:spacing w:line="360" w:lineRule="auto"/>
        <w:rPr>
          <w:rFonts w:ascii="宋体" w:cs="Times New Roman"/>
        </w:rPr>
      </w:pPr>
      <w:r>
        <w:rPr>
          <w:rFonts w:hint="eastAsia" w:ascii="宋体" w:hAnsi="宋体" w:cs="宋体"/>
        </w:rPr>
        <w:t>供应商的磋商报价应符合《中华人民共和国价格法》的有关规定。</w:t>
      </w:r>
    </w:p>
    <w:p>
      <w:pPr>
        <w:numPr>
          <w:ilvl w:val="1"/>
          <w:numId w:val="23"/>
        </w:numPr>
        <w:spacing w:line="360" w:lineRule="auto"/>
        <w:rPr>
          <w:rFonts w:ascii="宋体" w:cs="Times New Roman"/>
        </w:rPr>
      </w:pPr>
      <w:bookmarkStart w:id="31"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pPr>
        <w:numPr>
          <w:ilvl w:val="1"/>
          <w:numId w:val="23"/>
        </w:numPr>
        <w:spacing w:line="360" w:lineRule="auto"/>
        <w:rPr>
          <w:rFonts w:ascii="宋体" w:cs="Times New Roman"/>
        </w:rPr>
      </w:pPr>
      <w:r>
        <w:rPr>
          <w:rFonts w:hint="eastAsia" w:ascii="宋体" w:hAnsi="宋体" w:cs="宋体"/>
        </w:rPr>
        <w:t>明细报价表内容应包含：</w:t>
      </w:r>
    </w:p>
    <w:p>
      <w:pPr>
        <w:numPr>
          <w:ilvl w:val="0"/>
          <w:numId w:val="24"/>
        </w:numPr>
        <w:spacing w:line="360" w:lineRule="auto"/>
        <w:ind w:firstLine="415"/>
        <w:rPr>
          <w:rFonts w:ascii="宋体" w:cs="Times New Roman"/>
        </w:rPr>
      </w:pPr>
      <w:r>
        <w:rPr>
          <w:rFonts w:hint="eastAsia" w:ascii="宋体" w:hAnsi="宋体" w:cs="宋体"/>
        </w:rPr>
        <w:t>按磋商文件的要求全部货物及服务内容所需的所有费用。</w:t>
      </w:r>
    </w:p>
    <w:p>
      <w:pPr>
        <w:numPr>
          <w:ilvl w:val="0"/>
          <w:numId w:val="24"/>
        </w:numPr>
        <w:spacing w:line="360" w:lineRule="auto"/>
        <w:ind w:firstLine="415"/>
        <w:rPr>
          <w:rFonts w:ascii="宋体" w:cs="Times New Roman"/>
        </w:rPr>
      </w:pPr>
      <w:r>
        <w:rPr>
          <w:rFonts w:hint="eastAsia" w:ascii="宋体" w:hAnsi="宋体" w:cs="宋体"/>
        </w:rPr>
        <w:t>对于报价免费的内容须标明“免费”。</w:t>
      </w:r>
    </w:p>
    <w:p>
      <w:pPr>
        <w:numPr>
          <w:ilvl w:val="0"/>
          <w:numId w:val="24"/>
        </w:numPr>
        <w:spacing w:line="360" w:lineRule="auto"/>
        <w:ind w:firstLine="415"/>
        <w:rPr>
          <w:rFonts w:ascii="宋体" w:cs="Times New Roman"/>
        </w:rPr>
      </w:pPr>
      <w:r>
        <w:rPr>
          <w:rFonts w:hint="eastAsia" w:ascii="宋体" w:hAnsi="宋体" w:cs="宋体"/>
        </w:rPr>
        <w:t>其他一切隐含及不可预见的费用。</w:t>
      </w:r>
    </w:p>
    <w:bookmarkEnd w:id="31"/>
    <w:p>
      <w:pPr>
        <w:numPr>
          <w:ilvl w:val="1"/>
          <w:numId w:val="23"/>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pPr>
        <w:numPr>
          <w:ilvl w:val="1"/>
          <w:numId w:val="23"/>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pPr>
        <w:numPr>
          <w:ilvl w:val="1"/>
          <w:numId w:val="23"/>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pPr>
        <w:numPr>
          <w:ilvl w:val="1"/>
          <w:numId w:val="23"/>
        </w:numPr>
        <w:spacing w:line="360" w:lineRule="auto"/>
        <w:rPr>
          <w:rFonts w:ascii="宋体" w:cs="Times New Roman"/>
        </w:rPr>
      </w:pPr>
      <w:r>
        <w:rPr>
          <w:rFonts w:hint="eastAsia" w:ascii="宋体" w:hAnsi="宋体" w:cs="宋体"/>
        </w:rPr>
        <w:t>供应商所提供的货物和服务均应以人民币为单位进行报价。</w:t>
      </w:r>
    </w:p>
    <w:p>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响应文件编制基本要求</w:t>
      </w:r>
      <w:bookmarkEnd w:id="27"/>
    </w:p>
    <w:p>
      <w:pPr>
        <w:numPr>
          <w:ilvl w:val="1"/>
          <w:numId w:val="25"/>
        </w:numPr>
        <w:spacing w:line="360" w:lineRule="auto"/>
        <w:rPr>
          <w:rFonts w:ascii="宋体" w:cs="Times New Roman"/>
        </w:rPr>
      </w:pPr>
      <w:r>
        <w:rPr>
          <w:rFonts w:hint="eastAsia" w:ascii="宋体" w:hAnsi="宋体" w:cs="宋体"/>
        </w:rPr>
        <w:t>响应文件的构成应符合法律法规及磋商文件的要求。</w:t>
      </w:r>
    </w:p>
    <w:p>
      <w:pPr>
        <w:numPr>
          <w:ilvl w:val="1"/>
          <w:numId w:val="25"/>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pPr>
        <w:numPr>
          <w:ilvl w:val="0"/>
          <w:numId w:val="26"/>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pPr>
        <w:numPr>
          <w:ilvl w:val="0"/>
          <w:numId w:val="26"/>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pPr>
        <w:numPr>
          <w:ilvl w:val="0"/>
          <w:numId w:val="26"/>
        </w:numPr>
        <w:spacing w:line="360" w:lineRule="auto"/>
        <w:ind w:firstLine="415"/>
        <w:rPr>
          <w:rFonts w:ascii="宋体" w:cs="Times New Roman"/>
        </w:rPr>
      </w:pPr>
      <w:r>
        <w:rPr>
          <w:rFonts w:hint="eastAsia" w:ascii="宋体" w:hAnsi="宋体" w:cs="宋体"/>
        </w:rPr>
        <w:t>资格性文件（参见磋商文件第六部分响应文件格式）；</w:t>
      </w:r>
    </w:p>
    <w:p>
      <w:pPr>
        <w:numPr>
          <w:ilvl w:val="0"/>
          <w:numId w:val="26"/>
        </w:numPr>
        <w:spacing w:line="360" w:lineRule="auto"/>
        <w:ind w:firstLine="415"/>
        <w:rPr>
          <w:rFonts w:ascii="宋体" w:cs="Times New Roman"/>
        </w:rPr>
      </w:pPr>
      <w:r>
        <w:rPr>
          <w:rFonts w:hint="eastAsia" w:ascii="宋体" w:hAnsi="宋体" w:cs="宋体"/>
        </w:rPr>
        <w:t>技术商务部分（参见磋商文件第六部分响应文件格式）；</w:t>
      </w:r>
    </w:p>
    <w:p>
      <w:pPr>
        <w:numPr>
          <w:ilvl w:val="0"/>
          <w:numId w:val="26"/>
        </w:numPr>
        <w:spacing w:line="360" w:lineRule="auto"/>
        <w:ind w:firstLine="415"/>
        <w:rPr>
          <w:rFonts w:ascii="宋体" w:cs="Times New Roman"/>
        </w:rPr>
      </w:pPr>
      <w:r>
        <w:rPr>
          <w:rFonts w:hint="eastAsia" w:ascii="宋体" w:hAnsi="宋体" w:cs="宋体"/>
        </w:rPr>
        <w:t>价格部分（参见磋商文件第六部分响应文件格式）；</w:t>
      </w:r>
    </w:p>
    <w:p>
      <w:pPr>
        <w:numPr>
          <w:ilvl w:val="0"/>
          <w:numId w:val="26"/>
        </w:numPr>
        <w:spacing w:line="360" w:lineRule="auto"/>
        <w:ind w:firstLine="415"/>
        <w:rPr>
          <w:rFonts w:ascii="宋体" w:cs="Times New Roman"/>
        </w:rPr>
      </w:pPr>
      <w:r>
        <w:rPr>
          <w:rFonts w:hint="eastAsia" w:ascii="宋体" w:hAnsi="宋体" w:cs="宋体"/>
        </w:rPr>
        <w:t>供应商认为需加以说明的其他内容。</w:t>
      </w:r>
    </w:p>
    <w:p>
      <w:pPr>
        <w:numPr>
          <w:ilvl w:val="1"/>
          <w:numId w:val="25"/>
        </w:numPr>
        <w:spacing w:line="360" w:lineRule="auto"/>
        <w:rPr>
          <w:rFonts w:ascii="宋体" w:cs="Times New Roman"/>
        </w:rPr>
      </w:pPr>
      <w:r>
        <w:rPr>
          <w:rFonts w:hint="eastAsia" w:ascii="宋体" w:hAnsi="宋体" w:cs="宋体"/>
        </w:rPr>
        <w:t>响应文件必须按本文件的全部内容，包括所有的补充通知及附件进行编制。</w:t>
      </w:r>
    </w:p>
    <w:p>
      <w:pPr>
        <w:numPr>
          <w:ilvl w:val="1"/>
          <w:numId w:val="25"/>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pPr>
        <w:pStyle w:val="3"/>
        <w:numPr>
          <w:ilvl w:val="0"/>
          <w:numId w:val="7"/>
        </w:numPr>
        <w:spacing w:before="0" w:after="0" w:line="360" w:lineRule="auto"/>
        <w:ind w:left="924" w:hanging="924"/>
        <w:rPr>
          <w:rStyle w:val="74"/>
          <w:rFonts w:ascii="宋体" w:eastAsia="宋体" w:cs="Times New Roman"/>
          <w:sz w:val="21"/>
          <w:szCs w:val="21"/>
        </w:rPr>
      </w:pPr>
      <w:bookmarkStart w:id="32" w:name="_Toc808"/>
      <w:bookmarkStart w:id="33" w:name="_Toc20897"/>
      <w:r>
        <w:rPr>
          <w:rStyle w:val="74"/>
          <w:rFonts w:hint="eastAsia" w:ascii="宋体" w:hAnsi="宋体" w:eastAsia="宋体" w:cs="宋体"/>
          <w:sz w:val="21"/>
          <w:szCs w:val="21"/>
        </w:rPr>
        <w:t>响应文件编制</w:t>
      </w:r>
      <w:bookmarkEnd w:id="32"/>
      <w:bookmarkEnd w:id="33"/>
    </w:p>
    <w:p>
      <w:pPr>
        <w:numPr>
          <w:ilvl w:val="1"/>
          <w:numId w:val="27"/>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pPr>
        <w:numPr>
          <w:ilvl w:val="1"/>
          <w:numId w:val="27"/>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pPr>
        <w:numPr>
          <w:ilvl w:val="1"/>
          <w:numId w:val="27"/>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pPr>
        <w:numPr>
          <w:ilvl w:val="1"/>
          <w:numId w:val="27"/>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备选方案</w:t>
      </w:r>
    </w:p>
    <w:p>
      <w:pPr>
        <w:numPr>
          <w:ilvl w:val="1"/>
          <w:numId w:val="28"/>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联合体报价</w:t>
      </w:r>
    </w:p>
    <w:p>
      <w:pPr>
        <w:numPr>
          <w:ilvl w:val="1"/>
          <w:numId w:val="29"/>
        </w:numPr>
        <w:spacing w:line="360" w:lineRule="auto"/>
        <w:rPr>
          <w:rFonts w:ascii="宋体" w:cs="Times New Roman"/>
          <w:b/>
          <w:bCs/>
          <w:u w:val="single"/>
        </w:rPr>
      </w:pPr>
      <w:r>
        <w:rPr>
          <w:rFonts w:hint="eastAsia" w:ascii="宋体" w:hAnsi="宋体" w:cs="宋体"/>
          <w:b/>
          <w:bCs/>
          <w:u w:val="single"/>
        </w:rPr>
        <w:t>本项目不接受联合体磋商。</w:t>
      </w:r>
    </w:p>
    <w:p>
      <w:pPr>
        <w:numPr>
          <w:ilvl w:val="1"/>
          <w:numId w:val="29"/>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pPr>
        <w:pStyle w:val="2"/>
        <w:ind w:firstLine="0" w:firstLineChars="0"/>
        <w:rPr>
          <w:rFonts w:cs="Times New Roman"/>
        </w:rPr>
      </w:pPr>
    </w:p>
    <w:bookmarkEnd w:id="28"/>
    <w:bookmarkEnd w:id="29"/>
    <w:p>
      <w:pPr>
        <w:pStyle w:val="4"/>
        <w:numPr>
          <w:ilvl w:val="0"/>
          <w:numId w:val="20"/>
        </w:numPr>
        <w:spacing w:before="0" w:after="0" w:line="360" w:lineRule="auto"/>
        <w:jc w:val="center"/>
        <w:rPr>
          <w:rFonts w:cs="Times New Roman"/>
        </w:rPr>
      </w:pPr>
      <w:r>
        <w:rPr>
          <w:rFonts w:hint="eastAsia" w:cs="黑体"/>
        </w:rPr>
        <w:t>响应文件的递交</w:t>
      </w:r>
    </w:p>
    <w:p>
      <w:pPr>
        <w:pStyle w:val="3"/>
        <w:numPr>
          <w:ilvl w:val="0"/>
          <w:numId w:val="7"/>
        </w:numPr>
        <w:spacing w:before="0" w:after="0" w:line="360" w:lineRule="auto"/>
        <w:ind w:left="924" w:hanging="924"/>
        <w:rPr>
          <w:rStyle w:val="74"/>
          <w:rFonts w:ascii="宋体" w:eastAsia="宋体" w:cs="Times New Roman"/>
          <w:sz w:val="21"/>
          <w:szCs w:val="21"/>
        </w:rPr>
      </w:pPr>
      <w:bookmarkStart w:id="34" w:name="_Toc9949"/>
      <w:r>
        <w:rPr>
          <w:rStyle w:val="74"/>
          <w:rFonts w:hint="eastAsia" w:ascii="宋体" w:hAnsi="宋体" w:eastAsia="宋体" w:cs="宋体"/>
          <w:sz w:val="21"/>
          <w:szCs w:val="21"/>
        </w:rPr>
        <w:t>响应文件的份数和封装</w:t>
      </w:r>
      <w:bookmarkEnd w:id="34"/>
    </w:p>
    <w:p>
      <w:pPr>
        <w:numPr>
          <w:ilvl w:val="1"/>
          <w:numId w:val="30"/>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35" w:name="_Hlk38030164"/>
      <w:r>
        <w:rPr>
          <w:rFonts w:hint="eastAsia" w:ascii="宋体" w:hAnsi="宋体" w:cs="宋体"/>
          <w:b/>
          <w:bCs/>
          <w:u w:val="single"/>
        </w:rPr>
        <w:t>注明公司名称和项目编号</w:t>
      </w:r>
      <w:bookmarkEnd w:id="35"/>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pPr>
        <w:numPr>
          <w:ilvl w:val="1"/>
          <w:numId w:val="30"/>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pPr>
        <w:numPr>
          <w:ilvl w:val="1"/>
          <w:numId w:val="30"/>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pPr>
        <w:numPr>
          <w:ilvl w:val="1"/>
          <w:numId w:val="30"/>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pPr>
        <w:snapToGrid w:val="0"/>
        <w:spacing w:line="360" w:lineRule="auto"/>
        <w:ind w:firstLine="840" w:firstLineChars="400"/>
        <w:rPr>
          <w:rFonts w:ascii="宋体" w:cs="Times New Roman"/>
        </w:rPr>
      </w:pPr>
      <w:r>
        <w:rPr>
          <w:rFonts w:hint="eastAsia" w:ascii="宋体" w:hAnsi="宋体" w:cs="宋体"/>
        </w:rPr>
        <w:t>“递交：中山市技师学院</w:t>
      </w:r>
    </w:p>
    <w:p>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pPr>
        <w:numPr>
          <w:ilvl w:val="1"/>
          <w:numId w:val="30"/>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pPr>
        <w:numPr>
          <w:ilvl w:val="1"/>
          <w:numId w:val="30"/>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pPr>
        <w:pStyle w:val="3"/>
        <w:numPr>
          <w:ilvl w:val="0"/>
          <w:numId w:val="7"/>
        </w:numPr>
        <w:spacing w:before="0" w:after="0" w:line="360" w:lineRule="auto"/>
        <w:ind w:left="924" w:hanging="924"/>
        <w:rPr>
          <w:rStyle w:val="74"/>
          <w:rFonts w:ascii="宋体" w:eastAsia="宋体" w:cs="Times New Roman"/>
          <w:sz w:val="21"/>
          <w:szCs w:val="21"/>
        </w:rPr>
      </w:pPr>
      <w:bookmarkStart w:id="36" w:name="_Toc13388"/>
      <w:bookmarkStart w:id="37" w:name="_Toc6378"/>
      <w:r>
        <w:rPr>
          <w:rStyle w:val="74"/>
          <w:rFonts w:hint="eastAsia" w:ascii="宋体" w:hAnsi="宋体" w:eastAsia="宋体" w:cs="宋体"/>
          <w:sz w:val="21"/>
          <w:szCs w:val="21"/>
        </w:rPr>
        <w:t>报价有效期</w:t>
      </w:r>
      <w:bookmarkEnd w:id="36"/>
      <w:bookmarkEnd w:id="37"/>
    </w:p>
    <w:p>
      <w:pPr>
        <w:numPr>
          <w:ilvl w:val="1"/>
          <w:numId w:val="31"/>
        </w:numPr>
        <w:spacing w:line="360" w:lineRule="auto"/>
        <w:rPr>
          <w:rFonts w:ascii="宋体" w:cs="Times New Roman"/>
        </w:rPr>
      </w:pPr>
      <w:bookmarkStart w:id="38"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38"/>
    </w:p>
    <w:p>
      <w:pPr>
        <w:pStyle w:val="3"/>
        <w:numPr>
          <w:ilvl w:val="0"/>
          <w:numId w:val="7"/>
        </w:numPr>
        <w:spacing w:before="0" w:after="0" w:line="360" w:lineRule="auto"/>
        <w:ind w:left="924" w:hanging="924"/>
        <w:rPr>
          <w:rStyle w:val="74"/>
          <w:rFonts w:ascii="宋体" w:eastAsia="宋体" w:cs="Times New Roman"/>
          <w:sz w:val="21"/>
          <w:szCs w:val="21"/>
        </w:rPr>
      </w:pPr>
      <w:bookmarkStart w:id="39" w:name="_Toc22257"/>
      <w:r>
        <w:rPr>
          <w:rStyle w:val="74"/>
          <w:rFonts w:hint="eastAsia" w:ascii="宋体" w:hAnsi="宋体" w:eastAsia="宋体" w:cs="宋体"/>
          <w:sz w:val="21"/>
          <w:szCs w:val="21"/>
        </w:rPr>
        <w:t>响应文件的递交</w:t>
      </w:r>
      <w:bookmarkEnd w:id="39"/>
    </w:p>
    <w:p>
      <w:pPr>
        <w:numPr>
          <w:ilvl w:val="1"/>
          <w:numId w:val="32"/>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pPr>
        <w:numPr>
          <w:ilvl w:val="1"/>
          <w:numId w:val="32"/>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pPr>
        <w:numPr>
          <w:ilvl w:val="1"/>
          <w:numId w:val="32"/>
        </w:numPr>
        <w:spacing w:line="360" w:lineRule="auto"/>
        <w:rPr>
          <w:rFonts w:ascii="宋体" w:cs="Times New Roman"/>
        </w:rPr>
      </w:pPr>
      <w:r>
        <w:rPr>
          <w:rFonts w:hint="eastAsia" w:ascii="宋体" w:hAnsi="宋体" w:cs="宋体"/>
        </w:rPr>
        <w:t>本次采购不接受邮寄、电报、电话、传真方式报价。</w:t>
      </w:r>
    </w:p>
    <w:p>
      <w:pPr>
        <w:pStyle w:val="3"/>
        <w:numPr>
          <w:ilvl w:val="0"/>
          <w:numId w:val="7"/>
        </w:numPr>
        <w:spacing w:before="0" w:after="0" w:line="360" w:lineRule="auto"/>
        <w:ind w:left="924" w:hanging="924"/>
        <w:rPr>
          <w:rStyle w:val="74"/>
          <w:rFonts w:ascii="宋体" w:eastAsia="宋体" w:cs="Times New Roman"/>
          <w:sz w:val="21"/>
          <w:szCs w:val="21"/>
        </w:rPr>
      </w:pPr>
      <w:bookmarkStart w:id="40" w:name="_Toc10907"/>
      <w:bookmarkStart w:id="41" w:name="_Toc11168"/>
      <w:r>
        <w:rPr>
          <w:rStyle w:val="74"/>
          <w:rFonts w:hint="eastAsia" w:ascii="宋体" w:hAnsi="宋体" w:eastAsia="宋体" w:cs="宋体"/>
          <w:sz w:val="21"/>
          <w:szCs w:val="21"/>
        </w:rPr>
        <w:t>响应文件的修改和撤回</w:t>
      </w:r>
      <w:bookmarkEnd w:id="40"/>
      <w:bookmarkEnd w:id="41"/>
    </w:p>
    <w:p>
      <w:pPr>
        <w:numPr>
          <w:ilvl w:val="1"/>
          <w:numId w:val="33"/>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pPr>
        <w:numPr>
          <w:ilvl w:val="1"/>
          <w:numId w:val="33"/>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pPr>
        <w:numPr>
          <w:ilvl w:val="1"/>
          <w:numId w:val="33"/>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pPr>
        <w:numPr>
          <w:ilvl w:val="1"/>
          <w:numId w:val="33"/>
        </w:numPr>
        <w:spacing w:line="360" w:lineRule="auto"/>
        <w:rPr>
          <w:rFonts w:ascii="宋体" w:cs="Times New Roman"/>
        </w:rPr>
      </w:pPr>
      <w:r>
        <w:rPr>
          <w:rFonts w:hint="eastAsia" w:ascii="宋体" w:hAnsi="宋体" w:cs="宋体"/>
        </w:rPr>
        <w:t>供应商所提交的报价文件在评审结束后，无论成交与否都不退还。</w:t>
      </w:r>
      <w:r>
        <w:rPr>
          <w:rFonts w:ascii="宋体" w:hAnsi="宋体" w:cs="宋体"/>
        </w:rPr>
        <w:t xml:space="preserve"> </w:t>
      </w:r>
    </w:p>
    <w:p>
      <w:pPr>
        <w:pStyle w:val="4"/>
        <w:spacing w:before="0" w:after="0" w:line="360" w:lineRule="auto"/>
        <w:jc w:val="center"/>
        <w:rPr>
          <w:rFonts w:cs="Times New Roman"/>
        </w:rPr>
      </w:pPr>
      <w:bookmarkStart w:id="42" w:name="_Toc21690"/>
      <w:bookmarkStart w:id="43" w:name="_Toc30208"/>
      <w:r>
        <w:rPr>
          <w:rFonts w:hint="eastAsia" w:cs="黑体"/>
        </w:rPr>
        <w:t>五、质疑与投诉</w:t>
      </w:r>
      <w:bookmarkEnd w:id="42"/>
      <w:bookmarkEnd w:id="43"/>
    </w:p>
    <w:p>
      <w:pPr>
        <w:pStyle w:val="3"/>
        <w:numPr>
          <w:ilvl w:val="0"/>
          <w:numId w:val="7"/>
        </w:numPr>
        <w:spacing w:before="0" w:after="0" w:line="360" w:lineRule="auto"/>
        <w:ind w:left="924" w:hanging="924"/>
        <w:rPr>
          <w:rStyle w:val="74"/>
          <w:rFonts w:ascii="宋体" w:eastAsia="宋体" w:cs="Times New Roman"/>
          <w:sz w:val="21"/>
          <w:szCs w:val="21"/>
        </w:rPr>
      </w:pPr>
      <w:bookmarkStart w:id="44" w:name="_Toc20973"/>
      <w:bookmarkStart w:id="45" w:name="_Toc17848"/>
      <w:r>
        <w:rPr>
          <w:rStyle w:val="74"/>
          <w:rFonts w:hint="eastAsia" w:ascii="宋体" w:hAnsi="宋体" w:eastAsia="宋体" w:cs="宋体"/>
          <w:sz w:val="21"/>
          <w:szCs w:val="21"/>
        </w:rPr>
        <w:t>询问</w:t>
      </w:r>
      <w:bookmarkEnd w:id="44"/>
      <w:bookmarkEnd w:id="45"/>
    </w:p>
    <w:p>
      <w:pPr>
        <w:numPr>
          <w:ilvl w:val="1"/>
          <w:numId w:val="34"/>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pPr>
        <w:numPr>
          <w:ilvl w:val="1"/>
          <w:numId w:val="34"/>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pPr>
        <w:numPr>
          <w:ilvl w:val="1"/>
          <w:numId w:val="34"/>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pPr>
        <w:pStyle w:val="3"/>
        <w:numPr>
          <w:ilvl w:val="0"/>
          <w:numId w:val="7"/>
        </w:numPr>
        <w:spacing w:before="0" w:after="0" w:line="360" w:lineRule="auto"/>
        <w:ind w:left="924" w:hanging="924"/>
        <w:rPr>
          <w:rStyle w:val="74"/>
          <w:rFonts w:ascii="宋体" w:eastAsia="宋体" w:cs="Times New Roman"/>
          <w:sz w:val="21"/>
          <w:szCs w:val="21"/>
        </w:rPr>
      </w:pPr>
      <w:bookmarkStart w:id="46" w:name="_Toc31021"/>
      <w:bookmarkStart w:id="47" w:name="_Toc1246"/>
      <w:r>
        <w:rPr>
          <w:rStyle w:val="74"/>
          <w:rFonts w:hint="eastAsia" w:ascii="宋体" w:hAnsi="宋体" w:eastAsia="宋体" w:cs="宋体"/>
          <w:sz w:val="21"/>
          <w:szCs w:val="21"/>
        </w:rPr>
        <w:t>质疑</w:t>
      </w:r>
      <w:bookmarkEnd w:id="46"/>
      <w:bookmarkEnd w:id="47"/>
    </w:p>
    <w:p>
      <w:pPr>
        <w:numPr>
          <w:ilvl w:val="2"/>
          <w:numId w:val="35"/>
        </w:numPr>
        <w:autoSpaceDE w:val="0"/>
        <w:autoSpaceDN w:val="0"/>
        <w:adjustRightInd w:val="0"/>
        <w:snapToGrid w:val="0"/>
        <w:spacing w:line="360" w:lineRule="auto"/>
        <w:rPr>
          <w:rFonts w:ascii="宋体" w:cs="Times New Roman"/>
        </w:rPr>
      </w:pPr>
      <w:r>
        <w:rPr>
          <w:rFonts w:hint="eastAsia" w:ascii="宋体" w:hAnsi="宋体" w:cs="宋体"/>
        </w:rPr>
        <w:t>质疑期限：</w:t>
      </w:r>
    </w:p>
    <w:p>
      <w:pPr>
        <w:numPr>
          <w:ilvl w:val="0"/>
          <w:numId w:val="36"/>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pPr>
        <w:numPr>
          <w:ilvl w:val="0"/>
          <w:numId w:val="36"/>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pPr>
        <w:numPr>
          <w:ilvl w:val="0"/>
          <w:numId w:val="36"/>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pPr>
        <w:numPr>
          <w:ilvl w:val="2"/>
          <w:numId w:val="35"/>
        </w:numPr>
        <w:autoSpaceDE w:val="0"/>
        <w:autoSpaceDN w:val="0"/>
        <w:adjustRightInd w:val="0"/>
        <w:snapToGrid w:val="0"/>
        <w:spacing w:line="360" w:lineRule="auto"/>
        <w:rPr>
          <w:rFonts w:ascii="宋体" w:cs="Times New Roman"/>
        </w:rPr>
      </w:pPr>
      <w:r>
        <w:rPr>
          <w:rFonts w:hint="eastAsia" w:ascii="宋体" w:hAnsi="宋体" w:cs="宋体"/>
        </w:rPr>
        <w:t>提交要求：</w:t>
      </w:r>
    </w:p>
    <w:p>
      <w:pPr>
        <w:numPr>
          <w:ilvl w:val="0"/>
          <w:numId w:val="37"/>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pPr>
        <w:numPr>
          <w:ilvl w:val="0"/>
          <w:numId w:val="37"/>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pPr>
        <w:numPr>
          <w:ilvl w:val="0"/>
          <w:numId w:val="37"/>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pPr>
        <w:numPr>
          <w:ilvl w:val="0"/>
          <w:numId w:val="37"/>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0"/>
          <w:numId w:val="37"/>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pPr>
        <w:spacing w:line="360" w:lineRule="auto"/>
        <w:ind w:left="1058" w:leftChars="428" w:hanging="159" w:hangingChars="76"/>
        <w:rPr>
          <w:rFonts w:cs="Times New Roman"/>
        </w:rPr>
      </w:pPr>
      <w:r>
        <w:rPr>
          <w:rFonts w:hint="eastAsia" w:cs="宋体"/>
        </w:rPr>
        <w:t>采购人：中山市技师学院</w:t>
      </w:r>
    </w:p>
    <w:p>
      <w:pPr>
        <w:spacing w:line="360" w:lineRule="auto"/>
        <w:ind w:left="1058" w:leftChars="428" w:hanging="159" w:hangingChars="76"/>
        <w:rPr>
          <w:rFonts w:ascii="宋体" w:cs="Times New Roman"/>
        </w:rPr>
      </w:pPr>
      <w:r>
        <w:rPr>
          <w:rFonts w:hint="eastAsia" w:cs="宋体"/>
        </w:rPr>
        <w:t>联系人：杨老师</w:t>
      </w:r>
      <w:r>
        <w:t xml:space="preserve">         </w:t>
      </w:r>
      <w:r>
        <w:rPr>
          <w:rFonts w:ascii="宋体" w:hAnsi="宋体" w:cs="宋体"/>
        </w:rPr>
        <w:t xml:space="preserve"> </w:t>
      </w:r>
      <w:r>
        <w:rPr>
          <w:rFonts w:hint="eastAsia" w:ascii="宋体" w:hAnsi="宋体" w:cs="宋体"/>
        </w:rPr>
        <w:t>电话：</w:t>
      </w:r>
      <w:bookmarkStart w:id="48" w:name="OLE_LINK19"/>
      <w:r>
        <w:rPr>
          <w:rFonts w:ascii="宋体" w:hAnsi="宋体" w:cs="宋体"/>
        </w:rPr>
        <w:t>0760-</w:t>
      </w:r>
      <w:bookmarkEnd w:id="48"/>
      <w:r>
        <w:rPr>
          <w:rFonts w:hint="eastAsia" w:ascii="宋体" w:hAnsi="宋体" w:cs="宋体"/>
        </w:rPr>
        <w:t>23503636</w:t>
      </w:r>
    </w:p>
    <w:p>
      <w:pPr>
        <w:spacing w:line="360" w:lineRule="auto"/>
        <w:ind w:left="899" w:leftChars="428"/>
        <w:rPr>
          <w:rFonts w:ascii="宋体" w:cs="Times New Roman"/>
        </w:rPr>
      </w:pPr>
      <w:r>
        <w:rPr>
          <w:rFonts w:hint="eastAsia" w:ascii="宋体" w:hAnsi="宋体" w:cs="宋体"/>
        </w:rPr>
        <w:t>传真：</w:t>
      </w:r>
      <w:r>
        <w:rPr>
          <w:rFonts w:ascii="宋体" w:hAnsi="宋体" w:cs="宋体"/>
        </w:rPr>
        <w:t>0760-</w:t>
      </w:r>
      <w:r>
        <w:rPr>
          <w:rFonts w:hint="eastAsia" w:ascii="宋体" w:hAnsi="宋体" w:cs="宋体"/>
        </w:rPr>
        <w:t>23503636</w:t>
      </w:r>
      <w:r>
        <w:rPr>
          <w:rFonts w:ascii="宋体" w:hAnsi="宋体" w:cs="宋体"/>
        </w:rPr>
        <w:t xml:space="preserve">     </w:t>
      </w:r>
      <w:r>
        <w:rPr>
          <w:rFonts w:hint="eastAsia" w:ascii="宋体" w:hAnsi="宋体" w:cs="宋体"/>
        </w:rPr>
        <w:t>邮编：</w:t>
      </w:r>
      <w:r>
        <w:rPr>
          <w:rFonts w:ascii="宋体" w:hAnsi="宋体" w:cs="宋体"/>
        </w:rPr>
        <w:t>52840</w:t>
      </w:r>
      <w:r>
        <w:rPr>
          <w:rFonts w:hint="eastAsia" w:ascii="宋体" w:hAnsi="宋体" w:cs="宋体"/>
        </w:rPr>
        <w:t>0</w:t>
      </w:r>
    </w:p>
    <w:p>
      <w:pPr>
        <w:spacing w:line="360" w:lineRule="auto"/>
        <w:ind w:left="899" w:leftChars="428"/>
        <w:rPr>
          <w:rFonts w:ascii="宋体" w:hAnsi="宋体" w:cs="宋体"/>
        </w:rPr>
      </w:pPr>
      <w:r>
        <w:rPr>
          <w:rFonts w:hint="eastAsia" w:ascii="宋体" w:hAnsi="宋体" w:cs="宋体"/>
        </w:rPr>
        <w:t>地址：中山市黄圃镇祥安北路6号</w:t>
      </w:r>
    </w:p>
    <w:p>
      <w:pPr>
        <w:pStyle w:val="2"/>
        <w:ind w:firstLine="210"/>
      </w:pPr>
    </w:p>
    <w:p>
      <w:pPr>
        <w:numPr>
          <w:ilvl w:val="0"/>
          <w:numId w:val="37"/>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pPr>
        <w:widowControl/>
        <w:jc w:val="center"/>
        <w:rPr>
          <w:rFonts w:cs="Times New Roman"/>
        </w:rPr>
      </w:pPr>
      <w:r>
        <w:rPr>
          <w:rFonts w:hint="eastAsia" w:ascii="宋体" w:hAnsi="宋体" w:cs="宋体"/>
          <w:color w:val="000000"/>
          <w:kern w:val="0"/>
        </w:rPr>
        <w:t>质疑函范本</w:t>
      </w:r>
    </w:p>
    <w:p>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b/>
                <w:bCs/>
                <w:color w:val="000000"/>
                <w:kern w:val="0"/>
              </w:rPr>
            </w:pPr>
            <w:r>
              <w:rPr>
                <w:rFonts w:hint="eastAsia" w:ascii="宋体" w:hAnsi="宋体" w:cs="宋体"/>
                <w:color w:val="000000"/>
                <w:kern w:val="0"/>
              </w:rPr>
              <w:t>序号</w:t>
            </w:r>
          </w:p>
        </w:tc>
        <w:tc>
          <w:tcPr>
            <w:tcW w:w="3225" w:type="dxa"/>
          </w:tcPr>
          <w:p>
            <w:pPr>
              <w:widowControl/>
              <w:jc w:val="center"/>
              <w:rPr>
                <w:rFonts w:ascii="宋体" w:cs="Times New Roman"/>
                <w:b/>
                <w:bCs/>
                <w:color w:val="000000"/>
                <w:kern w:val="0"/>
              </w:rPr>
            </w:pPr>
            <w:r>
              <w:rPr>
                <w:rFonts w:hint="eastAsia" w:ascii="宋体" w:hAnsi="宋体" w:cs="宋体"/>
                <w:color w:val="000000"/>
                <w:kern w:val="0"/>
              </w:rPr>
              <w:t>证明材料名称</w:t>
            </w:r>
          </w:p>
        </w:tc>
        <w:tc>
          <w:tcPr>
            <w:tcW w:w="2415" w:type="dxa"/>
          </w:tcPr>
          <w:p>
            <w:pPr>
              <w:widowControl/>
              <w:jc w:val="center"/>
              <w:rPr>
                <w:rFonts w:ascii="宋体" w:cs="Times New Roman"/>
                <w:b/>
                <w:bCs/>
                <w:color w:val="000000"/>
                <w:kern w:val="0"/>
              </w:rPr>
            </w:pPr>
            <w:r>
              <w:rPr>
                <w:rFonts w:hint="eastAsia" w:ascii="宋体" w:hAnsi="宋体" w:cs="宋体"/>
                <w:color w:val="000000"/>
                <w:kern w:val="0"/>
              </w:rPr>
              <w:t>证明材料来源</w:t>
            </w:r>
          </w:p>
        </w:tc>
        <w:tc>
          <w:tcPr>
            <w:tcW w:w="2010" w:type="dxa"/>
          </w:tcPr>
          <w:p>
            <w:pPr>
              <w:widowControl/>
              <w:jc w:val="center"/>
              <w:rPr>
                <w:rFonts w:ascii="宋体" w:cs="Times New Roman"/>
                <w:b/>
                <w:bCs/>
                <w:color w:val="000000"/>
                <w:kern w:val="0"/>
              </w:rPr>
            </w:pPr>
            <w:r>
              <w:rPr>
                <w:rFonts w:hint="eastAsia" w:ascii="宋体" w:hAnsi="宋体" w:cs="宋体"/>
                <w:color w:val="000000"/>
                <w:kern w:val="0"/>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color w:val="000000"/>
                <w:kern w:val="0"/>
              </w:rPr>
            </w:pPr>
            <w:r>
              <w:rPr>
                <w:rFonts w:ascii="宋体" w:hAnsi="宋体" w:cs="宋体"/>
                <w:color w:val="000000"/>
                <w:kern w:val="0"/>
              </w:rPr>
              <w:t>1</w:t>
            </w:r>
          </w:p>
        </w:tc>
        <w:tc>
          <w:tcPr>
            <w:tcW w:w="3225" w:type="dxa"/>
          </w:tcPr>
          <w:p>
            <w:pPr>
              <w:widowControl/>
              <w:jc w:val="left"/>
              <w:rPr>
                <w:rFonts w:ascii="宋体" w:cs="Times New Roman"/>
                <w:b/>
                <w:bCs/>
                <w:color w:val="000000"/>
                <w:kern w:val="0"/>
              </w:rPr>
            </w:pPr>
          </w:p>
        </w:tc>
        <w:tc>
          <w:tcPr>
            <w:tcW w:w="2415" w:type="dxa"/>
          </w:tcPr>
          <w:p>
            <w:pPr>
              <w:widowControl/>
              <w:jc w:val="left"/>
              <w:rPr>
                <w:rFonts w:ascii="宋体" w:cs="Times New Roman"/>
                <w:b/>
                <w:bCs/>
                <w:color w:val="000000"/>
                <w:kern w:val="0"/>
              </w:rPr>
            </w:pPr>
          </w:p>
        </w:tc>
        <w:tc>
          <w:tcPr>
            <w:tcW w:w="2010" w:type="dxa"/>
          </w:tcPr>
          <w:p>
            <w:pPr>
              <w:widowControl/>
              <w:jc w:val="left"/>
              <w:rPr>
                <w:rFonts w:ascii="宋体" w:cs="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color w:val="000000"/>
                <w:kern w:val="0"/>
              </w:rPr>
            </w:pPr>
            <w:r>
              <w:rPr>
                <w:rFonts w:ascii="宋体" w:hAnsi="宋体" w:cs="宋体"/>
                <w:color w:val="000000"/>
                <w:kern w:val="0"/>
              </w:rPr>
              <w:t>2</w:t>
            </w:r>
          </w:p>
        </w:tc>
        <w:tc>
          <w:tcPr>
            <w:tcW w:w="3225" w:type="dxa"/>
          </w:tcPr>
          <w:p>
            <w:pPr>
              <w:widowControl/>
              <w:jc w:val="left"/>
              <w:rPr>
                <w:rFonts w:ascii="宋体" w:cs="Times New Roman"/>
                <w:b/>
                <w:bCs/>
                <w:color w:val="000000"/>
                <w:kern w:val="0"/>
              </w:rPr>
            </w:pPr>
          </w:p>
        </w:tc>
        <w:tc>
          <w:tcPr>
            <w:tcW w:w="2415" w:type="dxa"/>
          </w:tcPr>
          <w:p>
            <w:pPr>
              <w:widowControl/>
              <w:jc w:val="left"/>
              <w:rPr>
                <w:rFonts w:ascii="宋体" w:cs="Times New Roman"/>
                <w:b/>
                <w:bCs/>
                <w:color w:val="000000"/>
                <w:kern w:val="0"/>
              </w:rPr>
            </w:pPr>
          </w:p>
        </w:tc>
        <w:tc>
          <w:tcPr>
            <w:tcW w:w="2010" w:type="dxa"/>
          </w:tcPr>
          <w:p>
            <w:pPr>
              <w:widowControl/>
              <w:jc w:val="left"/>
              <w:rPr>
                <w:rFonts w:ascii="宋体" w:cs="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宋体"/>
                <w:color w:val="000000"/>
                <w:kern w:val="0"/>
              </w:rPr>
            </w:pPr>
            <w:r>
              <w:rPr>
                <w:rFonts w:ascii="宋体" w:cs="宋体"/>
                <w:color w:val="000000"/>
                <w:kern w:val="0"/>
              </w:rPr>
              <w:t>...</w:t>
            </w:r>
          </w:p>
        </w:tc>
        <w:tc>
          <w:tcPr>
            <w:tcW w:w="3225" w:type="dxa"/>
          </w:tcPr>
          <w:p>
            <w:pPr>
              <w:widowControl/>
              <w:jc w:val="left"/>
              <w:rPr>
                <w:rFonts w:ascii="宋体" w:cs="Times New Roman"/>
                <w:b/>
                <w:bCs/>
                <w:color w:val="000000"/>
                <w:kern w:val="0"/>
              </w:rPr>
            </w:pPr>
          </w:p>
        </w:tc>
        <w:tc>
          <w:tcPr>
            <w:tcW w:w="2415" w:type="dxa"/>
          </w:tcPr>
          <w:p>
            <w:pPr>
              <w:widowControl/>
              <w:jc w:val="left"/>
              <w:rPr>
                <w:rFonts w:ascii="宋体" w:cs="Times New Roman"/>
                <w:b/>
                <w:bCs/>
                <w:color w:val="000000"/>
                <w:kern w:val="0"/>
              </w:rPr>
            </w:pPr>
          </w:p>
        </w:tc>
        <w:tc>
          <w:tcPr>
            <w:tcW w:w="2010" w:type="dxa"/>
          </w:tcPr>
          <w:p>
            <w:pPr>
              <w:widowControl/>
              <w:jc w:val="left"/>
              <w:rPr>
                <w:rFonts w:ascii="宋体" w:cs="Times New Roman"/>
                <w:b/>
                <w:bCs/>
                <w:color w:val="000000"/>
                <w:kern w:val="0"/>
              </w:rPr>
            </w:pPr>
          </w:p>
        </w:tc>
      </w:tr>
    </w:tbl>
    <w:p>
      <w:pPr>
        <w:pStyle w:val="3"/>
        <w:tabs>
          <w:tab w:val="left" w:pos="907"/>
        </w:tabs>
        <w:spacing w:before="0" w:after="0" w:line="360" w:lineRule="auto"/>
        <w:ind w:left="924"/>
        <w:rPr>
          <w:rStyle w:val="74"/>
          <w:rFonts w:ascii="宋体" w:eastAsia="宋体" w:cs="Times New Roman"/>
          <w:sz w:val="21"/>
          <w:szCs w:val="21"/>
        </w:rPr>
      </w:pPr>
    </w:p>
    <w:p>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投诉</w:t>
      </w:r>
    </w:p>
    <w:p>
      <w:pPr>
        <w:numPr>
          <w:ilvl w:val="1"/>
          <w:numId w:val="38"/>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4"/>
        <w:spacing w:before="0" w:after="0" w:line="360" w:lineRule="auto"/>
        <w:jc w:val="center"/>
        <w:rPr>
          <w:rFonts w:cs="Times New Roman"/>
        </w:rPr>
      </w:pPr>
      <w:bookmarkStart w:id="49" w:name="_Toc21552"/>
      <w:bookmarkStart w:id="50" w:name="_Toc16035"/>
      <w:r>
        <w:rPr>
          <w:rFonts w:hint="eastAsia" w:cs="黑体"/>
        </w:rPr>
        <w:t>六、授予合同</w:t>
      </w:r>
      <w:bookmarkEnd w:id="49"/>
      <w:bookmarkEnd w:id="50"/>
    </w:p>
    <w:p>
      <w:pPr>
        <w:pStyle w:val="3"/>
        <w:numPr>
          <w:ilvl w:val="0"/>
          <w:numId w:val="7"/>
        </w:numPr>
        <w:spacing w:before="0" w:after="0" w:line="360" w:lineRule="auto"/>
        <w:ind w:left="924" w:hanging="924"/>
        <w:rPr>
          <w:rStyle w:val="74"/>
          <w:rFonts w:ascii="宋体" w:eastAsia="宋体" w:cs="Times New Roman"/>
          <w:sz w:val="21"/>
          <w:szCs w:val="21"/>
        </w:rPr>
      </w:pPr>
      <w:bookmarkStart w:id="51" w:name="_Ref179619923"/>
      <w:bookmarkStart w:id="52" w:name="_Toc14943"/>
      <w:bookmarkStart w:id="53" w:name="_Toc4190"/>
      <w:bookmarkStart w:id="54" w:name="_Toc30464"/>
      <w:r>
        <w:rPr>
          <w:rStyle w:val="74"/>
          <w:rFonts w:hint="eastAsia" w:ascii="宋体" w:hAnsi="宋体" w:eastAsia="宋体" w:cs="宋体"/>
          <w:sz w:val="21"/>
          <w:szCs w:val="21"/>
        </w:rPr>
        <w:t>接受和拒绝任何或所有报价的权力</w:t>
      </w:r>
      <w:bookmarkEnd w:id="51"/>
      <w:bookmarkEnd w:id="52"/>
    </w:p>
    <w:p>
      <w:pPr>
        <w:numPr>
          <w:ilvl w:val="1"/>
          <w:numId w:val="39"/>
        </w:numPr>
        <w:spacing w:line="360" w:lineRule="auto"/>
        <w:rPr>
          <w:rFonts w:ascii="宋体" w:cs="Times New Roman"/>
        </w:rPr>
      </w:pPr>
      <w:r>
        <w:rPr>
          <w:rFonts w:hint="eastAsia" w:ascii="宋体" w:hAnsi="宋体" w:cs="宋体"/>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合同的订立</w:t>
      </w:r>
    </w:p>
    <w:p>
      <w:pPr>
        <w:numPr>
          <w:ilvl w:val="1"/>
          <w:numId w:val="40"/>
        </w:numPr>
        <w:spacing w:line="360" w:lineRule="auto"/>
        <w:rPr>
          <w:rFonts w:ascii="宋体" w:cs="Times New Roman"/>
        </w:rPr>
      </w:pPr>
      <w:r>
        <w:rPr>
          <w:rFonts w:hint="eastAsia" w:ascii="宋体" w:hAnsi="宋体" w:cs="宋体"/>
        </w:rPr>
        <w:t>采购人与成交供应商自成交通知书发出之日起</w:t>
      </w:r>
      <w:r>
        <w:rPr>
          <w:rFonts w:ascii="宋体" w:hAnsi="宋体" w:cs="宋体"/>
        </w:rPr>
        <w:t>30</w:t>
      </w:r>
      <w:r>
        <w:rPr>
          <w:rFonts w:hint="eastAsia" w:ascii="宋体" w:hAnsi="宋体" w:cs="宋体"/>
        </w:rPr>
        <w:t>日内，按磋商文件要求和成交供应商响应文件承诺签订采购合同，但不得超出磋商文件和成交供应商响应文件的范围、也不得再行订立背离合同实质性内容的其他协议。</w:t>
      </w:r>
    </w:p>
    <w:p>
      <w:pPr>
        <w:numPr>
          <w:ilvl w:val="1"/>
          <w:numId w:val="40"/>
        </w:numPr>
        <w:spacing w:line="360" w:lineRule="auto"/>
        <w:rPr>
          <w:rFonts w:ascii="宋体" w:cs="Times New Roman"/>
        </w:rPr>
      </w:pPr>
      <w:r>
        <w:rPr>
          <w:rFonts w:hint="eastAsia" w:ascii="宋体" w:hAnsi="宋体" w:cs="宋体"/>
        </w:rPr>
        <w:t>磋商文件、成交供应商的响应文件及其澄清文件等，均为签订合同的依据。</w:t>
      </w:r>
    </w:p>
    <w:p>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合同的履行</w:t>
      </w:r>
    </w:p>
    <w:p>
      <w:pPr>
        <w:numPr>
          <w:ilvl w:val="1"/>
          <w:numId w:val="41"/>
        </w:numPr>
        <w:spacing w:line="360" w:lineRule="auto"/>
        <w:rPr>
          <w:rFonts w:ascii="宋体" w:cs="Times New Roman"/>
        </w:rPr>
      </w:pPr>
      <w:r>
        <w:rPr>
          <w:rFonts w:hint="eastAsia" w:ascii="宋体" w:hAnsi="宋体" w:cs="宋体"/>
        </w:rPr>
        <w:t>合同订立后，合同各方不得擅自变更、中止或者终止合同。合同需要变更的，采购人应将有关合同变更内容备案；因特殊情况需要中止或终止合同的，采购人应将中止或终止合同的理由以及相应措施备案。</w:t>
      </w:r>
    </w:p>
    <w:p>
      <w:pPr>
        <w:numPr>
          <w:ilvl w:val="1"/>
          <w:numId w:val="41"/>
        </w:numPr>
        <w:spacing w:line="360" w:lineRule="auto"/>
        <w:rPr>
          <w:rFonts w:ascii="宋体" w:cs="Times New Roman"/>
        </w:rPr>
      </w:pPr>
      <w:r>
        <w:rPr>
          <w:rFonts w:hint="eastAsia" w:ascii="宋体" w:hAnsi="宋体" w:cs="宋体"/>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rPr>
        <w:t>10%</w:t>
      </w:r>
      <w:r>
        <w:rPr>
          <w:rFonts w:hint="eastAsia" w:ascii="宋体" w:hAnsi="宋体" w:cs="宋体"/>
        </w:rPr>
        <w:t>，签订补充合同的必须按规定备案。</w:t>
      </w:r>
    </w:p>
    <w:bookmarkEnd w:id="53"/>
    <w:bookmarkEnd w:id="54"/>
    <w:p>
      <w:pPr>
        <w:pStyle w:val="3"/>
        <w:numPr>
          <w:ilvl w:val="0"/>
          <w:numId w:val="7"/>
        </w:numPr>
        <w:spacing w:before="0" w:after="0" w:line="360" w:lineRule="auto"/>
        <w:ind w:left="924" w:hanging="924"/>
        <w:rPr>
          <w:rStyle w:val="74"/>
          <w:rFonts w:ascii="宋体" w:eastAsia="宋体" w:cs="Times New Roman"/>
          <w:sz w:val="21"/>
          <w:szCs w:val="21"/>
        </w:rPr>
      </w:pPr>
      <w:bookmarkStart w:id="55" w:name="_Ref179619574"/>
      <w:r>
        <w:rPr>
          <w:rStyle w:val="74"/>
          <w:rFonts w:hint="eastAsia" w:ascii="宋体" w:hAnsi="宋体" w:eastAsia="宋体" w:cs="宋体"/>
          <w:sz w:val="21"/>
          <w:szCs w:val="21"/>
        </w:rPr>
        <w:t>特别说明</w:t>
      </w:r>
    </w:p>
    <w:bookmarkEnd w:id="55"/>
    <w:p>
      <w:pPr>
        <w:numPr>
          <w:ilvl w:val="1"/>
          <w:numId w:val="42"/>
        </w:numPr>
        <w:spacing w:line="360" w:lineRule="auto"/>
        <w:rPr>
          <w:rFonts w:cs="Times New Roman"/>
          <w:b/>
          <w:bCs/>
        </w:rPr>
      </w:pPr>
      <w:r>
        <w:rPr>
          <w:rFonts w:hint="eastAsia" w:cs="宋体"/>
          <w:b/>
          <w:bCs/>
        </w:rPr>
        <w:t>有下列情形之一的，视为供应商串通磋商，其响应无效：</w:t>
      </w:r>
    </w:p>
    <w:p>
      <w:pPr>
        <w:numPr>
          <w:ilvl w:val="0"/>
          <w:numId w:val="43"/>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不同供应商的响应文件由同一单位或者个人编制；</w:t>
      </w:r>
    </w:p>
    <w:p>
      <w:pPr>
        <w:numPr>
          <w:ilvl w:val="0"/>
          <w:numId w:val="43"/>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不同供应商委托同一单位或者个人办理磋商报价事宜；</w:t>
      </w:r>
    </w:p>
    <w:p>
      <w:pPr>
        <w:numPr>
          <w:ilvl w:val="0"/>
          <w:numId w:val="43"/>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不同供应商的响应文件载明的项目管理成员或者联系人员为同一人；</w:t>
      </w:r>
    </w:p>
    <w:p>
      <w:pPr>
        <w:numPr>
          <w:ilvl w:val="0"/>
          <w:numId w:val="43"/>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不同供应商的响应文件异常一致或者报价呈规律性差异；</w:t>
      </w:r>
    </w:p>
    <w:p>
      <w:pPr>
        <w:numPr>
          <w:ilvl w:val="0"/>
          <w:numId w:val="43"/>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不同供应商的响应文件相互混装；</w:t>
      </w:r>
    </w:p>
    <w:p>
      <w:pPr>
        <w:numPr>
          <w:ilvl w:val="1"/>
          <w:numId w:val="42"/>
        </w:numPr>
        <w:spacing w:line="360" w:lineRule="auto"/>
        <w:rPr>
          <w:rFonts w:cs="Times New Roman"/>
          <w:b/>
          <w:bCs/>
        </w:rPr>
      </w:pPr>
      <w:r>
        <w:rPr>
          <w:rFonts w:hint="eastAsia" w:cs="宋体"/>
          <w:b/>
          <w:bCs/>
        </w:rPr>
        <w:t>供应商存在下列情况之一的，报价无效</w:t>
      </w:r>
    </w:p>
    <w:p>
      <w:pPr>
        <w:numPr>
          <w:ilvl w:val="2"/>
          <w:numId w:val="44"/>
        </w:numPr>
        <w:spacing w:line="360" w:lineRule="auto"/>
        <w:rPr>
          <w:rFonts w:ascii="宋体" w:cs="Times New Roman"/>
        </w:rPr>
      </w:pPr>
      <w:r>
        <w:rPr>
          <w:rFonts w:hint="eastAsia" w:ascii="宋体" w:hAnsi="宋体" w:cs="宋体"/>
        </w:rPr>
        <w:t>响应文件未按磋商文件要求签署、盖章的；</w:t>
      </w:r>
    </w:p>
    <w:p>
      <w:pPr>
        <w:numPr>
          <w:ilvl w:val="2"/>
          <w:numId w:val="44"/>
        </w:numPr>
        <w:spacing w:line="360" w:lineRule="auto"/>
        <w:rPr>
          <w:rFonts w:ascii="宋体" w:cs="Times New Roman"/>
        </w:rPr>
      </w:pPr>
      <w:r>
        <w:rPr>
          <w:rFonts w:hint="eastAsia" w:ascii="宋体" w:hAnsi="宋体" w:cs="宋体"/>
        </w:rPr>
        <w:t>不具备磋商文件中规定的资格要求的；</w:t>
      </w:r>
    </w:p>
    <w:p>
      <w:pPr>
        <w:numPr>
          <w:ilvl w:val="2"/>
          <w:numId w:val="44"/>
        </w:numPr>
        <w:spacing w:line="360" w:lineRule="auto"/>
        <w:rPr>
          <w:rFonts w:ascii="宋体" w:cs="Times New Roman"/>
        </w:rPr>
      </w:pPr>
      <w:r>
        <w:rPr>
          <w:rFonts w:hint="eastAsia" w:ascii="宋体" w:hAnsi="宋体" w:cs="宋体"/>
        </w:rPr>
        <w:t>报价超过磋商文件中规定的预算金额或者最高限价的；</w:t>
      </w:r>
    </w:p>
    <w:p>
      <w:pPr>
        <w:numPr>
          <w:ilvl w:val="2"/>
          <w:numId w:val="44"/>
        </w:numPr>
        <w:spacing w:line="360" w:lineRule="auto"/>
        <w:rPr>
          <w:rFonts w:ascii="宋体" w:cs="Times New Roman"/>
        </w:rPr>
      </w:pPr>
      <w:r>
        <w:rPr>
          <w:rFonts w:hint="eastAsia" w:ascii="宋体" w:hAnsi="宋体" w:cs="宋体"/>
        </w:rPr>
        <w:t>响应文件含有采购人不能接受的附加条件的；</w:t>
      </w:r>
    </w:p>
    <w:p>
      <w:pPr>
        <w:numPr>
          <w:ilvl w:val="2"/>
          <w:numId w:val="44"/>
        </w:numPr>
        <w:spacing w:line="360" w:lineRule="auto"/>
        <w:rPr>
          <w:rFonts w:ascii="宋体" w:cs="Times New Roman"/>
        </w:rPr>
      </w:pPr>
      <w:r>
        <w:rPr>
          <w:rFonts w:hint="eastAsia" w:ascii="宋体" w:hAnsi="宋体" w:cs="宋体"/>
        </w:rPr>
        <w:t>法律、法规和磋商文件规定的其他无效情形。</w:t>
      </w:r>
    </w:p>
    <w:p>
      <w:pPr>
        <w:numPr>
          <w:ilvl w:val="1"/>
          <w:numId w:val="42"/>
        </w:numPr>
        <w:spacing w:line="360" w:lineRule="auto"/>
        <w:rPr>
          <w:rFonts w:cs="Times New Roman"/>
          <w:b/>
          <w:bCs/>
        </w:rPr>
      </w:pPr>
      <w:r>
        <w:rPr>
          <w:rFonts w:hint="eastAsia" w:cs="宋体"/>
          <w:b/>
          <w:bCs/>
        </w:rPr>
        <w:t>在采购中，出现下列情形之一的，应予废标</w:t>
      </w:r>
    </w:p>
    <w:p>
      <w:pPr>
        <w:numPr>
          <w:ilvl w:val="2"/>
          <w:numId w:val="45"/>
        </w:numPr>
        <w:spacing w:line="360" w:lineRule="auto"/>
        <w:rPr>
          <w:rFonts w:ascii="宋体" w:cs="Times New Roman"/>
        </w:rPr>
      </w:pPr>
      <w:r>
        <w:rPr>
          <w:rFonts w:hint="eastAsia" w:ascii="宋体" w:hAnsi="宋体" w:cs="宋体"/>
        </w:rPr>
        <w:t>通过资格性审查的供应商或者对磋商文件作实质响应的供应商不足三家的（有特别说明除外）；</w:t>
      </w:r>
      <w:r>
        <w:rPr>
          <w:rFonts w:ascii="宋体" w:hAnsi="宋体" w:cs="宋体"/>
        </w:rPr>
        <w:t xml:space="preserve"> </w:t>
      </w:r>
    </w:p>
    <w:p>
      <w:pPr>
        <w:numPr>
          <w:ilvl w:val="2"/>
          <w:numId w:val="45"/>
        </w:numPr>
        <w:spacing w:line="360" w:lineRule="auto"/>
        <w:rPr>
          <w:rFonts w:ascii="宋体" w:cs="Times New Roman"/>
        </w:rPr>
      </w:pPr>
      <w:r>
        <w:rPr>
          <w:rFonts w:hint="eastAsia" w:ascii="宋体" w:hAnsi="宋体" w:cs="宋体"/>
        </w:rPr>
        <w:t>出现影响采购公正的违法、违规行为的；</w:t>
      </w:r>
      <w:r>
        <w:rPr>
          <w:rFonts w:ascii="宋体" w:hAnsi="宋体" w:cs="宋体"/>
        </w:rPr>
        <w:t xml:space="preserve"> </w:t>
      </w:r>
    </w:p>
    <w:p>
      <w:pPr>
        <w:numPr>
          <w:ilvl w:val="2"/>
          <w:numId w:val="45"/>
        </w:numPr>
        <w:spacing w:line="360" w:lineRule="auto"/>
        <w:rPr>
          <w:rFonts w:ascii="宋体" w:cs="Times New Roman"/>
        </w:rPr>
      </w:pPr>
      <w:r>
        <w:rPr>
          <w:rFonts w:hint="eastAsia" w:ascii="宋体" w:hAnsi="宋体" w:cs="宋体"/>
        </w:rPr>
        <w:t>供应商的报价均超过了采购预算，采购人不能支付的；</w:t>
      </w:r>
      <w:r>
        <w:rPr>
          <w:rFonts w:ascii="宋体" w:hAnsi="宋体" w:cs="宋体"/>
        </w:rPr>
        <w:t xml:space="preserve"> </w:t>
      </w:r>
    </w:p>
    <w:p>
      <w:pPr>
        <w:numPr>
          <w:ilvl w:val="2"/>
          <w:numId w:val="45"/>
        </w:numPr>
        <w:spacing w:line="360" w:lineRule="auto"/>
        <w:rPr>
          <w:rFonts w:ascii="宋体" w:cs="Times New Roman"/>
        </w:rPr>
      </w:pPr>
      <w:r>
        <w:rPr>
          <w:rFonts w:hint="eastAsia" w:ascii="宋体" w:hAnsi="宋体" w:cs="宋体"/>
        </w:rPr>
        <w:t>因重大变故，采购任务取消的。</w:t>
      </w:r>
    </w:p>
    <w:p>
      <w:pPr>
        <w:spacing w:line="360" w:lineRule="auto"/>
        <w:rPr>
          <w:rFonts w:cs="Times New Roman"/>
          <w:sz w:val="24"/>
          <w:szCs w:val="24"/>
        </w:rPr>
      </w:pPr>
    </w:p>
    <w:p>
      <w:pPr>
        <w:pStyle w:val="3"/>
        <w:numPr>
          <w:ilvl w:val="0"/>
          <w:numId w:val="6"/>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pPr>
        <w:numPr>
          <w:ilvl w:val="0"/>
          <w:numId w:val="46"/>
        </w:numPr>
        <w:spacing w:line="360" w:lineRule="auto"/>
        <w:jc w:val="left"/>
        <w:rPr>
          <w:rFonts w:ascii="宋体" w:cs="Times New Roman"/>
          <w:b/>
          <w:bCs/>
        </w:rPr>
      </w:pPr>
      <w:r>
        <w:rPr>
          <w:rFonts w:hint="eastAsia" w:ascii="宋体" w:hAnsi="宋体" w:cs="宋体"/>
          <w:b/>
          <w:bCs/>
        </w:rPr>
        <w:t>评审方法</w:t>
      </w:r>
    </w:p>
    <w:p>
      <w:pPr>
        <w:numPr>
          <w:ilvl w:val="0"/>
          <w:numId w:val="47"/>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pPr>
        <w:numPr>
          <w:ilvl w:val="0"/>
          <w:numId w:val="47"/>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pPr>
        <w:numPr>
          <w:ilvl w:val="0"/>
          <w:numId w:val="46"/>
        </w:numPr>
        <w:spacing w:line="360" w:lineRule="auto"/>
        <w:jc w:val="left"/>
        <w:rPr>
          <w:rFonts w:ascii="宋体" w:cs="Times New Roman"/>
          <w:b/>
          <w:bCs/>
        </w:rPr>
      </w:pPr>
      <w:r>
        <w:rPr>
          <w:rFonts w:hint="eastAsia" w:ascii="宋体" w:hAnsi="宋体" w:cs="宋体"/>
          <w:b/>
          <w:bCs/>
        </w:rPr>
        <w:t>评审原则</w:t>
      </w:r>
    </w:p>
    <w:p>
      <w:pPr>
        <w:numPr>
          <w:ilvl w:val="0"/>
          <w:numId w:val="48"/>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pPr>
        <w:numPr>
          <w:ilvl w:val="0"/>
          <w:numId w:val="48"/>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pPr>
        <w:numPr>
          <w:ilvl w:val="0"/>
          <w:numId w:val="48"/>
        </w:numPr>
        <w:tabs>
          <w:tab w:val="left" w:pos="851"/>
        </w:tabs>
        <w:spacing w:line="360" w:lineRule="auto"/>
        <w:jc w:val="left"/>
        <w:rPr>
          <w:rFonts w:ascii="宋体" w:cs="Times New Roman"/>
        </w:rPr>
      </w:pPr>
      <w:r>
        <w:rPr>
          <w:rFonts w:hint="eastAsia" w:ascii="宋体" w:hAnsi="宋体" w:cs="宋体"/>
        </w:rPr>
        <w:t>在磋商中，磋商的任何一方不得透露与磋商有关的其他供应商的技术资料、价格和其他信息。</w:t>
      </w:r>
    </w:p>
    <w:p>
      <w:pPr>
        <w:numPr>
          <w:ilvl w:val="0"/>
          <w:numId w:val="48"/>
        </w:numPr>
        <w:tabs>
          <w:tab w:val="left" w:pos="851"/>
        </w:tabs>
        <w:spacing w:line="360" w:lineRule="auto"/>
        <w:jc w:val="left"/>
        <w:rPr>
          <w:rFonts w:ascii="宋体" w:cs="Times New Roman"/>
        </w:rPr>
      </w:pPr>
      <w:r>
        <w:rPr>
          <w:rFonts w:hint="eastAsia" w:ascii="宋体" w:hAnsi="宋体" w:cs="宋体"/>
        </w:rPr>
        <w:t>凡两家或以上公司同一法人代表或其中一家公司为另一家公司单一最大股东的，不能同时参与同一采购项目相同标段的采购活动，一经发现，将视同串标处理。</w:t>
      </w:r>
    </w:p>
    <w:p>
      <w:pPr>
        <w:numPr>
          <w:ilvl w:val="0"/>
          <w:numId w:val="48"/>
        </w:numPr>
        <w:tabs>
          <w:tab w:val="left" w:pos="851"/>
        </w:tabs>
        <w:spacing w:line="360" w:lineRule="auto"/>
        <w:jc w:val="left"/>
        <w:rPr>
          <w:rFonts w:ascii="宋体" w:cs="Times New Roman"/>
        </w:rPr>
      </w:pPr>
      <w:r>
        <w:rPr>
          <w:rFonts w:hint="eastAsia" w:ascii="宋体" w:hAnsi="宋体" w:cs="宋体"/>
        </w:rPr>
        <w:t>本项目以供应商递交的纸质响应文件作为评审依据。</w:t>
      </w:r>
    </w:p>
    <w:p>
      <w:pPr>
        <w:numPr>
          <w:ilvl w:val="0"/>
          <w:numId w:val="46"/>
        </w:numPr>
        <w:spacing w:line="360" w:lineRule="auto"/>
        <w:jc w:val="left"/>
        <w:rPr>
          <w:rFonts w:ascii="宋体" w:cs="Times New Roman"/>
          <w:b/>
          <w:bCs/>
        </w:rPr>
      </w:pPr>
      <w:r>
        <w:rPr>
          <w:rFonts w:hint="eastAsia" w:ascii="宋体" w:hAnsi="宋体" w:cs="宋体"/>
          <w:b/>
          <w:bCs/>
        </w:rPr>
        <w:t>磋商小组</w:t>
      </w:r>
    </w:p>
    <w:p>
      <w:pPr>
        <w:numPr>
          <w:ilvl w:val="0"/>
          <w:numId w:val="49"/>
        </w:numPr>
        <w:tabs>
          <w:tab w:val="left" w:pos="851"/>
        </w:tabs>
        <w:spacing w:line="360" w:lineRule="auto"/>
        <w:jc w:val="left"/>
        <w:rPr>
          <w:rFonts w:ascii="宋体" w:cs="Times New Roman"/>
        </w:rPr>
      </w:pPr>
      <w:r>
        <w:rPr>
          <w:rFonts w:hint="eastAsia" w:ascii="宋体" w:hAnsi="宋体" w:cs="宋体"/>
        </w:rPr>
        <w:t>本次采购依法组建</w:t>
      </w:r>
      <w:bookmarkStart w:id="56" w:name="OLE_LINK59"/>
      <w:r>
        <w:rPr>
          <w:rFonts w:hint="eastAsia" w:ascii="宋体" w:hAnsi="宋体" w:cs="宋体"/>
        </w:rPr>
        <w:t>磋商小组</w:t>
      </w:r>
      <w:bookmarkEnd w:id="56"/>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pPr>
        <w:numPr>
          <w:ilvl w:val="0"/>
          <w:numId w:val="49"/>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pPr>
        <w:numPr>
          <w:ilvl w:val="0"/>
          <w:numId w:val="50"/>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pPr>
        <w:numPr>
          <w:ilvl w:val="0"/>
          <w:numId w:val="50"/>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pPr>
        <w:numPr>
          <w:ilvl w:val="0"/>
          <w:numId w:val="50"/>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pPr>
        <w:numPr>
          <w:ilvl w:val="0"/>
          <w:numId w:val="50"/>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pPr>
        <w:numPr>
          <w:ilvl w:val="0"/>
          <w:numId w:val="50"/>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pPr>
        <w:numPr>
          <w:ilvl w:val="0"/>
          <w:numId w:val="49"/>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pPr>
        <w:numPr>
          <w:ilvl w:val="0"/>
          <w:numId w:val="51"/>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pPr>
        <w:numPr>
          <w:ilvl w:val="0"/>
          <w:numId w:val="51"/>
        </w:numPr>
        <w:spacing w:line="360" w:lineRule="auto"/>
        <w:ind w:left="0" w:firstLine="567"/>
        <w:rPr>
          <w:rFonts w:ascii="宋体" w:cs="Times New Roman"/>
        </w:rPr>
      </w:pPr>
      <w:r>
        <w:rPr>
          <w:rFonts w:hint="eastAsia" w:ascii="宋体" w:hAnsi="宋体" w:cs="宋体"/>
        </w:rPr>
        <w:t>要求供应商对响应文件有关事项作出澄清或者说明；</w:t>
      </w:r>
    </w:p>
    <w:p>
      <w:pPr>
        <w:numPr>
          <w:ilvl w:val="0"/>
          <w:numId w:val="51"/>
        </w:numPr>
        <w:spacing w:line="360" w:lineRule="auto"/>
        <w:ind w:left="0" w:firstLine="567"/>
        <w:rPr>
          <w:rFonts w:ascii="宋体" w:cs="Times New Roman"/>
        </w:rPr>
      </w:pPr>
      <w:r>
        <w:rPr>
          <w:rFonts w:hint="eastAsia" w:ascii="宋体" w:hAnsi="宋体" w:cs="宋体"/>
        </w:rPr>
        <w:t>对响应文件进行比较和评价；</w:t>
      </w:r>
    </w:p>
    <w:p>
      <w:pPr>
        <w:numPr>
          <w:ilvl w:val="0"/>
          <w:numId w:val="51"/>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pPr>
        <w:numPr>
          <w:ilvl w:val="0"/>
          <w:numId w:val="51"/>
        </w:numPr>
        <w:spacing w:line="360" w:lineRule="auto"/>
        <w:ind w:left="0" w:firstLine="567"/>
        <w:rPr>
          <w:rFonts w:ascii="宋体" w:cs="Times New Roman"/>
        </w:rPr>
      </w:pPr>
      <w:r>
        <w:rPr>
          <w:rFonts w:hint="eastAsia" w:ascii="宋体" w:hAnsi="宋体" w:cs="宋体"/>
        </w:rPr>
        <w:t>向采购人或者有关部门报告评标中发现的违法行为。</w:t>
      </w:r>
    </w:p>
    <w:p>
      <w:pPr>
        <w:numPr>
          <w:ilvl w:val="0"/>
          <w:numId w:val="49"/>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pPr>
        <w:numPr>
          <w:ilvl w:val="0"/>
          <w:numId w:val="49"/>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pPr>
        <w:numPr>
          <w:ilvl w:val="0"/>
          <w:numId w:val="49"/>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pPr>
        <w:numPr>
          <w:ilvl w:val="0"/>
          <w:numId w:val="49"/>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pPr>
        <w:numPr>
          <w:ilvl w:val="0"/>
          <w:numId w:val="46"/>
        </w:numPr>
        <w:spacing w:line="360" w:lineRule="auto"/>
        <w:jc w:val="left"/>
        <w:rPr>
          <w:rFonts w:ascii="宋体" w:cs="Times New Roman"/>
          <w:b/>
          <w:bCs/>
        </w:rPr>
      </w:pPr>
      <w:r>
        <w:rPr>
          <w:rFonts w:hint="eastAsia" w:ascii="宋体" w:hAnsi="宋体" w:cs="宋体"/>
          <w:b/>
          <w:bCs/>
        </w:rPr>
        <w:t>资格性和符合性评审</w:t>
      </w:r>
    </w:p>
    <w:p>
      <w:pPr>
        <w:numPr>
          <w:ilvl w:val="0"/>
          <w:numId w:val="52"/>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pPr>
        <w:numPr>
          <w:ilvl w:val="0"/>
          <w:numId w:val="52"/>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numPr>
          <w:ilvl w:val="0"/>
          <w:numId w:val="46"/>
        </w:numPr>
        <w:spacing w:line="360" w:lineRule="auto"/>
        <w:jc w:val="left"/>
        <w:rPr>
          <w:rFonts w:ascii="宋体" w:cs="Times New Roman"/>
          <w:b/>
          <w:bCs/>
        </w:rPr>
      </w:pPr>
      <w:r>
        <w:rPr>
          <w:rFonts w:hint="eastAsia" w:ascii="宋体" w:hAnsi="宋体" w:cs="宋体"/>
          <w:b/>
          <w:bCs/>
        </w:rPr>
        <w:t>磋商</w:t>
      </w:r>
    </w:p>
    <w:p>
      <w:pPr>
        <w:numPr>
          <w:ilvl w:val="0"/>
          <w:numId w:val="53"/>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pPr>
        <w:numPr>
          <w:ilvl w:val="0"/>
          <w:numId w:val="53"/>
        </w:numPr>
        <w:tabs>
          <w:tab w:val="left" w:pos="851"/>
        </w:tabs>
        <w:spacing w:line="360" w:lineRule="auto"/>
        <w:jc w:val="left"/>
        <w:rPr>
          <w:rFonts w:ascii="宋体" w:cs="Times New Roman"/>
        </w:rPr>
      </w:pPr>
      <w:r>
        <w:rPr>
          <w:rFonts w:hint="eastAsia" w:ascii="宋体" w:hAnsi="宋体" w:cs="宋体"/>
        </w:rPr>
        <w:t>磋商小组与</w:t>
      </w:r>
      <w:bookmarkStart w:id="57" w:name="OLE_LINK23"/>
      <w:r>
        <w:rPr>
          <w:rFonts w:hint="eastAsia" w:ascii="宋体" w:hAnsi="宋体" w:cs="宋体"/>
        </w:rPr>
        <w:t>供应商</w:t>
      </w:r>
      <w:bookmarkEnd w:id="57"/>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pPr>
        <w:numPr>
          <w:ilvl w:val="0"/>
          <w:numId w:val="52"/>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pPr>
        <w:numPr>
          <w:ilvl w:val="0"/>
          <w:numId w:val="52"/>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pPr>
        <w:numPr>
          <w:ilvl w:val="0"/>
          <w:numId w:val="52"/>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pPr>
        <w:numPr>
          <w:ilvl w:val="0"/>
          <w:numId w:val="52"/>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pPr>
        <w:numPr>
          <w:ilvl w:val="0"/>
          <w:numId w:val="52"/>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pPr>
        <w:numPr>
          <w:ilvl w:val="0"/>
          <w:numId w:val="52"/>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pPr>
        <w:numPr>
          <w:ilvl w:val="0"/>
          <w:numId w:val="46"/>
        </w:numPr>
        <w:spacing w:line="360" w:lineRule="auto"/>
        <w:jc w:val="left"/>
        <w:rPr>
          <w:rFonts w:ascii="宋体" w:cs="Times New Roman"/>
          <w:b/>
          <w:bCs/>
        </w:rPr>
      </w:pPr>
      <w:r>
        <w:rPr>
          <w:rFonts w:hint="eastAsia" w:ascii="宋体" w:hAnsi="宋体" w:cs="宋体"/>
          <w:b/>
          <w:bCs/>
        </w:rPr>
        <w:t>技术商务及价格综合评审</w:t>
      </w:r>
    </w:p>
    <w:p>
      <w:pPr>
        <w:numPr>
          <w:ilvl w:val="0"/>
          <w:numId w:val="54"/>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pPr>
        <w:numPr>
          <w:ilvl w:val="0"/>
          <w:numId w:val="54"/>
        </w:numPr>
        <w:tabs>
          <w:tab w:val="left" w:pos="851"/>
        </w:tabs>
        <w:spacing w:line="360" w:lineRule="auto"/>
        <w:jc w:val="left"/>
        <w:rPr>
          <w:rFonts w:ascii="宋体" w:cs="Times New Roman"/>
        </w:rPr>
      </w:pPr>
      <w:r>
        <w:rPr>
          <w:rFonts w:hint="eastAsia" w:ascii="宋体" w:hAnsi="宋体" w:cs="宋体"/>
        </w:rPr>
        <w:t>价格评审</w:t>
      </w:r>
    </w:p>
    <w:p>
      <w:pPr>
        <w:numPr>
          <w:ilvl w:val="0"/>
          <w:numId w:val="55"/>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pPr>
        <w:numPr>
          <w:ilvl w:val="0"/>
          <w:numId w:val="55"/>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pPr>
        <w:numPr>
          <w:ilvl w:val="0"/>
          <w:numId w:val="55"/>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pPr>
        <w:numPr>
          <w:ilvl w:val="0"/>
          <w:numId w:val="56"/>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pPr>
        <w:numPr>
          <w:ilvl w:val="0"/>
          <w:numId w:val="56"/>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pPr>
        <w:numPr>
          <w:ilvl w:val="0"/>
          <w:numId w:val="56"/>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pPr>
        <w:numPr>
          <w:ilvl w:val="0"/>
          <w:numId w:val="56"/>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pPr>
        <w:numPr>
          <w:ilvl w:val="0"/>
          <w:numId w:val="55"/>
        </w:numPr>
        <w:spacing w:line="360" w:lineRule="auto"/>
        <w:ind w:left="0" w:firstLine="420" w:firstLineChars="200"/>
        <w:rPr>
          <w:rFonts w:ascii="宋体" w:cs="Times New Roman"/>
        </w:rPr>
      </w:pPr>
      <w:r>
        <w:rPr>
          <w:rFonts w:hint="eastAsia" w:ascii="宋体" w:hAnsi="宋体" w:cs="宋体"/>
        </w:rPr>
        <w:t>响应文件中的缺漏项将按以下方法更正：</w:t>
      </w:r>
    </w:p>
    <w:p>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pPr>
        <w:numPr>
          <w:ilvl w:val="0"/>
          <w:numId w:val="54"/>
        </w:numPr>
        <w:tabs>
          <w:tab w:val="left" w:pos="851"/>
        </w:tabs>
        <w:spacing w:line="360" w:lineRule="auto"/>
        <w:jc w:val="left"/>
        <w:rPr>
          <w:rFonts w:ascii="宋体" w:cs="Times New Roman"/>
        </w:rPr>
      </w:pPr>
      <w:r>
        <w:rPr>
          <w:rFonts w:hint="eastAsia" w:ascii="宋体" w:hAnsi="宋体" w:cs="宋体"/>
        </w:rPr>
        <w:t>技术评审</w:t>
      </w:r>
    </w:p>
    <w:p>
      <w:pPr>
        <w:numPr>
          <w:ilvl w:val="0"/>
          <w:numId w:val="57"/>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58" w:name="_Hlk38033529"/>
      <w:r>
        <w:rPr>
          <w:rFonts w:hint="eastAsia" w:ascii="宋体" w:hAnsi="宋体" w:cs="宋体"/>
        </w:rPr>
        <w:t>《技术商务评审表》</w:t>
      </w:r>
      <w:bookmarkEnd w:id="58"/>
    </w:p>
    <w:p>
      <w:pPr>
        <w:numPr>
          <w:ilvl w:val="0"/>
          <w:numId w:val="54"/>
        </w:numPr>
        <w:tabs>
          <w:tab w:val="left" w:pos="851"/>
        </w:tabs>
        <w:spacing w:line="360" w:lineRule="auto"/>
        <w:jc w:val="left"/>
        <w:rPr>
          <w:rFonts w:ascii="宋体" w:cs="Times New Roman"/>
        </w:rPr>
      </w:pPr>
      <w:r>
        <w:rPr>
          <w:rFonts w:hint="eastAsia" w:ascii="宋体" w:hAnsi="宋体" w:cs="宋体"/>
        </w:rPr>
        <w:t>商务评审</w:t>
      </w:r>
    </w:p>
    <w:p>
      <w:pPr>
        <w:numPr>
          <w:ilvl w:val="0"/>
          <w:numId w:val="58"/>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pPr>
        <w:numPr>
          <w:ilvl w:val="0"/>
          <w:numId w:val="54"/>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pPr>
        <w:numPr>
          <w:ilvl w:val="0"/>
          <w:numId w:val="46"/>
        </w:numPr>
        <w:spacing w:line="360" w:lineRule="auto"/>
        <w:jc w:val="left"/>
        <w:rPr>
          <w:rFonts w:ascii="宋体" w:cs="Times New Roman"/>
          <w:b/>
          <w:bCs/>
        </w:rPr>
      </w:pPr>
      <w:r>
        <w:rPr>
          <w:rFonts w:hint="eastAsia" w:ascii="宋体" w:hAnsi="宋体" w:cs="宋体"/>
          <w:b/>
          <w:bCs/>
        </w:rPr>
        <w:t>磋商文件的修正和澄清</w:t>
      </w:r>
    </w:p>
    <w:p>
      <w:pPr>
        <w:numPr>
          <w:ilvl w:val="0"/>
          <w:numId w:val="59"/>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pPr>
        <w:numPr>
          <w:ilvl w:val="0"/>
          <w:numId w:val="59"/>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pPr>
        <w:numPr>
          <w:ilvl w:val="0"/>
          <w:numId w:val="59"/>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numPr>
          <w:ilvl w:val="0"/>
          <w:numId w:val="46"/>
        </w:numPr>
        <w:spacing w:line="360" w:lineRule="auto"/>
        <w:jc w:val="left"/>
        <w:rPr>
          <w:rFonts w:ascii="宋体" w:cs="Times New Roman"/>
          <w:b/>
          <w:bCs/>
        </w:rPr>
      </w:pPr>
      <w:r>
        <w:rPr>
          <w:rFonts w:hint="eastAsia" w:ascii="宋体" w:hAnsi="宋体" w:cs="宋体"/>
          <w:b/>
          <w:bCs/>
        </w:rPr>
        <w:t>成交供应商的确定</w:t>
      </w:r>
    </w:p>
    <w:p>
      <w:pPr>
        <w:numPr>
          <w:ilvl w:val="0"/>
          <w:numId w:val="60"/>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pPr>
        <w:numPr>
          <w:ilvl w:val="0"/>
          <w:numId w:val="60"/>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0"/>
          <w:numId w:val="46"/>
        </w:numPr>
        <w:spacing w:line="360" w:lineRule="auto"/>
        <w:jc w:val="left"/>
        <w:rPr>
          <w:rFonts w:ascii="宋体" w:cs="Times New Roman"/>
          <w:b/>
          <w:bCs/>
        </w:rPr>
      </w:pPr>
      <w:r>
        <w:rPr>
          <w:rFonts w:hint="eastAsia" w:ascii="宋体" w:hAnsi="宋体" w:cs="宋体"/>
          <w:b/>
          <w:bCs/>
        </w:rPr>
        <w:t>发布成交结果</w:t>
      </w:r>
    </w:p>
    <w:p>
      <w:pPr>
        <w:numPr>
          <w:ilvl w:val="0"/>
          <w:numId w:val="61"/>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pPr>
        <w:numPr>
          <w:ilvl w:val="0"/>
          <w:numId w:val="61"/>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pPr>
        <w:numPr>
          <w:ilvl w:val="0"/>
          <w:numId w:val="61"/>
        </w:numPr>
        <w:tabs>
          <w:tab w:val="left" w:pos="851"/>
        </w:tabs>
        <w:spacing w:line="360" w:lineRule="auto"/>
        <w:jc w:val="left"/>
        <w:rPr>
          <w:rFonts w:ascii="宋体" w:cs="Times New Roman"/>
        </w:rPr>
      </w:pPr>
      <w:r>
        <w:rPr>
          <w:rFonts w:hint="eastAsia" w:ascii="宋体" w:hAnsi="宋体" w:cs="宋体"/>
        </w:rPr>
        <w:t>附件</w:t>
      </w:r>
    </w:p>
    <w:p>
      <w:pPr>
        <w:spacing w:line="360" w:lineRule="auto"/>
        <w:ind w:left="420" w:leftChars="200"/>
        <w:rPr>
          <w:rFonts w:cs="Times New Roman"/>
        </w:rPr>
      </w:pPr>
      <w:r>
        <w:t xml:space="preserve">    </w:t>
      </w:r>
      <w:r>
        <w:rPr>
          <w:rFonts w:hint="eastAsia" w:cs="宋体"/>
        </w:rPr>
        <w:t>附件一：评审项目的分值分配</w:t>
      </w:r>
    </w:p>
    <w:p>
      <w:pPr>
        <w:spacing w:line="360" w:lineRule="auto"/>
        <w:ind w:left="420" w:leftChars="200"/>
        <w:rPr>
          <w:rFonts w:cs="Times New Roman"/>
        </w:rPr>
      </w:pPr>
      <w:r>
        <w:t xml:space="preserve">    </w:t>
      </w:r>
      <w:r>
        <w:rPr>
          <w:rFonts w:hint="eastAsia" w:cs="宋体"/>
        </w:rPr>
        <w:t>附件二：</w:t>
      </w:r>
      <w:bookmarkStart w:id="59" w:name="_Hlk38035320"/>
      <w:r>
        <w:rPr>
          <w:rFonts w:hint="eastAsia" w:cs="宋体"/>
        </w:rPr>
        <w:t>价格评审表</w:t>
      </w:r>
      <w:bookmarkEnd w:id="59"/>
    </w:p>
    <w:p>
      <w:pPr>
        <w:spacing w:line="360" w:lineRule="auto"/>
        <w:ind w:left="420" w:leftChars="200" w:firstLine="420"/>
        <w:rPr>
          <w:rFonts w:cs="Times New Roman"/>
        </w:rPr>
      </w:pPr>
      <w:r>
        <w:rPr>
          <w:rFonts w:hint="eastAsia" w:cs="宋体"/>
        </w:rPr>
        <w:t>附件三：</w:t>
      </w:r>
      <w:bookmarkStart w:id="60" w:name="_Hlk38036232"/>
      <w:r>
        <w:rPr>
          <w:rFonts w:hint="eastAsia" w:cs="宋体"/>
        </w:rPr>
        <w:t>资格性及符合性审查表</w:t>
      </w:r>
      <w:bookmarkEnd w:id="60"/>
    </w:p>
    <w:p>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pPr>
        <w:spacing w:line="440" w:lineRule="exact"/>
        <w:rPr>
          <w:rFonts w:cs="Times New Roman"/>
          <w:b/>
          <w:bCs/>
        </w:rPr>
      </w:pPr>
    </w:p>
    <w:p>
      <w:pPr>
        <w:spacing w:line="360" w:lineRule="auto"/>
        <w:rPr>
          <w:rFonts w:cs="Times New Roman"/>
          <w:b/>
          <w:bCs/>
        </w:rPr>
      </w:pPr>
      <w:bookmarkStart w:id="61" w:name="_Hlk38035208"/>
      <w:r>
        <w:rPr>
          <w:rFonts w:hint="eastAsia" w:cs="宋体"/>
          <w:b/>
          <w:bCs/>
        </w:rPr>
        <w:t>附件一：评标项目的分值分配</w:t>
      </w:r>
    </w:p>
    <w:bookmarkEnd w:id="61"/>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pPr>
              <w:jc w:val="center"/>
              <w:rPr>
                <w:rFonts w:ascii="宋体" w:cs="Times New Roman"/>
                <w:b/>
                <w:bCs/>
              </w:rPr>
            </w:pPr>
            <w:r>
              <w:rPr>
                <w:rFonts w:hint="eastAsia" w:ascii="宋体" w:hAnsi="宋体" w:cs="宋体"/>
                <w:b/>
                <w:bCs/>
              </w:rPr>
              <w:t>评分项目</w:t>
            </w:r>
          </w:p>
        </w:tc>
        <w:tc>
          <w:tcPr>
            <w:tcW w:w="1926" w:type="dxa"/>
            <w:shd w:val="clear" w:color="auto" w:fill="D9D9D9"/>
            <w:vAlign w:val="center"/>
          </w:tcPr>
          <w:p>
            <w:pPr>
              <w:jc w:val="center"/>
              <w:rPr>
                <w:rFonts w:ascii="宋体" w:cs="Times New Roman"/>
                <w:b/>
                <w:bCs/>
              </w:rPr>
            </w:pPr>
            <w:r>
              <w:rPr>
                <w:rFonts w:hint="eastAsia" w:ascii="宋体" w:hAnsi="宋体" w:cs="宋体"/>
                <w:b/>
                <w:bCs/>
              </w:rPr>
              <w:t>技术商务部分</w:t>
            </w:r>
          </w:p>
        </w:tc>
        <w:tc>
          <w:tcPr>
            <w:tcW w:w="2065" w:type="dxa"/>
            <w:shd w:val="clear" w:color="auto" w:fill="D9D9D9"/>
            <w:vAlign w:val="center"/>
          </w:tcPr>
          <w:p>
            <w:pPr>
              <w:jc w:val="center"/>
              <w:rPr>
                <w:rFonts w:ascii="宋体" w:cs="Times New Roman"/>
                <w:b/>
                <w:bCs/>
              </w:rPr>
            </w:pPr>
            <w:r>
              <w:rPr>
                <w:rFonts w:hint="eastAsia" w:ascii="宋体" w:hAnsi="宋体" w:cs="宋体"/>
                <w:b/>
                <w:bCs/>
              </w:rPr>
              <w:t>价格部分</w:t>
            </w:r>
          </w:p>
        </w:tc>
        <w:tc>
          <w:tcPr>
            <w:tcW w:w="1715" w:type="dxa"/>
            <w:shd w:val="clear" w:color="auto" w:fill="D9D9D9"/>
            <w:vAlign w:val="center"/>
          </w:tcPr>
          <w:p>
            <w:pPr>
              <w:jc w:val="center"/>
              <w:rPr>
                <w:rFonts w:ascii="宋体" w:cs="Times New Roman"/>
                <w:b/>
                <w:bCs/>
              </w:rPr>
            </w:pPr>
            <w:r>
              <w:rPr>
                <w:rFonts w:hint="eastAsia" w:ascii="宋体" w:hAnsi="宋体" w:cs="宋体"/>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pPr>
              <w:jc w:val="center"/>
              <w:rPr>
                <w:rFonts w:ascii="宋体" w:cs="Times New Roman"/>
              </w:rPr>
            </w:pPr>
            <w:r>
              <w:rPr>
                <w:rFonts w:hint="eastAsia" w:ascii="宋体" w:hAnsi="宋体" w:cs="宋体"/>
              </w:rPr>
              <w:t>分值</w:t>
            </w:r>
          </w:p>
        </w:tc>
        <w:tc>
          <w:tcPr>
            <w:tcW w:w="1926" w:type="dxa"/>
            <w:vAlign w:val="center"/>
          </w:tcPr>
          <w:p>
            <w:pPr>
              <w:jc w:val="center"/>
              <w:rPr>
                <w:rFonts w:ascii="宋体" w:cs="Times New Roman"/>
              </w:rPr>
            </w:pPr>
            <w:r>
              <w:rPr>
                <w:rFonts w:hint="eastAsia" w:ascii="宋体" w:hAnsi="宋体" w:cs="宋体"/>
                <w:lang w:val="en-US" w:eastAsia="zh-CN"/>
              </w:rPr>
              <w:t>6</w:t>
            </w:r>
            <w:r>
              <w:rPr>
                <w:rFonts w:ascii="宋体" w:hAnsi="宋体" w:cs="宋体"/>
              </w:rPr>
              <w:t>0</w:t>
            </w:r>
            <w:r>
              <w:rPr>
                <w:rFonts w:hint="eastAsia" w:ascii="宋体" w:hAnsi="宋体" w:cs="宋体"/>
              </w:rPr>
              <w:t>分</w:t>
            </w:r>
          </w:p>
        </w:tc>
        <w:tc>
          <w:tcPr>
            <w:tcW w:w="2065" w:type="dxa"/>
            <w:vAlign w:val="center"/>
          </w:tcPr>
          <w:p>
            <w:pPr>
              <w:jc w:val="center"/>
              <w:rPr>
                <w:rFonts w:ascii="宋体" w:cs="Times New Roman"/>
              </w:rPr>
            </w:pPr>
            <w:r>
              <w:rPr>
                <w:rFonts w:hint="eastAsia" w:ascii="宋体" w:hAnsi="宋体" w:cs="宋体"/>
                <w:lang w:val="en-US" w:eastAsia="zh-CN"/>
              </w:rPr>
              <w:t>4</w:t>
            </w:r>
            <w:r>
              <w:rPr>
                <w:rFonts w:ascii="宋体" w:hAnsi="宋体" w:cs="宋体"/>
              </w:rPr>
              <w:t>0</w:t>
            </w:r>
            <w:r>
              <w:rPr>
                <w:rFonts w:hint="eastAsia" w:ascii="宋体" w:hAnsi="宋体" w:cs="宋体"/>
              </w:rPr>
              <w:t>分</w:t>
            </w:r>
          </w:p>
        </w:tc>
        <w:tc>
          <w:tcPr>
            <w:tcW w:w="1715" w:type="dxa"/>
            <w:vAlign w:val="center"/>
          </w:tcPr>
          <w:p>
            <w:pPr>
              <w:jc w:val="center"/>
              <w:rPr>
                <w:rFonts w:ascii="宋体" w:cs="Times New Roman"/>
              </w:rPr>
            </w:pPr>
            <w:r>
              <w:rPr>
                <w:rFonts w:ascii="宋体" w:hAnsi="宋体" w:cs="宋体"/>
              </w:rPr>
              <w:t>100</w:t>
            </w:r>
            <w:r>
              <w:rPr>
                <w:rFonts w:hint="eastAsia" w:ascii="宋体" w:hAnsi="宋体" w:cs="宋体"/>
              </w:rPr>
              <w:t>分</w:t>
            </w:r>
          </w:p>
        </w:tc>
      </w:tr>
    </w:tbl>
    <w:p>
      <w:pPr>
        <w:spacing w:line="440" w:lineRule="exact"/>
        <w:rPr>
          <w:rFonts w:cs="Times New Roman"/>
          <w:b/>
          <w:bCs/>
        </w:rPr>
      </w:pPr>
    </w:p>
    <w:p>
      <w:pPr>
        <w:spacing w:line="440" w:lineRule="exact"/>
        <w:rPr>
          <w:rFonts w:cs="Times New Roman"/>
          <w:b/>
          <w:bCs/>
        </w:rPr>
      </w:pPr>
    </w:p>
    <w:p>
      <w:pPr>
        <w:rPr>
          <w:rFonts w:cs="Times New Roman"/>
          <w:b/>
          <w:bCs/>
        </w:rPr>
      </w:pPr>
      <w:r>
        <w:rPr>
          <w:rFonts w:hint="eastAsia" w:cs="宋体"/>
          <w:b/>
          <w:bCs/>
        </w:rPr>
        <w:t>附件二：价格评审表</w:t>
      </w:r>
    </w:p>
    <w:p>
      <w:pPr>
        <w:rPr>
          <w:rFonts w:cs="Times New Roman"/>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pPr>
              <w:jc w:val="center"/>
              <w:rPr>
                <w:rFonts w:cs="Times New Roman"/>
              </w:rPr>
            </w:pPr>
            <w:r>
              <w:rPr>
                <w:rFonts w:hint="eastAsia" w:cs="宋体"/>
              </w:rPr>
              <w:t>评分项目</w:t>
            </w:r>
          </w:p>
        </w:tc>
        <w:tc>
          <w:tcPr>
            <w:tcW w:w="6556" w:type="dxa"/>
            <w:shd w:val="clear" w:color="auto" w:fill="D9D9D9"/>
            <w:vAlign w:val="center"/>
          </w:tcPr>
          <w:p>
            <w:pPr>
              <w:jc w:val="center"/>
              <w:rPr>
                <w:rFonts w:cs="Times New Roman"/>
              </w:rPr>
            </w:pPr>
            <w:r>
              <w:rPr>
                <w:rFonts w:hint="eastAsia" w:cs="宋体"/>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pPr>
              <w:jc w:val="center"/>
              <w:rPr>
                <w:rFonts w:cs="Times New Roman"/>
              </w:rPr>
            </w:pPr>
            <w:r>
              <w:rPr>
                <w:rFonts w:hint="eastAsia" w:cs="宋体"/>
              </w:rPr>
              <w:t>磋商报价</w:t>
            </w:r>
          </w:p>
        </w:tc>
        <w:tc>
          <w:tcPr>
            <w:tcW w:w="6556" w:type="dxa"/>
            <w:vAlign w:val="center"/>
          </w:tcPr>
          <w:p>
            <w:pPr>
              <w:pStyle w:val="18"/>
              <w:adjustRightInd w:val="0"/>
              <w:snapToGrid w:val="0"/>
              <w:spacing w:line="360" w:lineRule="auto"/>
              <w:rPr>
                <w:rFonts w:hAnsi="宋体" w:cs="Times New Roman"/>
              </w:rPr>
            </w:pPr>
            <w:r>
              <w:rPr>
                <w:rFonts w:hint="eastAsia" w:hAnsi="宋体"/>
              </w:rPr>
              <w:t>价格得分</w:t>
            </w:r>
            <w:r>
              <w:rPr>
                <w:rFonts w:hAnsi="宋体"/>
              </w:rPr>
              <w:t>=(</w:t>
            </w:r>
            <w:r>
              <w:rPr>
                <w:rFonts w:hint="eastAsia" w:hAnsi="宋体"/>
              </w:rPr>
              <w:t>评标基准价</w:t>
            </w:r>
            <w:r>
              <w:rPr>
                <w:rFonts w:hAnsi="宋体"/>
              </w:rPr>
              <w:t>/</w:t>
            </w:r>
            <w:r>
              <w:rPr>
                <w:rFonts w:hint="eastAsia" w:hAnsi="宋体"/>
              </w:rPr>
              <w:t>磋商报价</w:t>
            </w:r>
            <w:r>
              <w:rPr>
                <w:rFonts w:hAnsi="宋体"/>
              </w:rPr>
              <w:t>)</w:t>
            </w:r>
            <w:r>
              <w:rPr>
                <w:rFonts w:hint="eastAsia" w:hAnsi="宋体"/>
              </w:rPr>
              <w:t>×价格分值</w:t>
            </w:r>
          </w:p>
        </w:tc>
      </w:tr>
    </w:tbl>
    <w:p>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0" w:firstLineChars="0"/>
        <w:rPr>
          <w:rFonts w:cs="Times New Roman"/>
          <w:b/>
          <w:bCs/>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pPr>
        <w:spacing w:after="312" w:afterLines="100"/>
        <w:jc w:val="center"/>
        <w:rPr>
          <w:rFonts w:ascii="宋体" w:cs="宋体"/>
          <w:sz w:val="36"/>
          <w:szCs w:val="36"/>
        </w:rPr>
      </w:pPr>
      <w:r>
        <w:rPr>
          <w:rFonts w:hint="eastAsia" w:ascii="宋体" w:hAnsi="宋体" w:cs="宋体"/>
          <w:sz w:val="36"/>
          <w:szCs w:val="36"/>
        </w:rPr>
        <w:t>资格性及符合性审查表</w:t>
      </w:r>
    </w:p>
    <w:p>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pPr>
              <w:ind w:firstLine="1575" w:firstLineChars="750"/>
              <w:rPr>
                <w:rFonts w:ascii="宋体" w:cs="宋体"/>
              </w:rPr>
            </w:pPr>
            <w:r>
              <w:rPr>
                <w:rFonts w:hint="eastAsia" w:ascii="宋体" w:hAnsi="宋体" w:cs="宋体"/>
              </w:rPr>
              <w:t>检查项目</w:t>
            </w:r>
          </w:p>
          <w:p>
            <w:pPr>
              <w:rPr>
                <w:rFonts w:ascii="宋体" w:cs="宋体"/>
                <w:spacing w:val="-12"/>
              </w:rPr>
            </w:pPr>
            <w:r>
              <w:rPr>
                <w:rFonts w:hint="eastAsia" w:ascii="宋体" w:hAnsi="宋体" w:cs="宋体"/>
              </w:rPr>
              <w:t>供应商名称</w:t>
            </w:r>
          </w:p>
        </w:tc>
        <w:tc>
          <w:tcPr>
            <w:tcW w:w="1303" w:type="dxa"/>
            <w:shd w:val="clear" w:color="auto" w:fill="D9D9D9"/>
            <w:vAlign w:val="center"/>
          </w:tcPr>
          <w:p>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pPr>
              <w:jc w:val="center"/>
              <w:rPr>
                <w:rFonts w:ascii="宋体" w:cs="宋体"/>
              </w:rPr>
            </w:pPr>
            <w:r>
              <w:rPr>
                <w:rFonts w:hint="eastAsia" w:ascii="宋体" w:hAnsi="宋体" w:cs="宋体"/>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pPr>
              <w:jc w:val="center"/>
              <w:rPr>
                <w:rFonts w:ascii="宋体" w:cs="宋体"/>
                <w:spacing w:val="-12"/>
              </w:rPr>
            </w:pPr>
          </w:p>
        </w:tc>
        <w:tc>
          <w:tcPr>
            <w:tcW w:w="2848" w:type="dxa"/>
            <w:vMerge w:val="continue"/>
            <w:tcBorders>
              <w:tl2br w:val="single" w:color="auto" w:sz="4" w:space="0"/>
            </w:tcBorders>
            <w:shd w:val="clear" w:color="auto" w:fill="D9D9D9"/>
            <w:vAlign w:val="center"/>
          </w:tcPr>
          <w:p>
            <w:pPr>
              <w:ind w:firstLine="1575" w:firstLineChars="750"/>
              <w:rPr>
                <w:rFonts w:ascii="宋体" w:cs="宋体"/>
              </w:rPr>
            </w:pPr>
          </w:p>
        </w:tc>
        <w:tc>
          <w:tcPr>
            <w:tcW w:w="1303" w:type="dxa"/>
            <w:shd w:val="clear" w:color="auto" w:fill="D9D9D9"/>
            <w:vAlign w:val="center"/>
          </w:tcPr>
          <w:p>
            <w:pPr>
              <w:jc w:val="center"/>
              <w:rPr>
                <w:rFonts w:ascii="宋体" w:cs="宋体"/>
              </w:rPr>
            </w:pPr>
            <w:r>
              <w:rPr>
                <w:rFonts w:hint="eastAsia" w:ascii="宋体" w:hAnsi="宋体" w:cs="宋体"/>
              </w:rPr>
              <w:t>合格供应商</w:t>
            </w:r>
          </w:p>
        </w:tc>
        <w:tc>
          <w:tcPr>
            <w:tcW w:w="1843" w:type="dxa"/>
            <w:shd w:val="clear" w:color="auto" w:fill="D9D9D9"/>
            <w:vAlign w:val="center"/>
          </w:tcPr>
          <w:p>
            <w:pPr>
              <w:jc w:val="center"/>
              <w:rPr>
                <w:rFonts w:ascii="宋体" w:cs="宋体"/>
              </w:rPr>
            </w:pPr>
            <w:r>
              <w:rPr>
                <w:rFonts w:hint="eastAsia" w:ascii="宋体" w:hAnsi="宋体" w:cs="宋体"/>
              </w:rPr>
              <w:t>响应文件</w:t>
            </w:r>
          </w:p>
          <w:p>
            <w:pPr>
              <w:jc w:val="center"/>
              <w:rPr>
                <w:rFonts w:ascii="宋体" w:cs="宋体"/>
              </w:rPr>
            </w:pPr>
            <w:r>
              <w:rPr>
                <w:rFonts w:hint="eastAsia" w:ascii="宋体" w:hAnsi="宋体" w:cs="宋体"/>
              </w:rPr>
              <w:t>签署合格</w:t>
            </w:r>
          </w:p>
        </w:tc>
        <w:tc>
          <w:tcPr>
            <w:tcW w:w="1134" w:type="dxa"/>
            <w:shd w:val="clear" w:color="auto" w:fill="D9D9D9"/>
            <w:vAlign w:val="center"/>
          </w:tcPr>
          <w:p>
            <w:pPr>
              <w:jc w:val="center"/>
              <w:rPr>
                <w:rFonts w:ascii="宋体" w:cs="宋体"/>
              </w:rPr>
            </w:pPr>
            <w:r>
              <w:rPr>
                <w:rFonts w:hint="eastAsia" w:ascii="宋体" w:hAnsi="宋体" w:cs="宋体"/>
              </w:rPr>
              <w:t>报价要求</w:t>
            </w:r>
          </w:p>
        </w:tc>
        <w:tc>
          <w:tcPr>
            <w:tcW w:w="1984" w:type="dxa"/>
            <w:shd w:val="clear" w:color="auto" w:fill="D9D9D9"/>
            <w:vAlign w:val="center"/>
          </w:tcPr>
          <w:p>
            <w:pPr>
              <w:jc w:val="center"/>
              <w:rPr>
                <w:rFonts w:ascii="宋体" w:cs="宋体"/>
              </w:rPr>
            </w:pPr>
            <w:r>
              <w:rPr>
                <w:rFonts w:hint="eastAsia" w:ascii="宋体" w:hAnsi="宋体" w:cs="宋体"/>
              </w:rPr>
              <w:t>响应文件的完整性</w:t>
            </w:r>
          </w:p>
        </w:tc>
        <w:tc>
          <w:tcPr>
            <w:tcW w:w="851" w:type="dxa"/>
            <w:shd w:val="clear" w:color="auto" w:fill="D9D9D9"/>
            <w:vAlign w:val="center"/>
          </w:tcPr>
          <w:p>
            <w:pPr>
              <w:jc w:val="center"/>
              <w:rPr>
                <w:rFonts w:ascii="宋体" w:cs="宋体"/>
              </w:rPr>
            </w:pPr>
            <w:r>
              <w:rPr>
                <w:rFonts w:hint="eastAsia" w:ascii="宋体" w:hAnsi="宋体" w:cs="宋体"/>
              </w:rPr>
              <w:t>磋商有效期</w:t>
            </w:r>
          </w:p>
        </w:tc>
        <w:tc>
          <w:tcPr>
            <w:tcW w:w="850" w:type="dxa"/>
            <w:shd w:val="clear" w:color="auto" w:fill="D9D9D9"/>
            <w:vAlign w:val="center"/>
          </w:tcPr>
          <w:p>
            <w:pPr>
              <w:jc w:val="center"/>
              <w:rPr>
                <w:rFonts w:ascii="宋体" w:cs="宋体"/>
              </w:rPr>
            </w:pPr>
            <w:r>
              <w:rPr>
                <w:rFonts w:hint="eastAsia" w:ascii="宋体" w:hAnsi="宋体" w:cs="宋体"/>
              </w:rPr>
              <w:t>带★条款</w:t>
            </w:r>
          </w:p>
        </w:tc>
        <w:tc>
          <w:tcPr>
            <w:tcW w:w="2835" w:type="dxa"/>
            <w:gridSpan w:val="2"/>
            <w:shd w:val="clear" w:color="auto" w:fill="D9D9D9"/>
            <w:vAlign w:val="center"/>
          </w:tcPr>
          <w:p>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pPr>
              <w:ind w:firstLine="1575" w:firstLineChars="750"/>
              <w:rPr>
                <w:rFonts w:ascii="宋体" w:cs="宋体"/>
              </w:rPr>
            </w:pPr>
          </w:p>
        </w:tc>
        <w:tc>
          <w:tcPr>
            <w:tcW w:w="1303"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磋商截止日起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61"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55"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bl>
    <w:p>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pPr>
        <w:pStyle w:val="2"/>
        <w:ind w:firstLine="0" w:firstLineChars="0"/>
        <w:rPr>
          <w:rFonts w:cs="Times New Roman"/>
        </w:rPr>
      </w:pPr>
    </w:p>
    <w:p>
      <w:pPr>
        <w:rPr>
          <w:rFonts w:cs="宋体"/>
          <w:b/>
          <w:bCs/>
        </w:rPr>
      </w:pPr>
      <w:r>
        <w:rPr>
          <w:rFonts w:hint="eastAsia" w:cs="宋体"/>
          <w:b/>
          <w:bCs/>
        </w:rPr>
        <w:t>附件四：技术商务评审表</w:t>
      </w:r>
    </w:p>
    <w:p>
      <w:pPr>
        <w:rPr>
          <w:rFonts w:cs="Times New Roman"/>
        </w:rPr>
      </w:pPr>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tbl>
      <w:tblPr>
        <w:tblStyle w:val="35"/>
        <w:tblW w:w="15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559"/>
        <w:gridCol w:w="709"/>
        <w:gridCol w:w="9151"/>
        <w:gridCol w:w="115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86" w:type="dxa"/>
            <w:shd w:val="clear" w:color="auto" w:fill="D9D9D9"/>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59" w:type="dxa"/>
            <w:shd w:val="clear" w:color="auto" w:fill="D9D9D9"/>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评审项目</w:t>
            </w:r>
          </w:p>
        </w:tc>
        <w:tc>
          <w:tcPr>
            <w:tcW w:w="709" w:type="dxa"/>
            <w:shd w:val="clear" w:color="auto" w:fill="D9D9D9"/>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分配分数</w:t>
            </w:r>
          </w:p>
        </w:tc>
        <w:tc>
          <w:tcPr>
            <w:tcW w:w="9151" w:type="dxa"/>
            <w:shd w:val="clear" w:color="auto" w:fill="D9D9D9"/>
            <w:vAlign w:val="center"/>
          </w:tcPr>
          <w:p>
            <w:pPr>
              <w:ind w:firstLine="1260" w:firstLineChars="600"/>
              <w:rPr>
                <w:rFonts w:asciiTheme="minorEastAsia" w:hAnsiTheme="minorEastAsia" w:eastAsiaTheme="minorEastAsia"/>
                <w:color w:val="auto"/>
              </w:rPr>
            </w:pPr>
            <w:r>
              <w:rPr>
                <w:rFonts w:hint="eastAsia" w:asciiTheme="minorEastAsia" w:hAnsiTheme="minorEastAsia" w:eastAsiaTheme="minorEastAsia"/>
                <w:color w:val="auto"/>
              </w:rPr>
              <w:t>评议内容</w:t>
            </w:r>
          </w:p>
        </w:tc>
        <w:tc>
          <w:tcPr>
            <w:tcW w:w="1155" w:type="dxa"/>
            <w:shd w:val="clear" w:color="auto" w:fill="D9D9D9"/>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 xml:space="preserve">  投标人</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（一）</w:t>
            </w:r>
          </w:p>
        </w:tc>
        <w:tc>
          <w:tcPr>
            <w:tcW w:w="1155" w:type="dxa"/>
            <w:shd w:val="clear" w:color="auto" w:fill="D9D9D9"/>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投标人</w:t>
            </w:r>
          </w:p>
          <w:p>
            <w:pPr>
              <w:jc w:val="center"/>
              <w:rPr>
                <w:rFonts w:asciiTheme="minorEastAsia" w:hAnsiTheme="minorEastAsia" w:eastAsiaTheme="minorEastAsia"/>
                <w:color w:val="auto"/>
              </w:rPr>
            </w:pPr>
            <w:r>
              <w:rPr>
                <w:rFonts w:hint="eastAsia" w:asciiTheme="minorEastAsia" w:hAnsiTheme="minorEastAsia" w:eastAsiaTheme="minorEastAsia"/>
                <w:color w:val="auto"/>
              </w:rPr>
              <w:t>（二）</w:t>
            </w:r>
          </w:p>
        </w:tc>
        <w:tc>
          <w:tcPr>
            <w:tcW w:w="1155" w:type="dxa"/>
            <w:shd w:val="clear" w:color="auto" w:fill="D9D9D9"/>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投标人（三）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86" w:type="dxa"/>
            <w:vAlign w:val="center"/>
          </w:tcPr>
          <w:p>
            <w:pPr>
              <w:jc w:val="center"/>
              <w:rPr>
                <w:rFonts w:asciiTheme="minorEastAsia" w:hAnsiTheme="minorEastAsia" w:eastAsiaTheme="minorEastAsia"/>
                <w:color w:val="auto"/>
              </w:rPr>
            </w:pPr>
            <w:r>
              <w:rPr>
                <w:rFonts w:hint="eastAsia"/>
                <w:color w:val="auto"/>
              </w:rPr>
              <w:t>1</w:t>
            </w:r>
          </w:p>
        </w:tc>
        <w:tc>
          <w:tcPr>
            <w:tcW w:w="1559" w:type="dxa"/>
            <w:vAlign w:val="center"/>
          </w:tcPr>
          <w:p>
            <w:pPr>
              <w:jc w:val="left"/>
              <w:rPr>
                <w:rFonts w:asciiTheme="minorEastAsia" w:hAnsiTheme="minorEastAsia" w:eastAsiaTheme="minorEastAsia"/>
                <w:color w:val="auto"/>
              </w:rPr>
            </w:pPr>
            <w:r>
              <w:rPr>
                <w:rFonts w:hint="eastAsia" w:ascii="宋体" w:hAnsi="宋体" w:cs="宋体"/>
                <w:color w:val="auto"/>
              </w:rPr>
              <w:t>项目实施方案</w:t>
            </w:r>
          </w:p>
        </w:tc>
        <w:tc>
          <w:tcPr>
            <w:tcW w:w="709" w:type="dxa"/>
            <w:vAlign w:val="center"/>
          </w:tcPr>
          <w:p>
            <w:pPr>
              <w:jc w:val="center"/>
              <w:rPr>
                <w:rFonts w:hint="default" w:asciiTheme="minorEastAsia" w:hAnsiTheme="minorEastAsia" w:eastAsiaTheme="minorEastAsia"/>
                <w:color w:val="auto"/>
                <w:lang w:val="en-US" w:eastAsia="zh-CN"/>
              </w:rPr>
            </w:pPr>
            <w:r>
              <w:rPr>
                <w:rFonts w:hint="eastAsia" w:ascii="宋体" w:hAnsi="宋体" w:cs="宋体"/>
                <w:color w:val="auto"/>
                <w:lang w:val="en-US" w:eastAsia="zh-CN"/>
              </w:rPr>
              <w:t>10</w:t>
            </w:r>
          </w:p>
        </w:tc>
        <w:tc>
          <w:tcPr>
            <w:tcW w:w="9151" w:type="dxa"/>
            <w:vAlign w:val="center"/>
          </w:tcPr>
          <w:p>
            <w:pPr>
              <w:ind w:right="-73" w:rightChars="-35"/>
              <w:jc w:val="left"/>
              <w:rPr>
                <w:rFonts w:ascii="宋体" w:hAnsi="宋体" w:cs="宋体"/>
                <w:color w:val="auto"/>
              </w:rPr>
            </w:pPr>
            <w:r>
              <w:rPr>
                <w:rFonts w:hint="eastAsia" w:ascii="宋体" w:hAnsi="宋体" w:cs="宋体"/>
                <w:color w:val="auto"/>
              </w:rPr>
              <w:t>优：</w:t>
            </w:r>
            <w:r>
              <w:rPr>
                <w:rFonts w:hint="eastAsia" w:ascii="宋体" w:hAnsi="宋体" w:cs="宋体"/>
                <w:color w:val="auto"/>
                <w:kern w:val="0"/>
                <w:lang w:val="zh-CN"/>
              </w:rPr>
              <w:t>项目实施方案制定全面、可行、合理、具体得</w:t>
            </w:r>
            <w:r>
              <w:rPr>
                <w:rFonts w:hint="eastAsia" w:ascii="宋体" w:hAnsi="宋体" w:cs="宋体"/>
                <w:color w:val="auto"/>
                <w:kern w:val="0"/>
                <w:lang w:val="en-US" w:eastAsia="zh-CN"/>
              </w:rPr>
              <w:t>10</w:t>
            </w:r>
            <w:r>
              <w:rPr>
                <w:rFonts w:hint="eastAsia" w:ascii="宋体" w:hAnsi="宋体" w:cs="宋体"/>
                <w:color w:val="auto"/>
                <w:kern w:val="0"/>
                <w:lang w:val="zh-CN"/>
              </w:rPr>
              <w:t>分；</w:t>
            </w:r>
          </w:p>
          <w:p>
            <w:pPr>
              <w:ind w:right="-73" w:rightChars="-35"/>
              <w:jc w:val="left"/>
              <w:rPr>
                <w:rFonts w:ascii="宋体" w:hAnsi="宋体" w:cs="宋体"/>
                <w:color w:val="auto"/>
              </w:rPr>
            </w:pPr>
            <w:r>
              <w:rPr>
                <w:rFonts w:hint="eastAsia" w:ascii="宋体" w:hAnsi="宋体" w:cs="宋体"/>
                <w:color w:val="auto"/>
              </w:rPr>
              <w:t>良：项目实施方案制定较全面、可行、合理、具体得</w:t>
            </w:r>
            <w:r>
              <w:rPr>
                <w:rFonts w:hint="eastAsia" w:ascii="宋体" w:hAnsi="宋体" w:cs="宋体"/>
                <w:color w:val="auto"/>
                <w:lang w:val="en-US" w:eastAsia="zh-CN"/>
              </w:rPr>
              <w:t>5</w:t>
            </w:r>
            <w:r>
              <w:rPr>
                <w:rFonts w:hint="eastAsia" w:ascii="宋体" w:hAnsi="宋体" w:cs="宋体"/>
                <w:color w:val="auto"/>
              </w:rPr>
              <w:t>分；</w:t>
            </w:r>
          </w:p>
          <w:p>
            <w:pPr>
              <w:ind w:right="-73" w:rightChars="-35"/>
              <w:jc w:val="left"/>
              <w:rPr>
                <w:rFonts w:asciiTheme="minorEastAsia" w:hAnsiTheme="minorEastAsia" w:eastAsiaTheme="minorEastAsia"/>
                <w:color w:val="auto"/>
              </w:rPr>
            </w:pPr>
            <w:r>
              <w:rPr>
                <w:rFonts w:hint="eastAsia" w:ascii="宋体" w:hAnsi="宋体" w:cs="宋体"/>
                <w:color w:val="auto"/>
              </w:rPr>
              <w:t>差：项目实施方案较差、缺乏可行性、合理性不足、不够具体得</w:t>
            </w:r>
            <w:r>
              <w:rPr>
                <w:rFonts w:hint="eastAsia" w:ascii="宋体" w:hAnsi="宋体" w:cs="宋体"/>
                <w:color w:val="auto"/>
                <w:lang w:val="en-US" w:eastAsia="zh-CN"/>
              </w:rPr>
              <w:t>3</w:t>
            </w:r>
            <w:r>
              <w:rPr>
                <w:rFonts w:hint="eastAsia" w:ascii="宋体" w:hAnsi="宋体" w:cs="宋体"/>
                <w:color w:val="auto"/>
              </w:rPr>
              <w:t>分。</w:t>
            </w:r>
          </w:p>
        </w:tc>
        <w:tc>
          <w:tcPr>
            <w:tcW w:w="1155" w:type="dxa"/>
            <w:vAlign w:val="center"/>
          </w:tcPr>
          <w:p>
            <w:pPr>
              <w:rPr>
                <w:rFonts w:cs="宋体" w:asciiTheme="minorEastAsia" w:hAnsiTheme="minorEastAsia" w:eastAsiaTheme="minorEastAsia"/>
                <w:color w:val="auto"/>
              </w:rPr>
            </w:pPr>
          </w:p>
        </w:tc>
        <w:tc>
          <w:tcPr>
            <w:tcW w:w="1155" w:type="dxa"/>
            <w:vAlign w:val="center"/>
          </w:tcPr>
          <w:p>
            <w:pPr>
              <w:rPr>
                <w:rFonts w:cs="宋体" w:asciiTheme="minorEastAsia" w:hAnsiTheme="minorEastAsia" w:eastAsiaTheme="minorEastAsia"/>
                <w:color w:val="auto"/>
              </w:rPr>
            </w:pPr>
          </w:p>
        </w:tc>
        <w:tc>
          <w:tcPr>
            <w:tcW w:w="1155" w:type="dxa"/>
            <w:vAlign w:val="center"/>
          </w:tcPr>
          <w:p>
            <w:pP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6" w:type="dxa"/>
            <w:vAlign w:val="center"/>
          </w:tcPr>
          <w:p>
            <w:pPr>
              <w:jc w:val="center"/>
              <w:rPr>
                <w:rFonts w:asciiTheme="minorEastAsia" w:hAnsiTheme="minorEastAsia" w:eastAsiaTheme="minorEastAsia"/>
                <w:color w:val="auto"/>
              </w:rPr>
            </w:pPr>
            <w:r>
              <w:rPr>
                <w:rFonts w:hint="eastAsia"/>
                <w:color w:val="auto"/>
              </w:rPr>
              <w:t>2</w:t>
            </w:r>
          </w:p>
        </w:tc>
        <w:tc>
          <w:tcPr>
            <w:tcW w:w="1559" w:type="dxa"/>
            <w:vAlign w:val="center"/>
          </w:tcPr>
          <w:p>
            <w:pPr>
              <w:jc w:val="left"/>
              <w:rPr>
                <w:rFonts w:asciiTheme="minorEastAsia" w:hAnsiTheme="minorEastAsia" w:eastAsiaTheme="minorEastAsia"/>
                <w:color w:val="auto"/>
              </w:rPr>
            </w:pPr>
            <w:r>
              <w:rPr>
                <w:rFonts w:hint="eastAsia" w:ascii="宋体" w:hAnsi="宋体" w:cs="宋体"/>
                <w:color w:val="auto"/>
              </w:rPr>
              <w:t>质量保证措施、验收标准</w:t>
            </w:r>
          </w:p>
        </w:tc>
        <w:tc>
          <w:tcPr>
            <w:tcW w:w="709" w:type="dxa"/>
            <w:vAlign w:val="center"/>
          </w:tcPr>
          <w:p>
            <w:pPr>
              <w:jc w:val="center"/>
              <w:rPr>
                <w:rFonts w:hint="default" w:asciiTheme="minorEastAsia" w:hAnsiTheme="minorEastAsia" w:eastAsiaTheme="minorEastAsia"/>
                <w:color w:val="auto"/>
                <w:lang w:val="en-US" w:eastAsia="zh-CN"/>
              </w:rPr>
            </w:pPr>
            <w:r>
              <w:rPr>
                <w:rFonts w:hint="eastAsia" w:ascii="宋体" w:hAnsi="宋体" w:cs="宋体"/>
                <w:color w:val="auto"/>
                <w:lang w:val="en-US" w:eastAsia="zh-CN"/>
              </w:rPr>
              <w:t>10</w:t>
            </w:r>
          </w:p>
        </w:tc>
        <w:tc>
          <w:tcPr>
            <w:tcW w:w="9151" w:type="dxa"/>
            <w:vAlign w:val="center"/>
          </w:tcPr>
          <w:p>
            <w:pPr>
              <w:widowControl/>
              <w:spacing w:line="240" w:lineRule="exact"/>
              <w:jc w:val="left"/>
              <w:rPr>
                <w:rFonts w:ascii="宋体" w:hAnsi="宋体" w:cs="宋体"/>
                <w:color w:val="auto"/>
                <w:kern w:val="0"/>
                <w:lang w:val="zh-CN"/>
              </w:rPr>
            </w:pPr>
            <w:r>
              <w:rPr>
                <w:rFonts w:hint="eastAsia" w:ascii="宋体" w:hAnsi="宋体" w:cs="宋体"/>
                <w:color w:val="auto"/>
                <w:kern w:val="0"/>
              </w:rPr>
              <w:t>优：</w:t>
            </w:r>
            <w:r>
              <w:rPr>
                <w:rFonts w:hint="eastAsia" w:ascii="宋体" w:hAnsi="宋体" w:cs="宋体"/>
                <w:color w:val="auto"/>
                <w:kern w:val="0"/>
                <w:lang w:val="zh-CN"/>
              </w:rPr>
              <w:t>质量保证措施可行、验收标准有效得</w:t>
            </w:r>
            <w:r>
              <w:rPr>
                <w:rFonts w:hint="eastAsia" w:ascii="宋体" w:hAnsi="宋体" w:cs="宋体"/>
                <w:color w:val="auto"/>
                <w:kern w:val="0"/>
                <w:lang w:val="en-US" w:eastAsia="zh-CN"/>
              </w:rPr>
              <w:t>10</w:t>
            </w:r>
            <w:r>
              <w:rPr>
                <w:rFonts w:hint="eastAsia" w:ascii="宋体" w:hAnsi="宋体" w:cs="宋体"/>
                <w:color w:val="auto"/>
                <w:kern w:val="0"/>
                <w:lang w:val="zh-CN"/>
              </w:rPr>
              <w:t>分；</w:t>
            </w:r>
          </w:p>
          <w:p>
            <w:pPr>
              <w:widowControl/>
              <w:spacing w:line="240" w:lineRule="exact"/>
              <w:jc w:val="left"/>
              <w:rPr>
                <w:rFonts w:ascii="宋体" w:hAnsi="宋体" w:cs="宋体"/>
                <w:color w:val="auto"/>
                <w:kern w:val="0"/>
                <w:lang w:val="zh-CN"/>
              </w:rPr>
            </w:pPr>
            <w:r>
              <w:rPr>
                <w:rFonts w:hint="eastAsia" w:ascii="宋体" w:hAnsi="宋体" w:cs="宋体"/>
                <w:color w:val="auto"/>
                <w:kern w:val="0"/>
              </w:rPr>
              <w:t>良：</w:t>
            </w:r>
            <w:r>
              <w:rPr>
                <w:rFonts w:hint="eastAsia" w:ascii="宋体" w:hAnsi="宋体" w:cs="宋体"/>
                <w:color w:val="auto"/>
                <w:kern w:val="0"/>
                <w:lang w:val="zh-CN"/>
              </w:rPr>
              <w:t>质量保证措施一般、验收标准一般有效得</w:t>
            </w:r>
            <w:r>
              <w:rPr>
                <w:rFonts w:hint="eastAsia" w:ascii="宋体" w:hAnsi="宋体" w:cs="宋体"/>
                <w:color w:val="auto"/>
                <w:kern w:val="0"/>
                <w:lang w:val="en-US" w:eastAsia="zh-CN"/>
              </w:rPr>
              <w:t>5</w:t>
            </w:r>
            <w:r>
              <w:rPr>
                <w:rFonts w:hint="eastAsia" w:ascii="宋体" w:hAnsi="宋体" w:cs="宋体"/>
                <w:color w:val="auto"/>
                <w:kern w:val="0"/>
                <w:lang w:val="zh-CN"/>
              </w:rPr>
              <w:t>分；</w:t>
            </w:r>
          </w:p>
          <w:p>
            <w:pPr>
              <w:jc w:val="left"/>
              <w:rPr>
                <w:rFonts w:cs="宋体" w:asciiTheme="minorEastAsia" w:hAnsiTheme="minorEastAsia" w:eastAsiaTheme="minorEastAsia"/>
                <w:color w:val="auto"/>
              </w:rPr>
            </w:pPr>
            <w:r>
              <w:rPr>
                <w:rFonts w:hint="eastAsia" w:ascii="宋体" w:hAnsi="宋体" w:cs="宋体"/>
                <w:color w:val="auto"/>
                <w:kern w:val="0"/>
              </w:rPr>
              <w:t>差：</w:t>
            </w:r>
            <w:r>
              <w:rPr>
                <w:rFonts w:hint="eastAsia" w:ascii="宋体" w:hAnsi="宋体" w:cs="宋体"/>
                <w:color w:val="auto"/>
                <w:kern w:val="0"/>
                <w:lang w:val="zh-CN"/>
              </w:rPr>
              <w:t>质量保证措施较差、验收标准存在不合理得</w:t>
            </w:r>
            <w:r>
              <w:rPr>
                <w:rFonts w:hint="eastAsia" w:ascii="宋体" w:hAnsi="宋体" w:cs="宋体"/>
                <w:color w:val="auto"/>
                <w:kern w:val="0"/>
                <w:lang w:val="en-US" w:eastAsia="zh-CN"/>
              </w:rPr>
              <w:t>3</w:t>
            </w:r>
            <w:r>
              <w:rPr>
                <w:rFonts w:hint="eastAsia" w:ascii="宋体" w:hAnsi="宋体" w:cs="宋体"/>
                <w:color w:val="auto"/>
                <w:kern w:val="0"/>
                <w:lang w:val="zh-CN"/>
              </w:rPr>
              <w:t>分。</w:t>
            </w:r>
          </w:p>
        </w:tc>
        <w:tc>
          <w:tcPr>
            <w:tcW w:w="1155" w:type="dxa"/>
            <w:vAlign w:val="center"/>
          </w:tcPr>
          <w:p>
            <w:pPr>
              <w:rPr>
                <w:rFonts w:cs="宋体" w:asciiTheme="minorEastAsia" w:hAnsiTheme="minorEastAsia" w:eastAsiaTheme="minorEastAsia"/>
                <w:color w:val="auto"/>
              </w:rPr>
            </w:pPr>
          </w:p>
        </w:tc>
        <w:tc>
          <w:tcPr>
            <w:tcW w:w="1155" w:type="dxa"/>
            <w:vAlign w:val="center"/>
          </w:tcPr>
          <w:p>
            <w:pPr>
              <w:rPr>
                <w:rFonts w:cs="宋体" w:asciiTheme="minorEastAsia" w:hAnsiTheme="minorEastAsia" w:eastAsiaTheme="minorEastAsia"/>
                <w:color w:val="auto"/>
              </w:rPr>
            </w:pPr>
          </w:p>
        </w:tc>
        <w:tc>
          <w:tcPr>
            <w:tcW w:w="1155" w:type="dxa"/>
            <w:vAlign w:val="center"/>
          </w:tcPr>
          <w:p>
            <w:pP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86" w:type="dxa"/>
            <w:vAlign w:val="center"/>
          </w:tcPr>
          <w:p>
            <w:pPr>
              <w:jc w:val="center"/>
              <w:rPr>
                <w:rFonts w:asciiTheme="minorEastAsia" w:hAnsiTheme="minorEastAsia" w:eastAsiaTheme="minorEastAsia"/>
                <w:color w:val="auto"/>
              </w:rPr>
            </w:pPr>
            <w:r>
              <w:rPr>
                <w:color w:val="auto"/>
              </w:rPr>
              <w:t>3</w:t>
            </w:r>
          </w:p>
        </w:tc>
        <w:tc>
          <w:tcPr>
            <w:tcW w:w="1559" w:type="dxa"/>
            <w:vAlign w:val="center"/>
          </w:tcPr>
          <w:p>
            <w:pPr>
              <w:jc w:val="left"/>
              <w:rPr>
                <w:rFonts w:asciiTheme="minorEastAsia" w:hAnsiTheme="minorEastAsia" w:eastAsiaTheme="minorEastAsia"/>
                <w:color w:val="auto"/>
              </w:rPr>
            </w:pPr>
            <w:r>
              <w:rPr>
                <w:rFonts w:hint="eastAsia" w:ascii="宋体" w:hAnsi="宋体" w:cs="宋体"/>
                <w:color w:val="auto"/>
              </w:rPr>
              <w:t>技术响应</w:t>
            </w:r>
          </w:p>
        </w:tc>
        <w:tc>
          <w:tcPr>
            <w:tcW w:w="709" w:type="dxa"/>
            <w:vAlign w:val="center"/>
          </w:tcPr>
          <w:p>
            <w:pPr>
              <w:jc w:val="center"/>
              <w:rPr>
                <w:rFonts w:hint="default" w:asciiTheme="minorEastAsia" w:hAnsiTheme="minorEastAsia" w:eastAsiaTheme="minorEastAsia"/>
                <w:color w:val="auto"/>
                <w:lang w:val="en-US" w:eastAsia="zh-CN"/>
              </w:rPr>
            </w:pPr>
            <w:r>
              <w:rPr>
                <w:rFonts w:hint="eastAsia" w:ascii="宋体" w:hAnsi="宋体" w:cs="宋体"/>
                <w:color w:val="auto"/>
                <w:lang w:val="en-US" w:eastAsia="zh-CN"/>
              </w:rPr>
              <w:t>10</w:t>
            </w:r>
          </w:p>
        </w:tc>
        <w:tc>
          <w:tcPr>
            <w:tcW w:w="9151" w:type="dxa"/>
            <w:vAlign w:val="center"/>
          </w:tcPr>
          <w:p>
            <w:pPr>
              <w:jc w:val="left"/>
              <w:rPr>
                <w:rFonts w:asciiTheme="minorEastAsia" w:hAnsiTheme="minorEastAsia" w:eastAsiaTheme="minorEastAsia"/>
                <w:color w:val="auto"/>
                <w:lang w:val="zh-CN"/>
              </w:rPr>
            </w:pPr>
            <w:r>
              <w:rPr>
                <w:rFonts w:hint="eastAsia" w:ascii="宋体" w:hAnsi="宋体" w:cs="宋体"/>
                <w:color w:val="auto"/>
              </w:rPr>
              <w:t>不满足招标文件技术要求的为负偏离，带“</w:t>
            </w:r>
            <w:r>
              <w:rPr>
                <w:rFonts w:hint="eastAsia" w:ascii="宋体" w:hAnsi="宋体" w:cs="宋体"/>
                <w:color w:val="auto"/>
                <w:shd w:val="clear" w:color="auto" w:fill="FFFFFF"/>
              </w:rPr>
              <w:t>▲</w:t>
            </w:r>
            <w:r>
              <w:rPr>
                <w:rFonts w:hint="eastAsia" w:ascii="宋体" w:hAnsi="宋体" w:cs="宋体"/>
                <w:color w:val="auto"/>
              </w:rPr>
              <w:t>”负偏离有1项扣</w:t>
            </w:r>
            <w:r>
              <w:rPr>
                <w:rFonts w:hint="eastAsia" w:ascii="宋体" w:hAnsi="宋体" w:cs="宋体"/>
                <w:color w:val="auto"/>
                <w:lang w:val="en-US" w:eastAsia="zh-CN"/>
              </w:rPr>
              <w:t>5</w:t>
            </w:r>
            <w:r>
              <w:rPr>
                <w:rFonts w:hint="eastAsia" w:ascii="宋体" w:hAnsi="宋体" w:cs="宋体"/>
                <w:color w:val="auto"/>
              </w:rPr>
              <w:t>分，非“</w:t>
            </w:r>
            <w:r>
              <w:rPr>
                <w:rFonts w:hint="eastAsia" w:ascii="宋体" w:hAnsi="宋体" w:cs="宋体"/>
                <w:color w:val="auto"/>
                <w:shd w:val="clear" w:color="auto" w:fill="FFFFFF"/>
              </w:rPr>
              <w:t>▲</w:t>
            </w:r>
            <w:r>
              <w:rPr>
                <w:rFonts w:hint="eastAsia" w:ascii="宋体" w:hAnsi="宋体" w:cs="宋体"/>
                <w:color w:val="auto"/>
              </w:rPr>
              <w:t>”负偏离有1项扣</w:t>
            </w:r>
            <w:r>
              <w:rPr>
                <w:rFonts w:hint="eastAsia" w:ascii="宋体" w:hAnsi="宋体" w:cs="宋体"/>
                <w:color w:val="auto"/>
                <w:lang w:val="en-US" w:eastAsia="zh-CN"/>
              </w:rPr>
              <w:t>2</w:t>
            </w:r>
            <w:r>
              <w:rPr>
                <w:rFonts w:hint="eastAsia" w:ascii="宋体" w:hAnsi="宋体" w:cs="宋体"/>
                <w:color w:val="auto"/>
              </w:rPr>
              <w:t>分，扣完为止。</w:t>
            </w:r>
          </w:p>
        </w:tc>
        <w:tc>
          <w:tcPr>
            <w:tcW w:w="1155" w:type="dxa"/>
            <w:vAlign w:val="center"/>
          </w:tcPr>
          <w:p>
            <w:pPr>
              <w:rPr>
                <w:rFonts w:cs="宋体" w:asciiTheme="minorEastAsia" w:hAnsiTheme="minorEastAsia" w:eastAsiaTheme="minorEastAsia"/>
                <w:color w:val="auto"/>
              </w:rPr>
            </w:pPr>
          </w:p>
        </w:tc>
        <w:tc>
          <w:tcPr>
            <w:tcW w:w="1155" w:type="dxa"/>
            <w:vAlign w:val="center"/>
          </w:tcPr>
          <w:p>
            <w:pPr>
              <w:rPr>
                <w:rFonts w:cs="宋体" w:asciiTheme="minorEastAsia" w:hAnsiTheme="minorEastAsia" w:eastAsiaTheme="minorEastAsia"/>
                <w:color w:val="auto"/>
              </w:rPr>
            </w:pPr>
          </w:p>
        </w:tc>
        <w:tc>
          <w:tcPr>
            <w:tcW w:w="1155" w:type="dxa"/>
            <w:vAlign w:val="center"/>
          </w:tcPr>
          <w:p>
            <w:pP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86" w:type="dxa"/>
            <w:vAlign w:val="center"/>
          </w:tcPr>
          <w:p>
            <w:pPr>
              <w:jc w:val="center"/>
              <w:rPr>
                <w:rFonts w:hint="eastAsia" w:eastAsiaTheme="minorEastAsia"/>
                <w:color w:val="auto"/>
                <w:lang w:val="en-US" w:eastAsia="zh-CN"/>
              </w:rPr>
            </w:pPr>
            <w:r>
              <w:rPr>
                <w:rFonts w:hint="eastAsia"/>
                <w:color w:val="auto"/>
                <w:lang w:val="en-US" w:eastAsia="zh-CN"/>
              </w:rPr>
              <w:t>4</w:t>
            </w:r>
          </w:p>
        </w:tc>
        <w:tc>
          <w:tcPr>
            <w:tcW w:w="1559" w:type="dxa"/>
            <w:vAlign w:val="center"/>
          </w:tcPr>
          <w:p>
            <w:pPr>
              <w:jc w:val="left"/>
              <w:rPr>
                <w:rFonts w:hint="eastAsia" w:ascii="宋体" w:hAnsi="宋体" w:cs="宋体"/>
                <w:color w:val="auto"/>
              </w:rPr>
            </w:pPr>
            <w:r>
              <w:rPr>
                <w:rFonts w:hint="eastAsia"/>
                <w:color w:val="auto"/>
              </w:rPr>
              <w:t>综合实力与信誉</w:t>
            </w:r>
          </w:p>
        </w:tc>
        <w:tc>
          <w:tcPr>
            <w:tcW w:w="709" w:type="dxa"/>
            <w:vAlign w:val="center"/>
          </w:tcPr>
          <w:p>
            <w:pPr>
              <w:jc w:val="center"/>
              <w:rPr>
                <w:rFonts w:hint="default" w:ascii="宋体" w:hAnsi="宋体" w:cs="宋体" w:eastAsiaTheme="minorEastAsia"/>
                <w:color w:val="auto"/>
                <w:lang w:val="en-US" w:eastAsia="zh-CN"/>
              </w:rPr>
            </w:pPr>
            <w:r>
              <w:rPr>
                <w:rFonts w:hint="eastAsia" w:ascii="宋体" w:hAnsi="宋体" w:cs="宋体" w:eastAsiaTheme="minorEastAsia"/>
                <w:color w:val="auto"/>
                <w:lang w:val="en-US" w:eastAsia="zh-CN"/>
              </w:rPr>
              <w:t>10</w:t>
            </w:r>
          </w:p>
        </w:tc>
        <w:tc>
          <w:tcPr>
            <w:tcW w:w="9151" w:type="dxa"/>
            <w:vAlign w:val="center"/>
          </w:tcPr>
          <w:p>
            <w:pPr>
              <w:jc w:val="left"/>
              <w:rPr>
                <w:rFonts w:hint="eastAsia" w:ascii="宋体" w:hAnsi="宋体" w:cs="宋体"/>
                <w:color w:val="auto"/>
              </w:rPr>
            </w:pPr>
            <w:r>
              <w:rPr>
                <w:rFonts w:hint="eastAsia" w:ascii="宋体" w:hAnsi="宋体" w:cs="宋体"/>
                <w:color w:val="auto"/>
              </w:rPr>
              <w:t>投标人具有“ISO9001质量管理体系认证证书、ISO14001环境管理体系认证证书、OHSAS18001职业健康安全管理体系认证证书”得</w:t>
            </w:r>
            <w:r>
              <w:rPr>
                <w:rFonts w:hint="eastAsia" w:ascii="宋体" w:hAnsi="宋体" w:cs="宋体"/>
                <w:color w:val="auto"/>
                <w:lang w:val="en-US" w:eastAsia="zh-CN"/>
              </w:rPr>
              <w:t>5</w:t>
            </w:r>
            <w:r>
              <w:rPr>
                <w:rFonts w:hint="eastAsia" w:ascii="宋体" w:hAnsi="宋体" w:cs="宋体"/>
                <w:color w:val="auto"/>
              </w:rPr>
              <w:t>分。（ 提供证明材料复印件加盖公章）。</w:t>
            </w:r>
          </w:p>
        </w:tc>
        <w:tc>
          <w:tcPr>
            <w:tcW w:w="1155" w:type="dxa"/>
            <w:vAlign w:val="center"/>
          </w:tcPr>
          <w:p>
            <w:pPr>
              <w:jc w:val="center"/>
              <w:rPr>
                <w:rFonts w:cs="宋体" w:asciiTheme="minorEastAsia" w:hAnsiTheme="minorEastAsia" w:eastAsiaTheme="minorEastAsia"/>
                <w:color w:val="auto"/>
              </w:rPr>
            </w:pPr>
          </w:p>
        </w:tc>
        <w:tc>
          <w:tcPr>
            <w:tcW w:w="1155" w:type="dxa"/>
            <w:vAlign w:val="center"/>
          </w:tcPr>
          <w:p>
            <w:pPr>
              <w:jc w:val="center"/>
              <w:rPr>
                <w:rFonts w:cs="宋体" w:asciiTheme="minorEastAsia" w:hAnsiTheme="minorEastAsia" w:eastAsiaTheme="minorEastAsia"/>
                <w:color w:val="auto"/>
              </w:rPr>
            </w:pPr>
          </w:p>
        </w:tc>
        <w:tc>
          <w:tcPr>
            <w:tcW w:w="1155" w:type="dxa"/>
            <w:vAlign w:val="center"/>
          </w:tcPr>
          <w:p>
            <w:pPr>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86" w:type="dxa"/>
            <w:vAlign w:val="center"/>
          </w:tcPr>
          <w:p>
            <w:pPr>
              <w:jc w:val="center"/>
              <w:rPr>
                <w:rFonts w:hint="eastAsia" w:asciiTheme="minorEastAsia" w:hAnsiTheme="minorEastAsia" w:eastAsiaTheme="minorEastAsia"/>
                <w:color w:val="auto"/>
                <w:lang w:eastAsia="zh-CN"/>
              </w:rPr>
            </w:pPr>
            <w:r>
              <w:rPr>
                <w:rFonts w:hint="eastAsia"/>
                <w:color w:val="auto"/>
                <w:lang w:val="en-US" w:eastAsia="zh-CN"/>
              </w:rPr>
              <w:t>5</w:t>
            </w:r>
          </w:p>
        </w:tc>
        <w:tc>
          <w:tcPr>
            <w:tcW w:w="1559" w:type="dxa"/>
            <w:vAlign w:val="center"/>
          </w:tcPr>
          <w:p>
            <w:pPr>
              <w:jc w:val="left"/>
              <w:rPr>
                <w:rFonts w:asciiTheme="minorEastAsia" w:hAnsiTheme="minorEastAsia" w:eastAsiaTheme="minorEastAsia"/>
                <w:color w:val="auto"/>
              </w:rPr>
            </w:pPr>
            <w:r>
              <w:rPr>
                <w:rFonts w:hint="eastAsia" w:ascii="宋体" w:hAnsi="宋体" w:cs="宋体"/>
                <w:color w:val="auto"/>
              </w:rPr>
              <w:t>同类业绩</w:t>
            </w:r>
          </w:p>
        </w:tc>
        <w:tc>
          <w:tcPr>
            <w:tcW w:w="709" w:type="dxa"/>
            <w:vAlign w:val="center"/>
          </w:tcPr>
          <w:p>
            <w:pPr>
              <w:jc w:val="center"/>
              <w:rPr>
                <w:rFonts w:asciiTheme="minorEastAsia" w:hAnsiTheme="minorEastAsia" w:eastAsiaTheme="minorEastAsia"/>
                <w:color w:val="auto"/>
              </w:rPr>
            </w:pPr>
            <w:r>
              <w:rPr>
                <w:rFonts w:hint="eastAsia" w:ascii="宋体" w:hAnsi="宋体" w:cs="宋体"/>
                <w:color w:val="auto"/>
              </w:rPr>
              <w:t>10</w:t>
            </w:r>
          </w:p>
        </w:tc>
        <w:tc>
          <w:tcPr>
            <w:tcW w:w="9151" w:type="dxa"/>
            <w:vAlign w:val="center"/>
          </w:tcPr>
          <w:p>
            <w:pPr>
              <w:jc w:val="left"/>
              <w:rPr>
                <w:rFonts w:ascii="宋体" w:hAnsi="宋体" w:cs="宋体"/>
                <w:color w:val="auto"/>
              </w:rPr>
            </w:pPr>
            <w:r>
              <w:rPr>
                <w:rFonts w:hint="eastAsia" w:ascii="宋体" w:hAnsi="宋体" w:cs="宋体"/>
                <w:color w:val="auto"/>
              </w:rPr>
              <w:t>2020年以来，投标人具有</w:t>
            </w:r>
            <w:r>
              <w:rPr>
                <w:rFonts w:hint="eastAsia" w:ascii="宋体" w:hAnsi="宋体" w:cs="宋体"/>
                <w:color w:val="auto"/>
                <w:lang w:eastAsia="zh-CN"/>
              </w:rPr>
              <w:t>同</w:t>
            </w:r>
            <w:r>
              <w:rPr>
                <w:rFonts w:hint="eastAsia" w:ascii="宋体" w:hAnsi="宋体" w:cs="宋体"/>
                <w:color w:val="auto"/>
              </w:rPr>
              <w:t>类项目的业绩，每提供一份业绩得2分，最高得10分。</w:t>
            </w:r>
          </w:p>
          <w:p>
            <w:pPr>
              <w:jc w:val="left"/>
              <w:rPr>
                <w:rFonts w:asciiTheme="minorEastAsia" w:hAnsiTheme="minorEastAsia" w:eastAsiaTheme="minorEastAsia"/>
                <w:color w:val="auto"/>
              </w:rPr>
            </w:pPr>
            <w:r>
              <w:rPr>
                <w:rFonts w:hint="eastAsia" w:ascii="宋体" w:hAnsi="宋体" w:cs="宋体"/>
                <w:color w:val="auto"/>
              </w:rPr>
              <w:t>注：以合同签订时间为准，须同时提供业绩合同复印件加盖公章及中标通知书复印件加盖公章作为证明材料，缺一不可，不提供不得分。用户为同一个采购人的只能算一个业绩。</w:t>
            </w:r>
          </w:p>
        </w:tc>
        <w:tc>
          <w:tcPr>
            <w:tcW w:w="1155" w:type="dxa"/>
            <w:vAlign w:val="center"/>
          </w:tcPr>
          <w:p>
            <w:pPr>
              <w:jc w:val="center"/>
              <w:rPr>
                <w:rFonts w:cs="宋体" w:asciiTheme="minorEastAsia" w:hAnsiTheme="minorEastAsia" w:eastAsiaTheme="minorEastAsia"/>
                <w:color w:val="auto"/>
              </w:rPr>
            </w:pPr>
          </w:p>
        </w:tc>
        <w:tc>
          <w:tcPr>
            <w:tcW w:w="1155" w:type="dxa"/>
            <w:vAlign w:val="center"/>
          </w:tcPr>
          <w:p>
            <w:pPr>
              <w:jc w:val="center"/>
              <w:rPr>
                <w:rFonts w:cs="宋体" w:asciiTheme="minorEastAsia" w:hAnsiTheme="minorEastAsia" w:eastAsiaTheme="minorEastAsia"/>
                <w:color w:val="auto"/>
              </w:rPr>
            </w:pPr>
          </w:p>
        </w:tc>
        <w:tc>
          <w:tcPr>
            <w:tcW w:w="1155" w:type="dxa"/>
            <w:vAlign w:val="center"/>
          </w:tcPr>
          <w:p>
            <w:pPr>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86" w:type="dxa"/>
            <w:vAlign w:val="center"/>
          </w:tcPr>
          <w:p>
            <w:pPr>
              <w:jc w:val="center"/>
              <w:rPr>
                <w:rFonts w:cs="Calibri" w:asciiTheme="minorEastAsia" w:hAnsiTheme="minorEastAsia" w:eastAsiaTheme="minorEastAsia"/>
                <w:color w:val="auto"/>
                <w:kern w:val="2"/>
                <w:sz w:val="21"/>
                <w:szCs w:val="21"/>
                <w:lang w:val="en-US" w:eastAsia="zh-CN" w:bidi="ar-SA"/>
              </w:rPr>
            </w:pPr>
            <w:r>
              <w:rPr>
                <w:rFonts w:hint="eastAsia"/>
                <w:color w:val="auto"/>
                <w:lang w:val="en-US" w:eastAsia="zh-CN"/>
              </w:rPr>
              <w:t>6</w:t>
            </w:r>
          </w:p>
        </w:tc>
        <w:tc>
          <w:tcPr>
            <w:tcW w:w="1559" w:type="dxa"/>
            <w:vAlign w:val="center"/>
          </w:tcPr>
          <w:p>
            <w:pPr>
              <w:jc w:val="left"/>
              <w:rPr>
                <w:rFonts w:cs="Calibri" w:asciiTheme="minorEastAsia" w:hAnsiTheme="minorEastAsia" w:eastAsiaTheme="minorEastAsia"/>
                <w:color w:val="auto"/>
                <w:kern w:val="2"/>
                <w:sz w:val="21"/>
                <w:szCs w:val="21"/>
                <w:lang w:val="en-US" w:eastAsia="zh-CN" w:bidi="ar-SA"/>
              </w:rPr>
            </w:pPr>
            <w:r>
              <w:rPr>
                <w:rFonts w:hint="eastAsia" w:ascii="宋体" w:hAnsi="宋体" w:eastAsia="宋体" w:cs="宋体"/>
                <w:color w:val="auto"/>
                <w:sz w:val="21"/>
                <w:szCs w:val="21"/>
              </w:rPr>
              <w:t>服务质量评价</w:t>
            </w:r>
          </w:p>
        </w:tc>
        <w:tc>
          <w:tcPr>
            <w:tcW w:w="709" w:type="dxa"/>
            <w:vAlign w:val="center"/>
          </w:tcPr>
          <w:p>
            <w:pPr>
              <w:jc w:val="center"/>
              <w:rPr>
                <w:rFonts w:hint="eastAsia" w:asciiTheme="minorEastAsia" w:hAnsiTheme="minorEastAsia" w:eastAsiaTheme="minorEastAsia"/>
                <w:color w:val="auto"/>
                <w:lang w:eastAsia="zh-CN"/>
              </w:rPr>
            </w:pPr>
            <w:r>
              <w:rPr>
                <w:rFonts w:hint="eastAsia" w:ascii="宋体" w:hAnsi="宋体" w:cs="宋体" w:eastAsiaTheme="minorEastAsia"/>
                <w:color w:val="auto"/>
                <w:lang w:val="en-US" w:eastAsia="zh-CN"/>
              </w:rPr>
              <w:t>5</w:t>
            </w:r>
          </w:p>
        </w:tc>
        <w:tc>
          <w:tcPr>
            <w:tcW w:w="9151" w:type="dxa"/>
            <w:vAlign w:val="center"/>
          </w:tcPr>
          <w:p>
            <w:pPr>
              <w:jc w:val="left"/>
              <w:rPr>
                <w:rFonts w:asciiTheme="minorEastAsia" w:hAnsiTheme="minorEastAsia" w:eastAsiaTheme="minorEastAsia"/>
                <w:color w:val="auto"/>
              </w:rPr>
            </w:pPr>
            <w:r>
              <w:rPr>
                <w:rFonts w:hint="eastAsia" w:ascii="宋体" w:hAnsi="宋体" w:eastAsia="宋体" w:cs="宋体"/>
                <w:color w:val="auto"/>
                <w:sz w:val="21"/>
                <w:szCs w:val="21"/>
              </w:rPr>
              <w:t>提供上述第</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项“同类业绩”的业主评价表，评价为“优秀”或“满意” 或相同含义评价的，每个项目得1分；其他评价不得分。注：投标（响应）文件中提供业主服务评价证明文件（项目名称须与对应合同一致）复印件并（加盖公章）作为证明材料。</w:t>
            </w:r>
          </w:p>
        </w:tc>
        <w:tc>
          <w:tcPr>
            <w:tcW w:w="1155" w:type="dxa"/>
            <w:vAlign w:val="center"/>
          </w:tcPr>
          <w:p>
            <w:pPr>
              <w:rPr>
                <w:rFonts w:cs="宋体" w:asciiTheme="minorEastAsia" w:hAnsiTheme="minorEastAsia" w:eastAsiaTheme="minorEastAsia"/>
                <w:color w:val="auto"/>
              </w:rPr>
            </w:pPr>
          </w:p>
        </w:tc>
        <w:tc>
          <w:tcPr>
            <w:tcW w:w="1155" w:type="dxa"/>
            <w:vAlign w:val="center"/>
          </w:tcPr>
          <w:p>
            <w:pPr>
              <w:rPr>
                <w:rFonts w:cs="宋体" w:asciiTheme="minorEastAsia" w:hAnsiTheme="minorEastAsia" w:eastAsiaTheme="minorEastAsia"/>
                <w:color w:val="auto"/>
              </w:rPr>
            </w:pPr>
          </w:p>
        </w:tc>
        <w:tc>
          <w:tcPr>
            <w:tcW w:w="1155" w:type="dxa"/>
            <w:vAlign w:val="center"/>
          </w:tcPr>
          <w:p>
            <w:pP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86" w:type="dxa"/>
            <w:vAlign w:val="center"/>
          </w:tcPr>
          <w:p>
            <w:pPr>
              <w:jc w:val="center"/>
              <w:rPr>
                <w:rFonts w:hint="default" w:cs="Calibri" w:asciiTheme="minorEastAsia" w:hAnsiTheme="minorEastAsia" w:eastAsiaTheme="minorEastAsia"/>
                <w:color w:val="auto"/>
                <w:kern w:val="2"/>
                <w:sz w:val="21"/>
                <w:szCs w:val="21"/>
                <w:lang w:val="en-US" w:eastAsia="zh-CN" w:bidi="ar-SA"/>
              </w:rPr>
            </w:pPr>
            <w:r>
              <w:rPr>
                <w:rFonts w:hint="eastAsia" w:cs="Calibri" w:asciiTheme="minorEastAsia" w:hAnsiTheme="minorEastAsia"/>
                <w:color w:val="auto"/>
                <w:kern w:val="2"/>
                <w:sz w:val="21"/>
                <w:szCs w:val="21"/>
                <w:lang w:val="en-US" w:eastAsia="zh-CN" w:bidi="ar-SA"/>
              </w:rPr>
              <w:t>7</w:t>
            </w:r>
          </w:p>
        </w:tc>
        <w:tc>
          <w:tcPr>
            <w:tcW w:w="1559" w:type="dxa"/>
            <w:vAlign w:val="center"/>
          </w:tcPr>
          <w:p>
            <w:pPr>
              <w:jc w:val="left"/>
              <w:rPr>
                <w:rFonts w:hint="eastAsia" w:cs="Calibri" w:asciiTheme="minorEastAsia" w:hAnsiTheme="minorEastAsia" w:eastAsiaTheme="minorEastAsia"/>
                <w:color w:val="auto"/>
                <w:kern w:val="2"/>
                <w:sz w:val="21"/>
                <w:szCs w:val="21"/>
                <w:lang w:val="en-US" w:eastAsia="zh-CN" w:bidi="ar-SA"/>
              </w:rPr>
            </w:pPr>
            <w:r>
              <w:rPr>
                <w:rFonts w:hint="eastAsia" w:ascii="宋体" w:hAnsi="宋体" w:cs="宋体"/>
                <w:color w:val="auto"/>
              </w:rPr>
              <w:t>售后服务能力</w:t>
            </w:r>
          </w:p>
        </w:tc>
        <w:tc>
          <w:tcPr>
            <w:tcW w:w="709" w:type="dxa"/>
            <w:vAlign w:val="center"/>
          </w:tcPr>
          <w:p>
            <w:pPr>
              <w:jc w:val="center"/>
              <w:rPr>
                <w:rFonts w:hint="eastAsia" w:cs="Calibri" w:asciiTheme="minorEastAsia" w:hAnsiTheme="minorEastAsia" w:eastAsiaTheme="minorEastAsia"/>
                <w:color w:val="auto"/>
                <w:kern w:val="2"/>
                <w:sz w:val="21"/>
                <w:szCs w:val="21"/>
                <w:lang w:val="en-US" w:eastAsia="zh-CN" w:bidi="ar-SA"/>
              </w:rPr>
            </w:pPr>
            <w:r>
              <w:rPr>
                <w:rFonts w:hint="eastAsia" w:ascii="宋体" w:hAnsi="宋体" w:cs="宋体" w:eastAsiaTheme="minorEastAsia"/>
                <w:color w:val="auto"/>
                <w:lang w:val="en-US" w:eastAsia="zh-CN"/>
              </w:rPr>
              <w:t>5</w:t>
            </w:r>
          </w:p>
        </w:tc>
        <w:tc>
          <w:tcPr>
            <w:tcW w:w="9151" w:type="dxa"/>
            <w:vAlign w:val="center"/>
          </w:tcPr>
          <w:p>
            <w:pPr>
              <w:ind w:right="-73" w:rightChars="-35"/>
              <w:jc w:val="left"/>
              <w:rPr>
                <w:rFonts w:ascii="宋体" w:hAnsi="宋体" w:cs="宋体"/>
                <w:color w:val="auto"/>
              </w:rPr>
            </w:pPr>
            <w:r>
              <w:rPr>
                <w:rFonts w:hint="eastAsia" w:ascii="宋体" w:hAnsi="宋体" w:cs="宋体"/>
                <w:color w:val="auto"/>
              </w:rPr>
              <w:t>优：售后服务响应时间及时，售后人员专业实力强、人数充足得</w:t>
            </w:r>
            <w:r>
              <w:rPr>
                <w:rFonts w:hint="eastAsia" w:ascii="宋体" w:hAnsi="宋体" w:cs="宋体"/>
                <w:color w:val="auto"/>
                <w:lang w:val="en-US" w:eastAsia="zh-CN"/>
              </w:rPr>
              <w:t>5</w:t>
            </w:r>
            <w:r>
              <w:rPr>
                <w:rFonts w:hint="eastAsia" w:ascii="宋体" w:hAnsi="宋体" w:cs="宋体"/>
                <w:color w:val="auto"/>
              </w:rPr>
              <w:t>分；</w:t>
            </w:r>
          </w:p>
          <w:p>
            <w:pPr>
              <w:ind w:right="-73" w:rightChars="-35"/>
              <w:jc w:val="left"/>
              <w:rPr>
                <w:rFonts w:ascii="宋体" w:hAnsi="宋体" w:cs="宋体"/>
                <w:color w:val="auto"/>
              </w:rPr>
            </w:pPr>
            <w:r>
              <w:rPr>
                <w:rFonts w:hint="eastAsia" w:ascii="宋体" w:hAnsi="宋体" w:cs="宋体"/>
                <w:color w:val="auto"/>
              </w:rPr>
              <w:t>良：售后服务响应时间较及时，售后人员专业实力一般，人数一般得3分；</w:t>
            </w:r>
          </w:p>
          <w:p>
            <w:pPr>
              <w:jc w:val="left"/>
              <w:rPr>
                <w:rFonts w:cs="Calibri" w:asciiTheme="minorEastAsia" w:hAnsiTheme="minorEastAsia" w:eastAsiaTheme="minorEastAsia"/>
                <w:color w:val="auto"/>
                <w:kern w:val="2"/>
                <w:sz w:val="21"/>
                <w:szCs w:val="21"/>
                <w:lang w:val="en-US" w:eastAsia="zh-CN" w:bidi="ar-SA"/>
              </w:rPr>
            </w:pPr>
            <w:r>
              <w:rPr>
                <w:rFonts w:hint="eastAsia" w:ascii="宋体" w:hAnsi="宋体" w:cs="宋体"/>
                <w:color w:val="auto"/>
              </w:rPr>
              <w:t>差：售后服务响应时间较慢，售后人员专业实力较差，人数不足得1分。</w:t>
            </w:r>
          </w:p>
        </w:tc>
        <w:tc>
          <w:tcPr>
            <w:tcW w:w="1155" w:type="dxa"/>
            <w:vAlign w:val="center"/>
          </w:tcPr>
          <w:p>
            <w:pPr>
              <w:rPr>
                <w:rFonts w:cs="宋体" w:asciiTheme="minorEastAsia" w:hAnsiTheme="minorEastAsia" w:eastAsiaTheme="minorEastAsia"/>
                <w:color w:val="auto"/>
              </w:rPr>
            </w:pPr>
          </w:p>
        </w:tc>
        <w:tc>
          <w:tcPr>
            <w:tcW w:w="1155" w:type="dxa"/>
            <w:vAlign w:val="center"/>
          </w:tcPr>
          <w:p>
            <w:pPr>
              <w:rPr>
                <w:rFonts w:cs="宋体" w:asciiTheme="minorEastAsia" w:hAnsiTheme="minorEastAsia" w:eastAsiaTheme="minorEastAsia"/>
                <w:color w:val="auto"/>
              </w:rPr>
            </w:pPr>
          </w:p>
        </w:tc>
        <w:tc>
          <w:tcPr>
            <w:tcW w:w="1155" w:type="dxa"/>
            <w:vAlign w:val="center"/>
          </w:tcPr>
          <w:p>
            <w:pP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45" w:type="dxa"/>
            <w:gridSpan w:val="2"/>
            <w:vAlign w:val="center"/>
          </w:tcPr>
          <w:p>
            <w:pPr>
              <w:ind w:firstLine="210" w:firstLineChars="100"/>
              <w:jc w:val="center"/>
              <w:rPr>
                <w:rFonts w:hint="eastAsia" w:cs="Calibri"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rPr>
              <w:t>合计</w:t>
            </w:r>
          </w:p>
        </w:tc>
        <w:tc>
          <w:tcPr>
            <w:tcW w:w="709" w:type="dxa"/>
            <w:vAlign w:val="center"/>
          </w:tcPr>
          <w:p>
            <w:pPr>
              <w:jc w:val="center"/>
              <w:rPr>
                <w:rFonts w:cs="Calibri" w:asciiTheme="minorEastAsia" w:hAnsiTheme="minorEastAsia" w:eastAsiaTheme="minorEastAsia"/>
                <w:color w:val="auto"/>
                <w:kern w:val="2"/>
                <w:sz w:val="21"/>
                <w:szCs w:val="21"/>
                <w:lang w:val="en-US" w:eastAsia="zh-CN" w:bidi="ar-SA"/>
              </w:rPr>
            </w:pPr>
            <w:r>
              <w:rPr>
                <w:rFonts w:asciiTheme="minorEastAsia" w:hAnsiTheme="minorEastAsia" w:eastAsiaTheme="minorEastAsia"/>
                <w:color w:val="auto"/>
              </w:rPr>
              <w:t>60</w:t>
            </w:r>
          </w:p>
        </w:tc>
        <w:tc>
          <w:tcPr>
            <w:tcW w:w="9151" w:type="dxa"/>
            <w:vAlign w:val="center"/>
          </w:tcPr>
          <w:p>
            <w:pPr>
              <w:ind w:firstLine="1260" w:firstLineChars="600"/>
              <w:rPr>
                <w:rFonts w:asciiTheme="minorEastAsia" w:hAnsiTheme="minorEastAsia" w:eastAsiaTheme="minorEastAsia"/>
                <w:color w:val="auto"/>
              </w:rPr>
            </w:pPr>
          </w:p>
        </w:tc>
        <w:tc>
          <w:tcPr>
            <w:tcW w:w="1155" w:type="dxa"/>
            <w:vAlign w:val="center"/>
          </w:tcPr>
          <w:p>
            <w:pPr>
              <w:rPr>
                <w:rFonts w:cs="宋体" w:asciiTheme="minorEastAsia" w:hAnsiTheme="minorEastAsia" w:eastAsiaTheme="minorEastAsia"/>
                <w:color w:val="auto"/>
              </w:rPr>
            </w:pPr>
          </w:p>
        </w:tc>
        <w:tc>
          <w:tcPr>
            <w:tcW w:w="1155" w:type="dxa"/>
            <w:vAlign w:val="center"/>
          </w:tcPr>
          <w:p>
            <w:pPr>
              <w:rPr>
                <w:rFonts w:cs="宋体" w:asciiTheme="minorEastAsia" w:hAnsiTheme="minorEastAsia" w:eastAsiaTheme="minorEastAsia"/>
                <w:color w:val="auto"/>
              </w:rPr>
            </w:pPr>
          </w:p>
        </w:tc>
        <w:tc>
          <w:tcPr>
            <w:tcW w:w="1155" w:type="dxa"/>
            <w:vAlign w:val="center"/>
          </w:tcPr>
          <w:p>
            <w:pPr>
              <w:rPr>
                <w:rFonts w:cs="宋体" w:asciiTheme="minorEastAsia" w:hAnsiTheme="minorEastAsia" w:eastAsiaTheme="minorEastAsia"/>
                <w:color w:val="auto"/>
              </w:rPr>
            </w:pPr>
          </w:p>
        </w:tc>
      </w:tr>
    </w:tbl>
    <w:p>
      <w:pPr>
        <w:pStyle w:val="2"/>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pPr>
        <w:rPr>
          <w:rFonts w:cs="Times New Roman"/>
          <w:b/>
          <w:bCs/>
        </w:rPr>
      </w:pPr>
    </w:p>
    <w:p>
      <w:pPr>
        <w:rPr>
          <w:rFonts w:cs="Times New Roman"/>
        </w:rPr>
      </w:pPr>
    </w:p>
    <w:p>
      <w:pPr>
        <w:rPr>
          <w:rFonts w:cs="Times New Roman"/>
        </w:rPr>
      </w:pPr>
    </w:p>
    <w:p>
      <w:pPr>
        <w:pStyle w:val="2"/>
        <w:ind w:firstLine="210"/>
        <w:rPr>
          <w:rFonts w:cs="Times New Roman"/>
        </w:rPr>
      </w:pPr>
    </w:p>
    <w:p>
      <w:pPr>
        <w:rPr>
          <w:rFonts w:cs="Times New Roman"/>
        </w:rPr>
      </w:pPr>
    </w:p>
    <w:p>
      <w:pPr>
        <w:pStyle w:val="3"/>
        <w:jc w:val="center"/>
        <w:rPr>
          <w:rFonts w:ascii="宋体"/>
          <w:b w:val="0"/>
          <w:bCs w:val="0"/>
        </w:rPr>
      </w:pPr>
      <w:bookmarkStart w:id="62" w:name="_Toc19827"/>
      <w:bookmarkStart w:id="63" w:name="_Toc15294"/>
      <w:r>
        <w:rPr>
          <w:rFonts w:hint="eastAsia" w:cs="宋体"/>
        </w:rPr>
        <w:t>第五章　合同格式</w:t>
      </w:r>
      <w:bookmarkEnd w:id="62"/>
      <w:bookmarkEnd w:id="63"/>
    </w:p>
    <w:p>
      <w:pPr>
        <w:pStyle w:val="3"/>
        <w:spacing w:after="0" w:line="360" w:lineRule="auto"/>
        <w:jc w:val="center"/>
        <w:rPr>
          <w:rFonts w:ascii="宋体"/>
          <w:sz w:val="52"/>
          <w:szCs w:val="52"/>
        </w:rPr>
      </w:pPr>
      <w:r>
        <w:rPr>
          <w:rFonts w:hint="eastAsia" w:ascii="宋体" w:hAnsi="宋体" w:cs="宋体"/>
          <w:sz w:val="52"/>
          <w:szCs w:val="52"/>
        </w:rPr>
        <w:t>合　同　书</w:t>
      </w:r>
    </w:p>
    <w:p>
      <w:pPr>
        <w:tabs>
          <w:tab w:val="left" w:pos="720"/>
        </w:tabs>
        <w:spacing w:line="360" w:lineRule="auto"/>
        <w:jc w:val="center"/>
        <w:rPr>
          <w:rFonts w:ascii="宋体" w:cs="Times New Roman"/>
          <w:b/>
          <w:bCs/>
          <w:sz w:val="36"/>
          <w:szCs w:val="36"/>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tbl>
      <w:tblPr>
        <w:tblStyle w:val="3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szCs w:val="24"/>
                <w:u w:val="single"/>
              </w:rPr>
            </w:pPr>
            <w:r>
              <w:rPr>
                <w:rFonts w:hint="eastAsia" w:ascii="宋体" w:hAnsi="宋体" w:cs="宋体"/>
                <w:b/>
                <w:bCs/>
                <w:sz w:val="24"/>
                <w:szCs w:val="24"/>
              </w:rPr>
              <w:t>采购编号：</w:t>
            </w:r>
            <w:r>
              <w:rPr>
                <w:rFonts w:ascii="宋体" w:hAnsi="宋体" w:cs="宋体"/>
                <w:b/>
                <w:bCs/>
                <w:sz w:val="24"/>
                <w:szCs w:val="24"/>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szCs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szCs w:val="24"/>
              </w:rPr>
            </w:pPr>
            <w:r>
              <w:rPr>
                <w:rFonts w:hint="eastAsia" w:ascii="宋体" w:hAnsi="宋体" w:cs="宋体"/>
                <w:b/>
                <w:bCs/>
                <w:sz w:val="24"/>
                <w:szCs w:val="24"/>
              </w:rPr>
              <w:t>项目名称：</w:t>
            </w:r>
            <w:r>
              <w:rPr>
                <w:rFonts w:ascii="宋体" w:hAnsi="宋体" w:cs="宋体"/>
                <w:b/>
                <w:bCs/>
                <w:sz w:val="24"/>
                <w:szCs w:val="24"/>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cs="Times New Roman"/>
                <w:b/>
                <w:bCs/>
              </w:rPr>
            </w:pPr>
          </w:p>
        </w:tc>
      </w:tr>
    </w:tbl>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b/>
          <w:bCs/>
          <w:color w:val="FF0000"/>
        </w:rPr>
      </w:pPr>
      <w:bookmarkStart w:id="64" w:name="_Hlk38299433"/>
      <w:r>
        <w:rPr>
          <w:rFonts w:hint="eastAsia" w:ascii="宋体" w:hAnsi="宋体" w:cs="宋体"/>
          <w:b/>
          <w:bCs/>
        </w:rPr>
        <w:t>注：合同签订双方根据项目的具体要求进行修订，不作统一格式要求。</w:t>
      </w:r>
    </w:p>
    <w:bookmarkEnd w:id="64"/>
    <w:p>
      <w:pPr>
        <w:spacing w:line="420" w:lineRule="exact"/>
        <w:rPr>
          <w:rFonts w:cs="Times New Roman"/>
        </w:rPr>
      </w:pPr>
    </w:p>
    <w:p>
      <w:pPr>
        <w:pStyle w:val="3"/>
        <w:jc w:val="center"/>
      </w:pPr>
      <w:bookmarkStart w:id="65" w:name="_Toc15910"/>
      <w:bookmarkStart w:id="66" w:name="_Toc17126"/>
      <w:r>
        <w:rPr>
          <w:rFonts w:hint="eastAsia" w:cs="宋体"/>
        </w:rPr>
        <w:t>第六章　响应文件格式</w:t>
      </w:r>
      <w:bookmarkEnd w:id="65"/>
      <w:bookmarkEnd w:id="66"/>
    </w:p>
    <w:p>
      <w:pPr>
        <w:pStyle w:val="18"/>
        <w:tabs>
          <w:tab w:val="left" w:pos="1260"/>
        </w:tabs>
        <w:spacing w:line="360" w:lineRule="auto"/>
        <w:jc w:val="center"/>
        <w:rPr>
          <w:rFonts w:hint="eastAsia" w:hAnsi="宋体" w:eastAsia="宋体"/>
          <w:b/>
          <w:bCs/>
          <w:spacing w:val="100"/>
          <w:w w:val="110"/>
          <w:kern w:val="0"/>
          <w:sz w:val="36"/>
          <w:szCs w:val="36"/>
          <w:lang w:eastAsia="zh-CN"/>
        </w:rPr>
      </w:pPr>
      <w:r>
        <w:rPr>
          <w:rFonts w:hint="eastAsia" w:hAnsi="宋体"/>
          <w:b/>
          <w:bCs/>
          <w:spacing w:val="100"/>
          <w:w w:val="110"/>
          <w:kern w:val="0"/>
          <w:sz w:val="36"/>
          <w:szCs w:val="36"/>
        </w:rPr>
        <w:t>中山市技师学院</w:t>
      </w:r>
      <w:r>
        <w:rPr>
          <w:rFonts w:hAnsi="宋体"/>
          <w:b/>
          <w:bCs/>
          <w:spacing w:val="100"/>
          <w:w w:val="110"/>
          <w:kern w:val="0"/>
          <w:sz w:val="36"/>
          <w:szCs w:val="36"/>
        </w:rPr>
        <w:t>XXXX</w:t>
      </w:r>
      <w:r>
        <w:rPr>
          <w:rFonts w:hint="eastAsia" w:hAnsi="宋体"/>
          <w:b/>
          <w:bCs/>
          <w:spacing w:val="100"/>
          <w:w w:val="110"/>
          <w:kern w:val="0"/>
          <w:sz w:val="36"/>
          <w:szCs w:val="36"/>
        </w:rPr>
        <w:t>采购项目</w:t>
      </w:r>
    </w:p>
    <w:p>
      <w:pPr>
        <w:pStyle w:val="18"/>
        <w:tabs>
          <w:tab w:val="left" w:pos="1260"/>
        </w:tabs>
        <w:spacing w:line="360" w:lineRule="auto"/>
        <w:jc w:val="center"/>
        <w:rPr>
          <w:rFonts w:hint="eastAsia" w:hAnsi="宋体" w:eastAsia="宋体"/>
          <w:b/>
          <w:bCs/>
          <w:spacing w:val="100"/>
          <w:w w:val="110"/>
          <w:kern w:val="0"/>
          <w:sz w:val="36"/>
          <w:szCs w:val="36"/>
          <w:lang w:eastAsia="zh-CN"/>
        </w:rPr>
      </w:pPr>
    </w:p>
    <w:p>
      <w:pPr>
        <w:pStyle w:val="18"/>
        <w:tabs>
          <w:tab w:val="left" w:pos="1260"/>
        </w:tabs>
        <w:spacing w:line="360" w:lineRule="auto"/>
        <w:jc w:val="center"/>
        <w:rPr>
          <w:rFonts w:hAnsi="宋体" w:cs="Times New Roman"/>
          <w:b/>
          <w:bCs/>
          <w:spacing w:val="100"/>
          <w:w w:val="110"/>
          <w:kern w:val="0"/>
          <w:sz w:val="36"/>
          <w:szCs w:val="36"/>
        </w:rPr>
      </w:pPr>
    </w:p>
    <w:p>
      <w:pPr>
        <w:pStyle w:val="18"/>
        <w:tabs>
          <w:tab w:val="left" w:pos="1260"/>
        </w:tabs>
        <w:spacing w:line="360" w:lineRule="auto"/>
        <w:jc w:val="center"/>
        <w:rPr>
          <w:rFonts w:hAnsi="宋体" w:cs="Times New Roman"/>
          <w:b/>
          <w:bCs/>
          <w:spacing w:val="100"/>
          <w:w w:val="110"/>
          <w:kern w:val="0"/>
          <w:sz w:val="48"/>
          <w:szCs w:val="48"/>
        </w:rPr>
      </w:pPr>
      <w:r>
        <w:rPr>
          <w:rFonts w:hint="eastAsia" w:hAnsi="宋体"/>
          <w:b/>
          <w:bCs/>
          <w:spacing w:val="100"/>
          <w:w w:val="110"/>
          <w:kern w:val="0"/>
          <w:sz w:val="48"/>
          <w:szCs w:val="48"/>
        </w:rPr>
        <w:t>竞争性磋商</w:t>
      </w:r>
    </w:p>
    <w:p>
      <w:pPr>
        <w:pStyle w:val="18"/>
        <w:tabs>
          <w:tab w:val="left" w:pos="1260"/>
        </w:tabs>
        <w:spacing w:line="360" w:lineRule="auto"/>
        <w:jc w:val="center"/>
        <w:rPr>
          <w:rFonts w:hAnsi="宋体" w:cs="Times New Roman"/>
          <w:b/>
          <w:bCs/>
          <w:spacing w:val="100"/>
          <w:w w:val="110"/>
          <w:sz w:val="48"/>
          <w:szCs w:val="48"/>
        </w:rPr>
      </w:pPr>
      <w:r>
        <w:rPr>
          <w:rFonts w:hint="eastAsia" w:hAnsi="宋体"/>
          <w:b/>
          <w:bCs/>
          <w:spacing w:val="100"/>
          <w:w w:val="110"/>
          <w:kern w:val="0"/>
          <w:sz w:val="48"/>
          <w:szCs w:val="48"/>
        </w:rPr>
        <w:t>响应文件</w:t>
      </w:r>
    </w:p>
    <w:p>
      <w:pPr>
        <w:pStyle w:val="18"/>
        <w:spacing w:line="360" w:lineRule="auto"/>
        <w:jc w:val="center"/>
        <w:rPr>
          <w:rFonts w:hAnsi="宋体" w:cs="Times New Roman"/>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pPr>
        <w:pStyle w:val="18"/>
        <w:spacing w:line="360" w:lineRule="auto"/>
        <w:jc w:val="center"/>
        <w:rPr>
          <w:rFonts w:hAnsi="宋体" w:cs="Times New Roman"/>
          <w:b/>
          <w:bCs/>
        </w:rPr>
      </w:pPr>
    </w:p>
    <w:p>
      <w:pPr>
        <w:pStyle w:val="18"/>
        <w:spacing w:line="360" w:lineRule="auto"/>
        <w:jc w:val="center"/>
        <w:rPr>
          <w:rFonts w:hAnsi="宋体" w:cs="Times New Roman"/>
          <w:b/>
          <w:bCs/>
        </w:rPr>
      </w:pPr>
    </w:p>
    <w:p>
      <w:pPr>
        <w:pStyle w:val="16"/>
        <w:spacing w:line="360" w:lineRule="auto"/>
        <w:ind w:firstLine="967" w:firstLineChars="344"/>
        <w:rPr>
          <w:rFonts w:ascii="宋体"/>
          <w:b/>
          <w:bCs/>
          <w:sz w:val="28"/>
          <w:szCs w:val="28"/>
        </w:rPr>
      </w:pPr>
    </w:p>
    <w:p>
      <w:pPr>
        <w:pStyle w:val="16"/>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pPr>
        <w:pStyle w:val="18"/>
        <w:spacing w:line="360" w:lineRule="auto"/>
        <w:ind w:firstLine="967" w:firstLineChars="344"/>
        <w:rPr>
          <w:rFonts w:hAnsi="宋体" w:cs="Times New Roman"/>
          <w:b/>
          <w:bCs/>
          <w:sz w:val="28"/>
          <w:szCs w:val="28"/>
          <w:u w:val="single"/>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pPr>
        <w:pStyle w:val="18"/>
        <w:spacing w:line="360" w:lineRule="auto"/>
        <w:ind w:firstLine="632" w:firstLineChars="300"/>
        <w:rPr>
          <w:rFonts w:hAnsi="宋体" w:cs="Times New Roman"/>
          <w:b/>
          <w:bCs/>
        </w:rPr>
      </w:pPr>
    </w:p>
    <w:p>
      <w:pPr>
        <w:pStyle w:val="18"/>
        <w:spacing w:line="360" w:lineRule="auto"/>
        <w:rPr>
          <w:rFonts w:hAnsi="宋体" w:cs="Times New Roman"/>
          <w:b/>
          <w:bCs/>
        </w:rPr>
      </w:pPr>
    </w:p>
    <w:p>
      <w:pPr>
        <w:pStyle w:val="18"/>
        <w:spacing w:line="360" w:lineRule="auto"/>
        <w:ind w:firstLine="632" w:firstLineChars="300"/>
        <w:rPr>
          <w:rFonts w:hAnsi="宋体" w:cs="Times New Roman"/>
          <w:b/>
          <w:bCs/>
        </w:rPr>
      </w:pPr>
    </w:p>
    <w:p>
      <w:pPr>
        <w:pStyle w:val="18"/>
        <w:spacing w:line="360" w:lineRule="auto"/>
        <w:rPr>
          <w:rFonts w:hAnsi="宋体" w:cs="Times New Roman"/>
          <w:b/>
          <w:bCs/>
        </w:rPr>
      </w:pPr>
    </w:p>
    <w:p>
      <w:pPr>
        <w:pStyle w:val="18"/>
        <w:spacing w:line="360" w:lineRule="auto"/>
        <w:ind w:firstLine="632" w:firstLineChars="300"/>
        <w:rPr>
          <w:rFonts w:hAnsi="宋体" w:cs="Times New Roman"/>
          <w:b/>
          <w:bCs/>
        </w:rPr>
      </w:pPr>
    </w:p>
    <w:p>
      <w:pPr>
        <w:pStyle w:val="16"/>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pPr>
        <w:pStyle w:val="16"/>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pPr>
        <w:pStyle w:val="16"/>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pPr>
        <w:pStyle w:val="16"/>
        <w:spacing w:line="360" w:lineRule="auto"/>
        <w:ind w:left="0" w:leftChars="0"/>
        <w:rPr>
          <w:rFonts w:ascii="宋体"/>
          <w:b/>
          <w:bCs/>
          <w:sz w:val="28"/>
          <w:szCs w:val="28"/>
        </w:rPr>
      </w:pPr>
    </w:p>
    <w:p>
      <w:pPr>
        <w:spacing w:line="360" w:lineRule="auto"/>
        <w:rPr>
          <w:rFonts w:ascii="宋体" w:cs="Times New Roman"/>
          <w:b/>
          <w:bCs/>
          <w:color w:val="FF0000"/>
        </w:rPr>
      </w:pPr>
      <w:r>
        <w:rPr>
          <w:rFonts w:hint="eastAsia" w:ascii="宋体" w:hAnsi="宋体" w:cs="宋体"/>
          <w:b/>
          <w:bCs/>
        </w:rPr>
        <w:t>注：响应文件由供应商自行编制，本响应文件格式仅供参考，不作统一格式要求。</w:t>
      </w:r>
    </w:p>
    <w:p>
      <w:pPr>
        <w:pStyle w:val="4"/>
        <w:keepLines w:val="0"/>
        <w:numPr>
          <w:ilvl w:val="0"/>
          <w:numId w:val="62"/>
        </w:numPr>
        <w:tabs>
          <w:tab w:val="left" w:pos="851"/>
        </w:tabs>
        <w:spacing w:before="0" w:after="0" w:line="360" w:lineRule="auto"/>
        <w:ind w:firstLine="0"/>
        <w:jc w:val="center"/>
        <w:rPr>
          <w:rFonts w:ascii="宋体" w:hAnsi="宋体" w:eastAsia="宋体" w:cs="Times New Roman"/>
        </w:rPr>
      </w:pPr>
      <w:bookmarkStart w:id="67" w:name="_Toc31068"/>
      <w:bookmarkStart w:id="68" w:name="_Toc27385"/>
      <w:r>
        <w:rPr>
          <w:rFonts w:hint="eastAsia" w:ascii="宋体" w:hAnsi="宋体" w:eastAsia="宋体" w:cs="宋体"/>
        </w:rPr>
        <w:t>报价函</w:t>
      </w:r>
      <w:bookmarkEnd w:id="67"/>
      <w:bookmarkEnd w:id="68"/>
    </w:p>
    <w:p>
      <w:pPr>
        <w:spacing w:line="360" w:lineRule="auto"/>
        <w:rPr>
          <w:rFonts w:ascii="宋体" w:cs="Times New Roman"/>
        </w:rPr>
      </w:pPr>
      <w:r>
        <w:rPr>
          <w:rFonts w:hint="eastAsia" w:ascii="宋体" w:hAnsi="宋体" w:cs="宋体"/>
        </w:rPr>
        <w:t>致：中山市技师学院</w:t>
      </w:r>
    </w:p>
    <w:p>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pPr>
        <w:widowControl/>
        <w:numPr>
          <w:ilvl w:val="0"/>
          <w:numId w:val="63"/>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r>
        <w:rPr>
          <w:rFonts w:ascii="宋体" w:hAnsi="宋体" w:cs="宋体"/>
          <w:color w:val="000000"/>
          <w:kern w:val="0"/>
        </w:rPr>
        <w:t xml:space="preserve"> </w:t>
      </w:r>
    </w:p>
    <w:p>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pPr>
        <w:pStyle w:val="4"/>
        <w:keepLines w:val="0"/>
        <w:numPr>
          <w:ilvl w:val="0"/>
          <w:numId w:val="62"/>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pPr>
        <w:ind w:firstLine="632" w:firstLineChars="300"/>
        <w:rPr>
          <w:rFonts w:ascii="宋体" w:cs="Times New Roman"/>
          <w:b/>
          <w:bCs/>
        </w:rPr>
      </w:pPr>
    </w:p>
    <w:p>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pPr>
        <w:rPr>
          <w:rFonts w:ascii="宋体" w:cs="Times New Roman"/>
        </w:rPr>
      </w:pPr>
    </w:p>
    <w:p>
      <w:pPr>
        <w:widowControl/>
        <w:jc w:val="center"/>
        <w:rPr>
          <w:rFonts w:cs="Times New Roman"/>
        </w:rPr>
      </w:pPr>
      <w:bookmarkStart w:id="69" w:name="_Toc20491"/>
      <w:r>
        <w:rPr>
          <w:rFonts w:hint="eastAsia" w:ascii="黑体" w:hAnsi="宋体" w:eastAsia="黑体" w:cs="黑体"/>
          <w:color w:val="000000"/>
          <w:kern w:val="0"/>
          <w:sz w:val="31"/>
          <w:szCs w:val="31"/>
        </w:rPr>
        <w:t>法定代表人证明书</w:t>
      </w:r>
    </w:p>
    <w:p>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pStyle w:val="9"/>
        <w:spacing w:line="600" w:lineRule="exact"/>
        <w:ind w:firstLine="422"/>
        <w:rPr>
          <w:rFonts w:ascii="宋体" w:cs="Times New Roman"/>
          <w:b/>
          <w:bCs/>
        </w:rPr>
      </w:pPr>
    </w:p>
    <w:p>
      <w:pPr>
        <w:pStyle w:val="15"/>
        <w:rPr>
          <w:rFonts w:ascii="宋体"/>
          <w:sz w:val="32"/>
          <w:szCs w:val="32"/>
        </w:rPr>
      </w:pPr>
    </w:p>
    <w:p/>
    <w:p>
      <w:pPr>
        <w:pStyle w:val="15"/>
        <w:rPr>
          <w:rFonts w:ascii="宋体"/>
          <w:sz w:val="32"/>
          <w:szCs w:val="32"/>
        </w:rPr>
      </w:pPr>
    </w:p>
    <w:p>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pPr>
        <w:pStyle w:val="3"/>
        <w:spacing w:line="360" w:lineRule="auto"/>
        <w:jc w:val="center"/>
        <w:rPr>
          <w:rFonts w:ascii="宋体"/>
          <w:sz w:val="21"/>
          <w:szCs w:val="21"/>
        </w:rPr>
      </w:pPr>
    </w:p>
    <w:p>
      <w:pPr>
        <w:rPr>
          <w:rFonts w:cs="Times New Roman"/>
        </w:rPr>
      </w:pPr>
    </w:p>
    <w:p>
      <w:pPr>
        <w:pStyle w:val="3"/>
        <w:spacing w:line="360" w:lineRule="auto"/>
        <w:jc w:val="center"/>
        <w:rPr>
          <w:rFonts w:ascii="宋体"/>
        </w:rPr>
      </w:pPr>
      <w:r>
        <w:rPr>
          <w:rFonts w:hint="eastAsia" w:ascii="宋体" w:hAnsi="宋体" w:cs="宋体"/>
          <w:sz w:val="32"/>
          <w:szCs w:val="32"/>
        </w:rPr>
        <w:t>法定代表人授权委托书</w:t>
      </w:r>
      <w:bookmarkEnd w:id="69"/>
    </w:p>
    <w:p>
      <w:pPr>
        <w:spacing w:line="360" w:lineRule="auto"/>
        <w:rPr>
          <w:rFonts w:ascii="宋体" w:cs="Times New Roman"/>
        </w:rPr>
      </w:pPr>
      <w:bookmarkStart w:id="70" w:name="_Toc19527"/>
      <w:r>
        <w:rPr>
          <w:rFonts w:hint="eastAsia" w:ascii="宋体" w:hAnsi="宋体" w:cs="宋体"/>
        </w:rPr>
        <w:t>致：中山市技师学院</w:t>
      </w:r>
    </w:p>
    <w:p>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pPr>
        <w:pStyle w:val="2"/>
        <w:ind w:firstLine="210"/>
        <w:rPr>
          <w:rFonts w:cs="Times New Roman"/>
        </w:rPr>
      </w:pPr>
    </w:p>
    <w:p>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pPr>
        <w:widowControl/>
        <w:spacing w:line="360" w:lineRule="auto"/>
        <w:jc w:val="left"/>
        <w:rPr>
          <w:rFonts w:ascii="宋体" w:cs="Times New Roman"/>
          <w:color w:val="000000"/>
          <w:kern w:val="0"/>
        </w:rPr>
      </w:pPr>
    </w:p>
    <w:p>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tabs>
          <w:tab w:val="left" w:pos="2041"/>
          <w:tab w:val="left" w:pos="3600"/>
          <w:tab w:val="left" w:pos="3780"/>
        </w:tabs>
        <w:spacing w:line="600" w:lineRule="exact"/>
        <w:rPr>
          <w:rFonts w:cs="Times New Roman"/>
        </w:rPr>
      </w:pPr>
    </w:p>
    <w:bookmarkEnd w:id="70"/>
    <w:p>
      <w:pPr>
        <w:pStyle w:val="2"/>
        <w:ind w:firstLine="0" w:firstLineChars="0"/>
        <w:rPr>
          <w:rFonts w:cs="Times New Roman"/>
        </w:rPr>
      </w:pPr>
    </w:p>
    <w:p>
      <w:pPr>
        <w:pStyle w:val="4"/>
        <w:keepLines w:val="0"/>
        <w:numPr>
          <w:ilvl w:val="0"/>
          <w:numId w:val="62"/>
        </w:numPr>
        <w:tabs>
          <w:tab w:val="left" w:pos="851"/>
        </w:tabs>
        <w:spacing w:before="0" w:after="0" w:line="360" w:lineRule="auto"/>
        <w:ind w:firstLine="0"/>
        <w:jc w:val="center"/>
        <w:rPr>
          <w:rFonts w:ascii="宋体" w:hAnsi="宋体" w:eastAsia="宋体" w:cs="Times New Roman"/>
        </w:rPr>
      </w:pPr>
      <w:bookmarkStart w:id="71" w:name="_Toc3476"/>
      <w:r>
        <w:rPr>
          <w:rFonts w:hint="eastAsia" w:ascii="宋体" w:hAnsi="宋体" w:eastAsia="宋体" w:cs="宋体"/>
        </w:rPr>
        <w:t>供应商资格声明函</w:t>
      </w:r>
    </w:p>
    <w:p>
      <w:pPr>
        <w:rPr>
          <w:rFonts w:cs="Times New Roman"/>
        </w:rPr>
      </w:pPr>
    </w:p>
    <w:p>
      <w:pPr>
        <w:spacing w:line="360" w:lineRule="auto"/>
        <w:rPr>
          <w:rFonts w:ascii="宋体" w:cs="Times New Roman"/>
          <w:b/>
          <w:bCs/>
        </w:rPr>
      </w:pPr>
      <w:r>
        <w:rPr>
          <w:rFonts w:hint="eastAsia" w:ascii="宋体" w:hAnsi="宋体" w:cs="宋体"/>
          <w:b/>
          <w:bCs/>
        </w:rPr>
        <w:t>中山市技师学院：</w:t>
      </w:r>
    </w:p>
    <w:p>
      <w:pPr>
        <w:pStyle w:val="15"/>
        <w:spacing w:before="26" w:line="360" w:lineRule="auto"/>
        <w:ind w:left="15" w:leftChars="7" w:right="103" w:rightChars="49" w:firstLine="623"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pPr>
        <w:pStyle w:val="15"/>
        <w:spacing w:line="360" w:lineRule="auto"/>
        <w:ind w:left="15" w:leftChars="7" w:right="103" w:rightChars="49" w:firstLine="623" w:firstLineChars="297"/>
        <w:rPr>
          <w:rFonts w:ascii="宋体"/>
        </w:rPr>
      </w:pPr>
      <w:r>
        <w:rPr>
          <w:rFonts w:hint="eastAsia" w:ascii="宋体" w:hAnsi="宋体" w:cs="宋体"/>
        </w:rPr>
        <w:t>一、本公司（企业）具备《中华人民共和国政府采购法》第二十二条规定的条件：</w:t>
      </w:r>
    </w:p>
    <w:p>
      <w:pPr>
        <w:pStyle w:val="15"/>
        <w:spacing w:before="61" w:line="360" w:lineRule="auto"/>
        <w:ind w:left="15" w:leftChars="7" w:right="103" w:rightChars="49" w:firstLine="623" w:firstLineChars="297"/>
        <w:rPr>
          <w:rFonts w:ascii="宋体"/>
        </w:rPr>
      </w:pPr>
      <w:r>
        <w:rPr>
          <w:rFonts w:hint="eastAsia" w:ascii="宋体" w:hAnsi="宋体" w:cs="宋体"/>
        </w:rPr>
        <w:t>（一）具有独立承担民事责任的能力；</w:t>
      </w:r>
    </w:p>
    <w:p>
      <w:pPr>
        <w:pStyle w:val="15"/>
        <w:spacing w:before="23" w:line="360" w:lineRule="auto"/>
        <w:ind w:left="15" w:leftChars="7" w:right="103" w:rightChars="49" w:firstLine="623"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pPr>
        <w:pStyle w:val="15"/>
        <w:spacing w:before="23" w:line="360" w:lineRule="auto"/>
        <w:ind w:left="15" w:leftChars="7" w:right="103" w:rightChars="49" w:firstLine="623"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pPr>
        <w:pStyle w:val="15"/>
        <w:spacing w:before="23" w:line="360" w:lineRule="auto"/>
        <w:ind w:left="15" w:leftChars="7" w:right="103" w:rightChars="49" w:firstLine="623"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pPr>
        <w:pStyle w:val="15"/>
        <w:spacing w:before="23" w:line="360" w:lineRule="auto"/>
        <w:ind w:left="15" w:leftChars="7" w:right="103" w:rightChars="49" w:firstLine="623" w:firstLineChars="297"/>
        <w:rPr>
          <w:rFonts w:ascii="宋体"/>
        </w:rPr>
      </w:pPr>
      <w:r>
        <w:rPr>
          <w:rFonts w:hint="eastAsia" w:ascii="宋体" w:hAnsi="宋体" w:cs="宋体"/>
        </w:rPr>
        <w:t>（五）参加采购活动前三年内，在经营活动中没有重大违法记录；</w:t>
      </w:r>
    </w:p>
    <w:p>
      <w:pPr>
        <w:pStyle w:val="15"/>
        <w:spacing w:before="23" w:line="360" w:lineRule="auto"/>
        <w:ind w:left="15" w:leftChars="7" w:right="103" w:rightChars="49" w:firstLine="623" w:firstLineChars="297"/>
        <w:rPr>
          <w:rFonts w:ascii="宋体"/>
        </w:rPr>
      </w:pPr>
      <w:r>
        <w:rPr>
          <w:rFonts w:hint="eastAsia" w:ascii="宋体" w:hAnsi="宋体" w:cs="宋体"/>
        </w:rPr>
        <w:t>（六）法律、行政法规规定的其他条件。</w:t>
      </w:r>
    </w:p>
    <w:p>
      <w:pPr>
        <w:pStyle w:val="15"/>
        <w:spacing w:line="360" w:lineRule="auto"/>
        <w:ind w:left="15" w:leftChars="7" w:right="103" w:rightChars="49" w:firstLine="564" w:firstLineChars="297"/>
        <w:rPr>
          <w:rFonts w:ascii="宋体"/>
        </w:rPr>
      </w:pPr>
      <w:r>
        <w:rPr>
          <w:rFonts w:hint="eastAsia" w:ascii="宋体" w:hAnsi="宋体" w:cs="宋体"/>
          <w:spacing w:val="-10"/>
        </w:rPr>
        <w:t>二、</w:t>
      </w:r>
      <w:r>
        <w:rPr>
          <w:rFonts w:hint="eastAsia" w:ascii="宋体" w:hAnsi="宋体" w:cs="宋体"/>
        </w:rPr>
        <w:t>根据《中华人民共和国政府采购法实施条例》的规定，本公司（企业）如为采购项目（包组）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pPr>
        <w:pStyle w:val="15"/>
        <w:spacing w:line="360" w:lineRule="auto"/>
        <w:ind w:left="15" w:leftChars="7" w:right="103" w:rightChars="49" w:firstLine="588"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pPr>
        <w:pStyle w:val="15"/>
        <w:spacing w:line="360" w:lineRule="auto"/>
        <w:ind w:left="-181" w:leftChars="-86" w:right="104" w:firstLine="399"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pPr>
        <w:pStyle w:val="15"/>
        <w:spacing w:before="54" w:line="360" w:lineRule="auto"/>
        <w:ind w:left="420"/>
        <w:rPr>
          <w:rFonts w:ascii="宋体"/>
        </w:rPr>
      </w:pPr>
      <w:r>
        <w:rPr>
          <w:rFonts w:hint="eastAsia" w:ascii="宋体" w:hAnsi="宋体" w:cs="宋体"/>
        </w:rPr>
        <w:t>特此声明！</w:t>
      </w:r>
    </w:p>
    <w:p>
      <w:pPr>
        <w:pStyle w:val="15"/>
        <w:spacing w:before="23" w:line="360" w:lineRule="auto"/>
        <w:ind w:left="199" w:hanging="199" w:hangingChars="95"/>
      </w:pPr>
      <w:r>
        <w:rPr>
          <w:rFonts w:hint="eastAsia" w:ascii="宋体" w:hAnsi="宋体" w:cs="宋体"/>
        </w:rPr>
        <w:t>备注：</w:t>
      </w:r>
      <w:r>
        <w:rPr>
          <w:rFonts w:ascii="宋体" w:hAnsi="宋体" w:cs="宋体"/>
        </w:rPr>
        <w:t>1.</w:t>
      </w:r>
      <w:r>
        <w:rPr>
          <w:rFonts w:ascii="宋体"/>
        </w:rPr>
        <w:t xml:space="preserve"> </w:t>
      </w:r>
      <w:r>
        <w:rPr>
          <w:rFonts w:hint="eastAsia" w:ascii="宋体" w:hAnsi="宋体" w:cs="宋体"/>
        </w:rPr>
        <w:t>本声明函如有虚假或与事实不符的，作无效报价处理。</w:t>
      </w:r>
    </w:p>
    <w:p>
      <w:pPr>
        <w:spacing w:line="480" w:lineRule="auto"/>
      </w:pPr>
      <w:r>
        <w:rPr>
          <w:rFonts w:hint="eastAsia" w:cs="宋体"/>
        </w:rPr>
        <w:t>供应商法定代表人（或法定代表人授权代表）签字或盖私章：</w:t>
      </w:r>
      <w:r>
        <w:t xml:space="preserve">                   </w:t>
      </w:r>
    </w:p>
    <w:p>
      <w:pPr>
        <w:spacing w:line="480" w:lineRule="auto"/>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rPr>
          <w:rFonts w:ascii="宋体" w:cs="Times New Roman"/>
          <w:b/>
          <w:bCs/>
          <w:sz w:val="24"/>
          <w:szCs w:val="24"/>
        </w:rPr>
      </w:pPr>
      <w:r>
        <w:rPr>
          <w:rFonts w:hint="eastAsia" w:ascii="宋体" w:hAnsi="宋体" w:cs="宋体"/>
          <w:b/>
          <w:bCs/>
          <w:sz w:val="24"/>
          <w:szCs w:val="24"/>
        </w:rPr>
        <w:t>附件：</w:t>
      </w:r>
    </w:p>
    <w:p>
      <w:pPr>
        <w:numPr>
          <w:ilvl w:val="0"/>
          <w:numId w:val="64"/>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0"/>
          <w:numId w:val="64"/>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72" w:name="_Hlk38352089"/>
      <w:r>
        <w:rPr>
          <w:rFonts w:hint="eastAsia" w:ascii="宋体" w:hAnsi="宋体" w:cs="宋体"/>
        </w:rPr>
        <w:t>加盖公章</w:t>
      </w:r>
      <w:bookmarkEnd w:id="72"/>
      <w:r>
        <w:rPr>
          <w:rFonts w:hint="eastAsia" w:ascii="宋体" w:hAnsi="宋体" w:cs="宋体"/>
        </w:rPr>
        <w:t>；</w:t>
      </w:r>
    </w:p>
    <w:p>
      <w:pPr>
        <w:numPr>
          <w:ilvl w:val="0"/>
          <w:numId w:val="64"/>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pPr>
        <w:numPr>
          <w:ilvl w:val="0"/>
          <w:numId w:val="64"/>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pPr>
        <w:numPr>
          <w:ilvl w:val="0"/>
          <w:numId w:val="64"/>
        </w:numPr>
        <w:spacing w:line="360" w:lineRule="auto"/>
        <w:ind w:hanging="5"/>
        <w:rPr>
          <w:rFonts w:cs="Times New Roman"/>
        </w:rPr>
      </w:pPr>
      <w:r>
        <w:rPr>
          <w:rFonts w:hint="eastAsia" w:ascii="宋体" w:hAnsi="宋体" w:cs="宋体"/>
        </w:rPr>
        <w:t>资格条件要求的其他文件（如有），提供相应复印件加盖公章；</w:t>
      </w:r>
    </w:p>
    <w:p>
      <w:pPr>
        <w:pStyle w:val="2"/>
        <w:ind w:firstLine="210"/>
        <w:rPr>
          <w:rFonts w:ascii="宋体" w:hAnsi="宋体" w:cs="宋体"/>
        </w:rPr>
      </w:pPr>
    </w:p>
    <w:p>
      <w:pPr>
        <w:pStyle w:val="2"/>
        <w:ind w:firstLine="210"/>
        <w:rPr>
          <w:rFonts w:ascii="宋体" w:hAnsi="宋体" w:cs="宋体"/>
        </w:rPr>
      </w:pPr>
    </w:p>
    <w:p>
      <w:pPr>
        <w:pStyle w:val="2"/>
        <w:ind w:firstLine="210"/>
        <w:rPr>
          <w:rFonts w:ascii="宋体" w:hAnsi="宋体" w:cs="宋体"/>
        </w:rPr>
      </w:pPr>
    </w:p>
    <w:p>
      <w:pPr>
        <w:pStyle w:val="4"/>
        <w:keepLines w:val="0"/>
        <w:numPr>
          <w:ilvl w:val="0"/>
          <w:numId w:val="62"/>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无围标、串标行为承诺书</w:t>
      </w:r>
    </w:p>
    <w:p>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pPr>
        <w:spacing w:line="360" w:lineRule="auto"/>
        <w:ind w:firstLine="420" w:firstLineChars="200"/>
        <w:rPr>
          <w:rFonts w:cs="Times New Roman"/>
        </w:rPr>
      </w:pPr>
      <w:r>
        <w:rPr>
          <w:rFonts w:hint="eastAsia" w:ascii="宋体" w:hAnsi="宋体" w:cs="宋体"/>
        </w:rPr>
        <w:t>特此承诺。</w:t>
      </w:r>
    </w:p>
    <w:p>
      <w:pPr>
        <w:spacing w:line="480" w:lineRule="auto"/>
      </w:pPr>
      <w:r>
        <w:rPr>
          <w:rFonts w:hint="eastAsia" w:cs="宋体"/>
        </w:rPr>
        <w:t>供应商法定代表人（或法定代表人授权代表）签字或盖私章：</w:t>
      </w:r>
      <w:r>
        <w:t xml:space="preserve">                   </w:t>
      </w:r>
    </w:p>
    <w:p>
      <w:pPr>
        <w:spacing w:line="480" w:lineRule="auto"/>
      </w:pPr>
      <w:r>
        <w:rPr>
          <w:rFonts w:hint="eastAsia" w:cs="宋体"/>
        </w:rPr>
        <w:t>供应商名称（盖公章）：</w:t>
      </w:r>
      <w:r>
        <w:t xml:space="preserve">                        </w:t>
      </w:r>
    </w:p>
    <w:p>
      <w:pPr>
        <w:spacing w:line="480" w:lineRule="auto"/>
        <w:rPr>
          <w:rFonts w:ascii="宋体" w:cs="Times New Roman"/>
          <w:b/>
          <w:bCs/>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bookmarkEnd w:id="71"/>
    </w:p>
    <w:p>
      <w:pPr>
        <w:pStyle w:val="2"/>
        <w:ind w:firstLine="210"/>
      </w:pPr>
    </w:p>
    <w:p>
      <w:pPr>
        <w:pStyle w:val="2"/>
        <w:ind w:firstLine="210"/>
      </w:pPr>
    </w:p>
    <w:p>
      <w:pPr>
        <w:pStyle w:val="3"/>
        <w:numPr>
          <w:ilvl w:val="0"/>
          <w:numId w:val="65"/>
        </w:numPr>
        <w:spacing w:before="0" w:after="0" w:line="360" w:lineRule="auto"/>
        <w:jc w:val="center"/>
        <w:rPr>
          <w:rFonts w:ascii="黑体" w:eastAsia="黑体"/>
          <w:b w:val="0"/>
          <w:bCs w:val="0"/>
          <w:sz w:val="32"/>
          <w:szCs w:val="32"/>
        </w:rPr>
      </w:pPr>
      <w:bookmarkStart w:id="73" w:name="_Toc27679"/>
      <w:r>
        <w:rPr>
          <w:rFonts w:hint="eastAsia" w:ascii="黑体" w:eastAsia="黑体" w:cs="黑体"/>
          <w:b w:val="0"/>
          <w:bCs w:val="0"/>
          <w:sz w:val="32"/>
          <w:szCs w:val="32"/>
        </w:rPr>
        <w:t>用户需求条款响应表</w:t>
      </w:r>
      <w:bookmarkEnd w:id="73"/>
    </w:p>
    <w:p>
      <w:pPr>
        <w:pStyle w:val="4"/>
        <w:ind w:firstLine="2650" w:firstLineChars="1100"/>
        <w:rPr>
          <w:rFonts w:ascii="宋体" w:hAnsi="宋体" w:eastAsia="宋体" w:cs="Times New Roman"/>
        </w:rPr>
      </w:pPr>
      <w:bookmarkStart w:id="74" w:name="_Toc1142"/>
      <w:bookmarkStart w:id="75" w:name="_Toc15567"/>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74"/>
      <w:bookmarkEnd w:id="75"/>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pPr>
              <w:jc w:val="center"/>
              <w:rPr>
                <w:rFonts w:ascii="宋体" w:cs="Times New Roman"/>
                <w:b/>
                <w:bCs/>
              </w:rPr>
            </w:pPr>
            <w:r>
              <w:rPr>
                <w:rFonts w:hint="eastAsia" w:ascii="宋体" w:hAnsi="宋体" w:cs="宋体"/>
                <w:b/>
                <w:bCs/>
              </w:rPr>
              <w:t>序号</w:t>
            </w:r>
          </w:p>
        </w:tc>
        <w:tc>
          <w:tcPr>
            <w:tcW w:w="4970" w:type="dxa"/>
            <w:shd w:val="clear" w:color="auto" w:fill="D9D9D9"/>
            <w:vAlign w:val="center"/>
          </w:tcPr>
          <w:p>
            <w:pPr>
              <w:jc w:val="center"/>
              <w:rPr>
                <w:rFonts w:ascii="宋体" w:cs="Times New Roman"/>
                <w:b/>
                <w:bCs/>
              </w:rPr>
            </w:pPr>
            <w:r>
              <w:rPr>
                <w:rFonts w:hint="eastAsia" w:ascii="宋体" w:hAnsi="宋体" w:cs="宋体"/>
                <w:b/>
                <w:bCs/>
              </w:rPr>
              <w:t>一般商务条款要求</w:t>
            </w:r>
          </w:p>
        </w:tc>
        <w:tc>
          <w:tcPr>
            <w:tcW w:w="1289" w:type="dxa"/>
            <w:shd w:val="clear" w:color="auto" w:fill="D9D9D9"/>
            <w:vAlign w:val="center"/>
          </w:tcPr>
          <w:p>
            <w:pPr>
              <w:jc w:val="center"/>
              <w:rPr>
                <w:rFonts w:ascii="宋体" w:cs="Times New Roman"/>
                <w:b/>
                <w:bCs/>
              </w:rPr>
            </w:pPr>
            <w:r>
              <w:rPr>
                <w:rFonts w:hint="eastAsia" w:ascii="宋体" w:hAnsi="宋体" w:cs="宋体"/>
                <w:b/>
                <w:bCs/>
              </w:rPr>
              <w:t>是否响应</w:t>
            </w:r>
          </w:p>
        </w:tc>
        <w:tc>
          <w:tcPr>
            <w:tcW w:w="1613" w:type="dxa"/>
            <w:shd w:val="clear" w:color="auto" w:fill="D9D9D9"/>
            <w:vAlign w:val="center"/>
          </w:tcPr>
          <w:p>
            <w:pPr>
              <w:jc w:val="center"/>
              <w:rPr>
                <w:rFonts w:ascii="宋体" w:cs="Times New Roman"/>
                <w:b/>
                <w:bCs/>
              </w:rPr>
            </w:pPr>
            <w:r>
              <w:rPr>
                <w:rFonts w:hint="eastAsia" w:ascii="宋体" w:hAnsi="宋体" w:cs="宋体"/>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pPr>
              <w:jc w:val="center"/>
              <w:rPr>
                <w:rFonts w:ascii="宋体" w:cs="Times New Roman"/>
              </w:rPr>
            </w:pPr>
            <w:r>
              <w:rPr>
                <w:rFonts w:ascii="宋体" w:hAnsi="宋体" w:cs="宋体"/>
              </w:rPr>
              <w:t>1</w:t>
            </w:r>
          </w:p>
        </w:tc>
        <w:tc>
          <w:tcPr>
            <w:tcW w:w="4970" w:type="dxa"/>
            <w:vAlign w:val="center"/>
          </w:tcPr>
          <w:p>
            <w:pPr>
              <w:rPr>
                <w:rFonts w:ascii="宋体" w:cs="Times New Roman"/>
              </w:rPr>
            </w:pPr>
            <w:r>
              <w:rPr>
                <w:rFonts w:hint="eastAsia" w:ascii="宋体" w:hAnsi="宋体" w:cs="宋体"/>
              </w:rPr>
              <w:t>完全理解并接受合同条款要求</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2</w:t>
            </w:r>
          </w:p>
        </w:tc>
        <w:tc>
          <w:tcPr>
            <w:tcW w:w="4970" w:type="dxa"/>
            <w:vAlign w:val="center"/>
          </w:tcPr>
          <w:p>
            <w:pPr>
              <w:rPr>
                <w:rFonts w:ascii="宋体" w:cs="Times New Roman"/>
              </w:rPr>
            </w:pPr>
            <w:r>
              <w:rPr>
                <w:rFonts w:hint="eastAsia" w:ascii="宋体" w:hAnsi="宋体" w:cs="宋体"/>
              </w:rPr>
              <w:t>完全理解并接受对合格供应商、合格的货物要求</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3</w:t>
            </w:r>
          </w:p>
        </w:tc>
        <w:tc>
          <w:tcPr>
            <w:tcW w:w="4970" w:type="dxa"/>
            <w:vAlign w:val="center"/>
          </w:tcPr>
          <w:p>
            <w:pPr>
              <w:rPr>
                <w:rFonts w:ascii="宋体" w:cs="Times New Roman"/>
              </w:rPr>
            </w:pPr>
            <w:r>
              <w:rPr>
                <w:rFonts w:hint="eastAsia" w:ascii="宋体" w:hAnsi="宋体" w:cs="宋体"/>
              </w:rPr>
              <w:t>完全理解并接受对供应商的各项须知、规约要求和责任义务</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4</w:t>
            </w:r>
          </w:p>
        </w:tc>
        <w:tc>
          <w:tcPr>
            <w:tcW w:w="4970" w:type="dxa"/>
            <w:vAlign w:val="center"/>
          </w:tcPr>
          <w:p>
            <w:pPr>
              <w:rPr>
                <w:rFonts w:ascii="宋体" w:cs="Times New Roman"/>
              </w:rPr>
            </w:pPr>
            <w:r>
              <w:rPr>
                <w:rFonts w:hint="eastAsia" w:ascii="宋体" w:hAnsi="宋体" w:cs="宋体"/>
              </w:rPr>
              <w:t>可提供制造商出具的供货来源证明或供货渠道与品质的合法性证明</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5</w:t>
            </w:r>
          </w:p>
        </w:tc>
        <w:tc>
          <w:tcPr>
            <w:tcW w:w="4970" w:type="dxa"/>
            <w:vAlign w:val="center"/>
          </w:tcPr>
          <w:p>
            <w:pPr>
              <w:rPr>
                <w:rFonts w:ascii="宋体" w:cs="Times New Roman"/>
              </w:rPr>
            </w:pPr>
            <w:r>
              <w:rPr>
                <w:rFonts w:hint="eastAsia" w:ascii="宋体" w:hAnsi="宋体" w:cs="宋体"/>
              </w:rPr>
              <w:t>投标有效期：投标有效期为自递交响应文件起至确定正式中标人止不少于</w:t>
            </w:r>
            <w:r>
              <w:rPr>
                <w:rFonts w:ascii="宋体" w:hAnsi="宋体" w:cs="宋体"/>
                <w:u w:val="single"/>
              </w:rPr>
              <w:t xml:space="preserve"> 90 </w:t>
            </w:r>
            <w:r>
              <w:rPr>
                <w:rFonts w:hint="eastAsia" w:ascii="宋体" w:hAnsi="宋体" w:cs="宋体"/>
              </w:rPr>
              <w:t>天。</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6</w:t>
            </w:r>
          </w:p>
        </w:tc>
        <w:tc>
          <w:tcPr>
            <w:tcW w:w="4970" w:type="dxa"/>
            <w:vAlign w:val="center"/>
          </w:tcPr>
          <w:p>
            <w:pPr>
              <w:rPr>
                <w:rFonts w:ascii="宋体" w:cs="Times New Roman"/>
              </w:rPr>
            </w:pPr>
            <w:r>
              <w:rPr>
                <w:rFonts w:hint="eastAsia" w:ascii="宋体" w:hAnsi="宋体" w:cs="宋体"/>
              </w:rPr>
              <w:t>报价内容均涵盖报价要求之一切费用和伴随服务</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pPr>
              <w:jc w:val="center"/>
              <w:rPr>
                <w:rFonts w:ascii="宋体" w:cs="Times New Roman"/>
              </w:rPr>
            </w:pPr>
            <w:r>
              <w:rPr>
                <w:rFonts w:ascii="宋体" w:hAnsi="宋体" w:cs="宋体"/>
              </w:rPr>
              <w:t>7</w:t>
            </w:r>
          </w:p>
        </w:tc>
        <w:tc>
          <w:tcPr>
            <w:tcW w:w="4970" w:type="dxa"/>
            <w:vAlign w:val="center"/>
          </w:tcPr>
          <w:p>
            <w:pPr>
              <w:rPr>
                <w:rFonts w:ascii="宋体" w:cs="Times New Roman"/>
              </w:rPr>
            </w:pPr>
            <w:r>
              <w:rPr>
                <w:rFonts w:hint="eastAsia" w:ascii="宋体" w:hAnsi="宋体" w:cs="宋体"/>
              </w:rPr>
              <w:t>质保期：详见“第二章</w:t>
            </w:r>
            <w:r>
              <w:rPr>
                <w:rFonts w:ascii="宋体" w:hAnsi="宋体" w:cs="宋体"/>
              </w:rPr>
              <w:t xml:space="preserve"> </w:t>
            </w:r>
            <w:r>
              <w:rPr>
                <w:rFonts w:hint="eastAsia" w:ascii="宋体" w:hAnsi="宋体" w:cs="宋体"/>
              </w:rPr>
              <w:t>用户需求书”</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8</w:t>
            </w:r>
          </w:p>
        </w:tc>
        <w:tc>
          <w:tcPr>
            <w:tcW w:w="4970" w:type="dxa"/>
            <w:vAlign w:val="center"/>
          </w:tcPr>
          <w:p>
            <w:pPr>
              <w:rPr>
                <w:rFonts w:ascii="宋体" w:cs="Times New Roman"/>
              </w:rPr>
            </w:pPr>
            <w:r>
              <w:rPr>
                <w:rFonts w:hint="eastAsia" w:ascii="宋体" w:hAnsi="宋体" w:cs="宋体"/>
              </w:rPr>
              <w:t>满足对售后服务的各项要求</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9</w:t>
            </w:r>
          </w:p>
        </w:tc>
        <w:tc>
          <w:tcPr>
            <w:tcW w:w="4970" w:type="dxa"/>
            <w:vAlign w:val="center"/>
          </w:tcPr>
          <w:p>
            <w:pPr>
              <w:rPr>
                <w:rFonts w:ascii="宋体" w:cs="Times New Roman"/>
              </w:rPr>
            </w:pPr>
            <w:r>
              <w:rPr>
                <w:rFonts w:hint="eastAsia" w:ascii="宋体" w:hAnsi="宋体" w:cs="宋体"/>
                <w:lang w:val="en-GB"/>
              </w:rPr>
              <w:t>同意接受合同范本所列述的各项条款</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10</w:t>
            </w:r>
          </w:p>
        </w:tc>
        <w:tc>
          <w:tcPr>
            <w:tcW w:w="4970" w:type="dxa"/>
            <w:vAlign w:val="center"/>
          </w:tcPr>
          <w:p>
            <w:pPr>
              <w:rPr>
                <w:rFonts w:ascii="宋体" w:cs="Times New Roman"/>
              </w:rPr>
            </w:pPr>
            <w:r>
              <w:rPr>
                <w:rFonts w:hint="eastAsia" w:ascii="宋体" w:hAnsi="宋体" w:cs="宋体"/>
              </w:rPr>
              <w:t>同意按本项目要求缴付相关款项</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11</w:t>
            </w:r>
          </w:p>
        </w:tc>
        <w:tc>
          <w:tcPr>
            <w:tcW w:w="4970" w:type="dxa"/>
            <w:vAlign w:val="center"/>
          </w:tcPr>
          <w:p>
            <w:pPr>
              <w:pStyle w:val="26"/>
              <w:rPr>
                <w:rFonts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pPr>
              <w:rPr>
                <w:rFonts w:ascii="宋体" w:cs="Times New Roman"/>
              </w:rPr>
            </w:pPr>
          </w:p>
        </w:tc>
        <w:tc>
          <w:tcPr>
            <w:tcW w:w="1613" w:type="dxa"/>
            <w:vAlign w:val="center"/>
          </w:tcPr>
          <w:p>
            <w:pPr>
              <w:rPr>
                <w:rFonts w:ascii="宋体" w:cs="Times New Roman"/>
              </w:rPr>
            </w:pPr>
          </w:p>
        </w:tc>
      </w:tr>
    </w:tbl>
    <w:p>
      <w:pPr>
        <w:spacing w:line="360" w:lineRule="auto"/>
        <w:ind w:left="525" w:hanging="525" w:hangingChars="250"/>
        <w:rPr>
          <w:rFonts w:ascii="宋体" w:cs="Times New Roman"/>
        </w:rPr>
      </w:pPr>
      <w:r>
        <w:rPr>
          <w:rFonts w:hint="eastAsia" w:ascii="宋体" w:hAnsi="宋体" w:cs="宋体"/>
        </w:rPr>
        <w:t>注：</w:t>
      </w:r>
    </w:p>
    <w:p>
      <w:pPr>
        <w:numPr>
          <w:ilvl w:val="0"/>
          <w:numId w:val="66"/>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pPr>
        <w:numPr>
          <w:ilvl w:val="0"/>
          <w:numId w:val="66"/>
        </w:numPr>
        <w:tabs>
          <w:tab w:val="left" w:pos="840"/>
        </w:tabs>
        <w:spacing w:line="360" w:lineRule="auto"/>
        <w:ind w:hanging="487"/>
        <w:rPr>
          <w:rFonts w:ascii="宋体" w:cs="Times New Roman"/>
        </w:rPr>
      </w:pPr>
      <w:r>
        <w:rPr>
          <w:rFonts w:hint="eastAsia" w:ascii="宋体" w:hAnsi="宋体" w:cs="宋体"/>
        </w:rPr>
        <w:t>本表内容不得擅自修改。</w:t>
      </w:r>
    </w:p>
    <w:p>
      <w:pPr>
        <w:rPr>
          <w:rFonts w:ascii="宋体" w:cs="Times New Roman"/>
        </w:rPr>
      </w:pPr>
    </w:p>
    <w:p>
      <w:pPr>
        <w:spacing w:line="360" w:lineRule="auto"/>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3"/>
        <w:spacing w:line="360" w:lineRule="auto"/>
        <w:jc w:val="center"/>
        <w:rPr>
          <w:rFonts w:ascii="宋体"/>
        </w:rPr>
      </w:pPr>
      <w:r>
        <w:rPr>
          <w:rFonts w:ascii="宋体"/>
        </w:rPr>
        <w:br w:type="page"/>
      </w:r>
      <w:bookmarkStart w:id="76" w:name="_Toc21096"/>
      <w:bookmarkStart w:id="77" w:name="_Toc17233"/>
      <w:bookmarkStart w:id="78" w:name="_Toc32159"/>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bookmarkEnd w:id="76"/>
      <w:bookmarkEnd w:id="77"/>
    </w:p>
    <w:tbl>
      <w:tblPr>
        <w:tblStyle w:val="35"/>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6"/>
        <w:gridCol w:w="2910"/>
        <w:gridCol w:w="184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shd w:val="clear" w:color="auto" w:fill="D9D9D9"/>
            <w:vAlign w:val="center"/>
          </w:tcPr>
          <w:p>
            <w:pPr>
              <w:jc w:val="center"/>
              <w:rPr>
                <w:rFonts w:ascii="宋体" w:cs="Times New Roman"/>
                <w:b/>
                <w:bCs/>
              </w:rPr>
            </w:pPr>
            <w:r>
              <w:rPr>
                <w:rFonts w:hint="eastAsia" w:ascii="宋体" w:hAnsi="宋体" w:cs="宋体"/>
                <w:b/>
                <w:bCs/>
              </w:rPr>
              <w:t>序号</w:t>
            </w:r>
          </w:p>
        </w:tc>
        <w:tc>
          <w:tcPr>
            <w:tcW w:w="2486" w:type="dxa"/>
            <w:shd w:val="clear" w:color="auto" w:fill="D9D9D9"/>
            <w:vAlign w:val="center"/>
          </w:tcPr>
          <w:p>
            <w:pPr>
              <w:jc w:val="center"/>
              <w:rPr>
                <w:rFonts w:ascii="宋体" w:cs="Times New Roman"/>
                <w:b/>
                <w:bCs/>
              </w:rPr>
            </w:pPr>
            <w:r>
              <w:rPr>
                <w:rFonts w:hint="eastAsia" w:ascii="宋体" w:hAnsi="宋体" w:cs="宋体"/>
                <w:b/>
                <w:bCs/>
              </w:rPr>
              <w:t>磋商文件条款描述</w:t>
            </w:r>
          </w:p>
        </w:tc>
        <w:tc>
          <w:tcPr>
            <w:tcW w:w="2910" w:type="dxa"/>
            <w:shd w:val="clear" w:color="auto" w:fill="D9D9D9"/>
            <w:vAlign w:val="center"/>
          </w:tcPr>
          <w:p>
            <w:pPr>
              <w:jc w:val="center"/>
              <w:rPr>
                <w:rFonts w:ascii="宋体" w:cs="Times New Roman"/>
                <w:b/>
                <w:bCs/>
              </w:rPr>
            </w:pPr>
            <w:r>
              <w:rPr>
                <w:rFonts w:hint="eastAsia" w:ascii="宋体" w:hAnsi="宋体" w:cs="宋体"/>
                <w:b/>
                <w:bCs/>
              </w:rPr>
              <w:t>投标实际参数</w:t>
            </w:r>
          </w:p>
          <w:p>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45" w:type="dxa"/>
            <w:shd w:val="clear" w:color="auto" w:fill="D9D9D9"/>
            <w:vAlign w:val="center"/>
          </w:tcPr>
          <w:p>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793" w:type="dxa"/>
            <w:shd w:val="clear" w:color="auto" w:fill="D9D9D9"/>
            <w:vAlign w:val="center"/>
          </w:tcPr>
          <w:p>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pPr>
              <w:jc w:val="center"/>
              <w:rPr>
                <w:rFonts w:ascii="宋体" w:cs="Times New Roman"/>
                <w:b/>
                <w:bCs/>
              </w:rPr>
            </w:pPr>
            <w:r>
              <w:rPr>
                <w:rFonts w:hint="eastAsia" w:ascii="宋体" w:hAnsi="宋体" w:cs="宋体"/>
                <w:b/>
                <w:bCs/>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1</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ascii="宋体" w:cs="Times New Roman"/>
                <w:kern w:val="0"/>
              </w:rPr>
            </w:pPr>
            <w:r>
              <w:rPr>
                <w:rFonts w:hint="eastAsia" w:ascii="宋体" w:hAnsi="宋体" w:cs="宋体"/>
                <w:kern w:val="0"/>
              </w:rPr>
              <w:t>见《响应文件》</w:t>
            </w:r>
          </w:p>
          <w:p>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2</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cs="Times New Roman"/>
              </w:rPr>
            </w:pPr>
            <w:r>
              <w:rPr>
                <w:rFonts w:hint="eastAsia" w:cs="宋体"/>
              </w:rPr>
              <w:t>见《响应文件》</w:t>
            </w:r>
          </w:p>
          <w:p>
            <w:pPr>
              <w:pStyle w:val="15"/>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3</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cs="Times New Roman"/>
              </w:rPr>
            </w:pPr>
            <w:r>
              <w:rPr>
                <w:rFonts w:hint="eastAsia" w:cs="宋体"/>
              </w:rPr>
              <w:t>见《响应文件》</w:t>
            </w:r>
          </w:p>
          <w:p>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4</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cs="Times New Roman"/>
              </w:rPr>
            </w:pPr>
            <w:r>
              <w:rPr>
                <w:rFonts w:hint="eastAsia" w:cs="宋体"/>
              </w:rPr>
              <w:t>见《响应文件》</w:t>
            </w:r>
          </w:p>
          <w:p>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5</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cs="Times New Roman"/>
              </w:rPr>
            </w:pPr>
            <w:r>
              <w:rPr>
                <w:rFonts w:hint="eastAsia" w:cs="宋体"/>
              </w:rPr>
              <w:t>见《响应文件》</w:t>
            </w:r>
          </w:p>
          <w:p>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6</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cs="Times New Roman"/>
              </w:rPr>
            </w:pPr>
            <w:r>
              <w:rPr>
                <w:rFonts w:hint="eastAsia" w:cs="宋体"/>
              </w:rPr>
              <w:t>见《响应文件》</w:t>
            </w:r>
          </w:p>
          <w:p>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7</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cs="Times New Roman"/>
              </w:rPr>
            </w:pPr>
            <w:r>
              <w:rPr>
                <w:rFonts w:hint="eastAsia" w:cs="宋体"/>
              </w:rPr>
              <w:t>见《响应文件》</w:t>
            </w:r>
          </w:p>
          <w:p>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8</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cs="Times New Roman"/>
              </w:rPr>
            </w:pPr>
            <w:r>
              <w:rPr>
                <w:rFonts w:hint="eastAsia" w:cs="宋体"/>
              </w:rPr>
              <w:t>见《响应文件》</w:t>
            </w:r>
          </w:p>
          <w:p>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hint="eastAsia" w:ascii="宋体" w:hAnsi="宋体" w:cs="宋体"/>
              </w:rPr>
              <w:t>…</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ascii="宋体" w:cs="Times New Roman"/>
              </w:rPr>
            </w:pPr>
          </w:p>
        </w:tc>
      </w:tr>
    </w:tbl>
    <w:p>
      <w:pPr>
        <w:spacing w:line="360" w:lineRule="auto"/>
        <w:rPr>
          <w:rFonts w:ascii="宋体" w:cs="Times New Roman"/>
        </w:rPr>
      </w:pPr>
      <w:r>
        <w:rPr>
          <w:rFonts w:hint="eastAsia" w:ascii="宋体" w:hAnsi="宋体" w:cs="宋体"/>
        </w:rPr>
        <w:t>注：</w:t>
      </w:r>
    </w:p>
    <w:p>
      <w:pPr>
        <w:numPr>
          <w:ilvl w:val="0"/>
          <w:numId w:val="67"/>
        </w:numPr>
        <w:tabs>
          <w:tab w:val="left" w:pos="907"/>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供应商必须对应磋商文件“用户需求书”中技术条款带“★”项内容逐条响应。如有缺漏，缺漏项视同不符合招标要求。带“★”</w:t>
      </w:r>
      <w:r>
        <w:rPr>
          <w:rFonts w:ascii="宋体" w:hAnsi="宋体" w:cs="宋体"/>
        </w:rPr>
        <w:t xml:space="preserve"> </w:t>
      </w:r>
      <w:r>
        <w:rPr>
          <w:rFonts w:hint="eastAsia" w:ascii="宋体" w:hAnsi="宋体" w:cs="宋体"/>
        </w:rPr>
        <w:t>项为不可负偏离</w:t>
      </w:r>
      <w:r>
        <w:rPr>
          <w:rFonts w:ascii="宋体" w:hAnsi="宋体" w:cs="宋体"/>
        </w:rPr>
        <w:t>(</w:t>
      </w:r>
      <w:r>
        <w:rPr>
          <w:rFonts w:hint="eastAsia" w:ascii="宋体" w:hAnsi="宋体" w:cs="宋体"/>
        </w:rPr>
        <w:t>劣于</w:t>
      </w:r>
      <w:r>
        <w:rPr>
          <w:rFonts w:ascii="宋体" w:hAnsi="宋体" w:cs="宋体"/>
        </w:rPr>
        <w:t>)</w:t>
      </w:r>
      <w:r>
        <w:rPr>
          <w:rFonts w:hint="eastAsia" w:ascii="宋体" w:hAnsi="宋体" w:cs="宋体"/>
        </w:rPr>
        <w:t>的重要项。</w:t>
      </w:r>
    </w:p>
    <w:p>
      <w:pPr>
        <w:numPr>
          <w:ilvl w:val="0"/>
          <w:numId w:val="67"/>
        </w:numPr>
        <w:tabs>
          <w:tab w:val="left" w:pos="907"/>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pPr>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4"/>
        <w:jc w:val="center"/>
        <w:rPr>
          <w:rFonts w:ascii="宋体" w:hAnsi="宋体" w:eastAsia="宋体" w:cs="Times New Roman"/>
          <w:sz w:val="24"/>
          <w:szCs w:val="24"/>
        </w:rPr>
      </w:pPr>
      <w:bookmarkStart w:id="79" w:name="_Hlk38364529"/>
      <w:r>
        <w:rPr>
          <w:rFonts w:hint="eastAsia" w:ascii="宋体" w:hAnsi="宋体" w:eastAsia="宋体" w:cs="宋体"/>
          <w:sz w:val="24"/>
          <w:szCs w:val="24"/>
        </w:rPr>
        <w:t>（三）</w:t>
      </w:r>
      <w:bookmarkEnd w:id="79"/>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pPr>
              <w:jc w:val="center"/>
              <w:rPr>
                <w:rFonts w:ascii="宋体" w:cs="Times New Roman"/>
                <w:b/>
                <w:bCs/>
              </w:rPr>
            </w:pPr>
            <w:r>
              <w:rPr>
                <w:rFonts w:hint="eastAsia" w:ascii="宋体" w:hAnsi="宋体" w:cs="宋体"/>
                <w:b/>
                <w:bCs/>
              </w:rPr>
              <w:t>序号</w:t>
            </w:r>
          </w:p>
        </w:tc>
        <w:tc>
          <w:tcPr>
            <w:tcW w:w="1973" w:type="dxa"/>
            <w:shd w:val="clear" w:color="auto" w:fill="D9D9D9"/>
            <w:vAlign w:val="center"/>
          </w:tcPr>
          <w:p>
            <w:pPr>
              <w:jc w:val="center"/>
              <w:rPr>
                <w:rFonts w:ascii="宋体" w:cs="Times New Roman"/>
                <w:b/>
                <w:bCs/>
              </w:rPr>
            </w:pPr>
            <w:r>
              <w:rPr>
                <w:rFonts w:hint="eastAsia" w:ascii="宋体" w:hAnsi="宋体" w:cs="宋体"/>
                <w:b/>
                <w:bCs/>
              </w:rPr>
              <w:t>磋商文件条款描述</w:t>
            </w:r>
          </w:p>
        </w:tc>
        <w:tc>
          <w:tcPr>
            <w:tcW w:w="3207" w:type="dxa"/>
            <w:shd w:val="clear" w:color="auto" w:fill="D9D9D9"/>
            <w:vAlign w:val="center"/>
          </w:tcPr>
          <w:p>
            <w:pPr>
              <w:jc w:val="center"/>
              <w:rPr>
                <w:rFonts w:ascii="宋体" w:cs="Times New Roman"/>
                <w:b/>
                <w:bCs/>
              </w:rPr>
            </w:pPr>
            <w:r>
              <w:rPr>
                <w:rFonts w:hint="eastAsia" w:ascii="宋体" w:hAnsi="宋体" w:cs="宋体"/>
                <w:b/>
                <w:bCs/>
              </w:rPr>
              <w:t>投标实际参数</w:t>
            </w:r>
          </w:p>
          <w:p>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90" w:type="dxa"/>
            <w:shd w:val="clear" w:color="auto" w:fill="D9D9D9"/>
            <w:vAlign w:val="center"/>
          </w:tcPr>
          <w:p>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26" w:type="dxa"/>
            <w:shd w:val="clear" w:color="auto" w:fill="D9D9D9"/>
            <w:vAlign w:val="center"/>
          </w:tcPr>
          <w:p>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pPr>
              <w:jc w:val="center"/>
              <w:rPr>
                <w:rFonts w:ascii="宋体" w:cs="Times New Roman"/>
                <w:b/>
                <w:bCs/>
              </w:rPr>
            </w:pPr>
            <w:r>
              <w:rPr>
                <w:rFonts w:hint="eastAsia" w:ascii="宋体" w:hAnsi="宋体" w:cs="宋体"/>
                <w:b/>
                <w:bCs/>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1</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2</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3</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4</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5</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6</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7</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8</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hint="eastAsia" w:ascii="宋体" w:hAnsi="宋体" w:cs="宋体"/>
              </w:rPr>
              <w:t>…</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bl>
    <w:p>
      <w:pPr>
        <w:spacing w:line="360" w:lineRule="auto"/>
        <w:rPr>
          <w:rFonts w:ascii="宋体" w:cs="Times New Roman"/>
        </w:rPr>
      </w:pPr>
      <w:r>
        <w:rPr>
          <w:rFonts w:hint="eastAsia" w:ascii="宋体" w:hAnsi="宋体" w:cs="宋体"/>
        </w:rPr>
        <w:t>注：</w:t>
      </w:r>
    </w:p>
    <w:p>
      <w:pPr>
        <w:numPr>
          <w:ilvl w:val="0"/>
          <w:numId w:val="68"/>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pPr>
        <w:numPr>
          <w:ilvl w:val="0"/>
          <w:numId w:val="68"/>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pPr>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4"/>
        <w:jc w:val="center"/>
        <w:rPr>
          <w:rFonts w:ascii="宋体" w:hAnsi="宋体" w:eastAsia="宋体" w:cs="Times New Roman"/>
        </w:rPr>
      </w:pPr>
      <w:bookmarkStart w:id="80" w:name="_Toc29942"/>
      <w:bookmarkStart w:id="81" w:name="_Toc29255"/>
      <w:r>
        <w:rPr>
          <w:rFonts w:hint="eastAsia" w:ascii="宋体" w:hAnsi="宋体" w:eastAsia="宋体" w:cs="宋体"/>
          <w:sz w:val="24"/>
          <w:szCs w:val="24"/>
        </w:rPr>
        <w:t>（四）一般技术条款响应表</w:t>
      </w:r>
      <w:bookmarkEnd w:id="80"/>
      <w:bookmarkEnd w:id="81"/>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pPr>
              <w:jc w:val="center"/>
              <w:rPr>
                <w:rFonts w:ascii="宋体" w:cs="Times New Roman"/>
                <w:b/>
                <w:bCs/>
              </w:rPr>
            </w:pPr>
            <w:r>
              <w:rPr>
                <w:rFonts w:hint="eastAsia" w:ascii="宋体" w:hAnsi="宋体" w:cs="宋体"/>
                <w:b/>
                <w:bCs/>
              </w:rPr>
              <w:t>序号</w:t>
            </w:r>
          </w:p>
        </w:tc>
        <w:tc>
          <w:tcPr>
            <w:tcW w:w="2011" w:type="dxa"/>
            <w:shd w:val="clear" w:color="auto" w:fill="CCCCCC"/>
            <w:vAlign w:val="center"/>
          </w:tcPr>
          <w:p>
            <w:pPr>
              <w:jc w:val="center"/>
              <w:rPr>
                <w:rFonts w:ascii="宋体" w:cs="Times New Roman"/>
                <w:b/>
                <w:bCs/>
              </w:rPr>
            </w:pPr>
            <w:r>
              <w:rPr>
                <w:rFonts w:hint="eastAsia" w:ascii="宋体" w:hAnsi="宋体" w:cs="宋体"/>
                <w:b/>
                <w:bCs/>
              </w:rPr>
              <w:t>磋商文件条款描述</w:t>
            </w:r>
          </w:p>
        </w:tc>
        <w:tc>
          <w:tcPr>
            <w:tcW w:w="3207" w:type="dxa"/>
            <w:shd w:val="clear" w:color="auto" w:fill="CCCCCC"/>
            <w:vAlign w:val="center"/>
          </w:tcPr>
          <w:p>
            <w:pPr>
              <w:jc w:val="center"/>
              <w:rPr>
                <w:rFonts w:ascii="宋体" w:cs="Times New Roman"/>
                <w:b/>
                <w:bCs/>
              </w:rPr>
            </w:pPr>
            <w:r>
              <w:rPr>
                <w:rFonts w:hint="eastAsia" w:ascii="宋体" w:hAnsi="宋体" w:cs="宋体"/>
                <w:b/>
                <w:bCs/>
              </w:rPr>
              <w:t>投标实际参数</w:t>
            </w:r>
          </w:p>
          <w:p>
            <w:pPr>
              <w:jc w:val="center"/>
              <w:rPr>
                <w:rFonts w:ascii="宋体" w:cs="Times New Roman"/>
                <w:b/>
                <w:bCs/>
              </w:rPr>
            </w:pPr>
            <w:r>
              <w:rPr>
                <w:rFonts w:ascii="宋体" w:hAnsi="宋体" w:cs="宋体"/>
                <w:b/>
                <w:bCs/>
              </w:rPr>
              <w:t>(</w:t>
            </w:r>
            <w:r>
              <w:rPr>
                <w:rFonts w:hint="eastAsia" w:ascii="宋体" w:hAnsi="宋体" w:cs="宋体"/>
                <w:b/>
                <w:bCs/>
              </w:rPr>
              <w:t>供应商应按投标实际数据填写，不能照抄招标要求</w:t>
            </w:r>
            <w:r>
              <w:rPr>
                <w:rFonts w:ascii="宋体" w:hAnsi="宋体" w:cs="宋体"/>
                <w:b/>
                <w:bCs/>
              </w:rPr>
              <w:t>)</w:t>
            </w:r>
          </w:p>
        </w:tc>
        <w:tc>
          <w:tcPr>
            <w:tcW w:w="1890" w:type="dxa"/>
            <w:shd w:val="clear" w:color="auto" w:fill="CCCCCC"/>
            <w:vAlign w:val="center"/>
          </w:tcPr>
          <w:p>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48" w:type="dxa"/>
            <w:shd w:val="clear" w:color="auto" w:fill="CCCCCC"/>
            <w:vAlign w:val="center"/>
          </w:tcPr>
          <w:p>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pPr>
              <w:jc w:val="center"/>
              <w:rPr>
                <w:rFonts w:ascii="宋体" w:cs="Times New Roman"/>
                <w:b/>
                <w:bCs/>
              </w:rPr>
            </w:pPr>
            <w:r>
              <w:rPr>
                <w:rFonts w:hint="eastAsia" w:ascii="宋体" w:hAnsi="宋体" w:cs="宋体"/>
                <w:b/>
                <w:bCs/>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1</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2</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3</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4</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5</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6</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7</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8</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pPr>
              <w:jc w:val="center"/>
              <w:rPr>
                <w:rFonts w:ascii="宋体" w:cs="Times New Roman"/>
              </w:rPr>
            </w:pPr>
            <w:r>
              <w:rPr>
                <w:rFonts w:hint="eastAsia" w:ascii="宋体" w:hAnsi="宋体" w:cs="宋体"/>
              </w:rPr>
              <w:t>…</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rPr>
                <w:rFonts w:ascii="宋体" w:cs="Times New Roman"/>
              </w:rPr>
            </w:pPr>
          </w:p>
        </w:tc>
      </w:tr>
    </w:tbl>
    <w:p>
      <w:pPr>
        <w:rPr>
          <w:rFonts w:ascii="宋体" w:cs="Times New Roman"/>
        </w:rPr>
      </w:pPr>
    </w:p>
    <w:p>
      <w:pPr>
        <w:rPr>
          <w:rFonts w:ascii="宋体" w:cs="Times New Roman"/>
        </w:rPr>
      </w:pPr>
      <w:r>
        <w:rPr>
          <w:rFonts w:hint="eastAsia" w:ascii="宋体" w:hAnsi="宋体" w:cs="宋体"/>
        </w:rPr>
        <w:t>注：</w:t>
      </w:r>
    </w:p>
    <w:p>
      <w:pPr>
        <w:numPr>
          <w:ilvl w:val="0"/>
          <w:numId w:val="69"/>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pPr>
        <w:numPr>
          <w:ilvl w:val="0"/>
          <w:numId w:val="69"/>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pPr>
        <w:rPr>
          <w:rFonts w:ascii="宋体" w:cs="Times New Roman"/>
        </w:rPr>
      </w:pPr>
    </w:p>
    <w:p>
      <w:pPr>
        <w:pStyle w:val="2"/>
        <w:ind w:firstLine="210"/>
        <w:rPr>
          <w:rFonts w:ascii="宋体" w:cs="Times New Roman"/>
        </w:rPr>
      </w:pPr>
    </w:p>
    <w:p>
      <w:pPr>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3"/>
        <w:spacing w:line="360" w:lineRule="auto"/>
        <w:jc w:val="center"/>
        <w:rPr>
          <w:rFonts w:ascii="宋体"/>
        </w:rPr>
      </w:pPr>
      <w:r>
        <w:rPr>
          <w:rFonts w:hint="eastAsia" w:ascii="宋体" w:hAnsi="宋体" w:cs="宋体"/>
          <w:sz w:val="32"/>
          <w:szCs w:val="32"/>
        </w:rPr>
        <w:t>六、业绩及评价或其他需提交的材料</w:t>
      </w:r>
    </w:p>
    <w:p>
      <w:pPr>
        <w:spacing w:line="360" w:lineRule="auto"/>
        <w:rPr>
          <w:rFonts w:ascii="宋体" w:hAnsi="宋体" w:cs="宋体"/>
        </w:rPr>
      </w:pPr>
      <w:r>
        <w:rPr>
          <w:rFonts w:hint="eastAsia" w:ascii="宋体" w:hAnsi="宋体" w:cs="宋体"/>
        </w:rPr>
        <w:t>业绩情况一览表（格式自定）</w:t>
      </w:r>
    </w:p>
    <w:tbl>
      <w:tblPr>
        <w:tblStyle w:val="3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1" w:type="dxa"/>
            <w:shd w:val="clear" w:color="auto" w:fill="D9D9D9"/>
            <w:vAlign w:val="center"/>
          </w:tcPr>
          <w:p>
            <w:pPr>
              <w:spacing w:before="156" w:after="156" w:line="240" w:lineRule="exact"/>
              <w:jc w:val="center"/>
              <w:rPr>
                <w:rFonts w:ascii="宋体" w:hAnsi="宋体"/>
                <w:b/>
                <w:bCs/>
              </w:rPr>
            </w:pPr>
            <w:r>
              <w:rPr>
                <w:rFonts w:ascii="宋体" w:hAnsi="宋体"/>
                <w:b/>
                <w:bCs/>
              </w:rPr>
              <w:t>序号</w:t>
            </w:r>
          </w:p>
        </w:tc>
        <w:tc>
          <w:tcPr>
            <w:tcW w:w="1608" w:type="dxa"/>
            <w:shd w:val="clear" w:color="auto" w:fill="D9D9D9"/>
            <w:vAlign w:val="center"/>
          </w:tcPr>
          <w:p>
            <w:pPr>
              <w:spacing w:before="156" w:after="156" w:line="240" w:lineRule="exact"/>
              <w:jc w:val="center"/>
              <w:rPr>
                <w:rFonts w:ascii="宋体" w:hAnsi="宋体"/>
                <w:b/>
                <w:bCs/>
              </w:rPr>
            </w:pPr>
            <w:r>
              <w:rPr>
                <w:rFonts w:hint="eastAsia" w:ascii="宋体" w:hAnsi="宋体"/>
                <w:b/>
                <w:bCs/>
              </w:rPr>
              <w:t>项目名称</w:t>
            </w:r>
          </w:p>
        </w:tc>
        <w:tc>
          <w:tcPr>
            <w:tcW w:w="1247" w:type="dxa"/>
            <w:shd w:val="clear" w:color="auto" w:fill="D9D9D9"/>
            <w:vAlign w:val="center"/>
          </w:tcPr>
          <w:p>
            <w:pPr>
              <w:spacing w:before="156" w:after="156" w:line="240" w:lineRule="exact"/>
              <w:jc w:val="center"/>
              <w:rPr>
                <w:rFonts w:ascii="宋体" w:hAnsi="宋体"/>
                <w:b/>
                <w:bCs/>
              </w:rPr>
            </w:pPr>
            <w:r>
              <w:rPr>
                <w:rFonts w:hint="eastAsia" w:ascii="宋体" w:hAnsi="宋体"/>
                <w:b/>
                <w:bCs/>
              </w:rPr>
              <w:t>合同金额</w:t>
            </w:r>
          </w:p>
        </w:tc>
        <w:tc>
          <w:tcPr>
            <w:tcW w:w="1276" w:type="dxa"/>
            <w:shd w:val="clear" w:color="auto" w:fill="D9D9D9"/>
            <w:vAlign w:val="center"/>
          </w:tcPr>
          <w:p>
            <w:pPr>
              <w:spacing w:before="156" w:after="156" w:line="240" w:lineRule="exact"/>
              <w:jc w:val="center"/>
              <w:rPr>
                <w:rFonts w:ascii="宋体" w:hAnsi="宋体"/>
                <w:b/>
                <w:bCs/>
              </w:rPr>
            </w:pPr>
            <w:r>
              <w:rPr>
                <w:rFonts w:hint="eastAsia" w:ascii="宋体" w:hAnsi="宋体"/>
                <w:b/>
                <w:bCs/>
              </w:rPr>
              <w:t>签约时间</w:t>
            </w:r>
          </w:p>
        </w:tc>
        <w:tc>
          <w:tcPr>
            <w:tcW w:w="2058" w:type="dxa"/>
            <w:shd w:val="clear" w:color="auto" w:fill="D9D9D9"/>
            <w:vAlign w:val="center"/>
          </w:tcPr>
          <w:p>
            <w:pPr>
              <w:spacing w:before="156" w:after="156" w:line="240" w:lineRule="exact"/>
              <w:jc w:val="center"/>
              <w:rPr>
                <w:rFonts w:ascii="宋体" w:hAnsi="宋体"/>
                <w:b/>
                <w:bCs/>
              </w:rPr>
            </w:pPr>
            <w:r>
              <w:rPr>
                <w:rFonts w:hint="eastAsia" w:ascii="宋体" w:hAnsi="宋体"/>
                <w:b/>
                <w:bCs/>
              </w:rPr>
              <w:t>联系人及联系方式</w:t>
            </w:r>
          </w:p>
        </w:tc>
        <w:tc>
          <w:tcPr>
            <w:tcW w:w="1260" w:type="dxa"/>
            <w:shd w:val="clear" w:color="auto" w:fill="D9D9D9"/>
            <w:vAlign w:val="center"/>
          </w:tcPr>
          <w:p>
            <w:pPr>
              <w:spacing w:before="156" w:after="156" w:line="240" w:lineRule="exact"/>
              <w:jc w:val="center"/>
              <w:rPr>
                <w:rFonts w:ascii="宋体" w:hAnsi="宋体"/>
                <w:b/>
                <w:bCs/>
              </w:rPr>
            </w:pPr>
            <w:r>
              <w:rPr>
                <w:rFonts w:hint="eastAsia" w:ascii="宋体" w:hAnsi="宋体"/>
                <w:b/>
                <w:bCs/>
              </w:rPr>
              <w:t>完成情况</w:t>
            </w:r>
          </w:p>
        </w:tc>
        <w:tc>
          <w:tcPr>
            <w:tcW w:w="828" w:type="dxa"/>
            <w:shd w:val="clear" w:color="auto" w:fill="D9D9D9"/>
            <w:vAlign w:val="center"/>
          </w:tcPr>
          <w:p>
            <w:pPr>
              <w:spacing w:before="156" w:after="156" w:line="240" w:lineRule="exact"/>
              <w:jc w:val="center"/>
              <w:rPr>
                <w:rFonts w:ascii="宋体" w:hAnsi="宋体"/>
                <w:b/>
                <w:bCs/>
              </w:rPr>
            </w:pPr>
            <w:r>
              <w:rPr>
                <w:rFonts w:hint="eastAsia" w:ascii="宋体" w:hAnsi="宋体"/>
                <w:b/>
                <w:bCs/>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bl>
    <w:p>
      <w:pPr>
        <w:spacing w:line="360" w:lineRule="auto"/>
        <w:rPr>
          <w:rFonts w:ascii="宋体" w:hAnsi="宋体"/>
          <w:b/>
        </w:rPr>
      </w:pPr>
      <w:bookmarkStart w:id="82" w:name="_Hlk38362550"/>
      <w:r>
        <w:rPr>
          <w:rFonts w:hint="eastAsia" w:ascii="宋体"/>
          <w:b/>
        </w:rPr>
        <w:t>注：</w:t>
      </w:r>
      <w:r>
        <w:rPr>
          <w:rFonts w:hint="eastAsia" w:ascii="宋体" w:hAnsi="宋体"/>
          <w:b/>
        </w:rPr>
        <w:t>须按评分标准要求提供证明材料。</w:t>
      </w:r>
    </w:p>
    <w:p>
      <w:pPr>
        <w:spacing w:line="480" w:lineRule="auto"/>
        <w:rPr>
          <w:rFonts w:ascii="宋体" w:hAnsi="宋体" w:cs="宋体"/>
        </w:rPr>
      </w:pPr>
    </w:p>
    <w:p>
      <w:pPr>
        <w:spacing w:line="480" w:lineRule="auto"/>
        <w:rPr>
          <w:rFonts w:ascii="宋体" w:hAnsi="宋体" w:cs="宋体"/>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2"/>
        <w:ind w:firstLine="210"/>
      </w:pPr>
    </w:p>
    <w:p>
      <w:pPr>
        <w:pStyle w:val="2"/>
        <w:ind w:firstLine="210"/>
      </w:pPr>
    </w:p>
    <w:p>
      <w:pPr>
        <w:pStyle w:val="2"/>
        <w:ind w:firstLine="210"/>
      </w:pPr>
    </w:p>
    <w:p>
      <w:pPr>
        <w:pStyle w:val="2"/>
        <w:ind w:firstLine="210"/>
      </w:pPr>
    </w:p>
    <w:p>
      <w:pPr>
        <w:pStyle w:val="2"/>
        <w:ind w:firstLine="210"/>
      </w:pPr>
    </w:p>
    <w:p>
      <w:pPr>
        <w:pStyle w:val="3"/>
        <w:spacing w:line="360" w:lineRule="auto"/>
        <w:jc w:val="center"/>
        <w:rPr>
          <w:rFonts w:ascii="宋体"/>
        </w:rPr>
      </w:pPr>
      <w:r>
        <w:rPr>
          <w:rFonts w:hint="eastAsia" w:ascii="宋体" w:hAnsi="宋体" w:cs="宋体"/>
          <w:sz w:val="32"/>
          <w:szCs w:val="32"/>
        </w:rPr>
        <w:t>七、技术服务方案及售后服务方案</w:t>
      </w:r>
      <w:bookmarkEnd w:id="78"/>
    </w:p>
    <w:bookmarkEnd w:id="82"/>
    <w:p>
      <w:pPr>
        <w:ind w:firstLine="420" w:firstLineChars="200"/>
        <w:rPr>
          <w:rFonts w:ascii="宋体" w:cs="Times New Roman"/>
        </w:rPr>
      </w:pPr>
    </w:p>
    <w:p>
      <w:pPr>
        <w:spacing w:line="360" w:lineRule="auto"/>
        <w:ind w:firstLine="210" w:firstLineChars="100"/>
        <w:rPr>
          <w:rFonts w:ascii="宋体" w:cs="Times New Roman"/>
        </w:rPr>
      </w:pPr>
      <w:bookmarkStart w:id="83" w:name="_Hlk38362799"/>
      <w:r>
        <w:rPr>
          <w:rFonts w:hint="eastAsia" w:ascii="宋体" w:hAnsi="宋体" w:cs="宋体"/>
        </w:rPr>
        <w:t>供应商根据招标需求的要求自行编写（格式自定）</w:t>
      </w:r>
    </w:p>
    <w:bookmarkEnd w:id="83"/>
    <w:p>
      <w:pPr>
        <w:spacing w:line="360" w:lineRule="auto"/>
        <w:ind w:firstLine="420" w:firstLineChars="200"/>
        <w:rPr>
          <w:rFonts w:ascii="宋体" w:hAnsi="宋体" w:cs="宋体"/>
        </w:rPr>
      </w:pPr>
    </w:p>
    <w:p>
      <w:pPr>
        <w:pStyle w:val="2"/>
        <w:ind w:firstLine="210"/>
      </w:pPr>
    </w:p>
    <w:p>
      <w:pPr>
        <w:pStyle w:val="2"/>
        <w:ind w:firstLine="210"/>
      </w:pPr>
    </w:p>
    <w:p>
      <w:pPr>
        <w:pStyle w:val="2"/>
        <w:ind w:firstLine="210"/>
      </w:pPr>
    </w:p>
    <w:p>
      <w:pPr>
        <w:pStyle w:val="2"/>
        <w:ind w:firstLine="210"/>
      </w:pPr>
    </w:p>
    <w:p>
      <w:pPr>
        <w:spacing w:line="360" w:lineRule="auto"/>
        <w:ind w:firstLine="420" w:firstLineChars="200"/>
        <w:rPr>
          <w:rFonts w:ascii="宋体" w:cs="Times New Roman"/>
        </w:rPr>
      </w:pPr>
    </w:p>
    <w:p>
      <w:pPr>
        <w:spacing w:line="360" w:lineRule="auto"/>
        <w:rPr>
          <w:rFonts w:ascii="宋体" w:cs="Times New Roman"/>
        </w:rPr>
      </w:pPr>
    </w:p>
    <w:p>
      <w:pPr>
        <w:spacing w:line="360" w:lineRule="auto"/>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360" w:lineRule="auto"/>
        <w:rPr>
          <w:rFonts w:ascii="宋体" w:cs="Times New Roman"/>
          <w:sz w:val="24"/>
          <w:szCs w:val="24"/>
        </w:rPr>
      </w:pPr>
    </w:p>
    <w:p>
      <w:pPr>
        <w:spacing w:line="480" w:lineRule="auto"/>
        <w:rPr>
          <w:rFonts w:cs="Times New Roman"/>
        </w:rPr>
      </w:pPr>
    </w:p>
    <w:p>
      <w:pPr>
        <w:spacing w:line="480" w:lineRule="auto"/>
        <w:rPr>
          <w:rFonts w:cs="Times New Roman"/>
        </w:rPr>
      </w:pPr>
    </w:p>
    <w:p>
      <w:pPr>
        <w:pStyle w:val="3"/>
        <w:spacing w:line="360" w:lineRule="auto"/>
        <w:jc w:val="center"/>
        <w:rPr>
          <w:rFonts w:ascii="黑体" w:eastAsia="黑体" w:cs="黑体"/>
          <w:b w:val="0"/>
          <w:bCs w:val="0"/>
          <w:sz w:val="32"/>
          <w:szCs w:val="32"/>
        </w:rPr>
      </w:pPr>
      <w:r>
        <w:br w:type="page"/>
      </w:r>
      <w:bookmarkStart w:id="84" w:name="_Toc29613"/>
      <w:r>
        <w:rPr>
          <w:rFonts w:hint="eastAsia" w:ascii="宋体" w:hAnsi="宋体" w:cs="宋体"/>
          <w:sz w:val="32"/>
          <w:szCs w:val="32"/>
        </w:rPr>
        <w:t>八、价格部分</w:t>
      </w:r>
    </w:p>
    <w:p>
      <w:pPr>
        <w:pStyle w:val="4"/>
        <w:jc w:val="center"/>
        <w:rPr>
          <w:rFonts w:ascii="宋体" w:hAnsi="宋体" w:eastAsia="宋体" w:cs="宋体"/>
          <w:sz w:val="24"/>
          <w:szCs w:val="24"/>
        </w:rPr>
      </w:pPr>
      <w:r>
        <w:rPr>
          <w:rFonts w:hint="eastAsia" w:ascii="宋体" w:hAnsi="宋体" w:eastAsia="宋体" w:cs="宋体"/>
          <w:sz w:val="24"/>
          <w:szCs w:val="24"/>
        </w:rPr>
        <w:t>（一）首次报价一览表</w:t>
      </w:r>
      <w:bookmarkEnd w:id="84"/>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7"/>
        <w:gridCol w:w="3664"/>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67" w:type="dxa"/>
            <w:shd w:val="clear" w:color="auto" w:fill="D9D9D9"/>
            <w:vAlign w:val="center"/>
          </w:tcPr>
          <w:p>
            <w:pPr>
              <w:jc w:val="center"/>
              <w:rPr>
                <w:b/>
                <w:color w:val="auto"/>
              </w:rPr>
            </w:pPr>
            <w:bookmarkStart w:id="85" w:name="_Hlk38364649"/>
            <w:r>
              <w:rPr>
                <w:rFonts w:hint="eastAsia"/>
                <w:b/>
                <w:color w:val="auto"/>
              </w:rPr>
              <w:t>项目名称</w:t>
            </w:r>
          </w:p>
        </w:tc>
        <w:tc>
          <w:tcPr>
            <w:tcW w:w="3664" w:type="dxa"/>
            <w:shd w:val="clear" w:color="auto" w:fill="D9D9D9"/>
            <w:vAlign w:val="center"/>
          </w:tcPr>
          <w:p>
            <w:pPr>
              <w:jc w:val="center"/>
              <w:rPr>
                <w:rFonts w:hint="eastAsia" w:eastAsia="宋体"/>
                <w:b/>
                <w:color w:val="auto"/>
                <w:lang w:eastAsia="zh-CN"/>
              </w:rPr>
            </w:pPr>
            <w:r>
              <w:rPr>
                <w:rFonts w:hint="eastAsia"/>
                <w:b/>
                <w:color w:val="auto"/>
              </w:rPr>
              <w:t>投标</w:t>
            </w:r>
            <w:r>
              <w:rPr>
                <w:rFonts w:hint="eastAsia"/>
                <w:b/>
                <w:color w:val="auto"/>
                <w:lang w:eastAsia="zh-CN"/>
              </w:rPr>
              <w:t>折扣率（</w:t>
            </w:r>
            <w:r>
              <w:rPr>
                <w:rFonts w:hint="eastAsia"/>
                <w:b/>
                <w:color w:val="auto"/>
                <w:lang w:val="en-US" w:eastAsia="zh-CN"/>
              </w:rPr>
              <w:t>百分比</w:t>
            </w:r>
            <w:r>
              <w:rPr>
                <w:rFonts w:hint="eastAsia"/>
                <w:b/>
                <w:color w:val="auto"/>
                <w:lang w:eastAsia="zh-CN"/>
              </w:rPr>
              <w:t>）</w:t>
            </w:r>
          </w:p>
        </w:tc>
        <w:tc>
          <w:tcPr>
            <w:tcW w:w="1709" w:type="dxa"/>
            <w:shd w:val="clear" w:color="auto" w:fill="D9D9D9"/>
            <w:vAlign w:val="center"/>
          </w:tcPr>
          <w:p>
            <w:pPr>
              <w:jc w:val="center"/>
              <w:rPr>
                <w:b/>
                <w:color w:val="auto"/>
              </w:rPr>
            </w:pPr>
            <w:r>
              <w:rPr>
                <w:rFonts w:hint="eastAsia"/>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9" w:hRule="atLeast"/>
        </w:trPr>
        <w:tc>
          <w:tcPr>
            <w:tcW w:w="346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s="Arial"/>
                <w:bCs/>
                <w:color w:val="auto"/>
                <w:lang w:eastAsia="zh-CN"/>
              </w:rPr>
            </w:pPr>
            <w:r>
              <w:rPr>
                <w:rFonts w:hint="eastAsia" w:cs="Arial" w:eastAsiaTheme="minorEastAsia"/>
                <w:bCs/>
                <w:color w:val="auto"/>
                <w:lang w:eastAsia="zh-CN"/>
              </w:rPr>
              <w:t>中山市技师学院</w:t>
            </w:r>
            <w:r>
              <w:rPr>
                <w:rFonts w:hint="eastAsia" w:cs="Arial" w:eastAsiaTheme="minorEastAsia"/>
                <w:bCs/>
                <w:color w:val="auto"/>
                <w:lang w:val="en-US" w:eastAsia="zh-CN"/>
              </w:rPr>
              <w:t>两校区</w:t>
            </w:r>
            <w:r>
              <w:rPr>
                <w:rFonts w:hint="eastAsia" w:cs="Arial" w:eastAsiaTheme="minorEastAsia"/>
                <w:bCs/>
                <w:color w:val="auto"/>
                <w:lang w:eastAsia="zh-CN"/>
              </w:rPr>
              <w:t>202</w:t>
            </w:r>
            <w:r>
              <w:rPr>
                <w:rFonts w:hint="eastAsia" w:cs="Arial" w:eastAsiaTheme="minorEastAsia"/>
                <w:bCs/>
                <w:color w:val="auto"/>
                <w:lang w:val="en-US" w:eastAsia="zh-CN"/>
              </w:rPr>
              <w:t>4</w:t>
            </w:r>
            <w:r>
              <w:rPr>
                <w:rFonts w:hint="eastAsia" w:cs="Arial" w:eastAsiaTheme="minorEastAsia"/>
                <w:bCs/>
                <w:color w:val="auto"/>
                <w:lang w:eastAsia="zh-CN"/>
              </w:rPr>
              <w:t>年办公设备耗材</w:t>
            </w:r>
            <w:r>
              <w:rPr>
                <w:rFonts w:hint="eastAsia" w:cs="Arial" w:eastAsiaTheme="minorEastAsia"/>
                <w:bCs/>
                <w:color w:val="auto"/>
                <w:lang w:val="en-US" w:eastAsia="zh-CN"/>
              </w:rPr>
              <w:t>供货资格</w:t>
            </w:r>
            <w:r>
              <w:rPr>
                <w:rFonts w:hint="eastAsia" w:cs="Arial" w:eastAsiaTheme="minorEastAsia"/>
                <w:bCs/>
                <w:color w:val="auto"/>
                <w:lang w:eastAsia="zh-CN"/>
              </w:rPr>
              <w:t>采购项目</w:t>
            </w:r>
          </w:p>
        </w:tc>
        <w:tc>
          <w:tcPr>
            <w:tcW w:w="3664" w:type="dxa"/>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cs="Arial"/>
                <w:bCs/>
                <w:color w:val="auto"/>
              </w:rPr>
            </w:pPr>
            <w:r>
              <w:rPr>
                <w:rFonts w:hint="eastAsia" w:cs="Arial"/>
                <w:bCs/>
                <w:color w:val="auto"/>
                <w:lang w:val="en-US" w:eastAsia="zh-CN"/>
              </w:rPr>
              <w:t xml:space="preserve">  </w:t>
            </w:r>
            <w:r>
              <w:rPr>
                <w:rFonts w:hint="eastAsia" w:cs="Arial"/>
                <w:bCs/>
                <w:color w:val="auto"/>
                <w:lang w:eastAsia="zh-CN"/>
              </w:rPr>
              <w:t>折扣率</w:t>
            </w:r>
            <w:r>
              <w:rPr>
                <w:rFonts w:hint="eastAsia" w:cs="Arial"/>
                <w:bCs/>
                <w:color w:val="auto"/>
              </w:rPr>
              <w:t>：</w:t>
            </w:r>
            <w:r>
              <w:rPr>
                <w:rFonts w:hint="eastAsia" w:cs="Arial"/>
                <w:bCs/>
                <w:color w:val="auto"/>
                <w:u w:val="single"/>
              </w:rPr>
              <w:t xml:space="preserve">  </w:t>
            </w:r>
            <w:r>
              <w:rPr>
                <w:rFonts w:hint="eastAsia" w:cs="Arial"/>
                <w:bCs/>
                <w:color w:val="auto"/>
                <w:u w:val="single"/>
                <w:lang w:val="en-US" w:eastAsia="zh-CN"/>
              </w:rPr>
              <w:t xml:space="preserve"> </w:t>
            </w:r>
            <w:r>
              <w:rPr>
                <w:rFonts w:hint="eastAsia" w:cs="Arial"/>
                <w:bCs/>
                <w:color w:val="auto"/>
                <w:u w:val="single"/>
              </w:rPr>
              <w:t xml:space="preserve"> </w:t>
            </w:r>
            <w:r>
              <w:rPr>
                <w:rFonts w:hint="eastAsia" w:ascii="宋体" w:hAnsi="Times New Roman" w:cs="宋体"/>
                <w:color w:val="auto"/>
              </w:rPr>
              <w:t>%</w:t>
            </w:r>
          </w:p>
        </w:tc>
        <w:tc>
          <w:tcPr>
            <w:tcW w:w="1709" w:type="dxa"/>
            <w:vAlign w:val="center"/>
          </w:tcPr>
          <w:p>
            <w:pPr>
              <w:jc w:val="center"/>
              <w:rPr>
                <w:color w:val="auto"/>
              </w:rPr>
            </w:pPr>
          </w:p>
        </w:tc>
      </w:tr>
      <w:bookmarkEnd w:id="85"/>
    </w:tbl>
    <w:p>
      <w:pPr>
        <w:jc w:val="center"/>
        <w:rPr>
          <w:rFonts w:cs="Times New Roman"/>
        </w:rPr>
      </w:pPr>
    </w:p>
    <w:p>
      <w:pPr>
        <w:spacing w:line="360" w:lineRule="auto"/>
        <w:rPr>
          <w:rFonts w:ascii="宋体" w:cs="Times New Roman"/>
        </w:rPr>
      </w:pPr>
      <w:r>
        <w:rPr>
          <w:rFonts w:hint="eastAsia" w:ascii="宋体" w:hAnsi="宋体" w:cs="宋体"/>
        </w:rPr>
        <w:t>注：</w:t>
      </w:r>
    </w:p>
    <w:p>
      <w:pPr>
        <w:numPr>
          <w:ilvl w:val="3"/>
          <w:numId w:val="70"/>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pPr>
        <w:numPr>
          <w:ilvl w:val="3"/>
          <w:numId w:val="70"/>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pPr>
        <w:numPr>
          <w:ilvl w:val="3"/>
          <w:numId w:val="70"/>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pPr>
        <w:numPr>
          <w:ilvl w:val="3"/>
          <w:numId w:val="70"/>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spacing w:line="480" w:lineRule="auto"/>
        <w:rPr>
          <w:rFonts w:cs="Times New Roman"/>
        </w:rPr>
      </w:pPr>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pStyle w:val="4"/>
        <w:jc w:val="center"/>
      </w:pPr>
      <w:r>
        <w:br w:type="page"/>
      </w:r>
      <w:bookmarkStart w:id="86" w:name="_Hlk38364591"/>
      <w:bookmarkStart w:id="87" w:name="_Toc16324"/>
      <w:r>
        <w:rPr>
          <w:rFonts w:hint="eastAsia" w:ascii="宋体" w:hAnsi="宋体" w:eastAsia="宋体" w:cs="宋体"/>
          <w:sz w:val="24"/>
          <w:szCs w:val="24"/>
        </w:rPr>
        <w:t>（二）</w:t>
      </w:r>
      <w:bookmarkEnd w:id="86"/>
      <w:r>
        <w:rPr>
          <w:rFonts w:hint="eastAsia" w:ascii="宋体" w:hAnsi="宋体" w:eastAsia="宋体" w:cs="宋体"/>
          <w:sz w:val="24"/>
          <w:szCs w:val="24"/>
        </w:rPr>
        <w:t>、报价明细报价表</w:t>
      </w:r>
      <w:bookmarkEnd w:id="87"/>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pPr>
              <w:adjustRightInd w:val="0"/>
              <w:snapToGrid w:val="0"/>
              <w:rPr>
                <w:rFonts w:hAnsi="宋体" w:cs="Times New Roman"/>
              </w:rPr>
            </w:pPr>
            <w:r>
              <w:rPr>
                <w:rFonts w:hint="eastAsia" w:hAnsi="宋体" w:cs="宋体"/>
              </w:rPr>
              <w:t>一、详细分项表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pPr>
              <w:adjustRightInd w:val="0"/>
              <w:snapToGrid w:val="0"/>
              <w:jc w:val="center"/>
              <w:rPr>
                <w:rFonts w:hAnsi="宋体" w:cs="Times New Roman"/>
              </w:rPr>
            </w:pPr>
            <w:r>
              <w:rPr>
                <w:rFonts w:hint="eastAsia" w:hAnsi="宋体" w:cs="宋体"/>
              </w:rPr>
              <w:t>序号</w:t>
            </w:r>
          </w:p>
        </w:tc>
        <w:tc>
          <w:tcPr>
            <w:tcW w:w="1513" w:type="dxa"/>
            <w:vAlign w:val="center"/>
          </w:tcPr>
          <w:p>
            <w:pPr>
              <w:adjustRightInd w:val="0"/>
              <w:snapToGrid w:val="0"/>
              <w:jc w:val="center"/>
              <w:rPr>
                <w:rFonts w:hAnsi="宋体" w:cs="Times New Roman"/>
              </w:rPr>
            </w:pPr>
            <w:r>
              <w:rPr>
                <w:rFonts w:hint="eastAsia" w:hAnsi="宋体" w:cs="宋体"/>
              </w:rPr>
              <w:t>分项名称</w:t>
            </w:r>
          </w:p>
        </w:tc>
        <w:tc>
          <w:tcPr>
            <w:tcW w:w="3271" w:type="dxa"/>
            <w:vAlign w:val="center"/>
          </w:tcPr>
          <w:p>
            <w:pPr>
              <w:adjustRightInd w:val="0"/>
              <w:snapToGrid w:val="0"/>
              <w:jc w:val="center"/>
              <w:rPr>
                <w:rFonts w:hAnsi="宋体" w:cs="Times New Roman"/>
              </w:rPr>
            </w:pPr>
            <w:r>
              <w:rPr>
                <w:rFonts w:hint="eastAsia" w:hAnsi="宋体" w:cs="宋体"/>
              </w:rPr>
              <w:t>具体内容</w:t>
            </w:r>
          </w:p>
        </w:tc>
        <w:tc>
          <w:tcPr>
            <w:tcW w:w="700" w:type="dxa"/>
            <w:vAlign w:val="center"/>
          </w:tcPr>
          <w:p>
            <w:pPr>
              <w:adjustRightInd w:val="0"/>
              <w:snapToGrid w:val="0"/>
              <w:jc w:val="center"/>
              <w:rPr>
                <w:rFonts w:hAnsi="宋体" w:cs="Times New Roman"/>
              </w:rPr>
            </w:pPr>
            <w:r>
              <w:rPr>
                <w:rFonts w:hint="eastAsia" w:hAnsi="宋体" w:cs="宋体"/>
              </w:rPr>
              <w:t>单位</w:t>
            </w:r>
          </w:p>
        </w:tc>
        <w:tc>
          <w:tcPr>
            <w:tcW w:w="933" w:type="dxa"/>
            <w:vAlign w:val="center"/>
          </w:tcPr>
          <w:p>
            <w:pPr>
              <w:adjustRightInd w:val="0"/>
              <w:snapToGrid w:val="0"/>
              <w:jc w:val="center"/>
              <w:rPr>
                <w:rFonts w:hAnsi="宋体" w:cs="Times New Roman"/>
              </w:rPr>
            </w:pPr>
            <w:r>
              <w:rPr>
                <w:rFonts w:hint="eastAsia" w:hAnsi="宋体" w:cs="宋体"/>
              </w:rPr>
              <w:t>数量</w:t>
            </w:r>
          </w:p>
        </w:tc>
        <w:tc>
          <w:tcPr>
            <w:tcW w:w="1079" w:type="dxa"/>
            <w:vAlign w:val="center"/>
          </w:tcPr>
          <w:p>
            <w:pPr>
              <w:adjustRightInd w:val="0"/>
              <w:snapToGrid w:val="0"/>
              <w:jc w:val="center"/>
              <w:rPr>
                <w:rFonts w:hAnsi="宋体" w:cs="Times New Roman"/>
              </w:rPr>
            </w:pPr>
            <w:r>
              <w:rPr>
                <w:rFonts w:hint="eastAsia" w:hAnsi="宋体" w:cs="宋体"/>
              </w:rPr>
              <w:t>单价</w:t>
            </w:r>
          </w:p>
        </w:tc>
        <w:tc>
          <w:tcPr>
            <w:tcW w:w="1352" w:type="dxa"/>
            <w:vAlign w:val="center"/>
          </w:tcPr>
          <w:p>
            <w:pPr>
              <w:adjustRightInd w:val="0"/>
              <w:snapToGrid w:val="0"/>
              <w:jc w:val="center"/>
              <w:rPr>
                <w:rFonts w:hAnsi="宋体" w:cs="Times New Roman"/>
              </w:rPr>
            </w:pPr>
            <w:r>
              <w:rPr>
                <w:rFonts w:hint="eastAsia" w:hAnsi="宋体" w:cs="宋体"/>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rPr>
              <w:t>1</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rPr>
              <w:t>2</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rPr>
              <w:t>3</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cs="宋体"/>
              </w:rPr>
              <w:t>?-</w:t>
            </w:r>
            <w:r>
              <w:rPr>
                <w:rFonts w:hAnsi="宋体"/>
              </w:rPr>
              <w:t>..</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pPr>
              <w:adjustRightInd w:val="0"/>
              <w:snapToGrid w:val="0"/>
              <w:rPr>
                <w:rFonts w:hAnsi="宋体" w:cs="Times New Roman"/>
              </w:rPr>
            </w:pPr>
            <w:r>
              <w:rPr>
                <w:rFonts w:hint="eastAsia" w:hAnsi="宋体" w:cs="宋体"/>
              </w:rPr>
              <w:t>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pPr>
              <w:adjustRightInd w:val="0"/>
              <w:snapToGrid w:val="0"/>
              <w:rPr>
                <w:rFonts w:hAnsi="宋体" w:cs="Times New Roman"/>
                <w:b/>
                <w:bCs/>
              </w:rPr>
            </w:pPr>
            <w:r>
              <w:rPr>
                <w:rFonts w:hint="eastAsia" w:ascii="宋体" w:hAnsi="宋体" w:cs="宋体"/>
                <w:b/>
                <w:bCs/>
              </w:rPr>
              <w:t>备注：</w:t>
            </w:r>
          </w:p>
          <w:p>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该表格式仅作参考，供应商的详细报价表格式可自定。以上内容必须与技术方案中所介绍的内容、《首轮报价一览表》一致。</w:t>
      </w:r>
    </w:p>
    <w:p>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分项报价的合计应等于“首轮报价一览表”中的磋商报价。</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请详细阅读本招标文件用户需求书中的工作内容，并根据用户需求书编制此详细报价清单，请详细列明各个费用明细。</w:t>
      </w:r>
    </w:p>
    <w:p>
      <w:pPr>
        <w:pStyle w:val="15"/>
        <w:spacing w:line="360" w:lineRule="auto"/>
        <w:ind w:firstLine="422" w:firstLineChars="200"/>
      </w:pPr>
      <w:r>
        <w:rPr>
          <w:rFonts w:ascii="宋体" w:hAnsi="宋体" w:cs="宋体"/>
          <w:b/>
          <w:bCs/>
        </w:rPr>
        <w:t>5.</w:t>
      </w:r>
      <w:r>
        <w:rPr>
          <w:rFonts w:hint="eastAsia" w:ascii="宋体" w:hAnsi="宋体" w:cs="宋体"/>
          <w:b/>
          <w:bCs/>
        </w:rPr>
        <w:t>供应商的投标报价均不得高于最高限价，否则视为无效投标。</w:t>
      </w:r>
    </w:p>
    <w:p>
      <w:pPr>
        <w:spacing w:line="360" w:lineRule="auto"/>
        <w:rPr>
          <w:rFonts w:cs="Times New Roman"/>
        </w:rPr>
      </w:pPr>
    </w:p>
    <w:p>
      <w:pPr>
        <w:pStyle w:val="2"/>
        <w:ind w:firstLine="210"/>
        <w:rPr>
          <w:rFonts w:cs="Times New Roman"/>
        </w:rPr>
      </w:pPr>
    </w:p>
    <w:p>
      <w:pPr>
        <w:spacing w:line="600" w:lineRule="auto"/>
        <w:rPr>
          <w:rFonts w:cs="Times New Roman"/>
        </w:rPr>
      </w:pPr>
      <w:r>
        <w:rPr>
          <w:rFonts w:hint="eastAsia" w:cs="宋体"/>
        </w:rPr>
        <w:t>供应商法定代表人（或法定代表人授权代表）签字或盖私章：</w:t>
      </w:r>
      <w:r>
        <w:t xml:space="preserve">                   </w:t>
      </w:r>
    </w:p>
    <w:p>
      <w:pPr>
        <w:spacing w:line="600" w:lineRule="auto"/>
        <w:rPr>
          <w:rFonts w:cs="Times New Roman"/>
        </w:rPr>
      </w:pPr>
      <w:r>
        <w:rPr>
          <w:rFonts w:hint="eastAsia" w:cs="宋体"/>
        </w:rPr>
        <w:t>供应商名称（盖公章）：</w:t>
      </w:r>
      <w:r>
        <w:t xml:space="preserve">                        </w:t>
      </w:r>
    </w:p>
    <w:p>
      <w:pPr>
        <w:spacing w:line="600" w:lineRule="auto"/>
        <w:rPr>
          <w:rFonts w:cs="宋体"/>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pStyle w:val="2"/>
        <w:ind w:firstLine="210"/>
      </w:pPr>
    </w:p>
    <w:p>
      <w:pPr>
        <w:pStyle w:val="2"/>
        <w:ind w:firstLine="210"/>
      </w:pPr>
    </w:p>
    <w:p>
      <w:pPr>
        <w:pStyle w:val="2"/>
        <w:ind w:firstLine="210"/>
      </w:pPr>
    </w:p>
    <w:p>
      <w:pPr>
        <w:pStyle w:val="4"/>
        <w:jc w:val="center"/>
        <w:rPr>
          <w:rFonts w:ascii="宋体" w:hAnsi="宋体" w:eastAsia="宋体" w:cs="宋体"/>
          <w:sz w:val="24"/>
          <w:szCs w:val="24"/>
        </w:rPr>
      </w:pPr>
      <w:r>
        <w:rPr>
          <w:rFonts w:hint="eastAsia" w:ascii="宋体" w:hAnsi="宋体" w:eastAsia="宋体" w:cs="宋体"/>
          <w:sz w:val="24"/>
          <w:szCs w:val="24"/>
        </w:rPr>
        <w:t>（三）、</w:t>
      </w:r>
      <w:bookmarkStart w:id="88" w:name="_Hlk38365110"/>
      <w:r>
        <w:rPr>
          <w:rFonts w:hint="eastAsia" w:ascii="宋体" w:hAnsi="宋体" w:eastAsia="宋体" w:cs="宋体"/>
          <w:sz w:val="24"/>
          <w:szCs w:val="24"/>
        </w:rPr>
        <w:t>磋商报价及承诺一览表</w:t>
      </w:r>
    </w:p>
    <w:p>
      <w:pPr>
        <w:pStyle w:val="4"/>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rPr>
        <w:t>轮报价）</w:t>
      </w:r>
      <w:bookmarkStart w:id="89" w:name="_Hlk38364999"/>
    </w:p>
    <w:bookmarkEnd w:id="88"/>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7"/>
        <w:gridCol w:w="3664"/>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67" w:type="dxa"/>
            <w:shd w:val="clear" w:color="auto" w:fill="D9D9D9"/>
            <w:vAlign w:val="center"/>
          </w:tcPr>
          <w:p>
            <w:pPr>
              <w:jc w:val="center"/>
              <w:rPr>
                <w:b/>
                <w:color w:val="auto"/>
              </w:rPr>
            </w:pPr>
            <w:r>
              <w:rPr>
                <w:rFonts w:hint="eastAsia"/>
                <w:b/>
                <w:color w:val="auto"/>
              </w:rPr>
              <w:t>项目名称</w:t>
            </w:r>
          </w:p>
        </w:tc>
        <w:tc>
          <w:tcPr>
            <w:tcW w:w="3664" w:type="dxa"/>
            <w:shd w:val="clear" w:color="auto" w:fill="D9D9D9"/>
            <w:vAlign w:val="center"/>
          </w:tcPr>
          <w:p>
            <w:pPr>
              <w:jc w:val="center"/>
              <w:rPr>
                <w:rFonts w:hint="eastAsia" w:eastAsia="宋体"/>
                <w:b/>
                <w:color w:val="auto"/>
                <w:lang w:eastAsia="zh-CN"/>
              </w:rPr>
            </w:pPr>
            <w:r>
              <w:rPr>
                <w:rFonts w:hint="eastAsia"/>
                <w:b/>
                <w:color w:val="auto"/>
              </w:rPr>
              <w:t>投标</w:t>
            </w:r>
            <w:r>
              <w:rPr>
                <w:rFonts w:hint="eastAsia"/>
                <w:b/>
                <w:color w:val="auto"/>
                <w:lang w:eastAsia="zh-CN"/>
              </w:rPr>
              <w:t>折扣率（</w:t>
            </w:r>
            <w:r>
              <w:rPr>
                <w:rFonts w:hint="eastAsia"/>
                <w:b/>
                <w:color w:val="auto"/>
                <w:lang w:val="en-US" w:eastAsia="zh-CN"/>
              </w:rPr>
              <w:t>百分比</w:t>
            </w:r>
            <w:r>
              <w:rPr>
                <w:rFonts w:hint="eastAsia"/>
                <w:b/>
                <w:color w:val="auto"/>
                <w:lang w:eastAsia="zh-CN"/>
              </w:rPr>
              <w:t>）</w:t>
            </w:r>
          </w:p>
        </w:tc>
        <w:tc>
          <w:tcPr>
            <w:tcW w:w="1709" w:type="dxa"/>
            <w:shd w:val="clear" w:color="auto" w:fill="D9D9D9"/>
            <w:vAlign w:val="center"/>
          </w:tcPr>
          <w:p>
            <w:pPr>
              <w:jc w:val="center"/>
              <w:rPr>
                <w:b/>
                <w:color w:val="auto"/>
              </w:rPr>
            </w:pPr>
            <w:r>
              <w:rPr>
                <w:rFonts w:hint="eastAsia"/>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9" w:hRule="atLeast"/>
        </w:trPr>
        <w:tc>
          <w:tcPr>
            <w:tcW w:w="346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s="Arial"/>
                <w:bCs/>
                <w:color w:val="auto"/>
                <w:lang w:eastAsia="zh-CN"/>
              </w:rPr>
            </w:pPr>
            <w:r>
              <w:rPr>
                <w:rFonts w:hint="eastAsia" w:cs="Arial" w:eastAsiaTheme="minorEastAsia"/>
                <w:bCs/>
                <w:color w:val="auto"/>
                <w:lang w:eastAsia="zh-CN"/>
              </w:rPr>
              <w:t>中山市技师学院</w:t>
            </w:r>
            <w:r>
              <w:rPr>
                <w:rFonts w:hint="eastAsia" w:cs="Arial" w:eastAsiaTheme="minorEastAsia"/>
                <w:bCs/>
                <w:color w:val="auto"/>
                <w:lang w:val="en-US" w:eastAsia="zh-CN"/>
              </w:rPr>
              <w:t>两校区</w:t>
            </w:r>
            <w:r>
              <w:rPr>
                <w:rFonts w:hint="eastAsia" w:cs="Arial" w:eastAsiaTheme="minorEastAsia"/>
                <w:bCs/>
                <w:color w:val="auto"/>
                <w:lang w:eastAsia="zh-CN"/>
              </w:rPr>
              <w:t>202</w:t>
            </w:r>
            <w:r>
              <w:rPr>
                <w:rFonts w:hint="eastAsia" w:cs="Arial" w:eastAsiaTheme="minorEastAsia"/>
                <w:bCs/>
                <w:color w:val="auto"/>
                <w:lang w:val="en-US" w:eastAsia="zh-CN"/>
              </w:rPr>
              <w:t>4</w:t>
            </w:r>
            <w:r>
              <w:rPr>
                <w:rFonts w:hint="eastAsia" w:cs="Arial" w:eastAsiaTheme="minorEastAsia"/>
                <w:bCs/>
                <w:color w:val="auto"/>
                <w:lang w:eastAsia="zh-CN"/>
              </w:rPr>
              <w:t>年办公设备耗材</w:t>
            </w:r>
            <w:r>
              <w:rPr>
                <w:rFonts w:hint="eastAsia" w:cs="Arial" w:eastAsiaTheme="minorEastAsia"/>
                <w:bCs/>
                <w:color w:val="auto"/>
                <w:lang w:val="en-US" w:eastAsia="zh-CN"/>
              </w:rPr>
              <w:t>供货资格</w:t>
            </w:r>
            <w:r>
              <w:rPr>
                <w:rFonts w:hint="eastAsia" w:cs="Arial" w:eastAsiaTheme="minorEastAsia"/>
                <w:bCs/>
                <w:color w:val="auto"/>
                <w:lang w:eastAsia="zh-CN"/>
              </w:rPr>
              <w:t>采购项目</w:t>
            </w:r>
          </w:p>
        </w:tc>
        <w:tc>
          <w:tcPr>
            <w:tcW w:w="3664" w:type="dxa"/>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cs="Arial"/>
                <w:bCs/>
                <w:color w:val="auto"/>
              </w:rPr>
            </w:pPr>
            <w:r>
              <w:rPr>
                <w:rFonts w:hint="eastAsia" w:cs="Arial"/>
                <w:bCs/>
                <w:color w:val="auto"/>
                <w:lang w:val="en-US" w:eastAsia="zh-CN"/>
              </w:rPr>
              <w:t xml:space="preserve">  </w:t>
            </w:r>
            <w:r>
              <w:rPr>
                <w:rFonts w:hint="eastAsia" w:cs="Arial"/>
                <w:bCs/>
                <w:color w:val="auto"/>
                <w:lang w:eastAsia="zh-CN"/>
              </w:rPr>
              <w:t>折扣率</w:t>
            </w:r>
            <w:r>
              <w:rPr>
                <w:rFonts w:hint="eastAsia" w:cs="Arial"/>
                <w:bCs/>
                <w:color w:val="auto"/>
              </w:rPr>
              <w:t>：</w:t>
            </w:r>
            <w:r>
              <w:rPr>
                <w:rFonts w:hint="eastAsia" w:cs="Arial"/>
                <w:bCs/>
                <w:color w:val="auto"/>
                <w:u w:val="single"/>
              </w:rPr>
              <w:t xml:space="preserve">  </w:t>
            </w:r>
            <w:r>
              <w:rPr>
                <w:rFonts w:hint="eastAsia" w:cs="Arial"/>
                <w:bCs/>
                <w:color w:val="auto"/>
                <w:u w:val="single"/>
                <w:lang w:val="en-US" w:eastAsia="zh-CN"/>
              </w:rPr>
              <w:t xml:space="preserve"> </w:t>
            </w:r>
            <w:r>
              <w:rPr>
                <w:rFonts w:hint="eastAsia" w:cs="Arial"/>
                <w:bCs/>
                <w:color w:val="auto"/>
                <w:u w:val="single"/>
              </w:rPr>
              <w:t xml:space="preserve"> </w:t>
            </w:r>
            <w:r>
              <w:rPr>
                <w:rFonts w:hint="eastAsia" w:ascii="宋体" w:hAnsi="Times New Roman" w:cs="宋体"/>
                <w:color w:val="auto"/>
              </w:rPr>
              <w:t>%</w:t>
            </w:r>
          </w:p>
        </w:tc>
        <w:tc>
          <w:tcPr>
            <w:tcW w:w="1709" w:type="dxa"/>
            <w:vAlign w:val="center"/>
          </w:tcPr>
          <w:p>
            <w:pPr>
              <w:jc w:val="center"/>
              <w:rPr>
                <w:color w:val="auto"/>
              </w:rPr>
            </w:pPr>
          </w:p>
        </w:tc>
      </w:tr>
    </w:tbl>
    <w:p>
      <w:pPr>
        <w:rPr>
          <w:rFonts w:cs="Times New Roman"/>
        </w:rPr>
      </w:pPr>
    </w:p>
    <w:p>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pPr>
        <w:spacing w:line="360" w:lineRule="auto"/>
        <w:rPr>
          <w:rFonts w:ascii="宋体" w:cs="Times New Roman"/>
          <w:b/>
          <w:bCs/>
        </w:rPr>
      </w:pPr>
      <w:r>
        <w:rPr>
          <w:rFonts w:ascii="宋体" w:hAnsi="宋体" w:cs="宋体"/>
          <w:b/>
          <w:bCs/>
        </w:rPr>
        <w:t>2</w:t>
      </w:r>
      <w:r>
        <w:rPr>
          <w:rFonts w:hint="eastAsia" w:ascii="宋体" w:hAnsi="宋体" w:cs="宋体"/>
          <w:b/>
          <w:bCs/>
        </w:rPr>
        <w:t>、中文大写金额用汉字，如壹、贰、叁、肆、伍、陆、柒、捌、玖、拾、佰、仟、万、亿、元、角、分、零、整（正）等。</w:t>
      </w:r>
    </w:p>
    <w:p>
      <w:pPr>
        <w:spacing w:line="360" w:lineRule="auto"/>
        <w:rPr>
          <w:rFonts w:ascii="宋体" w:cs="Times New Roman"/>
          <w:b/>
          <w:bCs/>
        </w:rPr>
      </w:pPr>
      <w:r>
        <w:rPr>
          <w:rFonts w:ascii="宋体" w:hAnsi="宋体" w:cs="宋体"/>
          <w:b/>
          <w:bCs/>
        </w:rPr>
        <w:t>3</w:t>
      </w:r>
      <w:r>
        <w:rPr>
          <w:rFonts w:hint="eastAsia" w:ascii="宋体" w:hAnsi="宋体" w:cs="宋体"/>
          <w:b/>
          <w:bCs/>
        </w:rPr>
        <w:t>、报价的小数点后保留两位有效数。</w:t>
      </w:r>
    </w:p>
    <w:p>
      <w:pPr>
        <w:spacing w:line="360" w:lineRule="auto"/>
        <w:rPr>
          <w:rFonts w:ascii="宋体" w:hAnsi="宋体" w:cs="宋体"/>
          <w:b/>
          <w:bCs/>
        </w:rPr>
      </w:pPr>
      <w:r>
        <w:rPr>
          <w:rFonts w:ascii="宋体" w:hAnsi="宋体" w:cs="宋体"/>
          <w:b/>
          <w:bCs/>
        </w:rPr>
        <w:t>4</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pPr>
        <w:spacing w:line="360" w:lineRule="auto"/>
        <w:rPr>
          <w:rFonts w:ascii="宋体" w:hAnsi="宋体" w:cs="宋体"/>
          <w:b/>
          <w:bCs/>
        </w:rPr>
      </w:pPr>
      <w:r>
        <w:rPr>
          <w:rFonts w:hint="eastAsia" w:ascii="宋体" w:hAnsi="宋体" w:cs="宋体"/>
          <w:b/>
          <w:bCs/>
        </w:rPr>
        <w:t>5、通过资格性符合性审查的供应商都有第二次报价的机会，如果供应商法定代表人或授权代表未出席本项目磋商时，视为放弃第二次报价的机会，其最终报价以首次报价为准。</w:t>
      </w:r>
    </w:p>
    <w:p>
      <w:pPr>
        <w:pStyle w:val="2"/>
        <w:ind w:firstLine="210"/>
      </w:pPr>
    </w:p>
    <w:p>
      <w:pPr>
        <w:spacing w:line="460" w:lineRule="exact"/>
        <w:jc w:val="center"/>
        <w:rPr>
          <w:rFonts w:hAnsi="宋体" w:cs="Times New Roman"/>
          <w:b/>
          <w:bCs/>
          <w:sz w:val="24"/>
          <w:szCs w:val="24"/>
        </w:rPr>
      </w:pPr>
    </w:p>
    <w:p>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60" w:lineRule="exact"/>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bookmarkEnd w:id="89"/>
    <w:p>
      <w:pPr>
        <w:spacing w:line="460" w:lineRule="exact"/>
        <w:jc w:val="center"/>
        <w:rPr>
          <w:rFonts w:hAnsi="宋体" w:cs="Times New Roman"/>
          <w:b/>
          <w:bCs/>
          <w:sz w:val="24"/>
          <w:szCs w:val="24"/>
        </w:rPr>
      </w:pPr>
    </w:p>
    <w:p>
      <w:pPr>
        <w:spacing w:line="460" w:lineRule="exact"/>
        <w:jc w:val="center"/>
        <w:rPr>
          <w:rFonts w:hAnsi="宋体" w:cs="Times New Roman"/>
          <w:b/>
          <w:bCs/>
          <w:sz w:val="24"/>
          <w:szCs w:val="24"/>
        </w:rPr>
      </w:pPr>
    </w:p>
    <w:p>
      <w:pPr>
        <w:pStyle w:val="2"/>
      </w:pPr>
    </w:p>
    <w:p>
      <w:pPr>
        <w:spacing w:line="460" w:lineRule="exact"/>
        <w:jc w:val="center"/>
        <w:rPr>
          <w:rFonts w:hAnsi="宋体" w:cs="Times New Roman"/>
          <w:b/>
          <w:bCs/>
          <w:sz w:val="24"/>
          <w:szCs w:val="24"/>
        </w:rPr>
      </w:pPr>
    </w:p>
    <w:p>
      <w:pPr>
        <w:pStyle w:val="3"/>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pPr>
        <w:spacing w:line="460" w:lineRule="exact"/>
        <w:jc w:val="center"/>
        <w:rPr>
          <w:rFonts w:hAnsi="宋体" w:cs="Times New Roman"/>
          <w:b/>
          <w:bCs/>
          <w:sz w:val="24"/>
          <w:szCs w:val="24"/>
        </w:rPr>
      </w:pPr>
    </w:p>
    <w:p>
      <w:pPr>
        <w:spacing w:line="460" w:lineRule="exact"/>
        <w:jc w:val="center"/>
        <w:rPr>
          <w:rFonts w:hAnsi="宋体" w:cs="Times New Roman"/>
          <w:b/>
          <w:bCs/>
          <w:sz w:val="24"/>
          <w:szCs w:val="24"/>
        </w:rPr>
      </w:pPr>
    </w:p>
    <w:p>
      <w:pPr>
        <w:rPr>
          <w:rFonts w:cs="Times New Roman"/>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7272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4</w:t>
                          </w:r>
                          <w:r>
                            <w:rPr>
                              <w:rStyle w:val="39"/>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3.6pt;width:10.55pt;mso-position-horizontal:center;mso-position-horizontal-relative:margin;mso-wrap-style:none;z-index:25166028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sKI/0AAAAAMBAAAPAAAAAAAAAAEAIAAAACIAAABkcnMvZG93&#10;bnJldi54bWxQSwECFAAUAAAACACHTuJAhWgBjc8BAACXAwAADgAAAAAAAAABACAAAAAfAQAAZHJz&#10;L2Uyb0RvYy54bWxQSwUGAAAAAAYABgBZAQAAYAUAAAAA&#10;">
              <v:fill on="f" focussize="0,0"/>
              <v:stroke on="f"/>
              <v:imagedata o:title=""/>
              <o:lock v:ext="edit" aspectratio="f"/>
              <v:textbox inset="0mm,0mm,0mm,0mm" style="mso-fit-shape-to-text:t;">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4</w:t>
                    </w:r>
                    <w:r>
                      <w:rPr>
                        <w:rStyle w:val="39"/>
                        <w:rFonts w:ascii="宋体" w:hAnsi="宋体" w:cs="宋体"/>
                        <w:sz w:val="21"/>
                        <w:szCs w:val="21"/>
                      </w:rPr>
                      <w:fldChar w:fldCharType="end"/>
                    </w:r>
                  </w:p>
                </w:txbxContent>
              </v:textbox>
            </v:shape>
          </w:pict>
        </mc:Fallback>
      </mc:AlternateContent>
    </w:r>
    <w:r>
      <w:rPr>
        <w:rFonts w:hint="eastAsia" w:cs="宋体"/>
      </w:rPr>
      <w:t>项目编号：ZSSJSXYHP202</w:t>
    </w:r>
    <w:r>
      <w:rPr>
        <w:rFonts w:hint="default" w:cs="宋体"/>
        <w:lang w:val="en-US"/>
      </w:rPr>
      <w:t>4</w:t>
    </w:r>
    <w:r>
      <w:rPr>
        <w:rFonts w:hint="eastAsia" w:cs="宋体"/>
      </w:rPr>
      <w:t>XNCG0</w:t>
    </w:r>
    <w:r>
      <w:rPr>
        <w:rFonts w:hint="default" w:cs="宋体"/>
        <w:lang w:val="en-US"/>
      </w:rPr>
      <w:t>03</w:t>
    </w:r>
    <w:r>
      <w:rPr>
        <w:rFonts w:hint="eastAsia" w:cs="宋体"/>
      </w:rPr>
      <w:t xml:space="preserve"> </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rPr>
        <w:rFonts w:ascii="宋体"/>
      </w:rPr>
    </w:pPr>
    <w:r>
      <w:drawing>
        <wp:inline distT="0" distB="0" distL="114300" distR="114300">
          <wp:extent cx="828040" cy="198120"/>
          <wp:effectExtent l="0" t="0" r="1016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828040" cy="198120"/>
                  </a:xfrm>
                  <a:prstGeom prst="rect">
                    <a:avLst/>
                  </a:prstGeom>
                  <a:noFill/>
                  <a:ln>
                    <a:noFill/>
                  </a:ln>
                </pic:spPr>
              </pic:pic>
            </a:graphicData>
          </a:graphic>
        </wp:inline>
      </w:drawing>
    </w:r>
    <w:r>
      <w:rPr>
        <w:rFonts w:ascii="宋体" w:hAnsi="宋体" w:cs="宋体"/>
        <w:sz w:val="21"/>
        <w:szCs w:val="21"/>
      </w:rPr>
      <w:t xml:space="preserve"> </w:t>
    </w:r>
    <w:r>
      <w:rPr>
        <w:rFonts w:hint="eastAsia" w:ascii="宋体" w:hAnsi="宋体" w:cs="宋体"/>
      </w:rPr>
      <w:t>项目名称：</w:t>
    </w:r>
    <w:r>
      <w:rPr>
        <w:rFonts w:hint="eastAsia" w:ascii="宋体" w:hAnsi="宋体" w:cs="宋体"/>
        <w:color w:val="auto"/>
      </w:rPr>
      <w:t>中山市技师学院两校区2024年办公设备维护耗材</w:t>
    </w:r>
    <w:r>
      <w:rPr>
        <w:rFonts w:hint="eastAsia" w:ascii="宋体" w:hAnsi="宋体" w:cs="宋体"/>
        <w:color w:val="auto"/>
        <w:lang w:val="en-US" w:eastAsia="zh-CN"/>
      </w:rPr>
      <w:t>供货资格</w:t>
    </w:r>
    <w:r>
      <w:rPr>
        <w:rFonts w:hint="eastAsia" w:ascii="宋体" w:hAnsi="宋体" w:cs="宋体"/>
        <w:color w:val="auto"/>
      </w:rPr>
      <w:t>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5">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B2CDFE1C"/>
    <w:multiLevelType w:val="singleLevel"/>
    <w:tmpl w:val="B2CDFE1C"/>
    <w:lvl w:ilvl="0" w:tentative="0">
      <w:start w:val="3"/>
      <w:numFmt w:val="chineseCounting"/>
      <w:suff w:val="nothing"/>
      <w:lvlText w:val="第%1章　"/>
      <w:lvlJc w:val="left"/>
      <w:rPr>
        <w:rFonts w:hint="eastAsia"/>
      </w:rPr>
    </w:lvl>
  </w:abstractNum>
  <w:abstractNum w:abstractNumId="7">
    <w:nsid w:val="B4E64DD4"/>
    <w:multiLevelType w:val="singleLevel"/>
    <w:tmpl w:val="B4E64DD4"/>
    <w:lvl w:ilvl="0" w:tentative="0">
      <w:start w:val="1"/>
      <w:numFmt w:val="decimal"/>
      <w:lvlText w:val="(%1)"/>
      <w:lvlJc w:val="left"/>
      <w:pPr>
        <w:ind w:left="425" w:hanging="425"/>
      </w:pPr>
      <w:rPr>
        <w:rFonts w:hint="default"/>
      </w:rPr>
    </w:lvl>
  </w:abstractNum>
  <w:abstractNum w:abstractNumId="8">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9">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C9353558"/>
    <w:multiLevelType w:val="singleLevel"/>
    <w:tmpl w:val="C9353558"/>
    <w:lvl w:ilvl="0" w:tentative="0">
      <w:start w:val="1"/>
      <w:numFmt w:val="decimal"/>
      <w:lvlText w:val="(%1)"/>
      <w:lvlJc w:val="left"/>
      <w:pPr>
        <w:ind w:left="425" w:hanging="425"/>
      </w:pPr>
      <w:rPr>
        <w:rFonts w:hint="default"/>
      </w:rPr>
    </w:lvl>
  </w:abstractNum>
  <w:abstractNum w:abstractNumId="11">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2">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D43491D1"/>
    <w:multiLevelType w:val="singleLevel"/>
    <w:tmpl w:val="D43491D1"/>
    <w:lvl w:ilvl="0" w:tentative="0">
      <w:start w:val="1"/>
      <w:numFmt w:val="decimal"/>
      <w:lvlText w:val="(%1)"/>
      <w:lvlJc w:val="left"/>
      <w:pPr>
        <w:ind w:left="425" w:hanging="425"/>
      </w:pPr>
      <w:rPr>
        <w:rFonts w:hint="default"/>
      </w:rPr>
    </w:lvl>
  </w:abstractNum>
  <w:abstractNum w:abstractNumId="14">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6">
    <w:nsid w:val="DF43671A"/>
    <w:multiLevelType w:val="multilevel"/>
    <w:tmpl w:val="DF43671A"/>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2.%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E1A86173"/>
    <w:multiLevelType w:val="multilevel"/>
    <w:tmpl w:val="E1A86173"/>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5.%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EEB513BC"/>
    <w:multiLevelType w:val="singleLevel"/>
    <w:tmpl w:val="EEB513BC"/>
    <w:lvl w:ilvl="0" w:tentative="0">
      <w:start w:val="1"/>
      <w:numFmt w:val="decimal"/>
      <w:lvlText w:val="%1."/>
      <w:lvlJc w:val="left"/>
      <w:pPr>
        <w:ind w:left="425" w:hanging="425"/>
      </w:pPr>
      <w:rPr>
        <w:rFonts w:hint="default"/>
      </w:rPr>
    </w:lvl>
  </w:abstractNum>
  <w:abstractNum w:abstractNumId="20">
    <w:nsid w:val="F67763B7"/>
    <w:multiLevelType w:val="multilevel"/>
    <w:tmpl w:val="F67763B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6.%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0F"/>
    <w:multiLevelType w:val="multilevel"/>
    <w:tmpl w:val="0000000F"/>
    <w:lvl w:ilvl="0" w:tentative="0">
      <w:start w:val="1"/>
      <w:numFmt w:val="decimal"/>
      <w:lvlText w:val="%1."/>
      <w:lvlJc w:val="left"/>
      <w:pPr>
        <w:tabs>
          <w:tab w:val="left" w:pos="846"/>
        </w:tabs>
        <w:ind w:left="840"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4">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51"/>
    <w:multiLevelType w:val="multilevel"/>
    <w:tmpl w:val="0000005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eastAsia="宋体"/>
        <w:b w:val="0"/>
        <w:bCs w:val="0"/>
        <w:i w:val="0"/>
        <w:iCs w:val="0"/>
        <w:sz w:val="24"/>
        <w:szCs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16D0F97"/>
    <w:multiLevelType w:val="multilevel"/>
    <w:tmpl w:val="016D0F97"/>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3.%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3">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1F5335A8"/>
    <w:multiLevelType w:val="multilevel"/>
    <w:tmpl w:val="1F5335A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1">
    <w:nsid w:val="2C588CCB"/>
    <w:multiLevelType w:val="singleLevel"/>
    <w:tmpl w:val="2C588CCB"/>
    <w:lvl w:ilvl="0" w:tentative="0">
      <w:start w:val="1"/>
      <w:numFmt w:val="decimal"/>
      <w:lvlText w:val="(%1)"/>
      <w:lvlJc w:val="left"/>
      <w:pPr>
        <w:ind w:left="425" w:hanging="425"/>
      </w:pPr>
      <w:rPr>
        <w:rFonts w:hint="default"/>
      </w:rPr>
    </w:lvl>
  </w:abstractNum>
  <w:abstractNum w:abstractNumId="42">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3">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4">
    <w:nsid w:val="39D5BD39"/>
    <w:multiLevelType w:val="singleLevel"/>
    <w:tmpl w:val="39D5BD39"/>
    <w:lvl w:ilvl="0" w:tentative="0">
      <w:start w:val="1"/>
      <w:numFmt w:val="decimal"/>
      <w:lvlText w:val="(%1)"/>
      <w:lvlJc w:val="left"/>
      <w:pPr>
        <w:ind w:left="425" w:hanging="425"/>
      </w:pPr>
      <w:rPr>
        <w:rFonts w:hint="default"/>
      </w:rPr>
    </w:lvl>
  </w:abstractNum>
  <w:abstractNum w:abstractNumId="45">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6">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49">
    <w:nsid w:val="4C095371"/>
    <w:multiLevelType w:val="singleLevel"/>
    <w:tmpl w:val="4C095371"/>
    <w:lvl w:ilvl="0" w:tentative="0">
      <w:start w:val="1"/>
      <w:numFmt w:val="decimal"/>
      <w:lvlText w:val="(%1)"/>
      <w:lvlJc w:val="left"/>
      <w:pPr>
        <w:ind w:left="425" w:hanging="425"/>
      </w:pPr>
      <w:rPr>
        <w:rFonts w:hint="default"/>
      </w:rPr>
    </w:lvl>
  </w:abstractNum>
  <w:abstractNum w:abstractNumId="50">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1">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2">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3">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4">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56">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58CF9A39"/>
    <w:multiLevelType w:val="singleLevel"/>
    <w:tmpl w:val="58CF9A39"/>
    <w:lvl w:ilvl="0" w:tentative="0">
      <w:start w:val="3"/>
      <w:numFmt w:val="chineseCounting"/>
      <w:suff w:val="nothing"/>
      <w:lvlText w:val="%1、"/>
      <w:lvlJc w:val="left"/>
    </w:lvl>
  </w:abstractNum>
  <w:abstractNum w:abstractNumId="59">
    <w:nsid w:val="5926FBA4"/>
    <w:multiLevelType w:val="singleLevel"/>
    <w:tmpl w:val="5926FBA4"/>
    <w:lvl w:ilvl="0" w:tentative="0">
      <w:start w:val="1"/>
      <w:numFmt w:val="decimal"/>
      <w:lvlText w:val="(%1)"/>
      <w:lvlJc w:val="left"/>
      <w:pPr>
        <w:ind w:left="425" w:hanging="425"/>
      </w:pPr>
      <w:rPr>
        <w:rFonts w:hint="default"/>
      </w:rPr>
    </w:lvl>
  </w:abstractNum>
  <w:abstractNum w:abstractNumId="60">
    <w:nsid w:val="5CA3AB41"/>
    <w:multiLevelType w:val="singleLevel"/>
    <w:tmpl w:val="5CA3AB41"/>
    <w:lvl w:ilvl="0" w:tentative="0">
      <w:start w:val="1"/>
      <w:numFmt w:val="decimal"/>
      <w:lvlText w:val="%1."/>
      <w:lvlJc w:val="left"/>
      <w:pPr>
        <w:ind w:left="425" w:hanging="425"/>
      </w:pPr>
      <w:rPr>
        <w:rFonts w:hint="default"/>
      </w:rPr>
    </w:lvl>
  </w:abstractNum>
  <w:abstractNum w:abstractNumId="61">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2">
    <w:nsid w:val="630BE00F"/>
    <w:multiLevelType w:val="multilevel"/>
    <w:tmpl w:val="630BE00F"/>
    <w:lvl w:ilvl="0" w:tentative="0">
      <w:start w:val="1"/>
      <w:numFmt w:val="decimal"/>
      <w:lvlText w:val="29.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3">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36105D4"/>
    <w:multiLevelType w:val="singleLevel"/>
    <w:tmpl w:val="736105D4"/>
    <w:lvl w:ilvl="0" w:tentative="0">
      <w:start w:val="1"/>
      <w:numFmt w:val="decimal"/>
      <w:lvlText w:val="%1."/>
      <w:lvlJc w:val="left"/>
      <w:pPr>
        <w:ind w:left="425" w:hanging="425"/>
      </w:pPr>
      <w:rPr>
        <w:rFonts w:hint="default"/>
      </w:rPr>
    </w:lvl>
  </w:abstractNum>
  <w:abstractNum w:abstractNumId="68">
    <w:nsid w:val="78B16C7E"/>
    <w:multiLevelType w:val="multilevel"/>
    <w:tmpl w:val="78B16C7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3"/>
  </w:num>
  <w:num w:numId="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28"/>
  </w:num>
  <w:num w:numId="5">
    <w:abstractNumId w:val="55"/>
  </w:num>
  <w:num w:numId="6">
    <w:abstractNumId w:val="6"/>
  </w:num>
  <w:num w:numId="7">
    <w:abstractNumId w:val="26"/>
  </w:num>
  <w:num w:numId="8">
    <w:abstractNumId w:val="27"/>
  </w:num>
  <w:num w:numId="9">
    <w:abstractNumId w:val="25"/>
  </w:num>
  <w:num w:numId="10">
    <w:abstractNumId w:val="24"/>
  </w:num>
  <w:num w:numId="11">
    <w:abstractNumId w:val="29"/>
  </w:num>
  <w:num w:numId="12">
    <w:abstractNumId w:val="35"/>
  </w:num>
  <w:num w:numId="13">
    <w:abstractNumId w:val="56"/>
  </w:num>
  <w:num w:numId="14">
    <w:abstractNumId w:val="31"/>
  </w:num>
  <w:num w:numId="15">
    <w:abstractNumId w:val="12"/>
  </w:num>
  <w:num w:numId="16">
    <w:abstractNumId w:val="41"/>
  </w:num>
  <w:num w:numId="17">
    <w:abstractNumId w:val="51"/>
  </w:num>
  <w:num w:numId="18">
    <w:abstractNumId w:val="33"/>
  </w:num>
  <w:num w:numId="19">
    <w:abstractNumId w:val="39"/>
  </w:num>
  <w:num w:numId="20">
    <w:abstractNumId w:val="58"/>
  </w:num>
  <w:num w:numId="21">
    <w:abstractNumId w:val="64"/>
  </w:num>
  <w:num w:numId="22">
    <w:abstractNumId w:val="2"/>
  </w:num>
  <w:num w:numId="23">
    <w:abstractNumId w:val="18"/>
  </w:num>
  <w:num w:numId="24">
    <w:abstractNumId w:val="1"/>
  </w:num>
  <w:num w:numId="25">
    <w:abstractNumId w:val="38"/>
  </w:num>
  <w:num w:numId="26">
    <w:abstractNumId w:val="44"/>
  </w:num>
  <w:num w:numId="27">
    <w:abstractNumId w:val="21"/>
  </w:num>
  <w:num w:numId="28">
    <w:abstractNumId w:val="14"/>
  </w:num>
  <w:num w:numId="29">
    <w:abstractNumId w:val="54"/>
  </w:num>
  <w:num w:numId="30">
    <w:abstractNumId w:val="9"/>
  </w:num>
  <w:num w:numId="31">
    <w:abstractNumId w:val="5"/>
  </w:num>
  <w:num w:numId="32">
    <w:abstractNumId w:val="3"/>
  </w:num>
  <w:num w:numId="33">
    <w:abstractNumId w:val="57"/>
  </w:num>
  <w:num w:numId="34">
    <w:abstractNumId w:val="63"/>
  </w:num>
  <w:num w:numId="35">
    <w:abstractNumId w:val="46"/>
  </w:num>
  <w:num w:numId="36">
    <w:abstractNumId w:val="47"/>
  </w:num>
  <w:num w:numId="37">
    <w:abstractNumId w:val="45"/>
  </w:num>
  <w:num w:numId="38">
    <w:abstractNumId w:val="61"/>
  </w:num>
  <w:num w:numId="39">
    <w:abstractNumId w:val="17"/>
  </w:num>
  <w:num w:numId="40">
    <w:abstractNumId w:val="20"/>
  </w:num>
  <w:num w:numId="41">
    <w:abstractNumId w:val="68"/>
  </w:num>
  <w:num w:numId="42">
    <w:abstractNumId w:val="36"/>
  </w:num>
  <w:num w:numId="43">
    <w:abstractNumId w:val="62"/>
  </w:num>
  <w:num w:numId="44">
    <w:abstractNumId w:val="16"/>
  </w:num>
  <w:num w:numId="45">
    <w:abstractNumId w:val="30"/>
  </w:num>
  <w:num w:numId="46">
    <w:abstractNumId w:val="53"/>
  </w:num>
  <w:num w:numId="47">
    <w:abstractNumId w:val="52"/>
  </w:num>
  <w:num w:numId="48">
    <w:abstractNumId w:val="15"/>
  </w:num>
  <w:num w:numId="49">
    <w:abstractNumId w:val="4"/>
  </w:num>
  <w:num w:numId="50">
    <w:abstractNumId w:val="7"/>
  </w:num>
  <w:num w:numId="51">
    <w:abstractNumId w:val="49"/>
  </w:num>
  <w:num w:numId="52">
    <w:abstractNumId w:val="11"/>
  </w:num>
  <w:num w:numId="53">
    <w:abstractNumId w:val="48"/>
  </w:num>
  <w:num w:numId="54">
    <w:abstractNumId w:val="8"/>
  </w:num>
  <w:num w:numId="55">
    <w:abstractNumId w:val="13"/>
  </w:num>
  <w:num w:numId="56">
    <w:abstractNumId w:val="32"/>
  </w:num>
  <w:num w:numId="57">
    <w:abstractNumId w:val="10"/>
  </w:num>
  <w:num w:numId="58">
    <w:abstractNumId w:val="59"/>
  </w:num>
  <w:num w:numId="59">
    <w:abstractNumId w:val="43"/>
  </w:num>
  <w:num w:numId="60">
    <w:abstractNumId w:val="40"/>
  </w:num>
  <w:num w:numId="61">
    <w:abstractNumId w:val="42"/>
  </w:num>
  <w:num w:numId="62">
    <w:abstractNumId w:val="50"/>
  </w:num>
  <w:num w:numId="63">
    <w:abstractNumId w:val="67"/>
  </w:num>
  <w:num w:numId="64">
    <w:abstractNumId w:val="0"/>
  </w:num>
  <w:num w:numId="65">
    <w:abstractNumId w:val="37"/>
  </w:num>
  <w:num w:numId="66">
    <w:abstractNumId w:val="34"/>
  </w:num>
  <w:num w:numId="67">
    <w:abstractNumId w:val="19"/>
  </w:num>
  <w:num w:numId="68">
    <w:abstractNumId w:val="60"/>
  </w:num>
  <w:num w:numId="69">
    <w:abstractNumId w:val="65"/>
  </w:num>
  <w:num w:numId="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OTRiMGM4N2U5NTUxYzkwNmIyYzQ0OWViN2ExODkifQ=="/>
  </w:docVars>
  <w:rsids>
    <w:rsidRoot w:val="00172A27"/>
    <w:rsid w:val="00004ED9"/>
    <w:rsid w:val="00013CED"/>
    <w:rsid w:val="00027EBF"/>
    <w:rsid w:val="000303E0"/>
    <w:rsid w:val="00031AE7"/>
    <w:rsid w:val="00040DA5"/>
    <w:rsid w:val="00053D46"/>
    <w:rsid w:val="00065ED2"/>
    <w:rsid w:val="000667C2"/>
    <w:rsid w:val="00066E92"/>
    <w:rsid w:val="0007002C"/>
    <w:rsid w:val="00082EBF"/>
    <w:rsid w:val="00087508"/>
    <w:rsid w:val="000949A4"/>
    <w:rsid w:val="000A0ABB"/>
    <w:rsid w:val="000A25C9"/>
    <w:rsid w:val="000A5F20"/>
    <w:rsid w:val="000B7CF1"/>
    <w:rsid w:val="000D0A92"/>
    <w:rsid w:val="000D7383"/>
    <w:rsid w:val="000E05A7"/>
    <w:rsid w:val="000E583B"/>
    <w:rsid w:val="000E7810"/>
    <w:rsid w:val="000F5B94"/>
    <w:rsid w:val="00102BF7"/>
    <w:rsid w:val="0011125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2076DF"/>
    <w:rsid w:val="00217836"/>
    <w:rsid w:val="00221547"/>
    <w:rsid w:val="00240026"/>
    <w:rsid w:val="00247048"/>
    <w:rsid w:val="00254C3B"/>
    <w:rsid w:val="00260168"/>
    <w:rsid w:val="002633C4"/>
    <w:rsid w:val="00273686"/>
    <w:rsid w:val="00275909"/>
    <w:rsid w:val="00281448"/>
    <w:rsid w:val="002827C6"/>
    <w:rsid w:val="00291258"/>
    <w:rsid w:val="002A00D2"/>
    <w:rsid w:val="002B1764"/>
    <w:rsid w:val="002B3DDA"/>
    <w:rsid w:val="002C1C74"/>
    <w:rsid w:val="002E32F0"/>
    <w:rsid w:val="002E3A35"/>
    <w:rsid w:val="002E41DE"/>
    <w:rsid w:val="002E69D1"/>
    <w:rsid w:val="002F1092"/>
    <w:rsid w:val="002F29FE"/>
    <w:rsid w:val="0031591B"/>
    <w:rsid w:val="00316E1C"/>
    <w:rsid w:val="00317EBD"/>
    <w:rsid w:val="003322E0"/>
    <w:rsid w:val="00333096"/>
    <w:rsid w:val="00354B76"/>
    <w:rsid w:val="00365ADD"/>
    <w:rsid w:val="00376BDC"/>
    <w:rsid w:val="00393618"/>
    <w:rsid w:val="0039629B"/>
    <w:rsid w:val="00397CE6"/>
    <w:rsid w:val="003B2EC4"/>
    <w:rsid w:val="003B745E"/>
    <w:rsid w:val="003B7D41"/>
    <w:rsid w:val="003E355B"/>
    <w:rsid w:val="003F5FB2"/>
    <w:rsid w:val="00401571"/>
    <w:rsid w:val="00407584"/>
    <w:rsid w:val="00407C16"/>
    <w:rsid w:val="004128AB"/>
    <w:rsid w:val="004206AF"/>
    <w:rsid w:val="0043308C"/>
    <w:rsid w:val="00441D37"/>
    <w:rsid w:val="00446282"/>
    <w:rsid w:val="00456605"/>
    <w:rsid w:val="00461B29"/>
    <w:rsid w:val="0046625F"/>
    <w:rsid w:val="00467935"/>
    <w:rsid w:val="00471FC2"/>
    <w:rsid w:val="0047295E"/>
    <w:rsid w:val="00477E81"/>
    <w:rsid w:val="00484EA6"/>
    <w:rsid w:val="00484EF1"/>
    <w:rsid w:val="00492B44"/>
    <w:rsid w:val="00492E55"/>
    <w:rsid w:val="004A1FF8"/>
    <w:rsid w:val="004A60EC"/>
    <w:rsid w:val="004A7924"/>
    <w:rsid w:val="004B4D97"/>
    <w:rsid w:val="004C18E8"/>
    <w:rsid w:val="004C2828"/>
    <w:rsid w:val="004D109C"/>
    <w:rsid w:val="004E38D3"/>
    <w:rsid w:val="0050644E"/>
    <w:rsid w:val="00511D52"/>
    <w:rsid w:val="00532098"/>
    <w:rsid w:val="00536FE0"/>
    <w:rsid w:val="00541C51"/>
    <w:rsid w:val="00545AB7"/>
    <w:rsid w:val="00594CC8"/>
    <w:rsid w:val="005A334A"/>
    <w:rsid w:val="005A4AD2"/>
    <w:rsid w:val="005B4C59"/>
    <w:rsid w:val="005B6058"/>
    <w:rsid w:val="005B6C65"/>
    <w:rsid w:val="005C0485"/>
    <w:rsid w:val="005C6261"/>
    <w:rsid w:val="005E40CB"/>
    <w:rsid w:val="005E7DFD"/>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20D0F"/>
    <w:rsid w:val="00722F89"/>
    <w:rsid w:val="007243ED"/>
    <w:rsid w:val="00741137"/>
    <w:rsid w:val="00756DA2"/>
    <w:rsid w:val="00766B76"/>
    <w:rsid w:val="007710C6"/>
    <w:rsid w:val="00773D87"/>
    <w:rsid w:val="0077574D"/>
    <w:rsid w:val="00776906"/>
    <w:rsid w:val="00797455"/>
    <w:rsid w:val="007B093B"/>
    <w:rsid w:val="007B175C"/>
    <w:rsid w:val="007C0ABD"/>
    <w:rsid w:val="007C19E4"/>
    <w:rsid w:val="007D2A48"/>
    <w:rsid w:val="007E0813"/>
    <w:rsid w:val="007E7F16"/>
    <w:rsid w:val="007F1450"/>
    <w:rsid w:val="007F1F7A"/>
    <w:rsid w:val="007F6177"/>
    <w:rsid w:val="00800EE4"/>
    <w:rsid w:val="008016AD"/>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C19E6"/>
    <w:rsid w:val="008D1E3A"/>
    <w:rsid w:val="008E02C9"/>
    <w:rsid w:val="008E0B5F"/>
    <w:rsid w:val="008E5202"/>
    <w:rsid w:val="008F1546"/>
    <w:rsid w:val="00901BBE"/>
    <w:rsid w:val="0090449C"/>
    <w:rsid w:val="00921306"/>
    <w:rsid w:val="009248A4"/>
    <w:rsid w:val="00934E35"/>
    <w:rsid w:val="009449E8"/>
    <w:rsid w:val="0095076D"/>
    <w:rsid w:val="0095363C"/>
    <w:rsid w:val="00964379"/>
    <w:rsid w:val="00966637"/>
    <w:rsid w:val="00966E29"/>
    <w:rsid w:val="00985E50"/>
    <w:rsid w:val="009B61CA"/>
    <w:rsid w:val="009B765F"/>
    <w:rsid w:val="009C5E03"/>
    <w:rsid w:val="009D46D2"/>
    <w:rsid w:val="009D52F5"/>
    <w:rsid w:val="009E24EA"/>
    <w:rsid w:val="009E2D9E"/>
    <w:rsid w:val="009E526A"/>
    <w:rsid w:val="009F0C14"/>
    <w:rsid w:val="009F7D9A"/>
    <w:rsid w:val="00A055F7"/>
    <w:rsid w:val="00A27FF7"/>
    <w:rsid w:val="00A55819"/>
    <w:rsid w:val="00A56C65"/>
    <w:rsid w:val="00A56E5C"/>
    <w:rsid w:val="00A60C2E"/>
    <w:rsid w:val="00A64243"/>
    <w:rsid w:val="00A66739"/>
    <w:rsid w:val="00A74E2D"/>
    <w:rsid w:val="00A768E1"/>
    <w:rsid w:val="00A83212"/>
    <w:rsid w:val="00A9258A"/>
    <w:rsid w:val="00A92D4A"/>
    <w:rsid w:val="00A930D3"/>
    <w:rsid w:val="00A93AB2"/>
    <w:rsid w:val="00AC5126"/>
    <w:rsid w:val="00AC7E7F"/>
    <w:rsid w:val="00AD2DAD"/>
    <w:rsid w:val="00AD77FA"/>
    <w:rsid w:val="00AE34EC"/>
    <w:rsid w:val="00AE48FC"/>
    <w:rsid w:val="00AE7BF1"/>
    <w:rsid w:val="00AF4C58"/>
    <w:rsid w:val="00B01247"/>
    <w:rsid w:val="00B02E7B"/>
    <w:rsid w:val="00B06A09"/>
    <w:rsid w:val="00B1208F"/>
    <w:rsid w:val="00B31D1A"/>
    <w:rsid w:val="00B44C6A"/>
    <w:rsid w:val="00B531DB"/>
    <w:rsid w:val="00B64EE0"/>
    <w:rsid w:val="00B8512E"/>
    <w:rsid w:val="00B85A16"/>
    <w:rsid w:val="00BC326B"/>
    <w:rsid w:val="00BD25A7"/>
    <w:rsid w:val="00BE345E"/>
    <w:rsid w:val="00BE7824"/>
    <w:rsid w:val="00BF4A2E"/>
    <w:rsid w:val="00C14875"/>
    <w:rsid w:val="00C15CF5"/>
    <w:rsid w:val="00C21C4E"/>
    <w:rsid w:val="00C246FA"/>
    <w:rsid w:val="00C35C83"/>
    <w:rsid w:val="00C37A47"/>
    <w:rsid w:val="00C45E47"/>
    <w:rsid w:val="00C7634F"/>
    <w:rsid w:val="00C83562"/>
    <w:rsid w:val="00C8723E"/>
    <w:rsid w:val="00C91A35"/>
    <w:rsid w:val="00C9205E"/>
    <w:rsid w:val="00CA07CA"/>
    <w:rsid w:val="00CB4083"/>
    <w:rsid w:val="00CB4783"/>
    <w:rsid w:val="00CC749A"/>
    <w:rsid w:val="00CD248B"/>
    <w:rsid w:val="00CD6793"/>
    <w:rsid w:val="00D25820"/>
    <w:rsid w:val="00D30579"/>
    <w:rsid w:val="00D6106B"/>
    <w:rsid w:val="00D61D83"/>
    <w:rsid w:val="00D76F6D"/>
    <w:rsid w:val="00D8257B"/>
    <w:rsid w:val="00D87C28"/>
    <w:rsid w:val="00D90AA8"/>
    <w:rsid w:val="00DA4BBF"/>
    <w:rsid w:val="00DB3623"/>
    <w:rsid w:val="00DB6E33"/>
    <w:rsid w:val="00DD208D"/>
    <w:rsid w:val="00DE3CBD"/>
    <w:rsid w:val="00DE41DC"/>
    <w:rsid w:val="00E03366"/>
    <w:rsid w:val="00E14369"/>
    <w:rsid w:val="00E1630D"/>
    <w:rsid w:val="00E24477"/>
    <w:rsid w:val="00E25956"/>
    <w:rsid w:val="00E27495"/>
    <w:rsid w:val="00E338BC"/>
    <w:rsid w:val="00E361C3"/>
    <w:rsid w:val="00E4152C"/>
    <w:rsid w:val="00E60BD4"/>
    <w:rsid w:val="00E62517"/>
    <w:rsid w:val="00E62909"/>
    <w:rsid w:val="00E677AD"/>
    <w:rsid w:val="00E70FCD"/>
    <w:rsid w:val="00E822F3"/>
    <w:rsid w:val="00E85FF4"/>
    <w:rsid w:val="00E9647A"/>
    <w:rsid w:val="00EA305C"/>
    <w:rsid w:val="00EA4A6D"/>
    <w:rsid w:val="00EC443E"/>
    <w:rsid w:val="00EC650B"/>
    <w:rsid w:val="00EC73A9"/>
    <w:rsid w:val="00EC73E7"/>
    <w:rsid w:val="00EC778D"/>
    <w:rsid w:val="00EE6D31"/>
    <w:rsid w:val="00F020EA"/>
    <w:rsid w:val="00F10C7F"/>
    <w:rsid w:val="00F16FF3"/>
    <w:rsid w:val="00F32D6E"/>
    <w:rsid w:val="00F378D6"/>
    <w:rsid w:val="00F529B5"/>
    <w:rsid w:val="00F67F5E"/>
    <w:rsid w:val="00FA002A"/>
    <w:rsid w:val="00FA42AA"/>
    <w:rsid w:val="00FA5DD2"/>
    <w:rsid w:val="00FA7E29"/>
    <w:rsid w:val="00FB757C"/>
    <w:rsid w:val="00FC7142"/>
    <w:rsid w:val="00FE33B7"/>
    <w:rsid w:val="00FE635E"/>
    <w:rsid w:val="010C0545"/>
    <w:rsid w:val="01431AAC"/>
    <w:rsid w:val="01CB4613"/>
    <w:rsid w:val="01D6735B"/>
    <w:rsid w:val="01EE009D"/>
    <w:rsid w:val="02212C59"/>
    <w:rsid w:val="02234D68"/>
    <w:rsid w:val="03362153"/>
    <w:rsid w:val="033D23C8"/>
    <w:rsid w:val="035C7C9F"/>
    <w:rsid w:val="038421FF"/>
    <w:rsid w:val="03AC3D5F"/>
    <w:rsid w:val="040D7D2D"/>
    <w:rsid w:val="04A52F3F"/>
    <w:rsid w:val="04DB5BA0"/>
    <w:rsid w:val="050339C8"/>
    <w:rsid w:val="056B78E4"/>
    <w:rsid w:val="05815C46"/>
    <w:rsid w:val="05A42927"/>
    <w:rsid w:val="05EB78B9"/>
    <w:rsid w:val="060464B3"/>
    <w:rsid w:val="061F2713"/>
    <w:rsid w:val="065654B5"/>
    <w:rsid w:val="06A149CB"/>
    <w:rsid w:val="06D11F32"/>
    <w:rsid w:val="071C0D73"/>
    <w:rsid w:val="0785665F"/>
    <w:rsid w:val="07B32051"/>
    <w:rsid w:val="07EB08B1"/>
    <w:rsid w:val="08173179"/>
    <w:rsid w:val="089B7583"/>
    <w:rsid w:val="08C5681F"/>
    <w:rsid w:val="091C4B59"/>
    <w:rsid w:val="098A5497"/>
    <w:rsid w:val="09A1791C"/>
    <w:rsid w:val="09D25BA2"/>
    <w:rsid w:val="0A0E35A3"/>
    <w:rsid w:val="0A1B48E0"/>
    <w:rsid w:val="0A836050"/>
    <w:rsid w:val="0AB357D4"/>
    <w:rsid w:val="0AD12D78"/>
    <w:rsid w:val="0B591E2E"/>
    <w:rsid w:val="0C0910DE"/>
    <w:rsid w:val="0C2F17E1"/>
    <w:rsid w:val="0CAD489C"/>
    <w:rsid w:val="0D0E66AD"/>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4465FE"/>
    <w:rsid w:val="0F6A3FA9"/>
    <w:rsid w:val="0F8938E3"/>
    <w:rsid w:val="0FC26B09"/>
    <w:rsid w:val="0FE37051"/>
    <w:rsid w:val="0FE55E1D"/>
    <w:rsid w:val="10234BB8"/>
    <w:rsid w:val="105552F6"/>
    <w:rsid w:val="11072B0F"/>
    <w:rsid w:val="11651493"/>
    <w:rsid w:val="118215F3"/>
    <w:rsid w:val="11B20E43"/>
    <w:rsid w:val="11B8379D"/>
    <w:rsid w:val="11E164E5"/>
    <w:rsid w:val="122638B7"/>
    <w:rsid w:val="12B12D30"/>
    <w:rsid w:val="12BB492C"/>
    <w:rsid w:val="12D92BF6"/>
    <w:rsid w:val="132344FA"/>
    <w:rsid w:val="132603F1"/>
    <w:rsid w:val="13281BE5"/>
    <w:rsid w:val="1337105C"/>
    <w:rsid w:val="135B6F1E"/>
    <w:rsid w:val="13CB73A9"/>
    <w:rsid w:val="13D25640"/>
    <w:rsid w:val="13E00550"/>
    <w:rsid w:val="144741CB"/>
    <w:rsid w:val="14551336"/>
    <w:rsid w:val="145C7A04"/>
    <w:rsid w:val="146A35EE"/>
    <w:rsid w:val="14D00807"/>
    <w:rsid w:val="14D02D31"/>
    <w:rsid w:val="14D34E23"/>
    <w:rsid w:val="14DE45E1"/>
    <w:rsid w:val="14F04C98"/>
    <w:rsid w:val="14F57CCE"/>
    <w:rsid w:val="151505A6"/>
    <w:rsid w:val="156661AC"/>
    <w:rsid w:val="157D48C4"/>
    <w:rsid w:val="15883D2B"/>
    <w:rsid w:val="15A33128"/>
    <w:rsid w:val="15CB6D14"/>
    <w:rsid w:val="15CB6DC0"/>
    <w:rsid w:val="15D37DAD"/>
    <w:rsid w:val="15EE047E"/>
    <w:rsid w:val="15F42192"/>
    <w:rsid w:val="167E0620"/>
    <w:rsid w:val="168C03DB"/>
    <w:rsid w:val="168F62E4"/>
    <w:rsid w:val="16AE5587"/>
    <w:rsid w:val="16AE7558"/>
    <w:rsid w:val="16FF5D34"/>
    <w:rsid w:val="17610FFB"/>
    <w:rsid w:val="177212C8"/>
    <w:rsid w:val="1774600D"/>
    <w:rsid w:val="17B65676"/>
    <w:rsid w:val="17E625C2"/>
    <w:rsid w:val="181804D5"/>
    <w:rsid w:val="181956B5"/>
    <w:rsid w:val="183262BB"/>
    <w:rsid w:val="18D93586"/>
    <w:rsid w:val="18E9064E"/>
    <w:rsid w:val="191B2BC9"/>
    <w:rsid w:val="191C3C2B"/>
    <w:rsid w:val="19414DFD"/>
    <w:rsid w:val="19670372"/>
    <w:rsid w:val="1A597781"/>
    <w:rsid w:val="1A674BDF"/>
    <w:rsid w:val="1AAF73A0"/>
    <w:rsid w:val="1B295DE8"/>
    <w:rsid w:val="1B834886"/>
    <w:rsid w:val="1C102782"/>
    <w:rsid w:val="1C1E661C"/>
    <w:rsid w:val="1C3A2896"/>
    <w:rsid w:val="1C4D4BCF"/>
    <w:rsid w:val="1CDC7FA8"/>
    <w:rsid w:val="1CDD21E8"/>
    <w:rsid w:val="1CEB7BA0"/>
    <w:rsid w:val="1CFD009B"/>
    <w:rsid w:val="1DE53C2A"/>
    <w:rsid w:val="1E18389A"/>
    <w:rsid w:val="1EF37B1C"/>
    <w:rsid w:val="1F3B30B4"/>
    <w:rsid w:val="1FA878A4"/>
    <w:rsid w:val="1FB65CE5"/>
    <w:rsid w:val="1FFB1CD2"/>
    <w:rsid w:val="20102115"/>
    <w:rsid w:val="20723DF8"/>
    <w:rsid w:val="20BA5D27"/>
    <w:rsid w:val="20CF0408"/>
    <w:rsid w:val="20DD2F6A"/>
    <w:rsid w:val="213D5D4F"/>
    <w:rsid w:val="214D321F"/>
    <w:rsid w:val="21526090"/>
    <w:rsid w:val="21831257"/>
    <w:rsid w:val="21862A8E"/>
    <w:rsid w:val="219B2107"/>
    <w:rsid w:val="21B66174"/>
    <w:rsid w:val="21D2510C"/>
    <w:rsid w:val="220B46C7"/>
    <w:rsid w:val="22584650"/>
    <w:rsid w:val="22E16D2C"/>
    <w:rsid w:val="23513516"/>
    <w:rsid w:val="235C0D8C"/>
    <w:rsid w:val="24005DFF"/>
    <w:rsid w:val="24740B21"/>
    <w:rsid w:val="24A66CC3"/>
    <w:rsid w:val="24B07509"/>
    <w:rsid w:val="24C8619D"/>
    <w:rsid w:val="25141B44"/>
    <w:rsid w:val="25251CDD"/>
    <w:rsid w:val="25640448"/>
    <w:rsid w:val="256A0B48"/>
    <w:rsid w:val="25B8212F"/>
    <w:rsid w:val="25C379D2"/>
    <w:rsid w:val="26244987"/>
    <w:rsid w:val="26A266B6"/>
    <w:rsid w:val="26DC3A8D"/>
    <w:rsid w:val="27A76D16"/>
    <w:rsid w:val="27BD2019"/>
    <w:rsid w:val="27EC1F9F"/>
    <w:rsid w:val="283F20D0"/>
    <w:rsid w:val="288E4DD2"/>
    <w:rsid w:val="28B46DE9"/>
    <w:rsid w:val="28B939EF"/>
    <w:rsid w:val="28CF3E48"/>
    <w:rsid w:val="28F84B43"/>
    <w:rsid w:val="291D7302"/>
    <w:rsid w:val="29231E73"/>
    <w:rsid w:val="292D106A"/>
    <w:rsid w:val="29410AEC"/>
    <w:rsid w:val="29927A4E"/>
    <w:rsid w:val="29F81C85"/>
    <w:rsid w:val="2A61579E"/>
    <w:rsid w:val="2A994270"/>
    <w:rsid w:val="2AC754C9"/>
    <w:rsid w:val="2B15743C"/>
    <w:rsid w:val="2B7414D9"/>
    <w:rsid w:val="2B8939D5"/>
    <w:rsid w:val="2B9032D2"/>
    <w:rsid w:val="2B9F1B0C"/>
    <w:rsid w:val="2BBD43D2"/>
    <w:rsid w:val="2BC83B6E"/>
    <w:rsid w:val="2C1A6CEA"/>
    <w:rsid w:val="2C2A38E6"/>
    <w:rsid w:val="2C5B7754"/>
    <w:rsid w:val="2C9F72AD"/>
    <w:rsid w:val="2CBB1650"/>
    <w:rsid w:val="2CBE19F6"/>
    <w:rsid w:val="2CC74EB6"/>
    <w:rsid w:val="2CCE420F"/>
    <w:rsid w:val="2CD66830"/>
    <w:rsid w:val="2D901D4F"/>
    <w:rsid w:val="2DCB643C"/>
    <w:rsid w:val="2E346694"/>
    <w:rsid w:val="2E756F3C"/>
    <w:rsid w:val="2F6F0866"/>
    <w:rsid w:val="2FE21663"/>
    <w:rsid w:val="30444961"/>
    <w:rsid w:val="30976FBB"/>
    <w:rsid w:val="30B27859"/>
    <w:rsid w:val="31266B62"/>
    <w:rsid w:val="314B252D"/>
    <w:rsid w:val="31522662"/>
    <w:rsid w:val="31C077E7"/>
    <w:rsid w:val="31D11801"/>
    <w:rsid w:val="328123C3"/>
    <w:rsid w:val="32B81AB0"/>
    <w:rsid w:val="32F61005"/>
    <w:rsid w:val="33064658"/>
    <w:rsid w:val="33116A73"/>
    <w:rsid w:val="33222E5D"/>
    <w:rsid w:val="33275A6F"/>
    <w:rsid w:val="335B60C2"/>
    <w:rsid w:val="33630233"/>
    <w:rsid w:val="33E26171"/>
    <w:rsid w:val="33E85C36"/>
    <w:rsid w:val="343F0D4B"/>
    <w:rsid w:val="34583C3A"/>
    <w:rsid w:val="352F456F"/>
    <w:rsid w:val="353714EB"/>
    <w:rsid w:val="35765CF6"/>
    <w:rsid w:val="35E140BD"/>
    <w:rsid w:val="36231D6F"/>
    <w:rsid w:val="365B20D6"/>
    <w:rsid w:val="36612F9F"/>
    <w:rsid w:val="367365E5"/>
    <w:rsid w:val="36902723"/>
    <w:rsid w:val="36953CD8"/>
    <w:rsid w:val="36B85657"/>
    <w:rsid w:val="36F6244F"/>
    <w:rsid w:val="37040303"/>
    <w:rsid w:val="37576C68"/>
    <w:rsid w:val="377B152A"/>
    <w:rsid w:val="377D72FB"/>
    <w:rsid w:val="37820B60"/>
    <w:rsid w:val="37A161DE"/>
    <w:rsid w:val="37CB3809"/>
    <w:rsid w:val="37E911FA"/>
    <w:rsid w:val="381903F7"/>
    <w:rsid w:val="385A5F5D"/>
    <w:rsid w:val="38703BDD"/>
    <w:rsid w:val="389771E3"/>
    <w:rsid w:val="38AF0343"/>
    <w:rsid w:val="38BE339E"/>
    <w:rsid w:val="396B46CF"/>
    <w:rsid w:val="398C79A3"/>
    <w:rsid w:val="39E67A24"/>
    <w:rsid w:val="39EE175A"/>
    <w:rsid w:val="3A070BE6"/>
    <w:rsid w:val="3A5208D7"/>
    <w:rsid w:val="3A6D1368"/>
    <w:rsid w:val="3A6D2AE0"/>
    <w:rsid w:val="3A7D4D6D"/>
    <w:rsid w:val="3A886309"/>
    <w:rsid w:val="3A904DA0"/>
    <w:rsid w:val="3B0F4EDF"/>
    <w:rsid w:val="3B6405FB"/>
    <w:rsid w:val="3B7168B3"/>
    <w:rsid w:val="3BDB42E4"/>
    <w:rsid w:val="3BF4776D"/>
    <w:rsid w:val="3C0A4D18"/>
    <w:rsid w:val="3C505CD1"/>
    <w:rsid w:val="3C5F749B"/>
    <w:rsid w:val="3C79768C"/>
    <w:rsid w:val="3C912184"/>
    <w:rsid w:val="3CAC6323"/>
    <w:rsid w:val="3D802EF4"/>
    <w:rsid w:val="3DC34C62"/>
    <w:rsid w:val="3E664E95"/>
    <w:rsid w:val="3E676953"/>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91408"/>
    <w:rsid w:val="405A242A"/>
    <w:rsid w:val="40F43F1A"/>
    <w:rsid w:val="41532FAE"/>
    <w:rsid w:val="41842C98"/>
    <w:rsid w:val="41B50CFF"/>
    <w:rsid w:val="41BC1CA5"/>
    <w:rsid w:val="42057C15"/>
    <w:rsid w:val="423F2F70"/>
    <w:rsid w:val="42670A50"/>
    <w:rsid w:val="427D788F"/>
    <w:rsid w:val="428A1EDA"/>
    <w:rsid w:val="430A0010"/>
    <w:rsid w:val="430D1706"/>
    <w:rsid w:val="43B35BEF"/>
    <w:rsid w:val="43CA50D8"/>
    <w:rsid w:val="44224DC7"/>
    <w:rsid w:val="44831052"/>
    <w:rsid w:val="44A21D28"/>
    <w:rsid w:val="44D60620"/>
    <w:rsid w:val="44E828B4"/>
    <w:rsid w:val="451002B5"/>
    <w:rsid w:val="456A0612"/>
    <w:rsid w:val="458D6777"/>
    <w:rsid w:val="4590612D"/>
    <w:rsid w:val="45974811"/>
    <w:rsid w:val="46022BE9"/>
    <w:rsid w:val="46066A8D"/>
    <w:rsid w:val="46082FC4"/>
    <w:rsid w:val="460868F8"/>
    <w:rsid w:val="46295264"/>
    <w:rsid w:val="466A2CBB"/>
    <w:rsid w:val="46BA00BF"/>
    <w:rsid w:val="46D66444"/>
    <w:rsid w:val="472D4804"/>
    <w:rsid w:val="47350CC5"/>
    <w:rsid w:val="4754657C"/>
    <w:rsid w:val="47792485"/>
    <w:rsid w:val="477F0800"/>
    <w:rsid w:val="47DF047E"/>
    <w:rsid w:val="47F1067D"/>
    <w:rsid w:val="481E4E00"/>
    <w:rsid w:val="48350F2F"/>
    <w:rsid w:val="484556B9"/>
    <w:rsid w:val="48673C7E"/>
    <w:rsid w:val="487F5414"/>
    <w:rsid w:val="488D5CBD"/>
    <w:rsid w:val="48BD715B"/>
    <w:rsid w:val="493A3496"/>
    <w:rsid w:val="49B35ADA"/>
    <w:rsid w:val="4A3C591C"/>
    <w:rsid w:val="4A797E30"/>
    <w:rsid w:val="4AC85072"/>
    <w:rsid w:val="4B115EC7"/>
    <w:rsid w:val="4B646FFB"/>
    <w:rsid w:val="4B745559"/>
    <w:rsid w:val="4B8250E9"/>
    <w:rsid w:val="4B9374B4"/>
    <w:rsid w:val="4BAC6D9C"/>
    <w:rsid w:val="4BBC374F"/>
    <w:rsid w:val="4BD50393"/>
    <w:rsid w:val="4C371F41"/>
    <w:rsid w:val="4CF124C7"/>
    <w:rsid w:val="4D1C29A0"/>
    <w:rsid w:val="4D222443"/>
    <w:rsid w:val="4D5544F7"/>
    <w:rsid w:val="4D6A2510"/>
    <w:rsid w:val="4D8D15C2"/>
    <w:rsid w:val="4DC23C9A"/>
    <w:rsid w:val="4E15316A"/>
    <w:rsid w:val="4E5C712A"/>
    <w:rsid w:val="4E821BAA"/>
    <w:rsid w:val="4E866187"/>
    <w:rsid w:val="4EA25710"/>
    <w:rsid w:val="4EB000D3"/>
    <w:rsid w:val="4ED432D3"/>
    <w:rsid w:val="4F105D44"/>
    <w:rsid w:val="4F6E5524"/>
    <w:rsid w:val="4F9A4D7F"/>
    <w:rsid w:val="4FB40A0A"/>
    <w:rsid w:val="4FE96D90"/>
    <w:rsid w:val="4FEA236B"/>
    <w:rsid w:val="50147B70"/>
    <w:rsid w:val="501A11B7"/>
    <w:rsid w:val="502F0E22"/>
    <w:rsid w:val="503D4610"/>
    <w:rsid w:val="5070592D"/>
    <w:rsid w:val="507A030E"/>
    <w:rsid w:val="509462D0"/>
    <w:rsid w:val="50F45E6D"/>
    <w:rsid w:val="50F51557"/>
    <w:rsid w:val="51A67337"/>
    <w:rsid w:val="51AD3D02"/>
    <w:rsid w:val="51C72ED1"/>
    <w:rsid w:val="51DC6281"/>
    <w:rsid w:val="523A17FC"/>
    <w:rsid w:val="524E4BD7"/>
    <w:rsid w:val="52730954"/>
    <w:rsid w:val="52C57509"/>
    <w:rsid w:val="53104FF3"/>
    <w:rsid w:val="5333003B"/>
    <w:rsid w:val="535A42C0"/>
    <w:rsid w:val="53A66F6C"/>
    <w:rsid w:val="53A8301E"/>
    <w:rsid w:val="549C6DBA"/>
    <w:rsid w:val="54AE4B77"/>
    <w:rsid w:val="54B64947"/>
    <w:rsid w:val="55560686"/>
    <w:rsid w:val="561F7184"/>
    <w:rsid w:val="56392B05"/>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985CD1"/>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C85E20"/>
    <w:rsid w:val="5D4D4876"/>
    <w:rsid w:val="5D9B4E7C"/>
    <w:rsid w:val="5DB7364F"/>
    <w:rsid w:val="5DE01011"/>
    <w:rsid w:val="5DFF3E63"/>
    <w:rsid w:val="5E263E4C"/>
    <w:rsid w:val="5E2A7B88"/>
    <w:rsid w:val="5E7225D1"/>
    <w:rsid w:val="5EF21D08"/>
    <w:rsid w:val="5EFC55C2"/>
    <w:rsid w:val="5F216531"/>
    <w:rsid w:val="5F3C6B9D"/>
    <w:rsid w:val="5F894125"/>
    <w:rsid w:val="5F977E59"/>
    <w:rsid w:val="603F6015"/>
    <w:rsid w:val="60672361"/>
    <w:rsid w:val="60911F51"/>
    <w:rsid w:val="60971F86"/>
    <w:rsid w:val="60A12B13"/>
    <w:rsid w:val="611E6F2B"/>
    <w:rsid w:val="613E5BFE"/>
    <w:rsid w:val="621B2348"/>
    <w:rsid w:val="62607B57"/>
    <w:rsid w:val="62951C1B"/>
    <w:rsid w:val="62BA3324"/>
    <w:rsid w:val="630854AB"/>
    <w:rsid w:val="631C688A"/>
    <w:rsid w:val="635031CD"/>
    <w:rsid w:val="63A21FFE"/>
    <w:rsid w:val="63A97F35"/>
    <w:rsid w:val="63AB1A91"/>
    <w:rsid w:val="64324C0C"/>
    <w:rsid w:val="643D3240"/>
    <w:rsid w:val="6458289B"/>
    <w:rsid w:val="64A5552C"/>
    <w:rsid w:val="64C47B18"/>
    <w:rsid w:val="65A119E7"/>
    <w:rsid w:val="65C126FF"/>
    <w:rsid w:val="65F93D81"/>
    <w:rsid w:val="66317CF6"/>
    <w:rsid w:val="663C410E"/>
    <w:rsid w:val="669D13B7"/>
    <w:rsid w:val="66B546F0"/>
    <w:rsid w:val="66B83C92"/>
    <w:rsid w:val="66DE070A"/>
    <w:rsid w:val="6703549C"/>
    <w:rsid w:val="673A2A49"/>
    <w:rsid w:val="674F314A"/>
    <w:rsid w:val="675A6D1E"/>
    <w:rsid w:val="676D2E91"/>
    <w:rsid w:val="67F03179"/>
    <w:rsid w:val="68105B0A"/>
    <w:rsid w:val="684D2237"/>
    <w:rsid w:val="68760BC9"/>
    <w:rsid w:val="689C6CD7"/>
    <w:rsid w:val="68AD1290"/>
    <w:rsid w:val="68C24091"/>
    <w:rsid w:val="68DF53F1"/>
    <w:rsid w:val="692E1B1A"/>
    <w:rsid w:val="695F493B"/>
    <w:rsid w:val="696F6BE4"/>
    <w:rsid w:val="698039BA"/>
    <w:rsid w:val="69F71F6E"/>
    <w:rsid w:val="6A023AC4"/>
    <w:rsid w:val="6A184540"/>
    <w:rsid w:val="6AA62419"/>
    <w:rsid w:val="6AB514DC"/>
    <w:rsid w:val="6ACD6505"/>
    <w:rsid w:val="6AD31D28"/>
    <w:rsid w:val="6AFF1433"/>
    <w:rsid w:val="6B195042"/>
    <w:rsid w:val="6B9F7419"/>
    <w:rsid w:val="6BC46CB4"/>
    <w:rsid w:val="6BD6029E"/>
    <w:rsid w:val="6BD878B3"/>
    <w:rsid w:val="6C1A3DE9"/>
    <w:rsid w:val="6C7C54BE"/>
    <w:rsid w:val="6C9D1D07"/>
    <w:rsid w:val="6CB32F8B"/>
    <w:rsid w:val="6CBD6E76"/>
    <w:rsid w:val="6CBE69DE"/>
    <w:rsid w:val="6CF926FA"/>
    <w:rsid w:val="6D232396"/>
    <w:rsid w:val="6D303383"/>
    <w:rsid w:val="6D6D6950"/>
    <w:rsid w:val="6D9564A1"/>
    <w:rsid w:val="6DC00A06"/>
    <w:rsid w:val="6DF7402B"/>
    <w:rsid w:val="6DF93875"/>
    <w:rsid w:val="6DF947EA"/>
    <w:rsid w:val="6EA01B25"/>
    <w:rsid w:val="6EB56BD7"/>
    <w:rsid w:val="6F03131A"/>
    <w:rsid w:val="6F915FDB"/>
    <w:rsid w:val="6FD315C3"/>
    <w:rsid w:val="6FF723C3"/>
    <w:rsid w:val="701704B6"/>
    <w:rsid w:val="70474D32"/>
    <w:rsid w:val="70772053"/>
    <w:rsid w:val="70DC241A"/>
    <w:rsid w:val="70F806AF"/>
    <w:rsid w:val="716E59A9"/>
    <w:rsid w:val="71AA05CD"/>
    <w:rsid w:val="71DB12B3"/>
    <w:rsid w:val="72993414"/>
    <w:rsid w:val="72D73A11"/>
    <w:rsid w:val="72F01471"/>
    <w:rsid w:val="73047240"/>
    <w:rsid w:val="7350660E"/>
    <w:rsid w:val="73B30DE8"/>
    <w:rsid w:val="74056B0C"/>
    <w:rsid w:val="74180CAE"/>
    <w:rsid w:val="74612D49"/>
    <w:rsid w:val="74627BBE"/>
    <w:rsid w:val="74A21188"/>
    <w:rsid w:val="74BE2D01"/>
    <w:rsid w:val="74BF0FAA"/>
    <w:rsid w:val="75011284"/>
    <w:rsid w:val="750D12C5"/>
    <w:rsid w:val="7511571C"/>
    <w:rsid w:val="75171229"/>
    <w:rsid w:val="75210FD7"/>
    <w:rsid w:val="752D40F6"/>
    <w:rsid w:val="753668F2"/>
    <w:rsid w:val="753B4778"/>
    <w:rsid w:val="754F13C9"/>
    <w:rsid w:val="758555E1"/>
    <w:rsid w:val="75B40CC5"/>
    <w:rsid w:val="75C0143F"/>
    <w:rsid w:val="75C0608E"/>
    <w:rsid w:val="75CF43CE"/>
    <w:rsid w:val="75E06548"/>
    <w:rsid w:val="75EC7066"/>
    <w:rsid w:val="760C57E3"/>
    <w:rsid w:val="76151F8E"/>
    <w:rsid w:val="769E0D19"/>
    <w:rsid w:val="76EA76C2"/>
    <w:rsid w:val="76F507BA"/>
    <w:rsid w:val="772546B8"/>
    <w:rsid w:val="774A78C1"/>
    <w:rsid w:val="78533997"/>
    <w:rsid w:val="78D056D3"/>
    <w:rsid w:val="78F20AC6"/>
    <w:rsid w:val="794E7D2A"/>
    <w:rsid w:val="79747571"/>
    <w:rsid w:val="799A0EF5"/>
    <w:rsid w:val="79FA7066"/>
    <w:rsid w:val="7A0D12B9"/>
    <w:rsid w:val="7A11454C"/>
    <w:rsid w:val="7A2D6D03"/>
    <w:rsid w:val="7A9279A1"/>
    <w:rsid w:val="7AE73146"/>
    <w:rsid w:val="7B276F1B"/>
    <w:rsid w:val="7B663C59"/>
    <w:rsid w:val="7B683207"/>
    <w:rsid w:val="7B6A6379"/>
    <w:rsid w:val="7BDC5744"/>
    <w:rsid w:val="7C2876C8"/>
    <w:rsid w:val="7CAD2803"/>
    <w:rsid w:val="7CAE64BE"/>
    <w:rsid w:val="7CB54CD9"/>
    <w:rsid w:val="7D4816AF"/>
    <w:rsid w:val="7D661672"/>
    <w:rsid w:val="7DA43CC8"/>
    <w:rsid w:val="7DA5658D"/>
    <w:rsid w:val="7DE90634"/>
    <w:rsid w:val="7E170D1B"/>
    <w:rsid w:val="7E26327E"/>
    <w:rsid w:val="7E443971"/>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6">
    <w:name w:val="heading 4"/>
    <w:basedOn w:val="1"/>
    <w:next w:val="1"/>
    <w:link w:val="48"/>
    <w:autoRedefine/>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1"/>
    <w:link w:val="49"/>
    <w:autoRedefine/>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1"/>
    <w:link w:val="51"/>
    <w:autoRedefine/>
    <w:qFormat/>
    <w:uiPriority w:val="99"/>
    <w:pPr>
      <w:ind w:firstLine="420" w:firstLineChars="100"/>
    </w:pPr>
  </w:style>
  <w:style w:type="paragraph" w:styleId="8">
    <w:name w:val="toc 7"/>
    <w:basedOn w:val="1"/>
    <w:next w:val="1"/>
    <w:autoRedefine/>
    <w:semiHidden/>
    <w:qFormat/>
    <w:uiPriority w:val="99"/>
    <w:pPr>
      <w:ind w:left="112"/>
    </w:pPr>
    <w:rPr>
      <w:rFonts w:ascii="宋体" w:hAnsi="宋体" w:cs="宋体"/>
    </w:rPr>
  </w:style>
  <w:style w:type="paragraph" w:styleId="9">
    <w:name w:val="Normal Indent"/>
    <w:basedOn w:val="1"/>
    <w:autoRedefine/>
    <w:qFormat/>
    <w:uiPriority w:val="99"/>
    <w:pPr>
      <w:ind w:firstLine="420" w:firstLineChars="200"/>
    </w:pPr>
  </w:style>
  <w:style w:type="paragraph" w:styleId="10">
    <w:name w:val="caption"/>
    <w:basedOn w:val="1"/>
    <w:next w:val="1"/>
    <w:autoRedefine/>
    <w:qFormat/>
    <w:uiPriority w:val="99"/>
    <w:rPr>
      <w:rFonts w:ascii="Arial" w:hAnsi="Arial" w:eastAsia="黑体" w:cs="Arial"/>
      <w:sz w:val="20"/>
      <w:szCs w:val="20"/>
    </w:rPr>
  </w:style>
  <w:style w:type="paragraph" w:styleId="11">
    <w:name w:val="Document Map"/>
    <w:basedOn w:val="1"/>
    <w:link w:val="54"/>
    <w:autoRedefine/>
    <w:semiHidden/>
    <w:qFormat/>
    <w:uiPriority w:val="99"/>
    <w:pPr>
      <w:shd w:val="clear" w:color="auto" w:fill="000080"/>
    </w:pPr>
  </w:style>
  <w:style w:type="paragraph" w:styleId="12">
    <w:name w:val="annotation text"/>
    <w:basedOn w:val="1"/>
    <w:link w:val="52"/>
    <w:autoRedefine/>
    <w:semiHidden/>
    <w:qFormat/>
    <w:uiPriority w:val="99"/>
    <w:pPr>
      <w:jc w:val="left"/>
    </w:pPr>
    <w:rPr>
      <w:rFonts w:ascii="Times New Roman" w:hAnsi="Times New Roman" w:cs="Times New Roman"/>
    </w:rPr>
  </w:style>
  <w:style w:type="paragraph" w:styleId="13">
    <w:name w:val="Body Text 3"/>
    <w:basedOn w:val="1"/>
    <w:link w:val="55"/>
    <w:autoRedefine/>
    <w:qFormat/>
    <w:uiPriority w:val="99"/>
    <w:pPr>
      <w:spacing w:after="120"/>
    </w:pPr>
    <w:rPr>
      <w:sz w:val="16"/>
      <w:szCs w:val="16"/>
    </w:rPr>
  </w:style>
  <w:style w:type="paragraph" w:styleId="14">
    <w:name w:val="Closing"/>
    <w:basedOn w:val="1"/>
    <w:link w:val="56"/>
    <w:autoRedefine/>
    <w:qFormat/>
    <w:uiPriority w:val="99"/>
    <w:pPr>
      <w:ind w:left="100" w:leftChars="2100"/>
    </w:pPr>
    <w:rPr>
      <w:rFonts w:ascii="宋体" w:hAnsi="宋体" w:cs="宋体"/>
      <w:color w:val="000000"/>
      <w:sz w:val="24"/>
      <w:szCs w:val="24"/>
    </w:rPr>
  </w:style>
  <w:style w:type="paragraph" w:styleId="15">
    <w:name w:val="Body Text"/>
    <w:basedOn w:val="1"/>
    <w:next w:val="1"/>
    <w:link w:val="50"/>
    <w:autoRedefine/>
    <w:qFormat/>
    <w:uiPriority w:val="99"/>
    <w:pPr>
      <w:spacing w:after="120"/>
    </w:pPr>
    <w:rPr>
      <w:rFonts w:ascii="Times New Roman" w:hAnsi="Times New Roman" w:cs="Times New Roman"/>
    </w:rPr>
  </w:style>
  <w:style w:type="paragraph" w:styleId="16">
    <w:name w:val="Body Text Indent"/>
    <w:basedOn w:val="1"/>
    <w:link w:val="57"/>
    <w:autoRedefine/>
    <w:qFormat/>
    <w:uiPriority w:val="99"/>
    <w:pPr>
      <w:spacing w:after="120"/>
      <w:ind w:left="420" w:leftChars="200"/>
    </w:pPr>
    <w:rPr>
      <w:rFonts w:ascii="Times New Roman" w:hAnsi="Times New Roman" w:cs="Times New Roman"/>
    </w:rPr>
  </w:style>
  <w:style w:type="paragraph" w:styleId="17">
    <w:name w:val="toc 3"/>
    <w:basedOn w:val="1"/>
    <w:next w:val="1"/>
    <w:autoRedefine/>
    <w:semiHidden/>
    <w:qFormat/>
    <w:uiPriority w:val="99"/>
    <w:pPr>
      <w:ind w:left="840" w:leftChars="400"/>
    </w:pPr>
  </w:style>
  <w:style w:type="paragraph" w:styleId="18">
    <w:name w:val="Plain Text"/>
    <w:basedOn w:val="1"/>
    <w:link w:val="58"/>
    <w:autoRedefine/>
    <w:qFormat/>
    <w:uiPriority w:val="99"/>
    <w:rPr>
      <w:rFonts w:ascii="宋体" w:hAnsi="Courier New" w:cs="宋体"/>
    </w:rPr>
  </w:style>
  <w:style w:type="paragraph" w:styleId="19">
    <w:name w:val="Date"/>
    <w:basedOn w:val="1"/>
    <w:next w:val="1"/>
    <w:link w:val="59"/>
    <w:autoRedefine/>
    <w:qFormat/>
    <w:uiPriority w:val="99"/>
    <w:rPr>
      <w:rFonts w:ascii="宋体" w:hAnsi="Courier New" w:cs="宋体"/>
      <w:sz w:val="32"/>
      <w:szCs w:val="32"/>
    </w:rPr>
  </w:style>
  <w:style w:type="paragraph" w:styleId="20">
    <w:name w:val="Body Text Indent 2"/>
    <w:basedOn w:val="1"/>
    <w:link w:val="60"/>
    <w:autoRedefine/>
    <w:qFormat/>
    <w:uiPriority w:val="99"/>
    <w:pPr>
      <w:spacing w:line="500" w:lineRule="exact"/>
      <w:ind w:left="397" w:firstLine="539"/>
    </w:pPr>
    <w:rPr>
      <w:rFonts w:ascii="宋体" w:hAnsi="华文中宋" w:cs="宋体"/>
      <w:sz w:val="26"/>
      <w:szCs w:val="26"/>
    </w:rPr>
  </w:style>
  <w:style w:type="paragraph" w:styleId="21">
    <w:name w:val="Balloon Text"/>
    <w:basedOn w:val="1"/>
    <w:link w:val="61"/>
    <w:autoRedefine/>
    <w:semiHidden/>
    <w:qFormat/>
    <w:uiPriority w:val="99"/>
    <w:rPr>
      <w:rFonts w:ascii="Times New Roman" w:hAnsi="Times New Roman" w:cs="Times New Roman"/>
      <w:sz w:val="18"/>
      <w:szCs w:val="18"/>
    </w:rPr>
  </w:style>
  <w:style w:type="paragraph" w:styleId="22">
    <w:name w:val="footer"/>
    <w:basedOn w:val="1"/>
    <w:link w:val="62"/>
    <w:autoRedefine/>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3"/>
    <w:autoRedefine/>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autoRedefine/>
    <w:semiHidden/>
    <w:qFormat/>
    <w:uiPriority w:val="99"/>
    <w:pPr>
      <w:ind w:left="1260" w:leftChars="600"/>
    </w:pPr>
  </w:style>
  <w:style w:type="paragraph" w:styleId="26">
    <w:name w:val="index heading"/>
    <w:basedOn w:val="1"/>
    <w:next w:val="27"/>
    <w:autoRedefine/>
    <w:semiHidden/>
    <w:qFormat/>
    <w:uiPriority w:val="99"/>
  </w:style>
  <w:style w:type="paragraph" w:styleId="27">
    <w:name w:val="index 1"/>
    <w:basedOn w:val="1"/>
    <w:next w:val="1"/>
    <w:autoRedefine/>
    <w:semiHidden/>
    <w:qFormat/>
    <w:uiPriority w:val="99"/>
  </w:style>
  <w:style w:type="paragraph" w:styleId="28">
    <w:name w:val="Subtitle"/>
    <w:basedOn w:val="1"/>
    <w:next w:val="1"/>
    <w:link w:val="64"/>
    <w:autoRedefine/>
    <w:qFormat/>
    <w:uiPriority w:val="99"/>
    <w:pPr>
      <w:spacing w:before="240" w:after="60" w:line="312" w:lineRule="auto"/>
      <w:jc w:val="center"/>
      <w:outlineLvl w:val="1"/>
    </w:pPr>
    <w:rPr>
      <w:rFonts w:ascii="Cambria" w:hAnsi="Cambria" w:cs="Cambria"/>
      <w:b/>
      <w:bCs/>
      <w:kern w:val="28"/>
      <w:sz w:val="32"/>
      <w:szCs w:val="32"/>
    </w:rPr>
  </w:style>
  <w:style w:type="paragraph" w:styleId="29">
    <w:name w:val="toc 2"/>
    <w:basedOn w:val="1"/>
    <w:next w:val="1"/>
    <w:autoRedefine/>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5"/>
    <w:autoRedefine/>
    <w:qFormat/>
    <w:uiPriority w:val="99"/>
    <w:pPr>
      <w:spacing w:line="360" w:lineRule="auto"/>
    </w:pPr>
    <w:rPr>
      <w:rFonts w:ascii="宋体" w:hAnsi="宋体" w:cs="宋体"/>
      <w:color w:val="000000"/>
      <w:sz w:val="24"/>
      <w:szCs w:val="24"/>
    </w:rPr>
  </w:style>
  <w:style w:type="paragraph" w:styleId="31">
    <w:name w:val="HTML Preformatted"/>
    <w:basedOn w:val="1"/>
    <w:link w:val="6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7"/>
    <w:autoRedefine/>
    <w:qFormat/>
    <w:uiPriority w:val="99"/>
    <w:pPr>
      <w:spacing w:before="240" w:after="60"/>
      <w:jc w:val="center"/>
      <w:outlineLvl w:val="0"/>
    </w:pPr>
    <w:rPr>
      <w:rFonts w:ascii="Arial" w:hAnsi="Arial" w:eastAsia="隶书" w:cs="Arial"/>
      <w:b/>
      <w:bCs/>
      <w:sz w:val="32"/>
      <w:szCs w:val="32"/>
    </w:rPr>
  </w:style>
  <w:style w:type="paragraph" w:styleId="34">
    <w:name w:val="annotation subject"/>
    <w:basedOn w:val="12"/>
    <w:next w:val="12"/>
    <w:link w:val="53"/>
    <w:autoRedefine/>
    <w:semiHidden/>
    <w:qFormat/>
    <w:uiPriority w:val="99"/>
    <w:rPr>
      <w:b/>
      <w:bCs/>
    </w:rPr>
  </w:style>
  <w:style w:type="table" w:styleId="36">
    <w:name w:val="Table Grid"/>
    <w:basedOn w:val="3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99"/>
    <w:rPr>
      <w:b/>
      <w:bCs/>
    </w:rPr>
  </w:style>
  <w:style w:type="character" w:styleId="39">
    <w:name w:val="page number"/>
    <w:autoRedefine/>
    <w:qFormat/>
    <w:uiPriority w:val="99"/>
    <w:rPr>
      <w:rFonts w:ascii="Arial" w:hAnsi="Arial" w:cs="Arial"/>
      <w:sz w:val="18"/>
      <w:szCs w:val="18"/>
    </w:rPr>
  </w:style>
  <w:style w:type="character" w:styleId="40">
    <w:name w:val="FollowedHyperlink"/>
    <w:autoRedefine/>
    <w:qFormat/>
    <w:uiPriority w:val="99"/>
    <w:rPr>
      <w:color w:val="800080"/>
      <w:u w:val="single"/>
    </w:rPr>
  </w:style>
  <w:style w:type="character" w:styleId="41">
    <w:name w:val="Emphasis"/>
    <w:autoRedefine/>
    <w:qFormat/>
    <w:uiPriority w:val="99"/>
    <w:rPr>
      <w:color w:val="auto"/>
    </w:rPr>
  </w:style>
  <w:style w:type="character" w:styleId="42">
    <w:name w:val="Hyperlink"/>
    <w:autoRedefine/>
    <w:qFormat/>
    <w:uiPriority w:val="99"/>
    <w:rPr>
      <w:color w:val="0000FF"/>
      <w:u w:val="single"/>
    </w:rPr>
  </w:style>
  <w:style w:type="character" w:styleId="43">
    <w:name w:val="annotation reference"/>
    <w:autoRedefine/>
    <w:semiHidden/>
    <w:qFormat/>
    <w:uiPriority w:val="99"/>
    <w:rPr>
      <w:sz w:val="21"/>
      <w:szCs w:val="21"/>
    </w:rPr>
  </w:style>
  <w:style w:type="character" w:styleId="44">
    <w:name w:val="HTML Cite"/>
    <w:autoRedefine/>
    <w:qFormat/>
    <w:uiPriority w:val="99"/>
    <w:rPr>
      <w:color w:val="008000"/>
    </w:rPr>
  </w:style>
  <w:style w:type="character" w:customStyle="1" w:styleId="45">
    <w:name w:val="标题 1 Char"/>
    <w:link w:val="3"/>
    <w:autoRedefine/>
    <w:qFormat/>
    <w:locked/>
    <w:uiPriority w:val="99"/>
    <w:rPr>
      <w:b/>
      <w:bCs/>
      <w:kern w:val="44"/>
      <w:sz w:val="44"/>
      <w:szCs w:val="44"/>
    </w:rPr>
  </w:style>
  <w:style w:type="character" w:customStyle="1" w:styleId="46">
    <w:name w:val="标题 2 Char"/>
    <w:link w:val="4"/>
    <w:autoRedefine/>
    <w:qFormat/>
    <w:locked/>
    <w:uiPriority w:val="99"/>
    <w:rPr>
      <w:rFonts w:ascii="Arial" w:hAnsi="Arial" w:eastAsia="黑体" w:cs="Arial"/>
      <w:b/>
      <w:bCs/>
      <w:kern w:val="2"/>
      <w:sz w:val="32"/>
      <w:szCs w:val="32"/>
      <w:lang w:val="en-US" w:eastAsia="zh-CN"/>
    </w:rPr>
  </w:style>
  <w:style w:type="character" w:customStyle="1" w:styleId="47">
    <w:name w:val="标题 3 Char"/>
    <w:link w:val="5"/>
    <w:autoRedefine/>
    <w:semiHidden/>
    <w:qFormat/>
    <w:uiPriority w:val="9"/>
    <w:rPr>
      <w:rFonts w:ascii="Calibri" w:hAnsi="Calibri" w:cs="Calibri"/>
      <w:b/>
      <w:bCs/>
      <w:sz w:val="32"/>
      <w:szCs w:val="32"/>
    </w:rPr>
  </w:style>
  <w:style w:type="character" w:customStyle="1" w:styleId="48">
    <w:name w:val="标题 4 Char"/>
    <w:link w:val="6"/>
    <w:autoRedefine/>
    <w:qFormat/>
    <w:locked/>
    <w:uiPriority w:val="99"/>
    <w:rPr>
      <w:rFonts w:ascii="Arial" w:hAnsi="Arial" w:eastAsia="黑体" w:cs="Arial"/>
      <w:b/>
      <w:bCs/>
      <w:kern w:val="2"/>
      <w:sz w:val="28"/>
      <w:szCs w:val="28"/>
      <w:lang w:val="en-US" w:eastAsia="zh-CN"/>
    </w:rPr>
  </w:style>
  <w:style w:type="character" w:customStyle="1" w:styleId="49">
    <w:name w:val="标题 6 Char"/>
    <w:link w:val="7"/>
    <w:autoRedefine/>
    <w:qFormat/>
    <w:locked/>
    <w:uiPriority w:val="99"/>
    <w:rPr>
      <w:rFonts w:ascii="Cambria" w:hAnsi="Cambria" w:eastAsia="宋体" w:cs="Cambria"/>
      <w:b/>
      <w:bCs/>
      <w:kern w:val="2"/>
      <w:sz w:val="24"/>
      <w:szCs w:val="24"/>
      <w:lang w:val="en-US" w:eastAsia="zh-CN"/>
    </w:rPr>
  </w:style>
  <w:style w:type="character" w:customStyle="1" w:styleId="50">
    <w:name w:val="正文文本 Char"/>
    <w:link w:val="15"/>
    <w:autoRedefine/>
    <w:qFormat/>
    <w:locked/>
    <w:uiPriority w:val="99"/>
    <w:rPr>
      <w:rFonts w:eastAsia="宋体"/>
      <w:kern w:val="2"/>
      <w:sz w:val="24"/>
      <w:szCs w:val="24"/>
      <w:lang w:val="en-US" w:eastAsia="zh-CN"/>
    </w:rPr>
  </w:style>
  <w:style w:type="character" w:customStyle="1" w:styleId="51">
    <w:name w:val="正文首行缩进 Char"/>
    <w:link w:val="2"/>
    <w:autoRedefine/>
    <w:semiHidden/>
    <w:qFormat/>
    <w:uiPriority w:val="99"/>
    <w:rPr>
      <w:rFonts w:ascii="Calibri" w:hAnsi="Calibri" w:eastAsia="宋体" w:cs="Calibri"/>
      <w:kern w:val="2"/>
      <w:sz w:val="24"/>
      <w:szCs w:val="21"/>
      <w:lang w:val="en-US" w:eastAsia="zh-CN"/>
    </w:rPr>
  </w:style>
  <w:style w:type="character" w:customStyle="1" w:styleId="52">
    <w:name w:val="批注文字 Char"/>
    <w:link w:val="12"/>
    <w:autoRedefine/>
    <w:qFormat/>
    <w:locked/>
    <w:uiPriority w:val="99"/>
    <w:rPr>
      <w:rFonts w:eastAsia="宋体"/>
      <w:kern w:val="2"/>
      <w:sz w:val="24"/>
      <w:szCs w:val="24"/>
      <w:lang w:val="en-US" w:eastAsia="zh-CN"/>
    </w:rPr>
  </w:style>
  <w:style w:type="character" w:customStyle="1" w:styleId="53">
    <w:name w:val="批注主题 Char"/>
    <w:link w:val="34"/>
    <w:autoRedefine/>
    <w:qFormat/>
    <w:locked/>
    <w:uiPriority w:val="99"/>
    <w:rPr>
      <w:rFonts w:eastAsia="宋体"/>
      <w:b/>
      <w:bCs/>
      <w:kern w:val="2"/>
      <w:sz w:val="24"/>
      <w:szCs w:val="24"/>
      <w:lang w:val="en-US" w:eastAsia="zh-CN"/>
    </w:rPr>
  </w:style>
  <w:style w:type="character" w:customStyle="1" w:styleId="54">
    <w:name w:val="文档结构图 Char"/>
    <w:link w:val="11"/>
    <w:autoRedefine/>
    <w:semiHidden/>
    <w:qFormat/>
    <w:uiPriority w:val="99"/>
    <w:rPr>
      <w:rFonts w:cs="Calibri"/>
      <w:sz w:val="0"/>
      <w:szCs w:val="0"/>
    </w:rPr>
  </w:style>
  <w:style w:type="character" w:customStyle="1" w:styleId="55">
    <w:name w:val="正文文本 3 Char"/>
    <w:link w:val="13"/>
    <w:autoRedefine/>
    <w:semiHidden/>
    <w:qFormat/>
    <w:uiPriority w:val="99"/>
    <w:rPr>
      <w:rFonts w:ascii="Calibri" w:hAnsi="Calibri" w:cs="Calibri"/>
      <w:sz w:val="16"/>
      <w:szCs w:val="16"/>
    </w:rPr>
  </w:style>
  <w:style w:type="character" w:customStyle="1" w:styleId="56">
    <w:name w:val="结束语 Char"/>
    <w:link w:val="14"/>
    <w:autoRedefine/>
    <w:semiHidden/>
    <w:qFormat/>
    <w:uiPriority w:val="99"/>
    <w:rPr>
      <w:rFonts w:ascii="Calibri" w:hAnsi="Calibri" w:cs="Calibri"/>
      <w:szCs w:val="21"/>
    </w:rPr>
  </w:style>
  <w:style w:type="character" w:customStyle="1" w:styleId="57">
    <w:name w:val="正文文本缩进 Char"/>
    <w:link w:val="16"/>
    <w:autoRedefine/>
    <w:qFormat/>
    <w:locked/>
    <w:uiPriority w:val="99"/>
    <w:rPr>
      <w:rFonts w:eastAsia="宋体"/>
      <w:kern w:val="2"/>
      <w:sz w:val="24"/>
      <w:szCs w:val="24"/>
      <w:lang w:val="en-US" w:eastAsia="zh-CN"/>
    </w:rPr>
  </w:style>
  <w:style w:type="character" w:customStyle="1" w:styleId="58">
    <w:name w:val="纯文本 Char"/>
    <w:link w:val="18"/>
    <w:autoRedefine/>
    <w:semiHidden/>
    <w:qFormat/>
    <w:uiPriority w:val="99"/>
    <w:rPr>
      <w:rFonts w:ascii="宋体" w:hAnsi="Courier New" w:cs="Courier New"/>
      <w:szCs w:val="21"/>
    </w:rPr>
  </w:style>
  <w:style w:type="character" w:customStyle="1" w:styleId="59">
    <w:name w:val="日期 Char"/>
    <w:link w:val="19"/>
    <w:autoRedefine/>
    <w:semiHidden/>
    <w:qFormat/>
    <w:uiPriority w:val="99"/>
    <w:rPr>
      <w:rFonts w:ascii="Calibri" w:hAnsi="Calibri" w:cs="Calibri"/>
      <w:szCs w:val="21"/>
    </w:rPr>
  </w:style>
  <w:style w:type="character" w:customStyle="1" w:styleId="60">
    <w:name w:val="正文文本缩进 2 Char"/>
    <w:link w:val="20"/>
    <w:autoRedefine/>
    <w:qFormat/>
    <w:locked/>
    <w:uiPriority w:val="99"/>
    <w:rPr>
      <w:rFonts w:ascii="宋体" w:hAnsi="华文中宋" w:eastAsia="宋体" w:cs="宋体"/>
      <w:kern w:val="2"/>
      <w:sz w:val="26"/>
      <w:szCs w:val="26"/>
      <w:lang w:val="en-US" w:eastAsia="zh-CN"/>
    </w:rPr>
  </w:style>
  <w:style w:type="character" w:customStyle="1" w:styleId="61">
    <w:name w:val="批注框文本 Char1"/>
    <w:link w:val="21"/>
    <w:autoRedefine/>
    <w:qFormat/>
    <w:locked/>
    <w:uiPriority w:val="99"/>
    <w:rPr>
      <w:rFonts w:eastAsia="宋体"/>
      <w:kern w:val="2"/>
      <w:sz w:val="18"/>
      <w:szCs w:val="18"/>
      <w:lang w:val="en-US" w:eastAsia="zh-CN"/>
    </w:rPr>
  </w:style>
  <w:style w:type="character" w:customStyle="1" w:styleId="62">
    <w:name w:val="页脚 Char"/>
    <w:link w:val="22"/>
    <w:autoRedefine/>
    <w:qFormat/>
    <w:locked/>
    <w:uiPriority w:val="99"/>
    <w:rPr>
      <w:rFonts w:eastAsia="宋体"/>
      <w:kern w:val="2"/>
      <w:sz w:val="18"/>
      <w:szCs w:val="18"/>
      <w:lang w:val="en-US" w:eastAsia="zh-CN"/>
    </w:rPr>
  </w:style>
  <w:style w:type="character" w:customStyle="1" w:styleId="63">
    <w:name w:val="页眉 Char"/>
    <w:link w:val="23"/>
    <w:autoRedefine/>
    <w:qFormat/>
    <w:locked/>
    <w:uiPriority w:val="99"/>
    <w:rPr>
      <w:rFonts w:eastAsia="宋体"/>
      <w:kern w:val="2"/>
      <w:sz w:val="18"/>
      <w:szCs w:val="18"/>
      <w:lang w:val="en-US" w:eastAsia="zh-CN"/>
    </w:rPr>
  </w:style>
  <w:style w:type="character" w:customStyle="1" w:styleId="64">
    <w:name w:val="副标题 Char"/>
    <w:link w:val="28"/>
    <w:autoRedefine/>
    <w:qFormat/>
    <w:uiPriority w:val="11"/>
    <w:rPr>
      <w:rFonts w:ascii="Cambria" w:hAnsi="Cambria" w:cs="Times New Roman"/>
      <w:b/>
      <w:bCs/>
      <w:kern w:val="28"/>
      <w:sz w:val="32"/>
      <w:szCs w:val="32"/>
    </w:rPr>
  </w:style>
  <w:style w:type="character" w:customStyle="1" w:styleId="65">
    <w:name w:val="正文文本 2 Char"/>
    <w:link w:val="30"/>
    <w:autoRedefine/>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1"/>
    <w:autoRedefine/>
    <w:semiHidden/>
    <w:qFormat/>
    <w:uiPriority w:val="99"/>
    <w:rPr>
      <w:rFonts w:ascii="Courier New" w:hAnsi="Courier New" w:cs="Courier New"/>
      <w:sz w:val="20"/>
      <w:szCs w:val="20"/>
    </w:rPr>
  </w:style>
  <w:style w:type="character" w:customStyle="1" w:styleId="67">
    <w:name w:val="标题 Char"/>
    <w:link w:val="33"/>
    <w:autoRedefine/>
    <w:qFormat/>
    <w:uiPriority w:val="10"/>
    <w:rPr>
      <w:rFonts w:ascii="Cambria" w:hAnsi="Cambria" w:cs="Times New Roman"/>
      <w:b/>
      <w:bCs/>
      <w:sz w:val="32"/>
      <w:szCs w:val="32"/>
    </w:rPr>
  </w:style>
  <w:style w:type="character" w:customStyle="1" w:styleId="68">
    <w:name w:val="font71"/>
    <w:autoRedefine/>
    <w:qFormat/>
    <w:uiPriority w:val="99"/>
    <w:rPr>
      <w:rFonts w:ascii="宋体" w:hAnsi="宋体" w:eastAsia="宋体" w:cs="宋体"/>
      <w:color w:val="000000"/>
      <w:sz w:val="28"/>
      <w:szCs w:val="28"/>
      <w:u w:val="none"/>
    </w:rPr>
  </w:style>
  <w:style w:type="character" w:customStyle="1" w:styleId="69">
    <w:name w:val="Font Style17"/>
    <w:autoRedefine/>
    <w:qFormat/>
    <w:uiPriority w:val="99"/>
    <w:rPr>
      <w:rFonts w:ascii="黑体" w:eastAsia="黑体" w:cs="黑体"/>
      <w:sz w:val="28"/>
      <w:szCs w:val="28"/>
    </w:rPr>
  </w:style>
  <w:style w:type="character" w:customStyle="1" w:styleId="70">
    <w:name w:val="font41"/>
    <w:autoRedefine/>
    <w:qFormat/>
    <w:uiPriority w:val="99"/>
    <w:rPr>
      <w:rFonts w:ascii="Times New Roman" w:hAnsi="Times New Roman" w:cs="Times New Roman"/>
      <w:color w:val="000000"/>
      <w:sz w:val="28"/>
      <w:szCs w:val="28"/>
      <w:u w:val="none"/>
    </w:rPr>
  </w:style>
  <w:style w:type="character" w:customStyle="1" w:styleId="71">
    <w:name w:val="font51"/>
    <w:autoRedefine/>
    <w:qFormat/>
    <w:uiPriority w:val="99"/>
    <w:rPr>
      <w:rFonts w:ascii="Times New Roman" w:hAnsi="Times New Roman" w:cs="Times New Roman"/>
      <w:color w:val="000000"/>
      <w:sz w:val="28"/>
      <w:szCs w:val="28"/>
      <w:u w:val="none"/>
    </w:rPr>
  </w:style>
  <w:style w:type="character" w:customStyle="1" w:styleId="72">
    <w:name w:val="font81"/>
    <w:autoRedefine/>
    <w:qFormat/>
    <w:uiPriority w:val="99"/>
    <w:rPr>
      <w:rFonts w:ascii="仿宋_GB2312" w:eastAsia="仿宋_GB2312" w:cs="仿宋_GB2312"/>
      <w:color w:val="000000"/>
      <w:sz w:val="28"/>
      <w:szCs w:val="28"/>
      <w:u w:val="none"/>
    </w:rPr>
  </w:style>
  <w:style w:type="character" w:customStyle="1" w:styleId="73">
    <w:name w:val="标题 3 Char1"/>
    <w:autoRedefine/>
    <w:qFormat/>
    <w:uiPriority w:val="99"/>
    <w:rPr>
      <w:rFonts w:eastAsia="宋体"/>
      <w:b/>
      <w:bCs/>
      <w:kern w:val="2"/>
      <w:sz w:val="32"/>
      <w:szCs w:val="32"/>
      <w:lang w:val="en-US" w:eastAsia="zh-CN"/>
    </w:rPr>
  </w:style>
  <w:style w:type="character" w:customStyle="1" w:styleId="74">
    <w:name w:val="标题 3 Char Char"/>
    <w:autoRedefine/>
    <w:qFormat/>
    <w:uiPriority w:val="99"/>
    <w:rPr>
      <w:rFonts w:ascii="黑体" w:eastAsia="黑体" w:cs="黑体"/>
      <w:sz w:val="30"/>
      <w:szCs w:val="30"/>
    </w:rPr>
  </w:style>
  <w:style w:type="character" w:customStyle="1" w:styleId="75">
    <w:name w:val="样式 小五"/>
    <w:autoRedefine/>
    <w:qFormat/>
    <w:uiPriority w:val="99"/>
    <w:rPr>
      <w:rFonts w:eastAsia="仿宋_GB2312"/>
      <w:sz w:val="18"/>
      <w:szCs w:val="18"/>
    </w:rPr>
  </w:style>
  <w:style w:type="character" w:customStyle="1" w:styleId="76">
    <w:name w:val="批注框文本 Char"/>
    <w:autoRedefine/>
    <w:qFormat/>
    <w:uiPriority w:val="99"/>
    <w:rPr>
      <w:rFonts w:ascii="Times New Roman" w:hAnsi="Times New Roman" w:eastAsia="宋体" w:cs="Times New Roman"/>
      <w:sz w:val="18"/>
      <w:szCs w:val="18"/>
    </w:rPr>
  </w:style>
  <w:style w:type="character" w:customStyle="1" w:styleId="77">
    <w:name w:val="font101"/>
    <w:autoRedefine/>
    <w:qFormat/>
    <w:uiPriority w:val="99"/>
    <w:rPr>
      <w:rFonts w:ascii="宋体" w:hAnsi="宋体" w:eastAsia="宋体" w:cs="宋体"/>
      <w:color w:val="000000"/>
      <w:sz w:val="28"/>
      <w:szCs w:val="28"/>
      <w:u w:val="none"/>
    </w:rPr>
  </w:style>
  <w:style w:type="character" w:customStyle="1" w:styleId="78">
    <w:name w:val="样式 普通(网站) + 小五 Char Char"/>
    <w:link w:val="79"/>
    <w:autoRedefine/>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2"/>
    <w:link w:val="78"/>
    <w:autoRedefine/>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5"/>
    <w:autoRedefine/>
    <w:qFormat/>
    <w:uiPriority w:val="99"/>
    <w:pPr>
      <w:keepNext/>
      <w:spacing w:after="160"/>
    </w:pPr>
  </w:style>
  <w:style w:type="paragraph" w:customStyle="1" w:styleId="81">
    <w:name w:val="题注4"/>
    <w:basedOn w:val="1"/>
    <w:next w:val="10"/>
    <w:autoRedefine/>
    <w:qFormat/>
    <w:uiPriority w:val="99"/>
    <w:pPr>
      <w:ind w:left="-132" w:leftChars="-64" w:right="-105" w:rightChars="-50" w:hanging="2"/>
      <w:jc w:val="center"/>
    </w:pPr>
    <w:rPr>
      <w:b/>
      <w:bCs/>
      <w:color w:val="FF0000"/>
      <w:lang w:val="en-GB"/>
    </w:rPr>
  </w:style>
  <w:style w:type="paragraph" w:customStyle="1" w:styleId="82">
    <w:name w:val="正文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5"/>
    <w:autoRedefine/>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autoRedefine/>
    <w:qFormat/>
    <w:uiPriority w:val="99"/>
    <w:pPr>
      <w:widowControl/>
      <w:tabs>
        <w:tab w:val="center" w:pos="4153"/>
        <w:tab w:val="right" w:pos="8306"/>
      </w:tabs>
      <w:snapToGrid w:val="0"/>
      <w:jc w:val="left"/>
    </w:pPr>
    <w:rPr>
      <w:sz w:val="18"/>
      <w:szCs w:val="18"/>
    </w:rPr>
  </w:style>
  <w:style w:type="paragraph" w:customStyle="1" w:styleId="85">
    <w:name w:val="正文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autoRedefine/>
    <w:qFormat/>
    <w:uiPriority w:val="99"/>
    <w:pPr>
      <w:widowControl/>
      <w:spacing w:before="100" w:beforeAutospacing="1" w:after="100" w:afterAutospacing="1" w:line="330" w:lineRule="atLeast"/>
      <w:ind w:left="360"/>
      <w:jc w:val="left"/>
    </w:pPr>
  </w:style>
  <w:style w:type="paragraph" w:customStyle="1" w:styleId="87">
    <w:name w:val="正文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autoRedefine/>
    <w:qFormat/>
    <w:uiPriority w:val="99"/>
    <w:rPr>
      <w:rFonts w:ascii="Calibri" w:hAnsi="Calibri" w:eastAsia="宋体" w:cs="Calibri"/>
      <w:kern w:val="2"/>
      <w:sz w:val="21"/>
      <w:szCs w:val="21"/>
      <w:lang w:val="en-US" w:eastAsia="zh-CN" w:bidi="ar-SA"/>
    </w:rPr>
  </w:style>
  <w:style w:type="paragraph" w:customStyle="1" w:styleId="89">
    <w:name w:val="题注5"/>
    <w:basedOn w:val="1"/>
    <w:next w:val="10"/>
    <w:autoRedefine/>
    <w:qFormat/>
    <w:uiPriority w:val="99"/>
    <w:pPr>
      <w:jc w:val="center"/>
    </w:pPr>
    <w:rPr>
      <w:b/>
      <w:bCs/>
      <w:color w:val="000000"/>
      <w:sz w:val="24"/>
      <w:szCs w:val="24"/>
    </w:rPr>
  </w:style>
  <w:style w:type="paragraph" w:customStyle="1" w:styleId="90">
    <w:name w:val="列出段落1"/>
    <w:basedOn w:val="1"/>
    <w:autoRedefine/>
    <w:qFormat/>
    <w:uiPriority w:val="99"/>
    <w:pPr>
      <w:widowControl/>
      <w:ind w:left="720"/>
      <w:jc w:val="left"/>
    </w:pPr>
    <w:rPr>
      <w:i/>
      <w:iCs/>
      <w:kern w:val="0"/>
      <w:sz w:val="20"/>
      <w:szCs w:val="20"/>
    </w:rPr>
  </w:style>
  <w:style w:type="paragraph" w:customStyle="1" w:styleId="91">
    <w:name w:val="二级目录"/>
    <w:basedOn w:val="1"/>
    <w:autoRedefine/>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autoRedefine/>
    <w:qFormat/>
    <w:uiPriority w:val="99"/>
    <w:pPr>
      <w:ind w:firstLine="420" w:firstLineChars="200"/>
    </w:pPr>
  </w:style>
  <w:style w:type="paragraph" w:customStyle="1" w:styleId="93">
    <w:name w:val="正文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autoRedefine/>
    <w:qFormat/>
    <w:uiPriority w:val="99"/>
    <w:rPr>
      <w:rFonts w:ascii="Tahoma" w:hAnsi="Tahoma" w:cs="Tahoma"/>
      <w:sz w:val="24"/>
      <w:szCs w:val="24"/>
    </w:rPr>
  </w:style>
  <w:style w:type="paragraph" w:customStyle="1" w:styleId="95">
    <w:name w:val="Char Char2 Char"/>
    <w:basedOn w:val="1"/>
    <w:autoRedefine/>
    <w:qFormat/>
    <w:uiPriority w:val="99"/>
    <w:rPr>
      <w:rFonts w:ascii="宋体" w:hAnsi="宋体" w:cs="宋体"/>
      <w:b/>
      <w:bCs/>
      <w:sz w:val="28"/>
      <w:szCs w:val="28"/>
    </w:rPr>
  </w:style>
  <w:style w:type="paragraph" w:customStyle="1" w:styleId="96">
    <w:name w:val="正文缩入"/>
    <w:basedOn w:val="1"/>
    <w:autoRedefine/>
    <w:qFormat/>
    <w:uiPriority w:val="99"/>
    <w:pPr>
      <w:spacing w:after="120"/>
      <w:ind w:firstLine="504"/>
    </w:pPr>
    <w:rPr>
      <w:sz w:val="24"/>
      <w:szCs w:val="24"/>
    </w:rPr>
  </w:style>
  <w:style w:type="paragraph" w:styleId="97">
    <w:name w:val="List Paragraph"/>
    <w:basedOn w:val="1"/>
    <w:autoRedefine/>
    <w:qFormat/>
    <w:uiPriority w:val="34"/>
    <w:pPr>
      <w:ind w:firstLine="420" w:firstLineChars="200"/>
    </w:pPr>
  </w:style>
  <w:style w:type="paragraph" w:customStyle="1" w:styleId="98">
    <w:name w:val="Char1 Char Char Char Char Char Char1 Char Char Char"/>
    <w:basedOn w:val="1"/>
    <w:autoRedefine/>
    <w:qFormat/>
    <w:uiPriority w:val="99"/>
    <w:pPr>
      <w:widowControl/>
      <w:spacing w:after="160" w:line="240" w:lineRule="exact"/>
      <w:jc w:val="left"/>
    </w:pPr>
    <w:rPr>
      <w:rFonts w:ascii="Verdana" w:hAnsi="Verdana" w:cs="Verdana"/>
      <w:kern w:val="0"/>
      <w:lang w:eastAsia="en-US"/>
    </w:rPr>
  </w:style>
  <w:style w:type="paragraph" w:customStyle="1" w:styleId="99">
    <w:name w:val="填表"/>
    <w:autoRedefine/>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5"/>
    <w:autoRedefine/>
    <w:qFormat/>
    <w:uiPriority w:val="99"/>
    <w:pPr>
      <w:spacing w:before="25" w:after="25"/>
      <w:jc w:val="left"/>
    </w:pPr>
    <w:rPr>
      <w:spacing w:val="10"/>
      <w:kern w:val="0"/>
      <w:sz w:val="24"/>
      <w:szCs w:val="24"/>
    </w:rPr>
  </w:style>
  <w:style w:type="paragraph" w:customStyle="1" w:styleId="101">
    <w:name w:val="_Style 55"/>
    <w:basedOn w:val="1"/>
    <w:autoRedefine/>
    <w:qFormat/>
    <w:uiPriority w:val="99"/>
    <w:pPr>
      <w:widowControl/>
      <w:spacing w:after="160" w:line="240" w:lineRule="exact"/>
      <w:jc w:val="left"/>
    </w:pPr>
  </w:style>
  <w:style w:type="paragraph" w:customStyle="1" w:styleId="102">
    <w:name w:val="正文文本缩进 21"/>
    <w:basedOn w:val="1"/>
    <w:autoRedefine/>
    <w:qFormat/>
    <w:uiPriority w:val="99"/>
    <w:pPr>
      <w:spacing w:after="120" w:line="480" w:lineRule="auto"/>
      <w:ind w:left="420" w:leftChars="200"/>
    </w:pPr>
  </w:style>
  <w:style w:type="paragraph" w:customStyle="1" w:styleId="103">
    <w:name w:val="xl27"/>
    <w:basedOn w:val="1"/>
    <w:autoRedefine/>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autoRedefine/>
    <w:qFormat/>
    <w:uiPriority w:val="99"/>
    <w:rPr>
      <w:rFonts w:ascii="Tahoma" w:hAnsi="Tahoma" w:cs="Tahoma"/>
      <w:sz w:val="24"/>
      <w:szCs w:val="24"/>
    </w:rPr>
  </w:style>
  <w:style w:type="paragraph" w:customStyle="1" w:styleId="106">
    <w:name w:val="Char Char Char Char Char Char Char Char"/>
    <w:basedOn w:val="1"/>
    <w:next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6"/>
    <w:autoRedefine/>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autoRedefine/>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autoRedefine/>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8"/>
    <w:autoRedefine/>
    <w:qFormat/>
    <w:uiPriority w:val="99"/>
    <w:rPr>
      <w:rFonts w:ascii="宋体" w:hAnsi="Courier New" w:cs="宋体"/>
    </w:rPr>
  </w:style>
  <w:style w:type="paragraph" w:customStyle="1" w:styleId="113">
    <w:name w:val="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3"/>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autoRedefine/>
    <w:qFormat/>
    <w:uiPriority w:val="99"/>
    <w:pPr>
      <w:ind w:firstLine="420" w:firstLineChars="200"/>
    </w:pPr>
  </w:style>
  <w:style w:type="paragraph" w:customStyle="1" w:styleId="117">
    <w:name w:val="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autoRedefine/>
    <w:qFormat/>
    <w:uiPriority w:val="99"/>
    <w:pPr>
      <w:ind w:firstLine="420" w:firstLineChars="200"/>
    </w:pPr>
  </w:style>
  <w:style w:type="paragraph" w:customStyle="1" w:styleId="119">
    <w:name w:val="Char Char Char Char Char Char1 Char"/>
    <w:basedOn w:val="1"/>
    <w:autoRedefine/>
    <w:qFormat/>
    <w:uiPriority w:val="99"/>
    <w:pPr>
      <w:widowControl/>
      <w:spacing w:after="160" w:line="240" w:lineRule="exact"/>
      <w:jc w:val="left"/>
    </w:pPr>
  </w:style>
  <w:style w:type="paragraph" w:customStyle="1" w:styleId="120">
    <w:name w:val="标题 1 New"/>
    <w:basedOn w:val="1"/>
    <w:next w:val="1"/>
    <w:autoRedefine/>
    <w:qFormat/>
    <w:uiPriority w:val="99"/>
    <w:pPr>
      <w:keepNext/>
      <w:keepLines/>
      <w:spacing w:before="340" w:after="330" w:line="578" w:lineRule="auto"/>
      <w:outlineLvl w:val="0"/>
    </w:pPr>
    <w:rPr>
      <w:b/>
      <w:bCs/>
      <w:kern w:val="44"/>
      <w:sz w:val="44"/>
      <w:szCs w:val="44"/>
    </w:rPr>
  </w:style>
  <w:style w:type="paragraph" w:customStyle="1" w:styleId="121">
    <w:name w:val="p0"/>
    <w:basedOn w:val="1"/>
    <w:autoRedefine/>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autoRedefine/>
    <w:qFormat/>
    <w:uiPriority w:val="99"/>
  </w:style>
  <w:style w:type="character" w:customStyle="1" w:styleId="124">
    <w:name w:val="未处理的提及1"/>
    <w:semiHidden/>
    <w:qFormat/>
    <w:uiPriority w:val="99"/>
    <w:rPr>
      <w:color w:val="auto"/>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22542</Words>
  <Characters>23191</Characters>
  <Lines>190</Lines>
  <Paragraphs>53</Paragraphs>
  <TotalTime>11</TotalTime>
  <ScaleCrop>false</ScaleCrop>
  <LinksUpToDate>false</LinksUpToDate>
  <CharactersWithSpaces>25000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A605</cp:lastModifiedBy>
  <cp:lastPrinted>2022-06-21T02:43:00Z</cp:lastPrinted>
  <dcterms:modified xsi:type="dcterms:W3CDTF">2024-01-24T05:32:43Z</dcterms:modified>
  <dc:title>国内货物采购招标文件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DE4D67B71BCA4E39A532B0072107388E_13</vt:lpwstr>
  </property>
</Properties>
</file>