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color w:val="auto"/>
          <w:sz w:val="27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7"/>
          <w:lang w:val="en-US" w:eastAsia="zh-CN"/>
        </w:rPr>
        <w:t>附件</w:t>
      </w:r>
    </w:p>
    <w:p>
      <w:pPr>
        <w:jc w:val="left"/>
        <w:rPr>
          <w:rFonts w:hint="eastAsia" w:ascii="Times New Roman" w:hAnsi="Times New Roman" w:cs="Times New Roman"/>
          <w:b/>
          <w:color w:val="auto"/>
          <w:sz w:val="27"/>
          <w:lang w:val="en-US" w:eastAsia="zh-CN"/>
        </w:rPr>
      </w:pPr>
    </w:p>
    <w:tbl>
      <w:tblPr>
        <w:tblStyle w:val="2"/>
        <w:tblW w:w="0" w:type="auto"/>
        <w:tblInd w:w="35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64"/>
        <w:gridCol w:w="292"/>
        <w:gridCol w:w="4752"/>
        <w:gridCol w:w="736"/>
        <w:gridCol w:w="67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</w:rPr>
              <w:t>第三方机构预算绩效委托服务综合评分表</w:t>
            </w:r>
            <w:bookmarkEnd w:id="0"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评价方：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江门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市财政局（盖章）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第三方机构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承接业务数量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季度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季度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共承接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江门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市财政局委托的预算绩效管理服务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项，其中，事前项目库预算绩效评审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项，绩效目标审核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项，政策性评审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项，绩效监控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项，绩效监控核查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项，项目绩效自评及核查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项，部门整体支出绩效核查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项，重点绩效评价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项，其他绩效管理委托服务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承接委托服务费用总金额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（万元）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季度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评分等级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考核指标及评分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5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服务表现（共30分）</w:t>
            </w:r>
          </w:p>
        </w:tc>
        <w:tc>
          <w:tcPr>
            <w:tcW w:w="123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业务联络员工作表现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第三方机构指定专人负责联络，不临时更换，得5分，否则更换一次扣2分，更换2次（含）以上不得分；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及时准确反馈专家及委托方意见，得5分，无正当理由拖延2个（含）工作日以上反馈的，拖延1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扣2分，拖延2次（含）以上不得分。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专家团队配置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专家组结构合理，普遍具备高级职称或相应资质，得10分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普遍配置中级职称的，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5分。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不符合以上情况不得分。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专家组团队稳定，专家名单、实际评审专家、现场核查专家与正本签名一致，得10分，否则不得分。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质量（共50分）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反馈时效性</w:t>
            </w:r>
          </w:p>
        </w:tc>
        <w:tc>
          <w:tcPr>
            <w:tcW w:w="5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按《绩效管理服务委托任务书》规定的内容和时间完成工作，得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分；每逾期1天交付成果的，扣1分；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逾期交付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周以上时间交付成果的，此项不得分。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方案可行性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根据委托方业务需求，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评估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评价方案合理、指标体系设定科学的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、问题清单清晰全面的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，得10分；较好得7分；一般得5分；多次修改仍不能满足委托方要求的，此项不得分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过程审核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认真审阅申报材料，一次性列明需补充材料明细，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现场座谈专家组团队熟悉项目情况、提出关键问题并给出专业建议，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得10分；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每增加补充资料一次扣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分，专家组团队不熟悉项目情况、现场座谈表现不佳，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每次扣5分。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成果质量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业务成果依据充分，数据真实，结论客观公正，建议及措施合理可行，得15分；数据差错1万元（含）以上的，一次扣3分，以此类推；如因结论错漏导致项目单位投诉，经市财政局确认属实的，此项不得分。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档案资料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第三方工作底稿等档案资料各项信息完整规范并随成果一并提交的，得5分；未提交工作底稿的，此项不得分。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纪律遵守（共20分）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遵守工作纪律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工作期间，主动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或被动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与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被评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单位沟通与业务无关的事项、宣传私人工作、交换联系方式的，此项不得分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green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遵守廉政纪律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第三方机构主动索取或被动接受被评单位不正当利益的，此项不得分。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遵守保密原则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擅自泄露受托业务信息、成果资料内容等有关情况的，此项不得分。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评分结果分为优秀、良好、中等、差等四个档次。其中：优秀（90-100分）、良好（80-89分）、中等（70-79分）、差等（0-69分）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本表由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江门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市财政局负责解释。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ODY3ZjE1NGY2ZmFiYTIxY2RjMGQwOTkxM2EwMjkifQ=="/>
  </w:docVars>
  <w:rsids>
    <w:rsidRoot w:val="3AE62958"/>
    <w:rsid w:val="3AE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2023-12-14T10:25:00Z</dcterms:created>
  <dc:creator>陈嘉俊</dc:creator>
  <cp:lastModifiedBy>陈嘉俊</cp:lastModifiedBy>
  <dcterms:modified xsi:type="dcterms:W3CDTF">2023-12-14T10:26:18Z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745E9A9C80D140D1BE6F1F2710F2527D_11</vt:lpwstr>
  </property>
</Properties>
</file>