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440703-2023-01599</w:t>
      </w:r>
    </w:p>
    <w:p>
      <w:pPr>
        <w:jc w:val="center"/>
      </w:pPr>
      <w:r>
        <w:rPr>
          <w:b/>
          <w:sz w:val="24"/>
        </w:rPr>
        <w:t>采购项目编号：</w:t>
      </w:r>
      <w:r>
        <w:rPr>
          <w:b/>
          <w:sz w:val="24"/>
        </w:rPr>
        <w:t>JMPJ2023-03</w:t>
      </w:r>
    </w:p>
    <w:p>
      <w:pPr>
        <w:jc w:val="center"/>
      </w:pPr>
      <w:r>
        <w:rPr>
          <w:b/>
          <w:sz w:val="24"/>
        </w:rPr>
        <w:t>项目名称：</w:t>
      </w:r>
      <w:r>
        <w:rPr>
          <w:b/>
          <w:sz w:val="24"/>
        </w:rPr>
        <w:t>江门市第二人民医院信息设备采购项目</w:t>
      </w:r>
    </w:p>
    <w:p>
      <w:pPr>
        <w:jc w:val="center"/>
      </w:pPr>
      <w:r>
        <w:rPr>
          <w:b/>
          <w:sz w:val="24"/>
        </w:rPr>
        <w:t>采购人：</w:t>
      </w:r>
      <w:r>
        <w:rPr>
          <w:b/>
          <w:sz w:val="24"/>
        </w:rPr>
        <w:t>江门市第二人民医院</w:t>
      </w:r>
    </w:p>
    <w:p>
      <w:pPr>
        <w:jc w:val="center"/>
      </w:pPr>
      <w:r>
        <w:rPr>
          <w:b/>
          <w:sz w:val="24"/>
        </w:rPr>
        <w:t>采购代理机构：</w:t>
      </w:r>
      <w:r>
        <w:rPr>
          <w:b/>
          <w:sz w:val="24"/>
        </w:rPr>
        <w:t>江门市蓬江区政府采购中心</w:t>
      </w:r>
    </w:p>
    <w:p>
      <w:pPr>
        <w:ind w:firstLine="480"/>
      </w:pPr>
    </w:p>
    <w:p>
      <w:r>
        <w:rPr/>
        <w:t xml:space="preserve"> </w:t>
      </w:r>
    </w:p>
    <w:p/>
    <w:p>
      <w:pPr>
        <w:jc w:val="center"/>
      </w:pPr>
      <w:r>
        <w:rPr>
          <w:b/>
          <w:sz w:val="36"/>
        </w:rPr>
        <w:t>第一章投标邀请</w:t>
      </w:r>
    </w:p>
    <w:p>
      <w:pPr>
        <w:ind w:firstLine="480"/>
      </w:pPr>
      <w:r>
        <w:rPr/>
        <w:t>江门市蓬江区政府采购中心</w:t>
      </w:r>
      <w:r>
        <w:rPr/>
        <w:t>受</w:t>
      </w:r>
      <w:r>
        <w:rPr/>
        <w:t>江门市第二人民医院</w:t>
      </w:r>
      <w:r>
        <w:rPr/>
        <w:t>的委托，采用</w:t>
      </w:r>
      <w:r>
        <w:rPr/>
        <w:t>公开招标</w:t>
      </w:r>
      <w:r>
        <w:rPr/>
        <w:t>方式组织采购</w:t>
      </w:r>
      <w:r>
        <w:rPr/>
        <w:t>江门市第二人民医院信息设备采购项目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江门市第二人民医院信息设备采购项目</w:t>
      </w:r>
    </w:p>
    <w:p>
      <w:pPr>
        <w:ind w:firstLine="480"/>
      </w:pPr>
      <w:r>
        <w:rPr/>
        <w:t>采购计划编号：</w:t>
      </w:r>
      <w:r>
        <w:rPr/>
        <w:t>440703-2023-01599</w:t>
      </w:r>
    </w:p>
    <w:p>
      <w:pPr>
        <w:ind w:firstLine="480"/>
      </w:pPr>
      <w:r>
        <w:rPr/>
        <w:t>采购项目编号：</w:t>
      </w:r>
      <w:r>
        <w:rPr/>
        <w:t>JMPJ2023-03</w:t>
      </w:r>
    </w:p>
    <w:p>
      <w:pPr>
        <w:ind w:firstLine="480"/>
      </w:pPr>
      <w:r>
        <w:rPr/>
        <w:t>采购方式：</w:t>
      </w:r>
      <w:r>
        <w:rPr/>
        <w:t>公开招标</w:t>
      </w:r>
    </w:p>
    <w:p>
      <w:pPr>
        <w:ind w:firstLine="480"/>
      </w:pPr>
      <w:r>
        <w:rPr/>
        <w:t>预算金额：</w:t>
      </w:r>
      <w:r>
        <w:rPr/>
        <w:t>3,220,000.00</w:t>
      </w:r>
      <w:r>
        <w:rPr/>
        <w:t>元</w:t>
      </w:r>
    </w:p>
    <w:p>
      <w:r>
        <w:rPr>
          <w:b/>
          <w:sz w:val="24"/>
        </w:rPr>
        <w:t>2.项目内容及需求情况（采购项目技术规格、参数及要求）</w:t>
      </w:r>
    </w:p>
    <w:p>
      <w:pPr>
        <w:ind w:firstLine="480"/>
      </w:pPr>
    </w:p>
    <w:p/>
    <w:p>
      <w:r>
        <w:rPr/>
        <w:t>采购包1(三级等保设备及测评服务):</w:t>
      </w:r>
    </w:p>
    <w:p>
      <w:r>
        <w:rPr/>
        <w:t>采购包预算金额：960,000.00元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其他信息安全设备</w:t>
            </w:r>
          </w:p>
        </w:tc>
        <w:tc>
          <w:tcPr>
            <w:tcW w:type="dxa" w:w="2136"/>
          </w:tcPr>
          <w:p>
            <w:r>
              <w:rPr/>
              <w:t>三级等保设备及测评服务</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合同履行期限：合同签订之日起90个日历日内完成所有设备安装调试、培训及测评</w:t>
      </w:r>
    </w:p>
    <w:p/>
    <w:p>
      <w:r>
        <w:rPr/>
        <w:t>采购包2(模块化灾备机房):</w:t>
      </w:r>
    </w:p>
    <w:p>
      <w:r>
        <w:rPr/>
        <w:t>采购包预算金额：2,260,000.00元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容灾备份设备</w:t>
            </w:r>
          </w:p>
        </w:tc>
        <w:tc>
          <w:tcPr>
            <w:tcW w:type="dxa" w:w="2136"/>
          </w:tcPr>
          <w:p>
            <w:r>
              <w:rPr/>
              <w:t>模块化灾备机房</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合同履行期限：合同签订之日起90个日历日内完成所有设备安装调试、培训及测评</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3）具有良好的商业信誉和健全的财务会计制度：投标人应在投标（响应）文件中提供财务报表和财务会计制度。（复印件，盖投标人公章）。</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Pr>
        <w:jc w:val="left"/>
      </w:pPr>
    </w:p>
    <w:p/>
    <w:p/>
    <w:p>
      <w:r>
        <w:rPr>
          <w:b/>
          <w:sz w:val="24"/>
        </w:rPr>
        <w:t>3.本项目特定的资格要求：</w:t>
      </w:r>
    </w:p>
    <w:p>
      <w:pPr>
        <w:ind w:firstLine="480"/>
      </w:pPr>
    </w:p>
    <w:p/>
    <w:p>
      <w:r>
        <w:rPr/>
        <w:t>采购包1（三级等保设备及测评服务）：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采购包2（模块化灾备机房）：</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江门市第二人民医院</w:t>
      </w:r>
    </w:p>
    <w:p>
      <w:pPr>
        <w:ind w:firstLine="480"/>
      </w:pPr>
      <w:r>
        <w:rPr/>
        <w:t>地址：</w:t>
      </w:r>
      <w:r>
        <w:rPr/>
        <w:t>江门市蓬江区天福路6号</w:t>
      </w:r>
    </w:p>
    <w:p>
      <w:pPr>
        <w:ind w:firstLine="480"/>
      </w:pPr>
      <w:r>
        <w:rPr/>
        <w:t>联系方式：</w:t>
      </w:r>
      <w:r>
        <w:rPr/>
        <w:t>0750-3920310</w:t>
      </w:r>
    </w:p>
    <w:p>
      <w:r>
        <w:rPr>
          <w:b/>
          <w:sz w:val="24"/>
        </w:rPr>
        <w:t>2.采购代理机构信息</w:t>
      </w:r>
    </w:p>
    <w:p>
      <w:pPr>
        <w:ind w:firstLine="480"/>
      </w:pPr>
      <w:r>
        <w:rPr/>
        <w:t>名称：</w:t>
      </w:r>
      <w:r>
        <w:rPr/>
        <w:t>江门市蓬江区政府采购中心</w:t>
      </w:r>
    </w:p>
    <w:p>
      <w:pPr>
        <w:ind w:firstLine="480"/>
      </w:pPr>
      <w:r>
        <w:rPr/>
        <w:t>地址：</w:t>
      </w:r>
      <w:r>
        <w:rPr/>
        <w:t>江门市蓬江区建设二路18号</w:t>
      </w:r>
    </w:p>
    <w:p>
      <w:pPr>
        <w:ind w:firstLine="480"/>
      </w:pPr>
      <w:r>
        <w:rPr/>
        <w:t>联系方式：</w:t>
      </w:r>
      <w:r>
        <w:rPr/>
        <w:t>0750-3225521</w:t>
      </w:r>
    </w:p>
    <w:p>
      <w:r>
        <w:rPr>
          <w:b/>
          <w:sz w:val="24"/>
        </w:rPr>
        <w:t>3.项目联系方式</w:t>
      </w:r>
    </w:p>
    <w:p>
      <w:pPr>
        <w:ind w:firstLine="480"/>
      </w:pPr>
      <w:r>
        <w:rPr/>
        <w:t>项目联系人：</w:t>
      </w:r>
      <w:r>
        <w:rPr/>
        <w:t>廖先生</w:t>
      </w:r>
    </w:p>
    <w:p>
      <w:pPr>
        <w:ind w:firstLine="480"/>
      </w:pPr>
      <w:r>
        <w:rPr/>
        <w:t>电话：</w:t>
      </w:r>
      <w:r>
        <w:rPr/>
        <w:t>0750-3225521</w:t>
      </w:r>
    </w:p>
    <w:p>
      <w:r>
        <w:rPr>
          <w:b/>
          <w:sz w:val="24"/>
        </w:rPr>
        <w:t>4.技术支持联系方式</w:t>
      </w:r>
    </w:p>
    <w:p>
      <w:pPr>
        <w:ind w:firstLine="480"/>
      </w:pPr>
      <w:r>
        <w:rPr/>
        <w:t>云平台联系方式：020-88696588</w:t>
      </w:r>
    </w:p>
    <w:p>
      <w:r>
        <w:rPr/>
        <w:t>采购代理机构：</w:t>
      </w:r>
      <w:r>
        <w:rPr/>
        <w:t>江门市蓬江区政府采购中心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江门市第二人民医院计算机中心的灾备机房建设涉及到医疗信息系统的稳定性和安全性。在医疗领域，信息系统对于提供及时、有效和安全的医疗服务至关重要，随着医疗技术的进步和电子病历的广泛应用，医院的数据量呈现爆发式增长，除了传统的</w:t>
      </w:r>
      <w:r>
        <w:rPr>
          <w:sz w:val="21"/>
        </w:rPr>
        <w:t>HIS</w:t>
      </w:r>
      <w:r>
        <w:rPr>
          <w:sz w:val="21"/>
        </w:rPr>
        <w:t>、</w:t>
      </w:r>
      <w:r>
        <w:rPr>
          <w:sz w:val="21"/>
        </w:rPr>
        <w:t>PACS</w:t>
      </w:r>
      <w:r>
        <w:rPr>
          <w:sz w:val="21"/>
        </w:rPr>
        <w:t>等系统，新的医疗信息化应用也越来越多，如智慧医院、互联网医院等，医疗数据需要符合严格的法律和政策要求，如数据保护和隐私法律，地震、火灾、洪水、网络攻击等都可能导致医院计算机中心的停机或数据丢失。随着江门市第二人民医院发展，提升网络和数据安全水平，结合我院业务实际，配置需要相关设备。</w:t>
      </w:r>
    </w:p>
    <w:p/>
    <w:p>
      <w:pPr>
        <w:ind w:firstLine="480"/>
      </w:pPr>
    </w:p>
    <w:p/>
    <w:p>
      <w:r>
        <w:rPr/>
        <w:t>采购包1（三级等保设备及测评服务）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合同签订之日起90个日历日内完成所有设备安装调试、培训及测评工作。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1期：支付比例40%,合同签订后15个工作日内，采购人向中标供应商支付合同总价的40%作为预付款。</w:t>
            </w:r>
          </w:p>
          <w:p/>
          <w:p>
            <w:r>
              <w:rPr/>
              <w:t>2期：支付比例50%,项目到货后15个工作日内，采购人向中标供应商支付合同总价的50%。</w:t>
            </w:r>
          </w:p>
          <w:p/>
          <w:p>
            <w:r>
              <w:rPr/>
              <w:t>3期：支付比例10%,项目验收合格后15个工作日内，采购人向中标供应商支付合同总价的10%的余款。</w:t>
            </w:r>
          </w:p>
        </w:tc>
      </w:tr>
      <w:tr>
        <w:tc>
          <w:tcPr>
            <w:tcW w:type="dxa" w:w="4153"/>
          </w:tcPr>
          <w:p>
            <w:r>
              <w:rPr/>
              <w:t>验收要求</w:t>
            </w:r>
          </w:p>
        </w:tc>
        <w:tc>
          <w:tcPr>
            <w:tcW w:type="dxa" w:w="4153"/>
          </w:tcPr>
          <w:p/>
          <w:p/>
          <w:p/>
          <w:p>
            <w:r>
              <w:rPr/>
              <w:t>1期：本项目采取专家评审验收方式。双方确定以下列标准和方式对中标供应商的技术服务及工作成果进行验收： （1）验收标准按照双方签订的技术协议完成双方约定的工作内容。 中标供应商必须完成项目要求的所有工作内容，相关工作成果必须符合采购人相关信息安全标准和管理办法。 （2）验收方法如双方认为项目已具备验收条件，中标供应商向采购人提出验收申请，采购人在接到中标供应商验收申请后组织对中标供应商提交的资料进行审核，确认中标供应商提交资料符合采购人项目验收标准后，由采购人组织相关人员对中标供应商工作进行最终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项目报价要求</w:t>
            </w:r>
          </w:p>
        </w:tc>
        <w:tc>
          <w:tcPr>
            <w:tcW w:type="dxa" w:w="2076"/>
          </w:tcPr>
          <w:p>
            <w:pPr>
              <w:jc w:val="left"/>
            </w:pPr>
            <w:r>
              <w:rPr/>
              <w:t>（1）投标报价为人民币报价，须为投标人实施并完成本项目全部内容的合同包干价。投标报价（包括但不限于）：完成项目所发生的所有服务费、重要业务系统开展在线检查工作和发生安全事件时应急响应服务费、工具箱维保服务、人员培训费、系统维护费、设备维护费、技术指导服务费、人员费用（含人员工资、社会保险费、购买人身意外险费用等）伴随服务、标准附件价、备品备件及专用工具价（如有）、税费、保险、交通费、通信费、验收费、代理服务费、差旅费、办公费以及履行合同所需的费用、应向中华人民共和国政府缴纳的增值税和其它税等全部税费、所有风险、责任以及合同实施过程中的应预见和不可预见费用等完成本项目内容所需的一切费用。 （2）投标人必须自行考虑本项目在实施期间的一切可能产生的费用。在项目实施过程中，如项目工作范围发生变更，由中标供应商和采购人双方协商解决；其余情况下，成交金额均不予调整，采购人将不再另行支付与本项目相关的任何费用。</w:t>
            </w:r>
          </w:p>
        </w:tc>
      </w:tr>
      <w:tr>
        <w:tc>
          <w:tcPr>
            <w:tcW w:type="dxa" w:w="2076"/>
          </w:tcPr>
          <w:p>
            <w:pPr>
              <w:jc w:val="center"/>
            </w:pPr>
          </w:p>
        </w:tc>
        <w:tc>
          <w:tcPr>
            <w:tcW w:type="dxa" w:w="2076"/>
          </w:tcPr>
          <w:p>
            <w:pPr>
              <w:jc w:val="center"/>
            </w:pPr>
            <w:r>
              <w:rPr/>
              <w:t>2</w:t>
            </w:r>
          </w:p>
        </w:tc>
        <w:tc>
          <w:tcPr>
            <w:tcW w:type="dxa" w:w="2076"/>
          </w:tcPr>
          <w:p>
            <w:pPr>
              <w:jc w:val="left"/>
            </w:pPr>
            <w:r>
              <w:rPr/>
              <w:t>项目服务要求</w:t>
            </w:r>
          </w:p>
        </w:tc>
        <w:tc>
          <w:tcPr>
            <w:tcW w:type="dxa" w:w="2076"/>
          </w:tcPr>
          <w:p>
            <w:pPr>
              <w:jc w:val="left"/>
            </w:pPr>
            <w:r>
              <w:rPr/>
              <w:t>（1）为保障项目质量，中标供应商成立高水平的网络安全技术服务队伍，前往采购人指定办公地点进行现场服务。 （2）服务人员必须为中标供应商正式员工，具备丰富网络安全工作经验，具备相应的计算机认证资质。相关人员简历和资质证明资料提交给采购人进行备案，审核通过后方可安排到现场进行工作。 （3）现场服务人员应熟悉医院系统情况，具备网络拓扑、网络资产、边界、安全策略等安全分析能力，有丰富的安全技术服务工作经验。</w:t>
            </w:r>
          </w:p>
        </w:tc>
      </w:tr>
      <w:tr>
        <w:tc>
          <w:tcPr>
            <w:tcW w:type="dxa" w:w="2076"/>
          </w:tcPr>
          <w:p>
            <w:pPr>
              <w:jc w:val="center"/>
            </w:pPr>
          </w:p>
        </w:tc>
        <w:tc>
          <w:tcPr>
            <w:tcW w:type="dxa" w:w="2076"/>
          </w:tcPr>
          <w:p>
            <w:pPr>
              <w:jc w:val="center"/>
            </w:pPr>
            <w:r>
              <w:rPr/>
              <w:t>3</w:t>
            </w:r>
          </w:p>
        </w:tc>
        <w:tc>
          <w:tcPr>
            <w:tcW w:type="dxa" w:w="2076"/>
          </w:tcPr>
          <w:p>
            <w:pPr>
              <w:jc w:val="left"/>
            </w:pPr>
            <w:r>
              <w:rPr/>
              <w:t>项目售后要求</w:t>
            </w:r>
          </w:p>
        </w:tc>
        <w:tc>
          <w:tcPr>
            <w:tcW w:type="dxa" w:w="2076"/>
          </w:tcPr>
          <w:p>
            <w:pPr>
              <w:jc w:val="left"/>
            </w:pPr>
            <w:r>
              <w:rPr/>
              <w:t>（1）质量保证期：合同签订之日起，质量保证期为三年（若国家和/或生产厂家对本项目所涉及货物或软件系统的质量保证期的规定高于本项目的要求，应按国家和/或生产厂家的规定执行，具体由投标人在投标文件中提供承诺函,格式自拟）。 （2）在质保服务期内，按照规定响应时间要求完成项目约定的服务内容，如功能完善、功能增强性升级维护、软件日常维护、系统故障处理、系统性能优化等。质保服务期结束，每年维护费由采购人、中标供应商双方协商，原则上不超过项目建设费用10%。 （3）提供应用软件系统扩充、升级方面的技术支持服务；在实施及质保服务期内，满足报价提供软件的功能模块客户化需求；当软件或网络发生故障时，办公时间内中标供应商应立即现场响应处理问题；非办公时间，中标供应商应在接到通知后30分钟内响应并及时派员解决问题。如采购人急需，能在2小时内赶到故障现场；后续使用过程中软件升级，若不涉及版本升级，只是功能的更新，不涉及系统架构修改，都应免费，若版本升级，费用应不超过原采购价格的30%。</w:t>
            </w:r>
          </w:p>
        </w:tc>
      </w:tr>
      <w:tr>
        <w:tc>
          <w:tcPr>
            <w:tcW w:type="dxa" w:w="2076"/>
          </w:tcPr>
          <w:p>
            <w:pPr>
              <w:jc w:val="center"/>
            </w:pPr>
          </w:p>
        </w:tc>
        <w:tc>
          <w:tcPr>
            <w:tcW w:type="dxa" w:w="2076"/>
          </w:tcPr>
          <w:p>
            <w:pPr>
              <w:jc w:val="center"/>
            </w:pPr>
            <w:r>
              <w:rPr/>
              <w:t>4</w:t>
            </w:r>
          </w:p>
        </w:tc>
        <w:tc>
          <w:tcPr>
            <w:tcW w:type="dxa" w:w="2076"/>
          </w:tcPr>
          <w:p>
            <w:pPr>
              <w:jc w:val="left"/>
            </w:pPr>
            <w:r>
              <w:rPr/>
              <w:t>项目培训要求</w:t>
            </w:r>
          </w:p>
        </w:tc>
        <w:tc>
          <w:tcPr>
            <w:tcW w:type="dxa" w:w="2076"/>
          </w:tcPr>
          <w:p>
            <w:pPr>
              <w:jc w:val="left"/>
            </w:pPr>
            <w:r>
              <w:rPr/>
              <w:t>中标供应商应对采购人指定的技术人员进行培训，使其达到一定的技术水平，具备独立开展网络安全技术服务能力。围绕项目的要求进行相关的培训，确保完整、顺利、平滑地交付到采购人人员。</w:t>
            </w:r>
          </w:p>
        </w:tc>
      </w:tr>
      <w:tr>
        <w:tc>
          <w:tcPr>
            <w:tcW w:type="dxa" w:w="2076"/>
          </w:tcPr>
          <w:p>
            <w:pPr>
              <w:jc w:val="center"/>
            </w:pPr>
          </w:p>
        </w:tc>
        <w:tc>
          <w:tcPr>
            <w:tcW w:type="dxa" w:w="2076"/>
          </w:tcPr>
          <w:p>
            <w:pPr>
              <w:jc w:val="center"/>
            </w:pPr>
            <w:r>
              <w:rPr/>
              <w:t>5</w:t>
            </w:r>
          </w:p>
        </w:tc>
        <w:tc>
          <w:tcPr>
            <w:tcW w:type="dxa" w:w="2076"/>
          </w:tcPr>
          <w:p>
            <w:pPr>
              <w:jc w:val="left"/>
            </w:pPr>
            <w:r>
              <w:rPr/>
              <w:t>质量要求</w:t>
            </w:r>
          </w:p>
        </w:tc>
        <w:tc>
          <w:tcPr>
            <w:tcW w:type="dxa" w:w="2076"/>
          </w:tcPr>
          <w:p>
            <w:pPr>
              <w:jc w:val="left"/>
            </w:pPr>
            <w:r>
              <w:rPr/>
              <w:t>（1）中标供应商在项目实施过程，应严格遵守采购人网络安全防护管理相关规程、制度或标准，制定严格的质量安全措施以及工期保证措施和详细进度计划表。 （2）由于中标供应商质量安全措施不力造成研究质量安全事故的责任，以及由此发生的费用和损失，由中标供应商承担。</w:t>
            </w:r>
          </w:p>
        </w:tc>
      </w:tr>
      <w:tr>
        <w:tc>
          <w:tcPr>
            <w:tcW w:type="dxa" w:w="2076"/>
          </w:tcPr>
          <w:p>
            <w:pPr>
              <w:jc w:val="center"/>
            </w:pPr>
          </w:p>
        </w:tc>
        <w:tc>
          <w:tcPr>
            <w:tcW w:type="dxa" w:w="2076"/>
          </w:tcPr>
          <w:p>
            <w:pPr>
              <w:jc w:val="center"/>
            </w:pPr>
            <w:r>
              <w:rPr/>
              <w:t>6</w:t>
            </w:r>
          </w:p>
        </w:tc>
        <w:tc>
          <w:tcPr>
            <w:tcW w:type="dxa" w:w="2076"/>
          </w:tcPr>
          <w:p>
            <w:pPr>
              <w:jc w:val="left"/>
            </w:pPr>
            <w:r>
              <w:rPr/>
              <w:t>安全保密要求</w:t>
            </w:r>
          </w:p>
        </w:tc>
        <w:tc>
          <w:tcPr>
            <w:tcW w:type="dxa" w:w="2076"/>
          </w:tcPr>
          <w:p>
            <w:pPr>
              <w:jc w:val="left"/>
            </w:pPr>
            <w:r>
              <w:rPr/>
              <w:t>（1）中标供应商在接触或访问网络和电力监控系统等相关数据信息期间，负有保护采购人网络安全、信息安全和系统数据的义务和责任，负有保护所持有、接触的属于或涉及采购人企业商业秘密的信息安全的义务和责任。 （2）本项目实施过程中的所有文档内容均为采购人机密，未经许可不得以任何方式对保密信息及工作成果进行复制、传播、泄漏、告知，不得将保密信息带离办公场所。 （3）无论何种原因导致合同解除或终止，本项目约定下的保密条款、保密内容及相关的违约责任的约定仍然生效。保密期限为签订合同之后至永久，保密范围为项目所涉及的任何资料。</w:t>
            </w:r>
          </w:p>
        </w:tc>
      </w:tr>
      <w:tr>
        <w:tc>
          <w:tcPr>
            <w:tcW w:type="dxa" w:w="2076"/>
          </w:tcPr>
          <w:p>
            <w:pPr>
              <w:jc w:val="center"/>
            </w:pPr>
          </w:p>
        </w:tc>
        <w:tc>
          <w:tcPr>
            <w:tcW w:type="dxa" w:w="2076"/>
          </w:tcPr>
          <w:p>
            <w:pPr>
              <w:jc w:val="center"/>
            </w:pPr>
            <w:r>
              <w:rPr/>
              <w:t>7</w:t>
            </w:r>
          </w:p>
        </w:tc>
        <w:tc>
          <w:tcPr>
            <w:tcW w:type="dxa" w:w="2076"/>
          </w:tcPr>
          <w:p>
            <w:pPr>
              <w:jc w:val="left"/>
            </w:pPr>
            <w:r>
              <w:rPr/>
              <w:t>其他</w:t>
            </w:r>
          </w:p>
        </w:tc>
        <w:tc>
          <w:tcPr>
            <w:tcW w:type="dxa" w:w="2076"/>
          </w:tcPr>
          <w:p>
            <w:pPr>
              <w:jc w:val="left"/>
            </w:pPr>
            <w:r>
              <w:rPr/>
              <w:t>已由总公司授权的，总公司或其分支机构取得的相关资质证书、人员证书及所有资料等对分公司有效，法律法规或者行业另有规定的除外；总公司投标的，分公司相关人员证书及所有资料等对总公司有效，法律法规或者行业另有规定的除外。</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其他信息安全设备</w:t>
            </w:r>
          </w:p>
        </w:tc>
        <w:tc>
          <w:tcPr>
            <w:tcW w:type="dxa" w:w="831"/>
          </w:tcPr>
          <w:p>
            <w:pPr>
              <w:jc w:val="left"/>
            </w:pPr>
            <w:r>
              <w:rPr/>
              <w:t>三级等保设备及测评服务</w:t>
            </w:r>
          </w:p>
        </w:tc>
        <w:tc>
          <w:tcPr>
            <w:tcW w:type="dxa" w:w="831"/>
          </w:tcPr>
          <w:p>
            <w:pPr>
              <w:jc w:val="left"/>
            </w:pPr>
            <w:r>
              <w:rPr/>
              <w:t>批</w:t>
            </w:r>
          </w:p>
        </w:tc>
        <w:tc>
          <w:tcPr>
            <w:tcW w:type="dxa" w:w="831"/>
          </w:tcPr>
          <w:p>
            <w:pPr>
              <w:jc w:val="right"/>
            </w:pPr>
            <w:r>
              <w:rPr/>
              <w:t>1.00</w:t>
            </w:r>
          </w:p>
        </w:tc>
        <w:tc>
          <w:tcPr>
            <w:tcW w:type="dxa" w:w="831"/>
          </w:tcPr>
          <w:p>
            <w:pPr>
              <w:jc w:val="right"/>
            </w:pPr>
            <w:r>
              <w:rPr/>
              <w:t>960,000.00</w:t>
            </w:r>
          </w:p>
        </w:tc>
        <w:tc>
          <w:tcPr>
            <w:tcW w:type="dxa" w:w="831"/>
          </w:tcPr>
          <w:p>
            <w:pPr>
              <w:jc w:val="right"/>
            </w:pPr>
            <w:r>
              <w:rPr/>
              <w:t>960,000.00</w:t>
            </w:r>
          </w:p>
        </w:tc>
        <w:tc>
          <w:tcPr>
            <w:tcW w:type="dxa" w:w="831"/>
          </w:tcPr>
          <w:p>
            <w:r>
              <w:rPr/>
              <w:t>工业</w:t>
            </w:r>
          </w:p>
        </w:tc>
        <w:tc>
          <w:tcPr>
            <w:tcW w:type="dxa" w:w="831"/>
          </w:tcPr>
          <w:p>
            <w:r>
              <w:rPr/>
              <w:t>详见附表一</w:t>
            </w:r>
          </w:p>
        </w:tc>
      </w:tr>
    </w:tbl>
    <w:p/>
    <w:p>
      <w:r>
        <w:rPr>
          <w:b/>
        </w:rPr>
        <w:t>附表</w:t>
      </w:r>
      <w:r>
        <w:rPr>
          <w:b/>
        </w:rPr>
        <w:t>一</w:t>
      </w:r>
      <w:r>
        <w:rPr>
          <w:b/>
        </w:rPr>
        <w:t>：</w:t>
      </w:r>
      <w:r>
        <w:rPr>
          <w:b/>
        </w:rPr>
        <w:t>三级等保设备及测评服务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30"/>
              </w:rPr>
              <w:t>注：本采购标的所指核心产品仅包括：态势感知平台</w:t>
            </w:r>
          </w:p>
          <w:p>
            <w:pPr>
              <w:jc w:val="both"/>
            </w:pPr>
            <w:r>
              <w:rPr/>
              <w:t xml:space="preserve"> </w:t>
            </w:r>
          </w:p>
          <w:p>
            <w:pPr>
              <w:jc w:val="both"/>
            </w:pPr>
            <w:r>
              <w:rPr>
                <w:b/>
                <w:sz w:val="28"/>
              </w:rPr>
              <w:t>一、主机安全与管理系统：1套</w:t>
            </w:r>
          </w:p>
          <w:p>
            <w:pPr>
              <w:jc w:val="both"/>
            </w:pPr>
            <w:r>
              <w:rPr>
                <w:b/>
                <w:sz w:val="24"/>
              </w:rPr>
              <w:t>产品资质</w:t>
            </w:r>
          </w:p>
          <w:p>
            <w:pPr>
              <w:jc w:val="both"/>
            </w:pPr>
            <w:r>
              <w:rPr>
                <w:sz w:val="24"/>
              </w:rPr>
              <w:t>1.</w:t>
            </w:r>
            <w:r>
              <w:rPr>
                <w:sz w:val="24"/>
              </w:rPr>
              <w:t>提供通过公安部信息安全产品检测中心检测并获得销售许可证书。</w:t>
            </w:r>
            <w:r>
              <w:rPr>
                <w:color w:val="000000"/>
                <w:sz w:val="24"/>
              </w:rPr>
              <w:t>（提供有效期内证书复印件）</w:t>
            </w:r>
          </w:p>
          <w:p>
            <w:pPr>
              <w:jc w:val="both"/>
            </w:pPr>
            <w:r>
              <w:rPr>
                <w:sz w:val="24"/>
              </w:rPr>
              <w:t>2.</w:t>
            </w:r>
            <w:r>
              <w:rPr>
                <w:sz w:val="24"/>
              </w:rPr>
              <w:t>提供通过IPv6论坛IPv6 Ready Logo委员会认证并获得认证证书。</w:t>
            </w:r>
            <w:r>
              <w:rPr>
                <w:color w:val="000000"/>
                <w:sz w:val="24"/>
              </w:rPr>
              <w:t>（提供有效期内证书复印件）</w:t>
            </w:r>
          </w:p>
          <w:p>
            <w:pPr>
              <w:jc w:val="both"/>
            </w:pPr>
            <w:r>
              <w:rPr>
                <w:sz w:val="24"/>
              </w:rPr>
              <w:t>▲</w:t>
            </w:r>
            <w:r>
              <w:rPr>
                <w:color w:val="000000"/>
                <w:sz w:val="24"/>
              </w:rPr>
              <w:t>3.</w:t>
            </w:r>
            <w:r>
              <w:rPr>
                <w:sz w:val="24"/>
              </w:rPr>
              <w:t>提供通过公安部检测获得网络版防病毒产品（一级品）销售许可证书。</w:t>
            </w:r>
            <w:r>
              <w:rPr>
                <w:color w:val="000000"/>
                <w:sz w:val="24"/>
              </w:rPr>
              <w:t>（提供有效期内证书复印件）</w:t>
            </w:r>
          </w:p>
          <w:p>
            <w:pPr>
              <w:jc w:val="both"/>
            </w:pPr>
            <w:r>
              <w:rPr>
                <w:color w:val="000000"/>
                <w:sz w:val="24"/>
              </w:rPr>
              <w:t>4.</w:t>
            </w:r>
            <w:r>
              <w:rPr>
                <w:sz w:val="24"/>
              </w:rPr>
              <w:t>提供获得计算机软件著作权登记证书。</w:t>
            </w:r>
            <w:r>
              <w:rPr>
                <w:color w:val="000000"/>
                <w:sz w:val="24"/>
              </w:rPr>
              <w:t>（提供有效期内证书复印件）</w:t>
            </w:r>
          </w:p>
          <w:p>
            <w:pPr>
              <w:jc w:val="left"/>
            </w:pPr>
            <w:r>
              <w:rPr>
                <w:b/>
                <w:sz w:val="24"/>
              </w:rPr>
              <w:t>系统安全性模块</w:t>
            </w:r>
          </w:p>
          <w:p>
            <w:pPr>
              <w:jc w:val="both"/>
            </w:pPr>
            <w:r>
              <w:rPr>
                <w:sz w:val="24"/>
              </w:rPr>
              <w:t>5.</w:t>
            </w:r>
            <w:r>
              <w:rPr>
                <w:sz w:val="24"/>
              </w:rPr>
              <w:t>支持智能检测防御CC攻击，并可进行高、中、低三档设置。</w:t>
            </w:r>
          </w:p>
          <w:p>
            <w:pPr>
              <w:jc w:val="both"/>
            </w:pPr>
            <w:r>
              <w:rPr>
                <w:sz w:val="24"/>
              </w:rPr>
              <w:t>6.</w:t>
            </w:r>
            <w:r>
              <w:rPr>
                <w:sz w:val="24"/>
              </w:rPr>
              <w:t>违规外联支持黑、白名单双模式，白名单模式可配置是否允许访问特定的网站和地址；黑名单模式可自定义恶意IP，支持黑名单告警和阻断。</w:t>
            </w:r>
          </w:p>
          <w:p>
            <w:pPr>
              <w:jc w:val="both"/>
            </w:pPr>
            <w:r>
              <w:rPr>
                <w:sz w:val="24"/>
              </w:rPr>
              <w:t>7.</w:t>
            </w:r>
            <w:r>
              <w:rPr>
                <w:sz w:val="24"/>
              </w:rPr>
              <w:t>内核级防火墙（业务间流量东西向隔离）功能，包括IP、端口、协议、流向等细粒度权限控制。</w:t>
            </w:r>
          </w:p>
          <w:p>
            <w:pPr>
              <w:jc w:val="both"/>
            </w:pPr>
            <w:r>
              <w:rPr>
                <w:sz w:val="24"/>
              </w:rPr>
              <w:t>8.</w:t>
            </w:r>
            <w:r>
              <w:rPr>
                <w:sz w:val="24"/>
              </w:rPr>
              <w:t>具有系统漏洞扫描和修复功能，提供真实漏洞补丁。在补丁依赖关系上支持重启验证机制（保证补丁安装的稳定性）。管理中心可作为补丁服务器，支持管理中心可上网和不可上网2种情况。提供离线补丁下载器，按需智能获取内网所需补丁。</w:t>
            </w:r>
          </w:p>
          <w:p>
            <w:pPr>
              <w:jc w:val="both"/>
            </w:pPr>
            <w:r>
              <w:rPr>
                <w:sz w:val="24"/>
              </w:rPr>
              <w:t>9.</w:t>
            </w:r>
            <w:r>
              <w:rPr>
                <w:sz w:val="24"/>
              </w:rPr>
              <w:t>具备为用户提供Windows漏洞修复的热补丁列表能力。</w:t>
            </w:r>
          </w:p>
          <w:p>
            <w:pPr>
              <w:jc w:val="both"/>
            </w:pPr>
            <w:r>
              <w:rPr>
                <w:sz w:val="24"/>
              </w:rPr>
              <w:t>10.</w:t>
            </w:r>
            <w:r>
              <w:rPr>
                <w:sz w:val="24"/>
              </w:rPr>
              <w:t>支持扫描的漏洞类型包括但不限于操作系统漏洞（Windows、Linux等）、数据库漏洞（Mysql等）、Web容器漏洞（Tomcat、Apache、Ngnix等）、其他组件漏洞。</w:t>
            </w:r>
          </w:p>
          <w:p>
            <w:pPr>
              <w:jc w:val="both"/>
            </w:pPr>
            <w:r>
              <w:rPr>
                <w:b/>
                <w:sz w:val="24"/>
              </w:rPr>
              <w:t>移动存储介质管理</w:t>
            </w:r>
          </w:p>
          <w:p>
            <w:pPr>
              <w:jc w:val="both"/>
            </w:pPr>
            <w:r>
              <w:rPr>
                <w:sz w:val="24"/>
              </w:rPr>
              <w:t>11.</w:t>
            </w:r>
            <w:r>
              <w:rPr>
                <w:sz w:val="24"/>
              </w:rPr>
              <w:t>支持管理员对入网的移动存储介质进行注册，可以对已注册的移动介质进行管理，包括授权、启用、停用、删除、导出注册列表、行为监控及审计等。</w:t>
            </w:r>
          </w:p>
          <w:p>
            <w:pPr>
              <w:jc w:val="both"/>
            </w:pPr>
            <w:r>
              <w:rPr>
                <w:sz w:val="24"/>
              </w:rPr>
              <w:t>12.</w:t>
            </w:r>
            <w:r>
              <w:rPr>
                <w:sz w:val="24"/>
              </w:rPr>
              <w:t>支持客户端自主申请移动存储介质注册，管理员统一对申请进行审批；</w:t>
            </w:r>
          </w:p>
          <w:p>
            <w:pPr>
              <w:jc w:val="both"/>
            </w:pPr>
            <w:r>
              <w:rPr>
                <w:sz w:val="24"/>
              </w:rPr>
              <w:t>13.</w:t>
            </w:r>
            <w:r>
              <w:rPr>
                <w:sz w:val="24"/>
              </w:rPr>
              <w:t>支持管理员设置自动审批客户端注册请求；</w:t>
            </w:r>
          </w:p>
          <w:p>
            <w:pPr>
              <w:jc w:val="both"/>
            </w:pPr>
            <w:r>
              <w:rPr>
                <w:sz w:val="24"/>
              </w:rPr>
              <w:t>14.</w:t>
            </w:r>
            <w:r>
              <w:rPr>
                <w:sz w:val="24"/>
              </w:rPr>
              <w:t>支持移动存储介质读写权限划分设置，有效控制不明来历的移动存储可能带来的病毒传播等隐患。</w:t>
            </w:r>
          </w:p>
          <w:p>
            <w:pPr>
              <w:jc w:val="both"/>
            </w:pPr>
            <w:r>
              <w:rPr>
                <w:sz w:val="24"/>
              </w:rPr>
              <w:t>15.</w:t>
            </w:r>
            <w:r>
              <w:rPr>
                <w:sz w:val="24"/>
              </w:rPr>
              <w:t>支持设置U盘的使用时间。</w:t>
            </w:r>
          </w:p>
          <w:p>
            <w:pPr>
              <w:jc w:val="both"/>
            </w:pPr>
            <w:r>
              <w:rPr>
                <w:b/>
                <w:sz w:val="24"/>
              </w:rPr>
              <w:t>防病毒模块</w:t>
            </w:r>
          </w:p>
          <w:p>
            <w:pPr>
              <w:jc w:val="both"/>
            </w:pPr>
            <w:r>
              <w:rPr>
                <w:sz w:val="24"/>
              </w:rPr>
              <w:t>16.</w:t>
            </w:r>
            <w:r>
              <w:rPr>
                <w:sz w:val="24"/>
              </w:rPr>
              <w:t>支持文件实时监控，在文件执行、文件修改、存储介质连接时自动触发。</w:t>
            </w:r>
          </w:p>
          <w:p>
            <w:pPr>
              <w:jc w:val="both"/>
            </w:pPr>
            <w:r>
              <w:rPr>
                <w:sz w:val="24"/>
              </w:rPr>
              <w:t>▲17. 支持多引擎设置，包括默认引擎、深度扫描引擎。（提供产品截图或其他证明材料）</w:t>
            </w:r>
          </w:p>
          <w:p>
            <w:pPr>
              <w:jc w:val="both"/>
            </w:pPr>
            <w:r>
              <w:rPr>
                <w:sz w:val="24"/>
              </w:rPr>
              <w:t>18.</w:t>
            </w:r>
            <w:r>
              <w:rPr>
                <w:sz w:val="24"/>
              </w:rPr>
              <w:t>支持对压缩包扫描及深度进行设置，默认9层深度。</w:t>
            </w:r>
          </w:p>
          <w:p>
            <w:pPr>
              <w:jc w:val="both"/>
            </w:pPr>
            <w:r>
              <w:rPr>
                <w:sz w:val="24"/>
              </w:rPr>
              <w:t>▲19. 提供专门的勒索风险评估功能。（提供产品截图或其他证明材料）</w:t>
            </w:r>
          </w:p>
          <w:p>
            <w:pPr>
              <w:jc w:val="both"/>
            </w:pPr>
            <w:r>
              <w:rPr>
                <w:sz w:val="24"/>
              </w:rPr>
              <w:t>20.</w:t>
            </w:r>
            <w:r>
              <w:rPr>
                <w:sz w:val="24"/>
              </w:rPr>
              <w:t>提供专门的针对已知勒索病毒的防御引擎，并提供功能开关项。对于已知勒索病毒确保进程无法启动。</w:t>
            </w:r>
          </w:p>
          <w:p>
            <w:pPr>
              <w:jc w:val="both"/>
            </w:pPr>
            <w:r>
              <w:rPr>
                <w:sz w:val="24"/>
              </w:rPr>
              <w:t>21.</w:t>
            </w:r>
            <w:r>
              <w:rPr>
                <w:sz w:val="24"/>
              </w:rPr>
              <w:t>提供专门的针对未知勒索病毒的防御引擎，并提供功能开关项。对于未知勒索病毒确保无法加密。支持白名单设置。</w:t>
            </w:r>
          </w:p>
          <w:p>
            <w:pPr>
              <w:jc w:val="both"/>
            </w:pPr>
            <w:r>
              <w:rPr>
                <w:b/>
                <w:sz w:val="24"/>
              </w:rPr>
              <w:t>管理界面</w:t>
            </w:r>
          </w:p>
          <w:p>
            <w:pPr>
              <w:jc w:val="both"/>
            </w:pPr>
            <w:r>
              <w:rPr>
                <w:sz w:val="24"/>
              </w:rPr>
              <w:t>22.</w:t>
            </w:r>
            <w:r>
              <w:rPr>
                <w:sz w:val="24"/>
              </w:rPr>
              <w:t>支持SSL的Web界面。</w:t>
            </w:r>
          </w:p>
          <w:p>
            <w:pPr>
              <w:jc w:val="both"/>
            </w:pPr>
            <w:r>
              <w:rPr>
                <w:sz w:val="24"/>
              </w:rPr>
              <w:t>23.</w:t>
            </w:r>
            <w:r>
              <w:rPr>
                <w:sz w:val="24"/>
              </w:rPr>
              <w:t>许可到期前提醒。</w:t>
            </w:r>
          </w:p>
          <w:p>
            <w:pPr>
              <w:jc w:val="both"/>
            </w:pPr>
            <w:r>
              <w:rPr>
                <w:b/>
                <w:sz w:val="24"/>
              </w:rPr>
              <w:t>管理中心部署</w:t>
            </w:r>
          </w:p>
          <w:p>
            <w:pPr>
              <w:jc w:val="both"/>
            </w:pPr>
            <w:r>
              <w:rPr>
                <w:sz w:val="24"/>
              </w:rPr>
              <w:t>24.</w:t>
            </w:r>
            <w:r>
              <w:rPr>
                <w:sz w:val="24"/>
              </w:rPr>
              <w:t>管理中心支持容器化部署。</w:t>
            </w:r>
          </w:p>
          <w:p>
            <w:pPr>
              <w:jc w:val="both"/>
            </w:pPr>
            <w:r>
              <w:rPr>
                <w:b/>
                <w:sz w:val="24"/>
              </w:rPr>
              <w:t>授权数量</w:t>
            </w:r>
          </w:p>
          <w:p>
            <w:pPr>
              <w:jc w:val="both"/>
            </w:pPr>
            <w:r>
              <w:rPr>
                <w:sz w:val="24"/>
              </w:rPr>
              <w:t>25.</w:t>
            </w:r>
            <w:r>
              <w:rPr>
                <w:sz w:val="24"/>
              </w:rPr>
              <w:t>适用于各类型服务器防护授权数不少于50套、适用于Windows PC 防护授权数不少于600套 支持Windows XP、Windows 7、Windows 8、Windows 10 等操作系统</w:t>
            </w:r>
          </w:p>
          <w:p>
            <w:pPr>
              <w:jc w:val="both"/>
            </w:pPr>
          </w:p>
          <w:p>
            <w:pPr>
              <w:jc w:val="both"/>
            </w:pPr>
            <w:r>
              <w:rPr>
                <w:b/>
                <w:sz w:val="21"/>
              </w:rPr>
              <w:t>△</w:t>
            </w:r>
            <w:r>
              <w:rPr>
                <w:b/>
                <w:sz w:val="28"/>
              </w:rPr>
              <w:t>二、态势感知平台：1套</w:t>
            </w:r>
          </w:p>
          <w:p>
            <w:pPr>
              <w:jc w:val="both"/>
            </w:pPr>
            <w:r>
              <w:rPr>
                <w:b/>
                <w:sz w:val="24"/>
              </w:rPr>
              <w:t>性能要求</w:t>
            </w:r>
          </w:p>
          <w:p>
            <w:pPr>
              <w:jc w:val="both"/>
            </w:pPr>
            <w:r>
              <w:rPr>
                <w:sz w:val="24"/>
              </w:rPr>
              <w:t>1.</w:t>
            </w:r>
            <w:r>
              <w:rPr>
                <w:sz w:val="24"/>
              </w:rPr>
              <w:t>数据采集和处理性能≥8000EPS，每条数据大小&gt;1KB。</w:t>
            </w:r>
          </w:p>
          <w:p>
            <w:pPr>
              <w:jc w:val="both"/>
            </w:pPr>
            <w:r>
              <w:rPr>
                <w:sz w:val="24"/>
              </w:rPr>
              <w:t>2. 10</w:t>
            </w:r>
            <w:r>
              <w:rPr>
                <w:sz w:val="24"/>
              </w:rPr>
              <w:t>亿数据关键字查询结果响应时间&lt;2秒。</w:t>
            </w:r>
          </w:p>
          <w:p>
            <w:pPr>
              <w:jc w:val="both"/>
            </w:pPr>
            <w:r>
              <w:rPr>
                <w:b/>
                <w:sz w:val="24"/>
              </w:rPr>
              <w:t>硬件要求</w:t>
            </w:r>
          </w:p>
          <w:p>
            <w:pPr>
              <w:jc w:val="both"/>
            </w:pPr>
            <w:r>
              <w:rPr>
                <w:sz w:val="24"/>
              </w:rPr>
              <w:t>3. CPU</w:t>
            </w:r>
            <w:r>
              <w:rPr>
                <w:sz w:val="24"/>
              </w:rPr>
              <w:t>≥24核 ，内存≥128GB，配置企业级存储磁盘总容量≥48TB，网口要求：千兆电口*4，千兆管理电口*1。</w:t>
            </w:r>
          </w:p>
          <w:p>
            <w:pPr>
              <w:jc w:val="both"/>
            </w:pPr>
            <w:r>
              <w:rPr>
                <w:b/>
                <w:sz w:val="24"/>
              </w:rPr>
              <w:t>安全态势可视化</w:t>
            </w:r>
          </w:p>
          <w:p>
            <w:pPr>
              <w:jc w:val="both"/>
            </w:pPr>
            <w:r>
              <w:rPr>
                <w:sz w:val="24"/>
              </w:rPr>
              <w:t>4.</w:t>
            </w:r>
            <w:r>
              <w:rPr>
                <w:sz w:val="24"/>
              </w:rPr>
              <w:t>支持安全态势的可视化呈现，以大屏的方式从攻击事件、资产安全、追踪溯源、运行监测、重保方案等多个维度进行可视化展示，提供不少于10块大屏展示界面。（提供产品截图或其他证明材料）</w:t>
            </w:r>
          </w:p>
          <w:p>
            <w:pPr>
              <w:jc w:val="both"/>
            </w:pPr>
            <w:r>
              <w:rPr>
                <w:b/>
                <w:sz w:val="24"/>
              </w:rPr>
              <w:t>分析中心</w:t>
            </w:r>
          </w:p>
          <w:p>
            <w:pPr>
              <w:jc w:val="both"/>
            </w:pPr>
            <w:r>
              <w:rPr>
                <w:sz w:val="24"/>
              </w:rPr>
              <w:t>▲5. 应内置包括规则模型、关联模型、统计模型、情报模型等多种安全分析模型。（提供产品截图或其他证明材料）</w:t>
            </w:r>
          </w:p>
          <w:p>
            <w:pPr>
              <w:jc w:val="both"/>
            </w:pPr>
            <w:r>
              <w:rPr>
                <w:sz w:val="24"/>
              </w:rPr>
              <w:t>6.</w:t>
            </w:r>
            <w:r>
              <w:rPr>
                <w:sz w:val="24"/>
              </w:rPr>
              <w:t>原始日志或原始告警支持多种语法查询，语法至少包括但不限于AND、OR、NOT、==、!=、&gt;、&lt;、&gt;=、&lt;=、exist、notexist、in、notin、startwith、endwith，语法可任意组合并支持利用中括号和小括号的嵌套查询。</w:t>
            </w:r>
          </w:p>
          <w:p>
            <w:pPr>
              <w:jc w:val="both"/>
            </w:pPr>
            <w:r>
              <w:rPr>
                <w:sz w:val="24"/>
              </w:rPr>
              <w:t>▲7. 支持主机感染勒索病毒、主机感染挖矿木马、主机感染恶意程序主机被外部远控、内网横向攻击、内网横向探测、主机对外扫描、主机对外攻击等10种以上的内置安全分析场景。（提供产品截图或其他证明材料）</w:t>
            </w:r>
          </w:p>
          <w:p>
            <w:pPr>
              <w:jc w:val="both"/>
            </w:pPr>
            <w:r>
              <w:rPr>
                <w:b/>
                <w:sz w:val="24"/>
              </w:rPr>
              <w:t>响应中心</w:t>
            </w:r>
          </w:p>
          <w:p>
            <w:pPr>
              <w:jc w:val="both"/>
            </w:pPr>
            <w:r>
              <w:rPr>
                <w:sz w:val="24"/>
              </w:rPr>
              <w:t>8.</w:t>
            </w:r>
            <w:r>
              <w:rPr>
                <w:sz w:val="24"/>
              </w:rPr>
              <w:t>告警订阅，支持通过邮件、短信、钉钉、微信等进行消息通知。</w:t>
            </w:r>
          </w:p>
          <w:p>
            <w:pPr>
              <w:jc w:val="both"/>
            </w:pPr>
            <w:r>
              <w:rPr>
                <w:sz w:val="24"/>
              </w:rPr>
              <w:t>▲9. 支持将联动设备能力封装到APP，通过导入APP的方式实现和不同产品的联动，支持设置3层递进阻断策略（如第一次阻断10分钟，第二次阻断30分钟，第三次永久阻断），支持选择多台联动设备下发阻断策略；支持查看封禁设备数、封禁IP数、自动封禁IP数、本日解禁IP数、封禁订阅规则数、封禁SOAR剧本数，支持查看最近7天封禁IP趋势及防护设备封禁IP分布；支持封禁策略批量删除、解禁、导出。（提供产品截图或其他证明材料）</w:t>
            </w:r>
          </w:p>
          <w:p>
            <w:pPr>
              <w:jc w:val="both"/>
            </w:pPr>
            <w:r>
              <w:rPr>
                <w:b/>
                <w:sz w:val="24"/>
              </w:rPr>
              <w:t>运维管理</w:t>
            </w:r>
          </w:p>
          <w:p>
            <w:pPr>
              <w:jc w:val="both"/>
            </w:pPr>
            <w:r>
              <w:rPr>
                <w:sz w:val="24"/>
              </w:rPr>
              <w:t>▲10. 大数据平台支持一键巡检功能，检查项包含但不限于数据健康、探针健康检查、大数据集群健康、实时流计算引擎健康、管理服务健康、服务器节点健康等多种维度检查，提供巡检处置建议，并能将巡检结果导出PDF格式分析。（提供产品截图或其他证明材料）</w:t>
            </w:r>
          </w:p>
          <w:p>
            <w:pPr>
              <w:jc w:val="both"/>
            </w:pPr>
            <w:r>
              <w:rPr>
                <w:b/>
                <w:sz w:val="24"/>
              </w:rPr>
              <w:t>资产中心</w:t>
            </w:r>
          </w:p>
          <w:p>
            <w:pPr>
              <w:jc w:val="both"/>
            </w:pPr>
            <w:r>
              <w:rPr>
                <w:sz w:val="24"/>
              </w:rPr>
              <w:t>▲11. 支持人工录入、流量自动发现、主动扫描发现、EDR同步、WEB自动发现、物联网同步等不少于5种的资产数据接入方式；流量自动发现方式能自动识别资产类型，如Web服务器、DNS服务器、邮件服务器、FTP文件服务器等多种类型资产，支持web业务系统自动发现；支持批量确认流量发现的资产；支持提供资产同步标准化接口，支持第三方通过自定义设置同步数据源进行资产同步。（提供产品截图或其他证明材料）</w:t>
            </w:r>
          </w:p>
          <w:p>
            <w:pPr>
              <w:jc w:val="both"/>
            </w:pPr>
            <w:r>
              <w:rPr>
                <w:sz w:val="24"/>
              </w:rPr>
              <w:t>12.</w:t>
            </w:r>
            <w:r>
              <w:rPr>
                <w:sz w:val="24"/>
              </w:rPr>
              <w:t>可根据公司、部门、平台节点等方式划分组织架构，组织架构可分为普通节点、机构节点、平台节点等，并支持同级别组织架构拖动调整。</w:t>
            </w:r>
          </w:p>
          <w:p>
            <w:pPr>
              <w:jc w:val="both"/>
            </w:pPr>
            <w:r>
              <w:rPr>
                <w:b/>
                <w:sz w:val="24"/>
              </w:rPr>
              <w:t>平台配套服务</w:t>
            </w:r>
          </w:p>
          <w:p>
            <w:pPr>
              <w:jc w:val="both"/>
            </w:pPr>
            <w:r>
              <w:rPr>
                <w:sz w:val="24"/>
              </w:rPr>
              <w:t>13.</w:t>
            </w:r>
            <w:r>
              <w:rPr>
                <w:sz w:val="24"/>
              </w:rPr>
              <w:t>提供7*24小时专家在线值守，进行安全监测及分析设备，对客户内网进行实时的安全监测，定位内部资产安全威胁源头，出具安全威胁分析报告。</w:t>
            </w:r>
          </w:p>
          <w:p>
            <w:pPr>
              <w:jc w:val="both"/>
            </w:pPr>
            <w:r>
              <w:rPr>
                <w:sz w:val="24"/>
              </w:rPr>
              <w:t>14.</w:t>
            </w:r>
            <w:r>
              <w:rPr>
                <w:sz w:val="24"/>
              </w:rPr>
              <w:t>将服务时期内，相关信息安全事件进行通告，避免客户工作网遭遇同样安全攻击事件，造成严重损失。</w:t>
            </w:r>
          </w:p>
          <w:p>
            <w:pPr>
              <w:jc w:val="both"/>
            </w:pPr>
            <w:r>
              <w:rPr>
                <w:sz w:val="24"/>
              </w:rPr>
              <w:t>15.</w:t>
            </w:r>
            <w:r>
              <w:rPr>
                <w:sz w:val="24"/>
              </w:rPr>
              <w:t>当客户发现外部攻击事件、或被监管单位通报时，提供紧急事件处置支持，对攻击事件进行详细分析，根据实际条件情况提出具有针对性的处置办法，并协助客户加以处置。</w:t>
            </w:r>
          </w:p>
          <w:p>
            <w:pPr>
              <w:jc w:val="both"/>
            </w:pPr>
          </w:p>
          <w:p>
            <w:pPr>
              <w:jc w:val="both"/>
            </w:pPr>
            <w:r>
              <w:rPr>
                <w:b/>
                <w:sz w:val="28"/>
              </w:rPr>
              <w:t>三、数据库加密系统：1套</w:t>
            </w:r>
          </w:p>
          <w:p>
            <w:pPr>
              <w:jc w:val="both"/>
            </w:pPr>
            <w:r>
              <w:rPr>
                <w:sz w:val="24"/>
              </w:rPr>
              <w:t>1.</w:t>
            </w:r>
            <w:r>
              <w:rPr>
                <w:sz w:val="24"/>
              </w:rPr>
              <w:t>自主研发的国产化品牌，非OEM，具有软件著作权证书。</w:t>
            </w:r>
          </w:p>
          <w:p>
            <w:pPr>
              <w:jc w:val="both"/>
            </w:pPr>
            <w:r>
              <w:rPr>
                <w:sz w:val="24"/>
              </w:rPr>
              <w:t>2.</w:t>
            </w:r>
            <w:r>
              <w:rPr>
                <w:sz w:val="24"/>
              </w:rPr>
              <w:t>支持接入数据库实例数：≥16个。</w:t>
            </w:r>
          </w:p>
          <w:p>
            <w:pPr>
              <w:jc w:val="both"/>
            </w:pPr>
            <w:r>
              <w:rPr>
                <w:sz w:val="24"/>
              </w:rPr>
              <w:t>3.</w:t>
            </w:r>
            <w:r>
              <w:rPr>
                <w:sz w:val="24"/>
              </w:rPr>
              <w:t>加解密速度≥1GB/秒。</w:t>
            </w:r>
          </w:p>
          <w:p>
            <w:pPr>
              <w:jc w:val="both"/>
            </w:pPr>
            <w:r>
              <w:rPr>
                <w:sz w:val="24"/>
              </w:rPr>
              <w:t>4. 2U</w:t>
            </w:r>
            <w:r>
              <w:rPr>
                <w:sz w:val="24"/>
              </w:rPr>
              <w:t>机架式设备:双电源,≥6个电口(1个管理口+1个HA口+4个业务口),≥2扩展槽位,≥32G内存,≥3T存储空间。</w:t>
            </w:r>
          </w:p>
          <w:p>
            <w:pPr>
              <w:jc w:val="both"/>
            </w:pPr>
            <w:r>
              <w:rPr>
                <w:sz w:val="24"/>
              </w:rPr>
              <w:t>5.</w:t>
            </w:r>
            <w:r>
              <w:rPr>
                <w:sz w:val="24"/>
              </w:rPr>
              <w:t>数据库操作系统：Linux、Windows、HP、AIX、中标麒麟、银河麒麟等。</w:t>
            </w:r>
          </w:p>
          <w:p>
            <w:pPr>
              <w:jc w:val="both"/>
            </w:pPr>
            <w:r>
              <w:rPr>
                <w:sz w:val="24"/>
              </w:rPr>
              <w:t>▲6. 数据库：武汉达梦（包括MPP、单机、主备模式）、山东瀚高HighGo DB、ORACLE（单机及RAC）、SQL SERVER、DB2、MySQL 、PostgreSQL、Elasticsearch、神通、teledb、hive、人大金仓、南大通用等数据库。（提供产品截图或其他证明材料）</w:t>
            </w:r>
          </w:p>
          <w:p>
            <w:pPr>
              <w:jc w:val="both"/>
            </w:pPr>
            <w:r>
              <w:rPr>
                <w:b/>
                <w:sz w:val="24"/>
              </w:rPr>
              <w:t>部署方式：</w:t>
            </w:r>
          </w:p>
          <w:p>
            <w:pPr>
              <w:jc w:val="both"/>
            </w:pPr>
            <w:r>
              <w:rPr>
                <w:sz w:val="24"/>
              </w:rPr>
              <w:t>7.</w:t>
            </w:r>
            <w:r>
              <w:rPr>
                <w:sz w:val="24"/>
              </w:rPr>
              <w:t>支持旁路模式部署，无需更改网络结构。</w:t>
            </w:r>
          </w:p>
          <w:p>
            <w:pPr>
              <w:jc w:val="both"/>
            </w:pPr>
            <w:r>
              <w:rPr>
                <w:sz w:val="24"/>
              </w:rPr>
              <w:t>8.</w:t>
            </w:r>
            <w:r>
              <w:rPr>
                <w:sz w:val="24"/>
              </w:rPr>
              <w:t>支持HA主备模式，当安全设备因宕机、系统本身主程序不可用、内存持续被占等问题导致不可用时，自动切换到另外一台安全设备进行运行。</w:t>
            </w:r>
          </w:p>
          <w:p>
            <w:pPr>
              <w:jc w:val="both"/>
            </w:pPr>
            <w:r>
              <w:rPr>
                <w:b/>
                <w:sz w:val="24"/>
              </w:rPr>
              <w:t>加密功能：</w:t>
            </w:r>
          </w:p>
          <w:p>
            <w:pPr>
              <w:jc w:val="both"/>
            </w:pPr>
            <w:r>
              <w:rPr>
                <w:sz w:val="24"/>
              </w:rPr>
              <w:t>9.</w:t>
            </w:r>
            <w:r>
              <w:rPr>
                <w:sz w:val="24"/>
              </w:rPr>
              <w:t>提供数据库初始化加密操作向导，加密任务建成后提供预估的加密时间、监测加密任务执行状态。</w:t>
            </w:r>
          </w:p>
          <w:p>
            <w:pPr>
              <w:jc w:val="both"/>
            </w:pPr>
            <w:r>
              <w:rPr>
                <w:sz w:val="24"/>
              </w:rPr>
              <w:t>▲10. 加密算法至少应支持3DES168、AES128、AES192、AES256等国际密码算法，SM4国密算法。（提供产品截图或其他证明材料）</w:t>
            </w:r>
          </w:p>
          <w:p>
            <w:pPr>
              <w:jc w:val="both"/>
            </w:pPr>
            <w:r>
              <w:rPr>
                <w:sz w:val="24"/>
              </w:rPr>
              <w:t>11.</w:t>
            </w:r>
            <w:r>
              <w:rPr>
                <w:sz w:val="24"/>
              </w:rPr>
              <w:t>支持以列、表两种细粒度的加密方式。</w:t>
            </w:r>
          </w:p>
          <w:p>
            <w:pPr>
              <w:jc w:val="both"/>
            </w:pPr>
            <w:r>
              <w:rPr>
                <w:sz w:val="24"/>
              </w:rPr>
              <w:t>12.</w:t>
            </w:r>
            <w:r>
              <w:rPr>
                <w:sz w:val="24"/>
              </w:rPr>
              <w:t>支持以下特殊数据类型和索引类型的加密正常读写、等值查询和范围查询：BLOB数据、CLOB数据、IOT表的Mapping表、B*Tree索引、Bitmap索引、全局索引等。</w:t>
            </w:r>
          </w:p>
          <w:p>
            <w:pPr>
              <w:jc w:val="both"/>
            </w:pPr>
            <w:r>
              <w:rPr>
                <w:sz w:val="24"/>
              </w:rPr>
              <w:t>13.</w:t>
            </w:r>
            <w:r>
              <w:rPr>
                <w:sz w:val="24"/>
              </w:rPr>
              <w:t>支持对加密资产写入的数据进行加密，实现密文状态存储。</w:t>
            </w:r>
          </w:p>
          <w:p>
            <w:pPr>
              <w:jc w:val="both"/>
            </w:pPr>
            <w:r>
              <w:rPr>
                <w:sz w:val="24"/>
              </w:rPr>
              <w:t>14.</w:t>
            </w:r>
            <w:r>
              <w:rPr>
                <w:sz w:val="24"/>
              </w:rPr>
              <w:t>对于增删改查操作、函数、存储过程等均透明；对于主外键、NOTNULL等重要约束透明。</w:t>
            </w:r>
          </w:p>
          <w:p>
            <w:pPr>
              <w:jc w:val="both"/>
            </w:pPr>
            <w:r>
              <w:rPr>
                <w:sz w:val="24"/>
              </w:rPr>
              <w:t>15.</w:t>
            </w:r>
            <w:r>
              <w:rPr>
                <w:sz w:val="24"/>
              </w:rPr>
              <w:t>无需修改应用系统代码，业务系统及数据库访问工具如PL/SQL、JDBC、ODBC等访问数据库时不受影响，实现透明加密。</w:t>
            </w:r>
          </w:p>
          <w:p>
            <w:pPr>
              <w:jc w:val="both"/>
            </w:pPr>
            <w:r>
              <w:rPr>
                <w:sz w:val="24"/>
              </w:rPr>
              <w:t>▲16. 支持多种加密模式，支持业务在线加密，不需要业务停机。（提供产品截图或其他证明材料）</w:t>
            </w:r>
          </w:p>
          <w:p>
            <w:pPr>
              <w:jc w:val="both"/>
            </w:pPr>
            <w:r>
              <w:rPr>
                <w:sz w:val="24"/>
              </w:rPr>
              <w:t>▲17.数据存储完整性：支持SM3国密算法，验证数据存储完整性，发生篡改时进行告警（支持对oracle、mysql数据库的闪电加密和通用加密方式进行完整性验证）</w:t>
            </w:r>
          </w:p>
          <w:p>
            <w:pPr>
              <w:jc w:val="both"/>
            </w:pPr>
            <w:r>
              <w:rPr>
                <w:sz w:val="24"/>
              </w:rPr>
              <w:t>▲18. 离线加解密：支持离线加解密工具及加密信息记录，记录包括用户名、邮箱、电话、加密内容、加密地址等。对敏感数据文件加密，保障数据交换传递或备份安全，接收方需获取授权并验证信息后才可将密文数据解密使用。</w:t>
            </w:r>
          </w:p>
          <w:p>
            <w:pPr>
              <w:jc w:val="both"/>
            </w:pPr>
            <w:r>
              <w:rPr>
                <w:b/>
                <w:sz w:val="24"/>
              </w:rPr>
              <w:t>身份管理：</w:t>
            </w:r>
          </w:p>
          <w:p>
            <w:pPr>
              <w:jc w:val="both"/>
            </w:pPr>
            <w:r>
              <w:rPr>
                <w:sz w:val="24"/>
              </w:rPr>
              <w:t>19.</w:t>
            </w:r>
            <w:r>
              <w:rPr>
                <w:sz w:val="24"/>
              </w:rPr>
              <w:t>使用数字证书绑定安全客户端，当用户登录管理平台，系统可自动校验安全客户端的合法性。</w:t>
            </w:r>
          </w:p>
          <w:p>
            <w:pPr>
              <w:jc w:val="both"/>
            </w:pPr>
            <w:r>
              <w:rPr>
                <w:sz w:val="24"/>
              </w:rPr>
              <w:t>20.</w:t>
            </w:r>
            <w:r>
              <w:rPr>
                <w:sz w:val="24"/>
              </w:rPr>
              <w:t>支持设置用户、工具、应用程序等各类访问主体的权限，包括可访问目标、敏感标签、访问权限、审计级别等。</w:t>
            </w:r>
          </w:p>
          <w:p>
            <w:pPr>
              <w:jc w:val="both"/>
            </w:pPr>
            <w:r>
              <w:rPr>
                <w:sz w:val="24"/>
              </w:rPr>
              <w:t>21.</w:t>
            </w:r>
            <w:r>
              <w:rPr>
                <w:sz w:val="24"/>
              </w:rPr>
              <w:t>执行加密任务前需提供数据库凭证，验证失败无法执行加密任务。</w:t>
            </w:r>
          </w:p>
          <w:p>
            <w:pPr>
              <w:jc w:val="both"/>
            </w:pPr>
            <w:r>
              <w:rPr>
                <w:b/>
                <w:sz w:val="24"/>
              </w:rPr>
              <w:t>访问管理</w:t>
            </w:r>
          </w:p>
          <w:p>
            <w:pPr>
              <w:jc w:val="both"/>
            </w:pPr>
            <w:r>
              <w:rPr>
                <w:sz w:val="24"/>
              </w:rPr>
              <w:t>22.</w:t>
            </w:r>
            <w:r>
              <w:rPr>
                <w:sz w:val="24"/>
              </w:rPr>
              <w:t>对业务无感知，加密对业务访问结果不产生影响。</w:t>
            </w:r>
          </w:p>
          <w:p>
            <w:pPr>
              <w:jc w:val="both"/>
            </w:pPr>
            <w:r>
              <w:rPr>
                <w:sz w:val="24"/>
              </w:rPr>
              <w:t>▲23. 支持基于身份的密文访问控制，身份要素至少包括应用程序名、IP地址、主机名、数据库账户等，根据用户权限进行数据库返回结果控制，只有拥有合法权限的数据库用户才可看到明文，无合法权限的用户返回经过加密的数据或禁止访问。（提供产品截图或其他证明材料）</w:t>
            </w:r>
          </w:p>
          <w:p>
            <w:pPr>
              <w:jc w:val="both"/>
            </w:pPr>
            <w:r>
              <w:rPr>
                <w:sz w:val="24"/>
              </w:rPr>
              <w:t>24.</w:t>
            </w:r>
            <w:r>
              <w:rPr>
                <w:sz w:val="24"/>
              </w:rPr>
              <w:t>支持自定义加密访问管理方式，如业务系统提供明文访问模式；其他软件和对象提供明文及密文访问模式配置。</w:t>
            </w:r>
          </w:p>
          <w:p>
            <w:pPr>
              <w:jc w:val="both"/>
            </w:pPr>
            <w:r>
              <w:rPr>
                <w:sz w:val="24"/>
              </w:rPr>
              <w:t>25.</w:t>
            </w:r>
            <w:r>
              <w:rPr>
                <w:sz w:val="24"/>
              </w:rPr>
              <w:t>返回密文支持加密（SM4）、空值、遮盖、随机映射等，可配置。</w:t>
            </w:r>
          </w:p>
          <w:p>
            <w:pPr>
              <w:jc w:val="both"/>
            </w:pPr>
            <w:r>
              <w:rPr>
                <w:b/>
                <w:sz w:val="24"/>
              </w:rPr>
              <w:t>密钥管理</w:t>
            </w:r>
          </w:p>
          <w:p>
            <w:pPr>
              <w:jc w:val="both"/>
            </w:pPr>
            <w:r>
              <w:rPr>
                <w:sz w:val="24"/>
              </w:rPr>
              <w:t>26.</w:t>
            </w:r>
            <w:r>
              <w:rPr>
                <w:sz w:val="24"/>
              </w:rPr>
              <w:t>支持使用SM4国密算法对工作密钥进行加密。</w:t>
            </w:r>
          </w:p>
          <w:p>
            <w:pPr>
              <w:jc w:val="both"/>
            </w:pPr>
            <w:r>
              <w:rPr>
                <w:sz w:val="24"/>
              </w:rPr>
              <w:t>27.</w:t>
            </w:r>
            <w:r>
              <w:rPr>
                <w:sz w:val="24"/>
              </w:rPr>
              <w:t>支持对加密后的密钥进行备份，防止密钥丢失带来的数据不可恢复问题；支持通过平台下载密钥。</w:t>
            </w:r>
          </w:p>
          <w:p>
            <w:pPr>
              <w:jc w:val="both"/>
            </w:pPr>
            <w:r>
              <w:rPr>
                <w:sz w:val="24"/>
              </w:rPr>
              <w:t>28.</w:t>
            </w:r>
            <w:r>
              <w:rPr>
                <w:sz w:val="24"/>
              </w:rPr>
              <w:t>支持对密钥进行更新，使备份下载的旧密钥不可用。</w:t>
            </w:r>
          </w:p>
          <w:p>
            <w:pPr>
              <w:jc w:val="both"/>
            </w:pPr>
            <w:r>
              <w:rPr>
                <w:sz w:val="24"/>
              </w:rPr>
              <w:t>▲29. 支持对接三方密码设备。</w:t>
            </w:r>
          </w:p>
          <w:p>
            <w:pPr>
              <w:jc w:val="both"/>
            </w:pPr>
            <w:r>
              <w:rPr>
                <w:b/>
                <w:sz w:val="24"/>
              </w:rPr>
              <w:t>数据库管理</w:t>
            </w:r>
          </w:p>
          <w:p>
            <w:pPr>
              <w:jc w:val="both"/>
            </w:pPr>
            <w:r>
              <w:rPr>
                <w:sz w:val="24"/>
              </w:rPr>
              <w:t>30.</w:t>
            </w:r>
            <w:r>
              <w:rPr>
                <w:sz w:val="24"/>
              </w:rPr>
              <w:t>记录所有加密任务，包括数据库名称、IP地址、端口号、实例名、数据库类型等，以支持资产的集中管理。</w:t>
            </w:r>
          </w:p>
          <w:p>
            <w:pPr>
              <w:jc w:val="both"/>
            </w:pPr>
            <w:r>
              <w:rPr>
                <w:sz w:val="24"/>
              </w:rPr>
              <w:t>▲31. 支持根据数据库查看加密资产的信息，以表加密、列加密两个维度查询当前的加密资产，并记录所有加密的操作类型、操作结果、所用时长、操作账户。（提供产品截图或其他证明材料）</w:t>
            </w:r>
          </w:p>
          <w:p>
            <w:pPr>
              <w:jc w:val="both"/>
            </w:pPr>
            <w:r>
              <w:rPr>
                <w:sz w:val="24"/>
              </w:rPr>
              <w:t>▲32. 从加密平台中删除被加密数据库时，弹出解密引导，强制删除时需通过数据库账号验证。（提供产品截图或其他证明材料）</w:t>
            </w:r>
          </w:p>
          <w:p>
            <w:pPr>
              <w:jc w:val="both"/>
            </w:pPr>
            <w:r>
              <w:rPr>
                <w:sz w:val="24"/>
              </w:rPr>
              <w:t>33.</w:t>
            </w:r>
            <w:r>
              <w:rPr>
                <w:sz w:val="24"/>
              </w:rPr>
              <w:t>支持将LICENSE过期、BYPASS、HA切换等重要信息通过邮件、短信等方式告知平台用户。</w:t>
            </w:r>
          </w:p>
          <w:p>
            <w:pPr>
              <w:jc w:val="both"/>
            </w:pPr>
            <w:r>
              <w:rPr>
                <w:sz w:val="24"/>
              </w:rPr>
              <w:t>34.</w:t>
            </w:r>
            <w:r>
              <w:rPr>
                <w:sz w:val="24"/>
              </w:rPr>
              <w:t>平台具有安全审计员、安全保密员、系统管理员三种角色，实现三权分立。</w:t>
            </w:r>
          </w:p>
          <w:p>
            <w:pPr>
              <w:jc w:val="both"/>
            </w:pPr>
            <w:r>
              <w:rPr>
                <w:sz w:val="24"/>
              </w:rPr>
              <w:t>35.</w:t>
            </w:r>
            <w:r>
              <w:rPr>
                <w:sz w:val="24"/>
              </w:rPr>
              <w:t>支持对平台用户的密码复杂度、有效期、密码错误锁定策略等进行限制。</w:t>
            </w:r>
          </w:p>
          <w:p>
            <w:pPr>
              <w:jc w:val="both"/>
            </w:pPr>
            <w:r>
              <w:rPr>
                <w:b/>
                <w:sz w:val="24"/>
              </w:rPr>
              <w:t>产品资质</w:t>
            </w:r>
          </w:p>
          <w:p>
            <w:pPr>
              <w:jc w:val="both"/>
            </w:pPr>
            <w:r>
              <w:rPr>
                <w:sz w:val="24"/>
              </w:rPr>
              <w:t>36.</w:t>
            </w:r>
            <w:r>
              <w:rPr>
                <w:sz w:val="24"/>
              </w:rPr>
              <w:t>具备国家版权局颁发的《计算机软件著作权登记证书》。（提供有效期内证书复印件）</w:t>
            </w:r>
          </w:p>
          <w:p>
            <w:pPr>
              <w:jc w:val="both"/>
            </w:pPr>
            <w:r>
              <w:rPr>
                <w:sz w:val="24"/>
              </w:rPr>
              <w:t>37.</w:t>
            </w:r>
            <w:r>
              <w:rPr>
                <w:sz w:val="24"/>
              </w:rPr>
              <w:t>提供公安部颁发的计算机信息系统安全专用产品销售许可证。（提供有效期内证书复印件）</w:t>
            </w:r>
          </w:p>
          <w:p>
            <w:pPr>
              <w:jc w:val="both"/>
            </w:pPr>
            <w:r>
              <w:rPr>
                <w:sz w:val="24"/>
              </w:rPr>
              <w:t>38.</w:t>
            </w:r>
            <w:r>
              <w:rPr>
                <w:sz w:val="24"/>
              </w:rPr>
              <w:t>提供中国网络安全审查技术与认证中心颁发的IT产品信息安全认证证书。（提供有效期内证书复印件）</w:t>
            </w:r>
          </w:p>
          <w:p>
            <w:pPr>
              <w:jc w:val="both"/>
            </w:pPr>
          </w:p>
          <w:p>
            <w:pPr>
              <w:jc w:val="both"/>
            </w:pPr>
            <w:r>
              <w:rPr>
                <w:b/>
                <w:sz w:val="28"/>
              </w:rPr>
              <w:t>四、测评服务：1项</w:t>
            </w:r>
          </w:p>
          <w:p>
            <w:pPr>
              <w:jc w:val="both"/>
            </w:pPr>
            <w:r>
              <w:rPr>
                <w:sz w:val="24"/>
              </w:rPr>
              <w:t>1. 1</w:t>
            </w:r>
            <w:r>
              <w:rPr>
                <w:sz w:val="24"/>
              </w:rPr>
              <w:t>个三级系统及相关主机、安全设备、网络设备等进行安全加固，确保其通过等保测评，提供建立健全网络安全管理制度、安全加固等服务。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采购包2（模块化灾备机房）</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合同签订之日起90个日历日内完成所有设备安装调试、培训及测评工作。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1期：支付比例40%,合同签订后15个工作日内，采购人向中标供应商支付合同总价的40%作为预付款。</w:t>
            </w:r>
          </w:p>
          <w:p/>
          <w:p>
            <w:r>
              <w:rPr/>
              <w:t>2期：支付比例50%,项目到货后15个工作日内，采购人向中标供应商支付合同总价的50%。</w:t>
            </w:r>
          </w:p>
          <w:p/>
          <w:p>
            <w:r>
              <w:rPr/>
              <w:t>3期：支付比例10%,项目验收合格后15个工作日内，采购人向中标供应商支付合同总价的10%的余款。</w:t>
            </w:r>
          </w:p>
        </w:tc>
      </w:tr>
      <w:tr>
        <w:tc>
          <w:tcPr>
            <w:tcW w:type="dxa" w:w="4153"/>
          </w:tcPr>
          <w:p>
            <w:r>
              <w:rPr/>
              <w:t>验收要求</w:t>
            </w:r>
          </w:p>
        </w:tc>
        <w:tc>
          <w:tcPr>
            <w:tcW w:type="dxa" w:w="4153"/>
          </w:tcPr>
          <w:p/>
          <w:p/>
          <w:p/>
          <w:p>
            <w:r>
              <w:rPr/>
              <w:t>1期：验收标准：（1）符合本合同约定、招标文件、中标供应商的投标文件、澄清文件和中标通知书（以上文件发生冲突时以较高标准为准）的要求。（2）中标供应商提供的投标文件载明的内容必须真实，其技术规格及要求必须符合国家或行业标准，并经测试合格，性能能满足要求验收方式：设备安装、调试结束且试运行后，由中标供应商、采购人共同签字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调试与培训</w:t>
            </w:r>
          </w:p>
        </w:tc>
        <w:tc>
          <w:tcPr>
            <w:tcW w:type="dxa" w:w="2076"/>
          </w:tcPr>
          <w:p>
            <w:pPr>
              <w:jc w:val="left"/>
            </w:pPr>
            <w:r>
              <w:rPr/>
              <w:t>（1）中标供应商必须自行将设备直接运送至采购人指定的地点，并按本合同技术规格、技术规范的要求负责运行调试，提交符合验收办法和技术指标的现场调试数据，以作为设备验收的依据，并将设备调整到最佳状态 。（2）中标供应商负责提供现场操作及维修保养的培训。设备到场后，供应商负责处理货物质量和数量短缺等问题。供应商组织调试所需费用均由中标供应商负责。安装调试完毕后，中标供应商负责清理相关垃圾。（3）设备必须在调试后，同时现场对使用人员进行操作使用培训并有使用单位的签字证明，作为交付使用验收的一部分。（4）中标供应商须负责培训采购人的使用人员，直至完全掌握系统的操作、日常维护保养及简单维修方法。</w:t>
            </w:r>
          </w:p>
        </w:tc>
      </w:tr>
      <w:tr>
        <w:tc>
          <w:tcPr>
            <w:tcW w:type="dxa" w:w="2076"/>
          </w:tcPr>
          <w:p>
            <w:pPr>
              <w:jc w:val="center"/>
            </w:pPr>
          </w:p>
        </w:tc>
        <w:tc>
          <w:tcPr>
            <w:tcW w:type="dxa" w:w="2076"/>
          </w:tcPr>
          <w:p>
            <w:pPr>
              <w:jc w:val="center"/>
            </w:pPr>
            <w:r>
              <w:rPr/>
              <w:t>2</w:t>
            </w:r>
          </w:p>
        </w:tc>
        <w:tc>
          <w:tcPr>
            <w:tcW w:type="dxa" w:w="2076"/>
          </w:tcPr>
          <w:p>
            <w:pPr>
              <w:jc w:val="left"/>
            </w:pPr>
            <w:r>
              <w:rPr/>
              <w:t>保修期限及售后服务</w:t>
            </w:r>
          </w:p>
        </w:tc>
        <w:tc>
          <w:tcPr>
            <w:tcW w:type="dxa" w:w="2076"/>
          </w:tcPr>
          <w:p>
            <w:pPr>
              <w:jc w:val="left"/>
            </w:pPr>
            <w:r>
              <w:rPr/>
              <w:t>（1）货物的保修期为3年，保修期内维护及提供备品、备件的费用包含在本项目的投标报价内；无论在保修期内或保修期外，中标供应商需提供上门服务。中标供应商需提供终身售后服务。货物出现异常或故障时，自报障时起算，2小时内响应，4小时内到达现场，24小时内解决问题。如果设备故障在检修24小时后仍无法排除，中标供应商应在随后24小时内提供不低于故障设备规格型号档次的备用设备供采购人代替使用，直至故障设备修复；（2）中标供应商必须具备相应的维护保养服务能力，能提供完善的售后服务（包括技术人员、响应时间及 备品、备件方面等）。负责免费现场培训采购人操作人员，直至掌握操作技术为止。</w:t>
            </w:r>
          </w:p>
        </w:tc>
      </w:tr>
      <w:tr>
        <w:tc>
          <w:tcPr>
            <w:tcW w:type="dxa" w:w="2076"/>
          </w:tcPr>
          <w:p>
            <w:pPr>
              <w:jc w:val="center"/>
            </w:pPr>
          </w:p>
        </w:tc>
        <w:tc>
          <w:tcPr>
            <w:tcW w:type="dxa" w:w="2076"/>
          </w:tcPr>
          <w:p>
            <w:pPr>
              <w:jc w:val="center"/>
            </w:pPr>
            <w:r>
              <w:rPr/>
              <w:t>3</w:t>
            </w:r>
          </w:p>
        </w:tc>
        <w:tc>
          <w:tcPr>
            <w:tcW w:type="dxa" w:w="2076"/>
          </w:tcPr>
          <w:p>
            <w:pPr>
              <w:jc w:val="left"/>
            </w:pPr>
            <w:r>
              <w:rPr/>
              <w:t>其他要求</w:t>
            </w:r>
          </w:p>
        </w:tc>
        <w:tc>
          <w:tcPr>
            <w:tcW w:type="dxa" w:w="2076"/>
          </w:tcPr>
          <w:p>
            <w:pPr>
              <w:jc w:val="left"/>
            </w:pPr>
            <w:r>
              <w:rPr/>
              <w:t>（1）投标人所投报的软件需为正版软件并负责升级，相关费用已包含在投标报价内；（2）投标人所投报设备须为全新未使用设备，设备及其辅助装置的铭牌、使用指示、警告指示应以中文或英文及易懂的通用符号来表示，应能准确无误地表示设备的型号，规格、生产商。并提供所有设备的附件、说明书和技术咨询；（3）投标人所投报的设备必须成套和完整，在技术要求中未列明但属于设备运行的所需附件必须一并投报 。如果在安装运行过程中发现有缺项漏项，且又是设备正常运行所必要的，供应商应当无偿提供；（4）投标人应当在投标文件中提供在正常使用下，保证设备正常使用的备件和专用工具清单，详细标明其种类、生 产厂家、编号、单价和合计价。采购人可以根据实际情况全部或有选择性地购买。此价格应在投标价格表中单列；（5）投标人应当按照采购人的要求及其他资料对标准设备进行采购、安装及调试，非标准设备进行设计和制作，设备和材料要求须符合设计及国家、行业有关标准规范要求；（6）设备到货时中标供应商应当提供主要设备的维修、使用、保养手册，设备出厂检验合格证书，质量保证书，设备到货清单，系统技术文档和操作说明书等资料供采购人核查。（7）已由总公司授权的，总公司或其分支机构取得的相关资质证书、人员证书及所有资料等对分公司有效，法律法规或者行业另有规定的除外；总公司投标的，分公司相关人员证书及所有资料等对总公司有效，法律法规或者行业另有规定的除外。</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容灾备份设备</w:t>
            </w:r>
          </w:p>
        </w:tc>
        <w:tc>
          <w:tcPr>
            <w:tcW w:type="dxa" w:w="831"/>
          </w:tcPr>
          <w:p>
            <w:pPr>
              <w:jc w:val="left"/>
            </w:pPr>
            <w:r>
              <w:rPr/>
              <w:t>模块化灾备机房</w:t>
            </w:r>
          </w:p>
        </w:tc>
        <w:tc>
          <w:tcPr>
            <w:tcW w:type="dxa" w:w="831"/>
          </w:tcPr>
          <w:p>
            <w:pPr>
              <w:jc w:val="left"/>
            </w:pPr>
            <w:r>
              <w:rPr/>
              <w:t>批</w:t>
            </w:r>
          </w:p>
        </w:tc>
        <w:tc>
          <w:tcPr>
            <w:tcW w:type="dxa" w:w="831"/>
          </w:tcPr>
          <w:p>
            <w:pPr>
              <w:jc w:val="right"/>
            </w:pPr>
            <w:r>
              <w:rPr/>
              <w:t>1.00</w:t>
            </w:r>
          </w:p>
        </w:tc>
        <w:tc>
          <w:tcPr>
            <w:tcW w:type="dxa" w:w="831"/>
          </w:tcPr>
          <w:p>
            <w:pPr>
              <w:jc w:val="right"/>
            </w:pPr>
            <w:r>
              <w:rPr/>
              <w:t>2,260,000.00</w:t>
            </w:r>
          </w:p>
        </w:tc>
        <w:tc>
          <w:tcPr>
            <w:tcW w:type="dxa" w:w="831"/>
          </w:tcPr>
          <w:p>
            <w:pPr>
              <w:jc w:val="right"/>
            </w:pPr>
            <w:r>
              <w:rPr/>
              <w:t>2,260,000.00</w:t>
            </w:r>
          </w:p>
        </w:tc>
        <w:tc>
          <w:tcPr>
            <w:tcW w:type="dxa" w:w="831"/>
          </w:tcPr>
          <w:p>
            <w:r>
              <w:rPr/>
              <w:t>工业</w:t>
            </w:r>
          </w:p>
        </w:tc>
        <w:tc>
          <w:tcPr>
            <w:tcW w:type="dxa" w:w="831"/>
          </w:tcPr>
          <w:p>
            <w:r>
              <w:rPr/>
              <w:t>详见附表一</w:t>
            </w:r>
          </w:p>
        </w:tc>
      </w:tr>
    </w:tbl>
    <w:p/>
    <w:p>
      <w:r>
        <w:rPr>
          <w:b/>
        </w:rPr>
        <w:t>附表</w:t>
      </w:r>
      <w:r>
        <w:rPr>
          <w:b/>
        </w:rPr>
        <w:t>一</w:t>
      </w:r>
      <w:r>
        <w:rPr>
          <w:b/>
        </w:rPr>
        <w:t>：</w:t>
      </w:r>
      <w:r>
        <w:rPr>
          <w:b/>
        </w:rPr>
        <w:t>模块化灾备机房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7"/>
              </w:rPr>
              <w:t>注：本采购标的所指核心产品仅包括：</w:t>
            </w:r>
            <w:r>
              <w:rPr>
                <w:b/>
                <w:sz w:val="27"/>
              </w:rPr>
              <w:t>服务器、</w:t>
            </w:r>
            <w:r>
              <w:rPr>
                <w:b/>
                <w:sz w:val="27"/>
              </w:rPr>
              <w:t>光交换机</w:t>
            </w:r>
          </w:p>
          <w:p>
            <w:pPr>
              <w:jc w:val="both"/>
            </w:pPr>
            <w:r>
              <w:rPr/>
              <w:t xml:space="preserve"> </w:t>
            </w:r>
          </w:p>
          <w:p>
            <w:pPr>
              <w:jc w:val="both"/>
            </w:pPr>
            <w:r>
              <w:rPr>
                <w:sz w:val="24"/>
              </w:rPr>
              <w:t>一、模块化数据中心：1套</w:t>
            </w:r>
          </w:p>
          <w:tbl>
            <w:tblGrid>
              <w:gridCol w:w="663"/>
              <w:gridCol w:w="4034"/>
              <w:gridCol w:w="427"/>
              <w:gridCol w:w="463"/>
            </w:tblGrid>
            <w:tr>
              <w:tc>
                <w:tcPr>
                  <w:tcW w:type="dxa" w:w="663"/>
                  <w:tcBorders>
                    <w:top w:val="single" w:color="000000" w:sz="4"/>
                    <w:left w:val="single" w:color="000000" w:sz="4"/>
                    <w:bottom w:val="single" w:color="000000" w:sz="4"/>
                    <w:right w:val="single" w:color="000000" w:sz="4"/>
                  </w:tcBorders>
                </w:tcPr>
                <w:p>
                  <w:pPr>
                    <w:jc w:val="center"/>
                  </w:pPr>
                  <w:r>
                    <w:rPr>
                      <w:b/>
                      <w:sz w:val="22"/>
                    </w:rPr>
                    <w:t>设备名称</w:t>
                  </w:r>
                </w:p>
              </w:tc>
              <w:tc>
                <w:tcPr>
                  <w:tcW w:type="dxa" w:w="4034"/>
                  <w:tcBorders>
                    <w:top w:val="single" w:color="000000" w:sz="4"/>
                    <w:left w:val="none" w:color="000000" w:sz="4"/>
                    <w:bottom w:val="single" w:color="000000" w:sz="4"/>
                    <w:right w:val="single" w:color="000000" w:sz="4"/>
                  </w:tcBorders>
                </w:tcPr>
                <w:p>
                  <w:pPr>
                    <w:jc w:val="center"/>
                  </w:pPr>
                  <w:r>
                    <w:rPr>
                      <w:b/>
                      <w:sz w:val="22"/>
                    </w:rPr>
                    <w:t>技术参数要求</w:t>
                  </w:r>
                </w:p>
              </w:tc>
              <w:tc>
                <w:tcPr>
                  <w:tcW w:type="dxa" w:w="427"/>
                  <w:tcBorders>
                    <w:top w:val="single" w:color="000000" w:sz="4"/>
                    <w:left w:val="none" w:color="000000" w:sz="4"/>
                    <w:bottom w:val="single" w:color="000000" w:sz="4"/>
                    <w:right w:val="single" w:color="000000" w:sz="4"/>
                  </w:tcBorders>
                </w:tcPr>
                <w:p>
                  <w:pPr>
                    <w:jc w:val="center"/>
                  </w:pPr>
                  <w:r>
                    <w:rPr>
                      <w:b/>
                      <w:sz w:val="22"/>
                    </w:rPr>
                    <w:t>单位</w:t>
                  </w:r>
                </w:p>
              </w:tc>
              <w:tc>
                <w:tcPr>
                  <w:tcW w:type="dxa" w:w="463"/>
                  <w:tcBorders>
                    <w:top w:val="single" w:color="000000" w:sz="4"/>
                    <w:left w:val="none" w:color="000000" w:sz="4"/>
                    <w:bottom w:val="single" w:color="000000" w:sz="4"/>
                    <w:right w:val="single" w:color="000000" w:sz="4"/>
                  </w:tcBorders>
                </w:tcPr>
                <w:p>
                  <w:pPr>
                    <w:jc w:val="center"/>
                  </w:pPr>
                  <w:r>
                    <w:rPr>
                      <w:b/>
                      <w:sz w:val="22"/>
                    </w:rPr>
                    <w:t>数量</w:t>
                  </w:r>
                </w:p>
              </w:tc>
            </w:tr>
            <w:tr>
              <w:tc>
                <w:tcPr>
                  <w:tcW w:type="dxa" w:w="663"/>
                  <w:tcBorders>
                    <w:top w:val="none" w:color="000000" w:sz="4"/>
                    <w:left w:val="single" w:color="000000" w:sz="4"/>
                    <w:bottom w:val="single" w:color="000000" w:sz="4"/>
                    <w:right w:val="single" w:color="000000" w:sz="4"/>
                  </w:tcBorders>
                </w:tcPr>
                <w:p>
                  <w:pPr>
                    <w:jc w:val="center"/>
                  </w:pPr>
                  <w:r>
                    <w:rPr>
                      <w:sz w:val="22"/>
                    </w:rPr>
                    <w:t>服务器机柜</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外形尺寸：服务器机柜规格（W*D*H）：600mm*1200mm*2000mm。</w:t>
                  </w:r>
                  <w:r>
                    <w:br/>
                  </w:r>
                  <w:r>
                    <w:rPr>
                      <w:sz w:val="22"/>
                    </w:rPr>
                    <w:t>2.机柜涂覆层应表面光洁、色泽均匀、无流挂、无露底；金属件无毛刺、无锈蚀。机柜门板、侧板平整，无扭曲、无变形、也不明显抖动；门板开孔均匀。要求提供第三方测试报告证明。</w:t>
                  </w:r>
                  <w:r>
                    <w:br/>
                  </w:r>
                  <w:r>
                    <w:rPr>
                      <w:sz w:val="22"/>
                    </w:rPr>
                    <w:t>3.机柜由主框架、顶板、内嵌底板、前后门、侧横梁、矩形管、内立柱和固定层板组成。其中主框架、内立柱的、侧横梁的材料厚度不小于2.0mm，后门、顶板、和侧板的材料厚度不小于1.2mm，并提供第三方测试报告证明。</w:t>
                  </w:r>
                  <w:r>
                    <w:br/>
                  </w:r>
                  <w:r>
                    <w:rPr>
                      <w:sz w:val="22"/>
                    </w:rPr>
                    <w:t>4. 承载能力：机柜静态承载能力不小于2550kg，提供权威第三方检测报告。</w:t>
                  </w:r>
                  <w:r>
                    <w:br/>
                  </w:r>
                  <w:r>
                    <w:rPr>
                      <w:sz w:val="22"/>
                    </w:rPr>
                    <w:t>5. 抗震：机柜带载不低于500kg测试通过8、9级烈度结构抗地震考核，提供权威第三方检测报告。</w:t>
                  </w:r>
                  <w:r>
                    <w:br/>
                  </w:r>
                  <w:r>
                    <w:rPr>
                      <w:sz w:val="22"/>
                    </w:rPr>
                    <w:t>6.门和侧板为可拆卸结构，门的开合转动灵活、锁定可靠、施工安装和维护方便，机柜门的开启角度≥110°。前门单开网孔门散热面积达≥80％。后门双开，网孔开孔率≥74％，提供第三方泰尔认证测试报告。</w:t>
                  </w:r>
                  <w:r>
                    <w:br/>
                  </w:r>
                  <w:r>
                    <w:rPr>
                      <w:sz w:val="22"/>
                    </w:rPr>
                    <w:t>7.机柜在带载不低于1500kg测试通过动载DL4振动冲击试验，提供第三方泰尔认证测试报告。机柜应支持上下两种走线方式，便于以后设备的扩展，便于线缆的管理和空气的流通。机柜进出线及内部布线不应影响气流组织和冷却效果。</w:t>
                  </w:r>
                  <w:r>
                    <w:br/>
                  </w:r>
                  <w:r>
                    <w:rPr>
                      <w:sz w:val="22"/>
                    </w:rPr>
                    <w:t>8.机柜耐电压强度：要求机柜内各带电回路以及两个非电气连接的带电回路之间，应能承受2500V，50HZ正弦试验电压1min，并不出现击穿或者飞弧现象，漏电流不超过1mA，提供第三方泰尔认证测试报告；</w:t>
                  </w:r>
                  <w:r>
                    <w:br/>
                  </w:r>
                  <w:r>
                    <w:rPr>
                      <w:sz w:val="22"/>
                    </w:rPr>
                    <w:t>9.机柜附件：每个机柜含后门左右各1条宽度不小于垂直理线板、1套接地组件（接地线6mm²）和19英寸安装接地铜排（3*15mm²）、4个运输脚轮、40U假面板和1副L型托架。</w:t>
                  </w:r>
                  <w:r>
                    <w:br/>
                  </w:r>
                  <w:r>
                    <w:rPr>
                      <w:sz w:val="22"/>
                    </w:rPr>
                    <w:t>10.为保证机房整体系统的稳定性、兼容性以及后期维护的方便性，要求模块化数据中心产品都为</w:t>
                  </w:r>
                  <w:r>
                    <w:rPr>
                      <w:sz w:val="22"/>
                    </w:rPr>
                    <w:t>同一品牌。包含一体化UPS配电柜、行级精密空调、IT机柜、动环监控管理平台、密闭通道组件。</w:t>
                  </w:r>
                </w:p>
              </w:tc>
              <w:tc>
                <w:tcPr>
                  <w:tcW w:type="dxa" w:w="427"/>
                  <w:tcBorders>
                    <w:top w:val="none" w:color="000000" w:sz="4"/>
                    <w:left w:val="none" w:color="000000" w:sz="4"/>
                    <w:bottom w:val="single" w:color="000000" w:sz="4"/>
                    <w:right w:val="single" w:color="000000" w:sz="4"/>
                  </w:tcBorders>
                </w:tcPr>
                <w:p>
                  <w:pPr>
                    <w:jc w:val="center"/>
                  </w:pPr>
                  <w:r>
                    <w:rPr>
                      <w:sz w:val="22"/>
                    </w:rPr>
                    <w:t>台</w:t>
                  </w:r>
                </w:p>
              </w:tc>
              <w:tc>
                <w:tcPr>
                  <w:tcW w:type="dxa" w:w="463"/>
                  <w:tcBorders>
                    <w:top w:val="none" w:color="000000" w:sz="4"/>
                    <w:left w:val="none" w:color="000000" w:sz="4"/>
                    <w:bottom w:val="single" w:color="000000" w:sz="4"/>
                    <w:right w:val="single" w:color="000000" w:sz="4"/>
                  </w:tcBorders>
                </w:tcPr>
                <w:p>
                  <w:pPr>
                    <w:jc w:val="center"/>
                  </w:pPr>
                  <w:r>
                    <w:rPr>
                      <w:sz w:val="22"/>
                    </w:rPr>
                    <w:t>11</w:t>
                  </w:r>
                </w:p>
              </w:tc>
            </w:tr>
            <w:tr>
              <w:tc>
                <w:tcPr>
                  <w:tcW w:type="dxa" w:w="663"/>
                  <w:tcBorders>
                    <w:top w:val="none" w:color="000000" w:sz="4"/>
                    <w:left w:val="single" w:color="000000" w:sz="4"/>
                    <w:bottom w:val="single" w:color="000000" w:sz="4"/>
                    <w:right w:val="single" w:color="000000" w:sz="4"/>
                  </w:tcBorders>
                </w:tcPr>
                <w:p>
                  <w:pPr>
                    <w:jc w:val="center"/>
                  </w:pPr>
                  <w:r>
                    <w:rPr>
                      <w:sz w:val="22"/>
                    </w:rPr>
                    <w:t>机柜PDU</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每个机柜标配2条PDU，为设备A/B路供电使用。两条PDU应为同一规格，互为备份。</w:t>
                  </w:r>
                  <w:r>
                    <w:br/>
                  </w:r>
                  <w:r>
                    <w:rPr>
                      <w:sz w:val="22"/>
                    </w:rPr>
                    <w:t>2.交流PUD采用黑色涂层，外壳选用优质型材或钢板，应具备强度高，坚固耐用，抗压性能、装配性能、耐蚀性能和装饰性能良好，表面喷涂效果好，工艺先进，纹路平整，美观大方等特点。</w:t>
                  </w:r>
                  <w:r>
                    <w:br/>
                  </w:r>
                  <w:r>
                    <w:rPr>
                      <w:sz w:val="22"/>
                    </w:rPr>
                    <w:t>3.机柜PDU输出接口具有GB标准类型，10A的插座不少于20个，16A的插座不少于4个。</w:t>
                  </w:r>
                  <w:r>
                    <w:br/>
                  </w:r>
                  <w:r>
                    <w:rPr>
                      <w:sz w:val="22"/>
                    </w:rPr>
                    <w:t>4.机柜PDU接线应采用从精密列头柜电源线直接接入机柜PDU的方式。</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22</w:t>
                  </w:r>
                </w:p>
              </w:tc>
            </w:tr>
            <w:tr>
              <w:tc>
                <w:tcPr>
                  <w:tcW w:type="dxa" w:w="663"/>
                  <w:tcBorders>
                    <w:top w:val="none" w:color="000000" w:sz="4"/>
                    <w:left w:val="single" w:color="000000" w:sz="4"/>
                    <w:bottom w:val="single" w:color="000000" w:sz="4"/>
                    <w:right w:val="single" w:color="000000" w:sz="4"/>
                  </w:tcBorders>
                </w:tcPr>
                <w:p>
                  <w:pPr>
                    <w:jc w:val="center"/>
                  </w:pPr>
                  <w:r>
                    <w:rPr>
                      <w:sz w:val="22"/>
                    </w:rPr>
                    <w:t>机柜侧门板</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主体颜色采用黑色，机柜材料采用高强度A级优质碳素冷轧钢板和镀锌板，表面喷涂厚度应不小于60μm ,采用黑色砂纹工艺，满足防腐、防锈、光洁、色泽均匀、无流挂、不露底、无起泡、无裂纹、金属件无毛刺锈蚀要求；</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r>
              <w:tc>
                <w:tcPr>
                  <w:tcW w:type="dxa" w:w="663"/>
                  <w:tcBorders>
                    <w:top w:val="none" w:color="000000" w:sz="4"/>
                    <w:left w:val="single" w:color="000000" w:sz="4"/>
                    <w:bottom w:val="single" w:color="000000" w:sz="4"/>
                    <w:right w:val="single" w:color="000000" w:sz="4"/>
                  </w:tcBorders>
                </w:tcPr>
                <w:p>
                  <w:pPr>
                    <w:jc w:val="center"/>
                  </w:pPr>
                  <w:r>
                    <w:rPr>
                      <w:sz w:val="22"/>
                    </w:rPr>
                    <w:t>固定托盘</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承载IT设备承重100KG,适用于1200mm深的服务器机柜</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11</w:t>
                  </w:r>
                </w:p>
              </w:tc>
            </w:tr>
            <w:tr>
              <w:tc>
                <w:tcPr>
                  <w:tcW w:type="dxa" w:w="663"/>
                  <w:tcBorders>
                    <w:top w:val="none" w:color="000000" w:sz="4"/>
                    <w:left w:val="single" w:color="000000" w:sz="4"/>
                    <w:bottom w:val="single" w:color="000000" w:sz="4"/>
                    <w:right w:val="single" w:color="000000" w:sz="4"/>
                  </w:tcBorders>
                </w:tcPr>
                <w:p>
                  <w:pPr>
                    <w:jc w:val="center"/>
                  </w:pPr>
                  <w:r>
                    <w:rPr>
                      <w:sz w:val="22"/>
                    </w:rPr>
                    <w:t>双排冷通道密封组件</w:t>
                  </w:r>
                </w:p>
              </w:tc>
              <w:tc>
                <w:tcPr>
                  <w:tcW w:type="dxa" w:w="4034"/>
                  <w:tcBorders>
                    <w:top w:val="none" w:color="000000" w:sz="4"/>
                    <w:left w:val="none" w:color="000000" w:sz="4"/>
                    <w:bottom w:val="single" w:color="000000" w:sz="4"/>
                    <w:right w:val="single" w:color="000000" w:sz="4"/>
                  </w:tcBorders>
                </w:tcPr>
                <w:p>
                  <w:pPr>
                    <w:jc w:val="left"/>
                  </w:pPr>
                  <w:r>
                    <w:rPr>
                      <w:sz w:val="22"/>
                    </w:rPr>
                    <w:t>含通道天窗、顶部线槽、通道门楣、机柜顶部以及底部密封挡板等</w:t>
                  </w:r>
                  <w:r>
                    <w:br/>
                  </w:r>
                  <w:r>
                    <w:rPr>
                      <w:sz w:val="22"/>
                    </w:rPr>
                    <w:t>1.控制天窗上可安装摄像头、温湿度传感器、烟雾传感器、通道照明红外传感及预留消防喷头深入孔等；</w:t>
                  </w:r>
                  <w:r>
                    <w:br/>
                  </w:r>
                  <w:r>
                    <w:rPr>
                      <w:sz w:val="22"/>
                    </w:rPr>
                    <w:t>2.通道上部天窗为活动天窗，开启后悬停位置要求确保冷通道的净高不少于2000mm，开启角度不小于40度，并且不影响日常维护工作和维护人员安全。通道系统应兼具功能性、透光性及美观性，固定型天窗和翻转型天窗透光材质应使用覆膜钢化玻璃，厚度不小于5mm，天窗玻璃面积占比应保证不小于90%，请提供天窗实物照片。要求钢化玻璃透光率应不小于90%，请提供玻璃透光率测试报告证明。</w:t>
                  </w:r>
                  <w:r>
                    <w:br/>
                  </w:r>
                  <w:r>
                    <w:rPr>
                      <w:sz w:val="22"/>
                    </w:rPr>
                    <w:t>3.线槽每台机柜配置1套，上走线，免螺丝支架安装，由两块侧板、一块托板、一块分隔板卡接组成。中间的分隔板用以分隔AB路强电或分隔光缆和网线，根据线缆数量的不同，可以前后挪动隔板调整位置。采用高强度A级优质碳素冷轧钢板，厚度不小于1.5mm；模块应具备强弱电走线装置，应支持模块化设计、去工程化安装特性，并能以机柜为单位进行扩展，走线槽应能满足跨立柱、跨机柜列及跨模块安装要求。走线槽具有信号线和电源线隔离设计，隔离信号线和电源线的走线。</w:t>
                  </w:r>
                  <w:r>
                    <w:br/>
                  </w:r>
                  <w:r>
                    <w:rPr>
                      <w:sz w:val="22"/>
                    </w:rPr>
                    <w:t>▲4.要求整体模块机房（包含冷通道）通过8、9级烈度结构抗地震考核，满足YD 5083-2005规范要求，并提供认证证书和测试报告。</w:t>
                  </w:r>
                  <w:r>
                    <w:br/>
                  </w:r>
                  <w:r>
                    <w:rPr>
                      <w:sz w:val="22"/>
                    </w:rPr>
                    <w:t>5. 通道门楣要求带LCD屏,并提供照片证明；</w:t>
                  </w:r>
                </w:p>
              </w:tc>
              <w:tc>
                <w:tcPr>
                  <w:tcW w:type="dxa" w:w="427"/>
                  <w:tcBorders>
                    <w:top w:val="none" w:color="000000" w:sz="4"/>
                    <w:left w:val="none" w:color="000000" w:sz="4"/>
                    <w:bottom w:val="single" w:color="000000" w:sz="4"/>
                    <w:right w:val="single" w:color="000000" w:sz="4"/>
                  </w:tcBorders>
                </w:tcPr>
                <w:p>
                  <w:pPr>
                    <w:jc w:val="center"/>
                  </w:pPr>
                  <w:r>
                    <w:rPr>
                      <w:sz w:val="22"/>
                    </w:rPr>
                    <w:t>套</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冷通道端门</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封闭冷通道组件两侧门应配备无框玻璃门，为提升微模块的通透效果，方便人员在模块外参观检视，钢化玻璃面积占门板总面积的比例不低于98%。通道门要求与智能门禁、消防信号、红外侦测信号联动.</w:t>
                  </w:r>
                  <w:r>
                    <w:br/>
                  </w:r>
                  <w:r>
                    <w:rPr>
                      <w:sz w:val="22"/>
                    </w:rPr>
                    <w:t>2. 钢化玻璃厚度不低于12mm；</w:t>
                  </w:r>
                  <w:r>
                    <w:br/>
                  </w:r>
                  <w:r>
                    <w:rPr>
                      <w:sz w:val="22"/>
                    </w:rPr>
                    <w:t>3.通道门为隐藏式滑动门,通道门内侧要求配置防夹人传感器/手动旋转门，通道门打开后不影响通道外触摸屏使用。冷通道地面（地板）上应保证通过性优异，不允许有地轨、门槛等，以便人员设备进出便利。</w:t>
                  </w:r>
                  <w:r>
                    <w:br/>
                  </w:r>
                  <w:r>
                    <w:rPr>
                      <w:sz w:val="22"/>
                    </w:rPr>
                    <w:t>4. 微模块通道两端应设置门禁系统，运维人员须通过识别身份方可进入微模块内部进行相应操作。模块级门禁系统由门禁机、门禁控制器、出门按钮、磁力锁、紧急按钮组成。</w:t>
                  </w:r>
                </w:p>
              </w:tc>
              <w:tc>
                <w:tcPr>
                  <w:tcW w:type="dxa" w:w="427"/>
                  <w:tcBorders>
                    <w:top w:val="none" w:color="000000" w:sz="4"/>
                    <w:left w:val="none" w:color="000000" w:sz="4"/>
                    <w:bottom w:val="single" w:color="000000" w:sz="4"/>
                    <w:right w:val="single" w:color="000000" w:sz="4"/>
                  </w:tcBorders>
                </w:tcPr>
                <w:p>
                  <w:pPr>
                    <w:jc w:val="center"/>
                  </w:pPr>
                  <w:r>
                    <w:rPr>
                      <w:sz w:val="22"/>
                    </w:rPr>
                    <w:t>套</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r>
              <w:tc>
                <w:tcPr>
                  <w:tcW w:type="dxa" w:w="663"/>
                  <w:tcBorders>
                    <w:top w:val="none" w:color="000000" w:sz="4"/>
                    <w:left w:val="single" w:color="000000" w:sz="4"/>
                    <w:bottom w:val="single" w:color="000000" w:sz="4"/>
                    <w:right w:val="single" w:color="000000" w:sz="4"/>
                  </w:tcBorders>
                </w:tcPr>
                <w:p>
                  <w:pPr>
                    <w:jc w:val="center"/>
                  </w:pPr>
                  <w:r>
                    <w:rPr>
                      <w:sz w:val="22"/>
                    </w:rPr>
                    <w:t>通道门禁</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门禁控制一体机，含10张IC卡，可通过刷卡、指纹、密码等身份认证，DC12V。</w:t>
                  </w:r>
                </w:p>
              </w:tc>
              <w:tc>
                <w:tcPr>
                  <w:tcW w:type="dxa" w:w="427"/>
                  <w:tcBorders>
                    <w:top w:val="none" w:color="000000" w:sz="4"/>
                    <w:left w:val="none" w:color="000000" w:sz="4"/>
                    <w:bottom w:val="single" w:color="000000" w:sz="4"/>
                    <w:right w:val="single" w:color="000000" w:sz="4"/>
                  </w:tcBorders>
                </w:tcPr>
                <w:p>
                  <w:pPr>
                    <w:jc w:val="center"/>
                  </w:pPr>
                  <w:r>
                    <w:rPr>
                      <w:sz w:val="22"/>
                    </w:rPr>
                    <w:t>套</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r>
              <w:tc>
                <w:tcPr>
                  <w:tcW w:type="dxa" w:w="663"/>
                  <w:tcBorders>
                    <w:top w:val="none" w:color="000000" w:sz="4"/>
                    <w:left w:val="single" w:color="000000" w:sz="4"/>
                    <w:bottom w:val="single" w:color="000000" w:sz="4"/>
                    <w:right w:val="single" w:color="000000" w:sz="4"/>
                  </w:tcBorders>
                </w:tcPr>
                <w:p>
                  <w:pPr>
                    <w:jc w:val="center"/>
                  </w:pPr>
                  <w:r>
                    <w:rPr>
                      <w:sz w:val="22"/>
                    </w:rPr>
                    <w:t>机房ID/IC卡授权发卡器</w:t>
                  </w:r>
                </w:p>
              </w:tc>
              <w:tc>
                <w:tcPr>
                  <w:tcW w:type="dxa" w:w="4034"/>
                  <w:tcBorders>
                    <w:top w:val="none" w:color="000000" w:sz="4"/>
                    <w:left w:val="none" w:color="000000" w:sz="4"/>
                    <w:bottom w:val="single" w:color="000000" w:sz="4"/>
                    <w:right w:val="single" w:color="000000" w:sz="4"/>
                  </w:tcBorders>
                </w:tcPr>
                <w:p>
                  <w:pPr>
                    <w:jc w:val="left"/>
                  </w:pPr>
                  <w:r>
                    <w:rPr>
                      <w:sz w:val="22"/>
                    </w:rPr>
                    <w:t>1.IC</w:t>
                  </w:r>
                  <w:r>
                    <w:rPr>
                      <w:sz w:val="22"/>
                    </w:rPr>
                    <w:t>卡/ID卡发卡读卡器，USB接口，免驱动（与后台配套使用）</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机房指纹发卡器</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指纹读头，USB接口，支持采集指纹和读EM卡（指纹发卡器，与后台配套使用）</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通道状态灯</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模块机房要求氛围灯布置在两端侧板、两端门框以及通道内部应有明确的状态指示灯，需保证至少有4种颜色，且具备四种颜色指示灯灯光与告警指示联动功能，在微模块产生告警后可与灯光进行联动。能够与一级告警、二级告警、三级告警、正常状态进行联动，并提供证明材料。</w:t>
                  </w:r>
                </w:p>
              </w:tc>
              <w:tc>
                <w:tcPr>
                  <w:tcW w:type="dxa" w:w="427"/>
                  <w:tcBorders>
                    <w:top w:val="none" w:color="000000" w:sz="4"/>
                    <w:left w:val="none" w:color="000000" w:sz="4"/>
                    <w:bottom w:val="single" w:color="000000" w:sz="4"/>
                    <w:right w:val="single" w:color="000000" w:sz="4"/>
                  </w:tcBorders>
                </w:tcPr>
                <w:p>
                  <w:pPr>
                    <w:jc w:val="center"/>
                  </w:pPr>
                  <w:r>
                    <w:rPr>
                      <w:sz w:val="22"/>
                    </w:rPr>
                    <w:t>套</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通道照明</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冷微模块通道内照明应采用LED灯管，长度1m，单色白光，天窗横装，保证通道照明亮度不小于300LUX，满足GB50174《电子信息系统机房设计规范》中对机房照明的要求。</w:t>
                  </w:r>
                  <w:r>
                    <w:br/>
                  </w:r>
                  <w:r>
                    <w:rPr>
                      <w:sz w:val="22"/>
                    </w:rPr>
                    <w:t>2.通道照明需采用智能照明系统，人来灯亮，人走灯灭。通道照明可通过红外、门禁、摄像头多重判断，提高准确度，杜绝误操作。</w:t>
                  </w:r>
                </w:p>
              </w:tc>
              <w:tc>
                <w:tcPr>
                  <w:tcW w:type="dxa" w:w="427"/>
                  <w:tcBorders>
                    <w:top w:val="none" w:color="000000" w:sz="4"/>
                    <w:left w:val="none" w:color="000000" w:sz="4"/>
                    <w:bottom w:val="single" w:color="000000" w:sz="4"/>
                    <w:right w:val="single" w:color="000000" w:sz="4"/>
                  </w:tcBorders>
                </w:tcPr>
                <w:p>
                  <w:pPr>
                    <w:jc w:val="center"/>
                  </w:pPr>
                  <w:r>
                    <w:rPr>
                      <w:sz w:val="22"/>
                    </w:rPr>
                    <w:t>条</w:t>
                  </w:r>
                </w:p>
              </w:tc>
              <w:tc>
                <w:tcPr>
                  <w:tcW w:type="dxa" w:w="463"/>
                  <w:tcBorders>
                    <w:top w:val="none" w:color="000000" w:sz="4"/>
                    <w:left w:val="none" w:color="000000" w:sz="4"/>
                    <w:bottom w:val="single" w:color="000000" w:sz="4"/>
                    <w:right w:val="single" w:color="000000" w:sz="4"/>
                  </w:tcBorders>
                </w:tcPr>
                <w:p>
                  <w:pPr>
                    <w:jc w:val="center"/>
                  </w:pPr>
                  <w:r>
                    <w:rPr>
                      <w:sz w:val="22"/>
                    </w:rPr>
                    <w:t>6</w:t>
                  </w:r>
                </w:p>
              </w:tc>
            </w:tr>
            <w:tr>
              <w:tc>
                <w:tcPr>
                  <w:tcW w:type="dxa" w:w="663"/>
                  <w:tcBorders>
                    <w:top w:val="none" w:color="000000" w:sz="4"/>
                    <w:left w:val="single" w:color="000000" w:sz="4"/>
                    <w:bottom w:val="single" w:color="000000" w:sz="4"/>
                    <w:right w:val="single" w:color="000000" w:sz="4"/>
                  </w:tcBorders>
                </w:tcPr>
                <w:p>
                  <w:pPr>
                    <w:jc w:val="left"/>
                  </w:pPr>
                  <w:r>
                    <w:rPr>
                      <w:sz w:val="22"/>
                    </w:rPr>
                    <w:t>一体化UPS机框（含配电系统）</w:t>
                  </w:r>
                </w:p>
              </w:tc>
              <w:tc>
                <w:tcPr>
                  <w:tcW w:type="dxa" w:w="4034"/>
                  <w:tcBorders>
                    <w:top w:val="none" w:color="000000" w:sz="4"/>
                    <w:left w:val="none" w:color="000000" w:sz="4"/>
                    <w:bottom w:val="single" w:color="000000" w:sz="4"/>
                    <w:right w:val="single" w:color="000000" w:sz="4"/>
                  </w:tcBorders>
                </w:tcPr>
                <w:p>
                  <w:pPr>
                    <w:jc w:val="left"/>
                  </w:pPr>
                  <w:r>
                    <w:rPr>
                      <w:sz w:val="22"/>
                    </w:rPr>
                    <w:t>1.UPS</w:t>
                  </w:r>
                  <w:r>
                    <w:rPr>
                      <w:sz w:val="22"/>
                    </w:rPr>
                    <w:t>配电一体柜应支持集成模块化UPS、ATS开关、UPS输入开关、UPS输出开关、维修旁路、IT配电、空调配电及照明配电于单一柜体内，行级空调直接从一体化UPS供电，具备主支路监测功能，10英寸触摸屏。一体化UPS机框容量不小于60KVA，本项目暂配容量不小于20KVA；</w:t>
                  </w:r>
                  <w:r>
                    <w:br/>
                  </w:r>
                  <w:r>
                    <w:rPr>
                      <w:sz w:val="22"/>
                    </w:rPr>
                    <w:t>2.支持主路开关不小于160A/4P；UPS输入、输出开关不小于2*125A/3P；维修旁路开关（带锁）不小于1*125A/4P；市电输出开关不小于且不少于4*63A/3P+18*32A/1P；UPS输出支路开关不小于且不少于18*32A/1P，防雷模块不低于C级防雷模块。</w:t>
                  </w:r>
                  <w:r>
                    <w:br/>
                  </w:r>
                  <w:r>
                    <w:rPr>
                      <w:sz w:val="22"/>
                    </w:rPr>
                    <w:t>3.为保证UPS产品的高效节能、绿色环保，UPS输入功率因数高达0.99，整机效率＞95%。</w:t>
                  </w:r>
                  <w:r>
                    <w:br/>
                  </w:r>
                  <w:r>
                    <w:rPr>
                      <w:sz w:val="22"/>
                    </w:rPr>
                    <w:t>4.UPS系统采用分散非主从控制方式，每个功率模块采用独立的双DSP控制技术，单个模块可独立运行，不依赖集中控制器控制，具备不转旁路热插拔功能，使整个系统独立性增强，互相干扰少。</w:t>
                  </w:r>
                  <w:r>
                    <w:br/>
                  </w:r>
                  <w:r>
                    <w:rPr>
                      <w:sz w:val="22"/>
                    </w:rPr>
                    <w:t>5.要求整机采用集中旁路设计，静态旁路模块采用大功率SCR集成模块，杜绝采用小功率单管SCR+继电器方案，避免旁路造成环流问题而引发故障。</w:t>
                  </w:r>
                  <w:r>
                    <w:br/>
                  </w:r>
                  <w:r>
                    <w:rPr>
                      <w:sz w:val="22"/>
                    </w:rPr>
                    <w:t>6.模块化UPS的所有模块包括旁路单元、控制单元、功率单元、充电单元等均须支持在线热插拔，达到所有模块全冗余方式，提升系统高可靠性及高可用性。</w:t>
                  </w:r>
                  <w:r>
                    <w:br/>
                  </w:r>
                  <w:r>
                    <w:rPr>
                      <w:sz w:val="22"/>
                    </w:rPr>
                    <w:t>7.为便于操作和维护，系统显示须采用7英寸及以上LCD大屏幕触摸屏+LED+按键方式，可提供简体中文、英文、繁体中文及法文四种语言显示。系统应采用分散充电设计，每个功率模块应具有独立的充电功能，避免充电器单点故障，提高系统的可靠性；充电功率可进行1～20%的设置。</w:t>
                  </w:r>
                  <w:r>
                    <w:br/>
                  </w:r>
                  <w:r>
                    <w:rPr>
                      <w:sz w:val="22"/>
                    </w:rPr>
                    <w:t>8.输出电流不均衡度≤0.9%。所有电路板均需要采用三防工艺，确保在低恶劣环境下的使用寿命。UPS输出功率因数必须为1，以便与负载完美匹配。系统须满足下述过载能力： 125%额定阻性负载＞10分钟后转旁路输出。机柜之间可以直接并机运行、支持≥3台并机。</w:t>
                  </w:r>
                  <w:r>
                    <w:br/>
                  </w:r>
                  <w:r>
                    <w:rPr>
                      <w:sz w:val="22"/>
                    </w:rPr>
                    <w:t>9.UPS系统需具有黑匣子功能，全面监控功率模块关键部分参数，实现故障可控可管 ：记录和预警关键部位器件的数据，可设置风扇更换时间到期提示功能，每个模块提供不少于8个温度监控点，检测每个IGBT的内部温度，进风口和出风口温度，散热器温度，有故障发生时，能够自动记录该时刻前后一段时间的各个关键点的波形，并可以导出至电脑。</w:t>
                  </w:r>
                  <w:r>
                    <w:br/>
                  </w:r>
                  <w:r>
                    <w:rPr>
                      <w:sz w:val="22"/>
                    </w:rPr>
                    <w:t>10.功率模块可任意热插拔，UPS系统可智能识别，无需通过拨码或软件设置。</w:t>
                  </w:r>
                  <w:r>
                    <w:br/>
                  </w:r>
                  <w:r>
                    <w:rPr>
                      <w:sz w:val="22"/>
                    </w:rPr>
                    <w:t>11.具备智能休眠模式，当模块的负载率小于休眠负载级别时，控制器根据当前负载量来决定进入休眠模式的模块数量，并在根据所设置的轮休时间来进行休眠轮换，以节省能耗真正实现绿色节能，同时提高系统综合使用寿命。</w:t>
                  </w:r>
                </w:p>
              </w:tc>
              <w:tc>
                <w:tcPr>
                  <w:tcW w:type="dxa" w:w="427"/>
                  <w:tcBorders>
                    <w:top w:val="none" w:color="000000" w:sz="4"/>
                    <w:left w:val="none" w:color="000000" w:sz="4"/>
                    <w:bottom w:val="single" w:color="000000" w:sz="4"/>
                    <w:right w:val="single" w:color="000000" w:sz="4"/>
                  </w:tcBorders>
                </w:tcPr>
                <w:p>
                  <w:pPr>
                    <w:jc w:val="center"/>
                  </w:pPr>
                  <w:r>
                    <w:rPr>
                      <w:sz w:val="22"/>
                    </w:rPr>
                    <w:t>台</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行级精密空调（内外机）加湿型(40KW)</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尺寸：宽度600mm，高度深度与服务器机柜一致；总冷量≥40kw，显冷量≥40kw，风量≥8500m3/h，加湿量≥3kg/h，加热量≥6kW，水平送风模式；</w:t>
                  </w:r>
                  <w:r>
                    <w:br/>
                  </w:r>
                  <w:r>
                    <w:rPr>
                      <w:sz w:val="22"/>
                    </w:rPr>
                    <w:t>2.可以实现常温情况下最低10%的IT负载（即制冷量的10%）稳定除湿量功能，降低高湿环境下数据中心低载运行的IT设备结露风险。</w:t>
                  </w:r>
                  <w:r>
                    <w:br/>
                  </w:r>
                  <w:r>
                    <w:rPr>
                      <w:sz w:val="22"/>
                    </w:rPr>
                    <w:t>3.精密空调室内机采用高效工业用直流变频压缩机，可实现10%～100%宽冷量输出，压缩机品牌要求采用三菱、日立、谷轮或同级别及以上产品。；</w:t>
                  </w:r>
                  <w:r>
                    <w:br/>
                  </w:r>
                  <w:r>
                    <w:rPr>
                      <w:sz w:val="22"/>
                    </w:rPr>
                    <w:t>4.为了相应国家节能节耗政策，要求空调全年能效比应大于3.7；</w:t>
                  </w:r>
                  <w:r>
                    <w:br/>
                  </w:r>
                  <w:r>
                    <w:rPr>
                      <w:sz w:val="22"/>
                    </w:rPr>
                    <w:t>5.具≥7寸LCD的真彩触摸显示屏，可以显示设备的运行模式与状态，并可设定设备参数，实现良好的人机交互</w:t>
                  </w:r>
                  <w:r>
                    <w:br/>
                  </w:r>
                  <w:r>
                    <w:rPr>
                      <w:sz w:val="22"/>
                    </w:rPr>
                    <w:t>6.机组具备联动与群控功能，群控采用高速、灵活的CAN通讯协议，同一区域可以将≥32套机组进行统一控制管理；</w:t>
                  </w:r>
                  <w:r>
                    <w:br/>
                  </w:r>
                  <w:r>
                    <w:rPr>
                      <w:sz w:val="22"/>
                    </w:rPr>
                    <w:t>7.室内风机：要求采用高效后倾离心式EC风机。风机N+1冗余配置，风机数量≥3个，任意风机故障，仍可确保全风量运行；机房列间空调应有较大的送风量。</w:t>
                  </w:r>
                  <w:r>
                    <w:br/>
                  </w:r>
                  <w:r>
                    <w:rPr>
                      <w:sz w:val="22"/>
                    </w:rPr>
                    <w:t>8.要求空调机组设备符合GB19413相关标准，经中国制冷空调设备产业联盟、中国制冷空调工业协会、中国冷冻空调设备标准化技术委员会联合确认的中国机房空调专业认证，并通过相关证书。</w:t>
                  </w:r>
                  <w:r>
                    <w:br/>
                  </w:r>
                  <w:r>
                    <w:rPr>
                      <w:sz w:val="22"/>
                    </w:rPr>
                    <w:t>9.要求精密空调满足GB4706.32-2012、GB17625.1-2012、GB4343.1-2018规范要求。</w:t>
                  </w:r>
                </w:p>
                <w:p>
                  <w:pPr>
                    <w:jc w:val="left"/>
                  </w:pPr>
                  <w:r>
                    <w:rPr>
                      <w:sz w:val="22"/>
                    </w:rPr>
                    <w:t>10.</w:t>
                  </w:r>
                  <w:r>
                    <w:rPr>
                      <w:sz w:val="22"/>
                    </w:rPr>
                    <w:t>提供强制性认证产品符合证书。</w:t>
                  </w:r>
                  <w:r>
                    <w:br/>
                  </w:r>
                  <w:r>
                    <w:rPr>
                      <w:sz w:val="22"/>
                    </w:rPr>
                    <w:t>11.室外集中式静音型冷凝器可选，配置静音型高筒风机，导流叶片优化设计，可减小排气紊流，采用空气动力学优化的进风风圈，室外噪音可降低5dB（A）左右。</w:t>
                  </w:r>
                </w:p>
              </w:tc>
              <w:tc>
                <w:tcPr>
                  <w:tcW w:type="dxa" w:w="427"/>
                  <w:tcBorders>
                    <w:top w:val="none" w:color="000000" w:sz="4"/>
                    <w:left w:val="none" w:color="000000" w:sz="4"/>
                    <w:bottom w:val="single" w:color="000000" w:sz="4"/>
                    <w:right w:val="single" w:color="000000" w:sz="4"/>
                  </w:tcBorders>
                </w:tcPr>
                <w:p>
                  <w:pPr>
                    <w:jc w:val="center"/>
                  </w:pPr>
                  <w:r>
                    <w:rPr>
                      <w:sz w:val="22"/>
                    </w:rPr>
                    <w:t>台</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r>
              <w:tc>
                <w:tcPr>
                  <w:tcW w:type="dxa" w:w="663"/>
                  <w:tcBorders>
                    <w:top w:val="none" w:color="000000" w:sz="4"/>
                    <w:left w:val="single" w:color="000000" w:sz="4"/>
                    <w:bottom w:val="single" w:color="000000" w:sz="4"/>
                    <w:right w:val="single" w:color="000000" w:sz="4"/>
                  </w:tcBorders>
                </w:tcPr>
                <w:p>
                  <w:pPr>
                    <w:jc w:val="center"/>
                  </w:pPr>
                  <w:r>
                    <w:rPr>
                      <w:sz w:val="22"/>
                    </w:rPr>
                    <w:t>智能监控管理主机</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通道动环监控主机，ARM架构，Linux系统；双交流供电，支持多路温湿度、烟雾、漏水、端门、天窗、空调、UPS、一体化UPS配电柜、消防、声光告警器等的监测和/或控制；常规固件,包含配套线缆</w:t>
                  </w:r>
                  <w:r>
                    <w:br/>
                  </w:r>
                  <w:r>
                    <w:rPr>
                      <w:sz w:val="22"/>
                    </w:rPr>
                    <w:t>2.提供第三方检测机构出具的监控主机高低温检测及检测报告复印件。</w:t>
                  </w:r>
                  <w:r>
                    <w:br/>
                  </w:r>
                  <w:r>
                    <w:rPr>
                      <w:sz w:val="22"/>
                    </w:rPr>
                    <w:t>3.监控主机应符合电子电气产品的材料及工艺标准，使之更加有利于人体健康及环境保护，要求提供符合《关于限制在电子电器设备中使用某些有害成分的指令》的ROHS检测报告。</w:t>
                  </w:r>
                  <w:r>
                    <w:br/>
                  </w:r>
                  <w:r>
                    <w:rPr>
                      <w:sz w:val="22"/>
                    </w:rPr>
                    <w:t>4.要求提供监控主机的CE认证证书。</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温湿度传感器</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温湿度传感器，RS485接口，带显示屏，测温范围：-40℃-125℃，测湿范围：0%-100%RH。</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r>
              <w:tc>
                <w:tcPr>
                  <w:tcW w:type="dxa" w:w="663"/>
                  <w:tcBorders>
                    <w:top w:val="none" w:color="000000" w:sz="4"/>
                    <w:left w:val="single" w:color="000000" w:sz="4"/>
                    <w:bottom w:val="single" w:color="000000" w:sz="4"/>
                    <w:right w:val="single" w:color="000000" w:sz="4"/>
                  </w:tcBorders>
                </w:tcPr>
                <w:p>
                  <w:pPr>
                    <w:jc w:val="center"/>
                  </w:pPr>
                  <w:r>
                    <w:rPr>
                      <w:sz w:val="22"/>
                    </w:rPr>
                    <w:t>红外传感器</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吸顶式红外传感器，感应范围3-5米，延时可调，DC12V输入，开关量输出。</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r>
              <w:tc>
                <w:tcPr>
                  <w:tcW w:type="dxa" w:w="663"/>
                  <w:tcBorders>
                    <w:top w:val="none" w:color="000000" w:sz="4"/>
                    <w:left w:val="single" w:color="000000" w:sz="4"/>
                    <w:bottom w:val="single" w:color="000000" w:sz="4"/>
                    <w:right w:val="single" w:color="000000" w:sz="4"/>
                  </w:tcBorders>
                </w:tcPr>
                <w:p>
                  <w:pPr>
                    <w:jc w:val="center"/>
                  </w:pPr>
                  <w:r>
                    <w:rPr>
                      <w:sz w:val="22"/>
                    </w:rPr>
                    <w:t>绳式水浸传感器</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绳式定位水浸传感器，工作温度：-10℃—50℃。</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r>
              <w:tc>
                <w:tcPr>
                  <w:tcW w:type="dxa" w:w="663"/>
                  <w:tcBorders>
                    <w:top w:val="none" w:color="000000" w:sz="4"/>
                    <w:left w:val="single" w:color="000000" w:sz="4"/>
                    <w:bottom w:val="single" w:color="000000" w:sz="4"/>
                    <w:right w:val="single" w:color="000000" w:sz="4"/>
                  </w:tcBorders>
                </w:tcPr>
                <w:p>
                  <w:pPr>
                    <w:jc w:val="center"/>
                  </w:pPr>
                  <w:r>
                    <w:rPr>
                      <w:sz w:val="22"/>
                    </w:rPr>
                    <w:t>水浸探测绳</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定位式水浸探测绳，配合水浸传感器使用。</w:t>
                  </w:r>
                </w:p>
              </w:tc>
              <w:tc>
                <w:tcPr>
                  <w:tcW w:type="dxa" w:w="427"/>
                  <w:tcBorders>
                    <w:top w:val="none" w:color="000000" w:sz="4"/>
                    <w:left w:val="none" w:color="000000" w:sz="4"/>
                    <w:bottom w:val="single" w:color="000000" w:sz="4"/>
                    <w:right w:val="single" w:color="000000" w:sz="4"/>
                  </w:tcBorders>
                </w:tcPr>
                <w:p>
                  <w:pPr>
                    <w:jc w:val="center"/>
                  </w:pPr>
                  <w:r>
                    <w:rPr>
                      <w:sz w:val="22"/>
                    </w:rPr>
                    <w:t>米</w:t>
                  </w:r>
                </w:p>
              </w:tc>
              <w:tc>
                <w:tcPr>
                  <w:tcW w:type="dxa" w:w="463"/>
                  <w:tcBorders>
                    <w:top w:val="none" w:color="000000" w:sz="4"/>
                    <w:left w:val="none" w:color="000000" w:sz="4"/>
                    <w:bottom w:val="single" w:color="000000" w:sz="4"/>
                    <w:right w:val="single" w:color="000000" w:sz="4"/>
                  </w:tcBorders>
                </w:tcPr>
                <w:p>
                  <w:pPr>
                    <w:jc w:val="center"/>
                  </w:pPr>
                  <w:r>
                    <w:rPr>
                      <w:sz w:val="22"/>
                    </w:rPr>
                    <w:t>10</w:t>
                  </w:r>
                </w:p>
              </w:tc>
            </w:tr>
            <w:tr>
              <w:tc>
                <w:tcPr>
                  <w:tcW w:type="dxa" w:w="663"/>
                  <w:tcBorders>
                    <w:top w:val="none" w:color="000000" w:sz="4"/>
                    <w:left w:val="single" w:color="000000" w:sz="4"/>
                    <w:bottom w:val="single" w:color="000000" w:sz="4"/>
                    <w:right w:val="single" w:color="000000" w:sz="4"/>
                  </w:tcBorders>
                </w:tcPr>
                <w:p>
                  <w:pPr>
                    <w:jc w:val="center"/>
                  </w:pPr>
                  <w:r>
                    <w:rPr>
                      <w:sz w:val="22"/>
                    </w:rPr>
                    <w:t>烟雾探测器</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光电烟感探测器，直径104mm*深50mm，工作电压：DC12V±5%。</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r>
              <w:tc>
                <w:tcPr>
                  <w:tcW w:type="dxa" w:w="663"/>
                  <w:tcBorders>
                    <w:top w:val="none" w:color="000000" w:sz="4"/>
                    <w:left w:val="single" w:color="000000" w:sz="4"/>
                    <w:bottom w:val="single" w:color="000000" w:sz="4"/>
                    <w:right w:val="single" w:color="000000" w:sz="4"/>
                  </w:tcBorders>
                </w:tcPr>
                <w:p>
                  <w:pPr>
                    <w:jc w:val="center"/>
                  </w:pPr>
                  <w:r>
                    <w:rPr>
                      <w:sz w:val="22"/>
                    </w:rPr>
                    <w:t>声光报警器</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房间或模块用闪光电子蜂鸣器，声压110db，闪光强度≤1.2WS，80-150mA，DC12V。</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摄像头</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半球型IP摄像机，≥300万像素，1080P，POE供电，带一路开关量输出</w:t>
                  </w:r>
                </w:p>
              </w:tc>
              <w:tc>
                <w:tcPr>
                  <w:tcW w:type="dxa" w:w="427"/>
                  <w:tcBorders>
                    <w:top w:val="none" w:color="000000" w:sz="4"/>
                    <w:left w:val="none" w:color="000000" w:sz="4"/>
                    <w:bottom w:val="single" w:color="000000" w:sz="4"/>
                    <w:right w:val="single" w:color="000000" w:sz="4"/>
                  </w:tcBorders>
                </w:tcPr>
                <w:p>
                  <w:pPr>
                    <w:jc w:val="center"/>
                  </w:pPr>
                  <w:r>
                    <w:rPr>
                      <w:sz w:val="22"/>
                    </w:rPr>
                    <w:t>个</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r>
              <w:tc>
                <w:tcPr>
                  <w:tcW w:type="dxa" w:w="663"/>
                  <w:tcBorders>
                    <w:top w:val="none" w:color="000000" w:sz="4"/>
                    <w:left w:val="single" w:color="000000" w:sz="4"/>
                    <w:bottom w:val="single" w:color="000000" w:sz="4"/>
                    <w:right w:val="single" w:color="000000" w:sz="4"/>
                  </w:tcBorders>
                </w:tcPr>
                <w:p>
                  <w:pPr>
                    <w:jc w:val="center"/>
                  </w:pPr>
                  <w:r>
                    <w:rPr>
                      <w:sz w:val="22"/>
                    </w:rPr>
                    <w:t>硬盘录像机</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网络硬盘录像机，8路，单盘位，支持POE供电</w:t>
                  </w:r>
                </w:p>
              </w:tc>
              <w:tc>
                <w:tcPr>
                  <w:tcW w:type="dxa" w:w="427"/>
                  <w:tcBorders>
                    <w:top w:val="none" w:color="000000" w:sz="4"/>
                    <w:left w:val="none" w:color="000000" w:sz="4"/>
                    <w:bottom w:val="single" w:color="000000" w:sz="4"/>
                    <w:right w:val="single" w:color="000000" w:sz="4"/>
                  </w:tcBorders>
                </w:tcPr>
                <w:p>
                  <w:pPr>
                    <w:jc w:val="center"/>
                  </w:pPr>
                  <w:r>
                    <w:rPr>
                      <w:sz w:val="22"/>
                    </w:rPr>
                    <w:t>台</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硬盘</w:t>
                  </w:r>
                </w:p>
              </w:tc>
              <w:tc>
                <w:tcPr>
                  <w:tcW w:type="dxa" w:w="4034"/>
                  <w:tcBorders>
                    <w:top w:val="none" w:color="000000" w:sz="4"/>
                    <w:left w:val="none" w:color="000000" w:sz="4"/>
                    <w:bottom w:val="single" w:color="000000" w:sz="4"/>
                    <w:right w:val="single" w:color="000000" w:sz="4"/>
                  </w:tcBorders>
                </w:tcPr>
                <w:p>
                  <w:pPr>
                    <w:jc w:val="left"/>
                  </w:pPr>
                  <w:r>
                    <w:rPr>
                      <w:sz w:val="22"/>
                    </w:rPr>
                    <w:t>1.3.5</w:t>
                  </w:r>
                  <w:r>
                    <w:rPr>
                      <w:sz w:val="22"/>
                    </w:rPr>
                    <w:t>”英寸，6TB容量，SATA 6Gb/S, 缓存64MB，5400转，3年质保，带RV Sensor</w:t>
                  </w:r>
                </w:p>
              </w:tc>
              <w:tc>
                <w:tcPr>
                  <w:tcW w:type="dxa" w:w="427"/>
                  <w:tcBorders>
                    <w:top w:val="none" w:color="000000" w:sz="4"/>
                    <w:left w:val="none" w:color="000000" w:sz="4"/>
                    <w:bottom w:val="single" w:color="000000" w:sz="4"/>
                    <w:right w:val="single" w:color="000000" w:sz="4"/>
                  </w:tcBorders>
                </w:tcPr>
                <w:p>
                  <w:pPr>
                    <w:jc w:val="center"/>
                  </w:pPr>
                  <w:r>
                    <w:rPr>
                      <w:sz w:val="22"/>
                    </w:rPr>
                    <w:t>块</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监控触摸屏</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本地监控触摸屏，32英寸电容触摸屏，10点触控；分辨率1920*1080；安卓5.1操作系统，安装在模块机房一侧，显示屏尺寸外观请提供实物照片证明；</w:t>
                  </w:r>
                </w:p>
              </w:tc>
              <w:tc>
                <w:tcPr>
                  <w:tcW w:type="dxa" w:w="427"/>
                  <w:tcBorders>
                    <w:top w:val="none" w:color="000000" w:sz="4"/>
                    <w:left w:val="none" w:color="000000" w:sz="4"/>
                    <w:bottom w:val="single" w:color="000000" w:sz="4"/>
                    <w:right w:val="single" w:color="000000" w:sz="4"/>
                  </w:tcBorders>
                </w:tcPr>
                <w:p>
                  <w:pPr>
                    <w:jc w:val="center"/>
                  </w:pPr>
                  <w:r>
                    <w:rPr>
                      <w:sz w:val="22"/>
                    </w:rPr>
                    <w:t>套</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平台展示软件</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安装在服务器或PC端，通过有线连接，后台软件展示模块机房温湿度、通道门禁状态、能耗等动环实时监控数据，并提供截图证明；</w:t>
                  </w:r>
                  <w:r>
                    <w:br/>
                  </w:r>
                  <w:r>
                    <w:rPr>
                      <w:sz w:val="22"/>
                    </w:rPr>
                    <w:t>▲2.为了保证机房健康运行，要求平台软件具有告警管理功能，可实现实时告警查看、待处理告警统计、历史告警查看以及可自定义设置告警阀值和告警等级等功能，且可自主远程邮件和短信发送相关负责人，可及时发现告警，并能及时处理，保障机房健康安全运行，并提供截图证明；</w:t>
                  </w:r>
                  <w:r>
                    <w:br/>
                  </w:r>
                  <w:r>
                    <w:rPr>
                      <w:sz w:val="22"/>
                    </w:rPr>
                    <w:t>3.为了方便机房管理，降低运维成本，要求统一平台具有查询报表功能，可实现通道门禁开门记录查询、温度报表统计、湿度报表统计、电流报表统计、电压报表统计等功能，并提供截图证明；</w:t>
                  </w:r>
                  <w:r>
                    <w:br/>
                  </w:r>
                  <w:r>
                    <w:rPr>
                      <w:sz w:val="22"/>
                    </w:rPr>
                    <w:t>4.要求在本软件可实时查看行级空调运行状态和精密列头配电柜以及UPS电压、电流、电功率、负载百分比以及电池容量等运行状态。并提供截图证明；</w:t>
                  </w:r>
                  <w:r>
                    <w:br/>
                  </w:r>
                  <w:r>
                    <w:rPr>
                      <w:sz w:val="22"/>
                    </w:rPr>
                    <w:t>▲5.要求通道视频监控与模块机房动环结合统一平台，在同一平台软件即可实现视频实时监控状态查看，并提供截图证明；</w:t>
                  </w:r>
                </w:p>
              </w:tc>
              <w:tc>
                <w:tcPr>
                  <w:tcW w:type="dxa" w:w="427"/>
                  <w:tcBorders>
                    <w:top w:val="none" w:color="000000" w:sz="4"/>
                    <w:left w:val="none" w:color="000000" w:sz="4"/>
                    <w:bottom w:val="single" w:color="000000" w:sz="4"/>
                    <w:right w:val="single" w:color="000000" w:sz="4"/>
                  </w:tcBorders>
                </w:tcPr>
                <w:p>
                  <w:pPr>
                    <w:jc w:val="center"/>
                  </w:pPr>
                  <w:r>
                    <w:rPr>
                      <w:sz w:val="22"/>
                    </w:rPr>
                    <w:t>套</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r>
              <w:tc>
                <w:tcPr>
                  <w:tcW w:type="dxa" w:w="663"/>
                  <w:tcBorders>
                    <w:top w:val="none" w:color="000000" w:sz="4"/>
                    <w:left w:val="single" w:color="000000" w:sz="4"/>
                    <w:bottom w:val="single" w:color="000000" w:sz="4"/>
                    <w:right w:val="single" w:color="000000" w:sz="4"/>
                  </w:tcBorders>
                </w:tcPr>
                <w:p>
                  <w:pPr>
                    <w:jc w:val="center"/>
                  </w:pPr>
                  <w:r>
                    <w:rPr>
                      <w:sz w:val="22"/>
                    </w:rPr>
                    <w:t>原厂服务</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为了保证模块机房健康正常运行，品牌商提供原厂技术员现场系统调试服务</w:t>
                  </w:r>
                </w:p>
              </w:tc>
              <w:tc>
                <w:tcPr>
                  <w:tcW w:type="dxa" w:w="427"/>
                  <w:tcBorders>
                    <w:top w:val="none" w:color="000000" w:sz="4"/>
                    <w:left w:val="none" w:color="000000" w:sz="4"/>
                    <w:bottom w:val="single" w:color="000000" w:sz="4"/>
                    <w:right w:val="single" w:color="000000" w:sz="4"/>
                  </w:tcBorders>
                </w:tcPr>
                <w:p>
                  <w:pPr>
                    <w:jc w:val="center"/>
                  </w:pPr>
                  <w:r>
                    <w:rPr>
                      <w:sz w:val="22"/>
                    </w:rPr>
                    <w:t>套</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bl>
          <w:p>
            <w:pPr>
              <w:jc w:val="both"/>
            </w:pPr>
          </w:p>
          <w:p>
            <w:pPr>
              <w:jc w:val="both"/>
            </w:pPr>
            <w:r>
              <w:rPr>
                <w:sz w:val="24"/>
              </w:rPr>
              <w:t>二、服务器</w:t>
            </w:r>
          </w:p>
          <w:tbl>
            <w:tblGrid>
              <w:gridCol w:w="663"/>
              <w:gridCol w:w="4034"/>
              <w:gridCol w:w="427"/>
              <w:gridCol w:w="463"/>
            </w:tblGrid>
            <w:tr>
              <w:tc>
                <w:tcPr>
                  <w:tcW w:type="dxa" w:w="663"/>
                  <w:tcBorders>
                    <w:top w:val="single" w:color="000000" w:sz="4"/>
                    <w:left w:val="single" w:color="000000" w:sz="4"/>
                    <w:bottom w:val="single" w:color="000000" w:sz="4"/>
                    <w:right w:val="single" w:color="000000" w:sz="4"/>
                  </w:tcBorders>
                </w:tcPr>
                <w:p>
                  <w:pPr>
                    <w:jc w:val="center"/>
                  </w:pPr>
                  <w:r>
                    <w:rPr>
                      <w:b/>
                      <w:sz w:val="22"/>
                    </w:rPr>
                    <w:t>设备名称</w:t>
                  </w:r>
                </w:p>
              </w:tc>
              <w:tc>
                <w:tcPr>
                  <w:tcW w:type="dxa" w:w="4034"/>
                  <w:tcBorders>
                    <w:top w:val="single" w:color="000000" w:sz="4"/>
                    <w:left w:val="none" w:color="000000" w:sz="4"/>
                    <w:bottom w:val="single" w:color="000000" w:sz="4"/>
                    <w:right w:val="single" w:color="000000" w:sz="4"/>
                  </w:tcBorders>
                </w:tcPr>
                <w:p>
                  <w:pPr>
                    <w:jc w:val="center"/>
                  </w:pPr>
                  <w:r>
                    <w:rPr>
                      <w:b/>
                      <w:sz w:val="22"/>
                    </w:rPr>
                    <w:t>技术参数要求</w:t>
                  </w:r>
                </w:p>
              </w:tc>
              <w:tc>
                <w:tcPr>
                  <w:tcW w:type="dxa" w:w="427"/>
                  <w:tcBorders>
                    <w:top w:val="single" w:color="000000" w:sz="4"/>
                    <w:left w:val="none" w:color="000000" w:sz="4"/>
                    <w:bottom w:val="single" w:color="000000" w:sz="4"/>
                    <w:right w:val="single" w:color="000000" w:sz="4"/>
                  </w:tcBorders>
                </w:tcPr>
                <w:p>
                  <w:pPr>
                    <w:jc w:val="center"/>
                  </w:pPr>
                  <w:r>
                    <w:rPr>
                      <w:b/>
                      <w:sz w:val="22"/>
                    </w:rPr>
                    <w:t>单位</w:t>
                  </w:r>
                </w:p>
              </w:tc>
              <w:tc>
                <w:tcPr>
                  <w:tcW w:type="dxa" w:w="463"/>
                  <w:tcBorders>
                    <w:top w:val="single" w:color="000000" w:sz="4"/>
                    <w:left w:val="none" w:color="000000" w:sz="4"/>
                    <w:bottom w:val="single" w:color="000000" w:sz="4"/>
                    <w:right w:val="single" w:color="000000" w:sz="4"/>
                  </w:tcBorders>
                </w:tcPr>
                <w:p>
                  <w:pPr>
                    <w:jc w:val="center"/>
                  </w:pPr>
                  <w:r>
                    <w:rPr>
                      <w:b/>
                      <w:sz w:val="22"/>
                    </w:rPr>
                    <w:t>数量</w:t>
                  </w:r>
                </w:p>
              </w:tc>
            </w:tr>
            <w:tr>
              <w:tc>
                <w:tcPr>
                  <w:tcW w:type="dxa" w:w="663"/>
                  <w:tcBorders>
                    <w:top w:val="none" w:color="000000" w:sz="4"/>
                    <w:left w:val="single" w:color="000000" w:sz="4"/>
                    <w:bottom w:val="single" w:color="000000" w:sz="4"/>
                    <w:right w:val="single" w:color="000000" w:sz="4"/>
                  </w:tcBorders>
                </w:tcPr>
                <w:p>
                  <w:pPr>
                    <w:jc w:val="center"/>
                  </w:pPr>
                  <w:r>
                    <w:rPr>
                      <w:sz w:val="21"/>
                    </w:rPr>
                    <w:t>△</w:t>
                  </w:r>
                  <w:r>
                    <w:rPr>
                      <w:sz w:val="22"/>
                    </w:rPr>
                    <w:t>服务器</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外型-服务器高度：≥4U，标配原厂导轨。</w:t>
                  </w:r>
                  <w:r>
                    <w:br/>
                  </w:r>
                  <w:r>
                    <w:rPr>
                      <w:sz w:val="22"/>
                    </w:rPr>
                    <w:t>2.</w:t>
                  </w:r>
                  <w:r>
                    <w:rPr>
                      <w:sz w:val="22"/>
                    </w:rPr>
                    <w:t>处理器-CPU实配规格：≥4颗Intel Xeon 6230N处理器或更高（或给出主频/核数），支持1，2，3，4颗配置。</w:t>
                  </w:r>
                  <w:r>
                    <w:br/>
                  </w:r>
                  <w:r>
                    <w:rPr>
                      <w:sz w:val="22"/>
                    </w:rPr>
                    <w:t>3.</w:t>
                  </w:r>
                  <w:r>
                    <w:rPr>
                      <w:sz w:val="22"/>
                    </w:rPr>
                    <w:t>处理器-CPU互联: 4颗CPU支持Mesh互联。</w:t>
                  </w:r>
                </w:p>
                <w:p>
                  <w:pPr>
                    <w:jc w:val="left"/>
                  </w:pPr>
                  <w:r>
                    <w:rPr>
                      <w:sz w:val="22"/>
                    </w:rPr>
                    <w:t>4.</w:t>
                  </w:r>
                  <w:r>
                    <w:rPr>
                      <w:sz w:val="22"/>
                    </w:rPr>
                    <w:t>内存-内存实配规格：≥8*64GB DDR4 2933Y内存。</w:t>
                  </w:r>
                </w:p>
                <w:p>
                  <w:pPr>
                    <w:jc w:val="left"/>
                  </w:pPr>
                  <w:r>
                    <w:rPr>
                      <w:sz w:val="22"/>
                    </w:rPr>
                    <w:t>5.</w:t>
                  </w:r>
                  <w:r>
                    <w:rPr>
                      <w:sz w:val="22"/>
                    </w:rPr>
                    <w:t>内存-内存可扩展数量：本地提供≥48个内存槽位。</w:t>
                  </w:r>
                </w:p>
                <w:p>
                  <w:pPr>
                    <w:jc w:val="left"/>
                  </w:pPr>
                  <w:r>
                    <w:rPr>
                      <w:sz w:val="22"/>
                    </w:rPr>
                    <w:t>6.</w:t>
                  </w:r>
                  <w:r>
                    <w:rPr>
                      <w:sz w:val="22"/>
                    </w:rPr>
                    <w:t>内存-内存保护技术：Advanced ECC先进内存保护技术及联机备用模式,可配置LRDIMM和UDIMM内存。</w:t>
                  </w:r>
                </w:p>
                <w:p>
                  <w:pPr>
                    <w:jc w:val="left"/>
                  </w:pPr>
                  <w:r>
                    <w:rPr>
                      <w:sz w:val="22"/>
                    </w:rPr>
                    <w:t>7.</w:t>
                  </w:r>
                  <w:r>
                    <w:rPr>
                      <w:sz w:val="22"/>
                    </w:rPr>
                    <w:t>内存-内存可扩展数量：最大支持6TB内存。</w:t>
                  </w:r>
                </w:p>
                <w:p>
                  <w:pPr>
                    <w:jc w:val="left"/>
                  </w:pPr>
                  <w:r>
                    <w:rPr>
                      <w:sz w:val="22"/>
                    </w:rPr>
                    <w:t>8.</w:t>
                  </w:r>
                  <w:r>
                    <w:rPr>
                      <w:sz w:val="22"/>
                    </w:rPr>
                    <w:t>内存-永久内存：24个DCPMM</w:t>
                  </w:r>
                </w:p>
                <w:p>
                  <w:pPr>
                    <w:jc w:val="left"/>
                  </w:pPr>
                  <w:r>
                    <w:rPr>
                      <w:sz w:val="22"/>
                    </w:rPr>
                    <w:t>9.</w:t>
                  </w:r>
                  <w:r>
                    <w:rPr>
                      <w:sz w:val="22"/>
                    </w:rPr>
                    <w:t>存储-内置硬盘类型：支持2.5"热插拔 SAS/SATA/SSD/NVMe硬盘。</w:t>
                  </w:r>
                </w:p>
                <w:p>
                  <w:pPr>
                    <w:jc w:val="left"/>
                  </w:pPr>
                  <w:r>
                    <w:rPr>
                      <w:sz w:val="22"/>
                    </w:rPr>
                    <w:t>10.</w:t>
                  </w:r>
                  <w:r>
                    <w:rPr>
                      <w:sz w:val="22"/>
                    </w:rPr>
                    <w:t>存储-内置硬盘实配：≥2块800GB  SSD硬盘，热插拔。</w:t>
                  </w:r>
                </w:p>
                <w:p>
                  <w:pPr>
                    <w:jc w:val="left"/>
                  </w:pPr>
                  <w:r>
                    <w:rPr>
                      <w:sz w:val="22"/>
                    </w:rPr>
                    <w:t>11.</w:t>
                  </w:r>
                  <w:r>
                    <w:rPr>
                      <w:sz w:val="22"/>
                    </w:rPr>
                    <w:t>存储-内置硬盘扩展：最多支持≥48块2.5寸热插拔硬盘，提供官网截图。</w:t>
                  </w:r>
                </w:p>
                <w:p>
                  <w:pPr>
                    <w:jc w:val="left"/>
                  </w:pPr>
                  <w:r>
                    <w:rPr>
                      <w:sz w:val="22"/>
                    </w:rPr>
                    <w:t>12.</w:t>
                  </w:r>
                  <w:r>
                    <w:rPr>
                      <w:sz w:val="22"/>
                    </w:rPr>
                    <w:t>存储-NVMe硬盘：支持20个前置2.5寸可热插拔NVMe PCIe SSD硬盘，提供官网截图。</w:t>
                  </w:r>
                </w:p>
                <w:p>
                  <w:pPr>
                    <w:jc w:val="left"/>
                  </w:pPr>
                  <w:r>
                    <w:rPr>
                      <w:color w:val="000000"/>
                      <w:sz w:val="22"/>
                    </w:rPr>
                    <w:t>▲</w:t>
                  </w:r>
                  <w:r>
                    <w:rPr>
                      <w:sz w:val="22"/>
                    </w:rPr>
                    <w:t>13.</w:t>
                  </w:r>
                  <w:r>
                    <w:rPr>
                      <w:sz w:val="22"/>
                    </w:rPr>
                    <w:t>存储-启动盘可选项：支持SD卡并提供官网截图，实配≥1个32GB SD卡。</w:t>
                  </w:r>
                </w:p>
                <w:p>
                  <w:pPr>
                    <w:jc w:val="left"/>
                  </w:pPr>
                  <w:r>
                    <w:rPr>
                      <w:sz w:val="22"/>
                    </w:rPr>
                    <w:t>14.</w:t>
                  </w:r>
                  <w:r>
                    <w:rPr>
                      <w:sz w:val="22"/>
                    </w:rPr>
                    <w:t>存储-阵列控制器：支持标准PCIe阵列卡，配置12Gbps SAS磁盘阵列控制器，支持RAID 0/1/10/5/50/6/60, 调整缓存读写比例等功能。≥2GB缓存，支持缓存数据保护，且后备保护不受时间限制。</w:t>
                  </w:r>
                </w:p>
                <w:p>
                  <w:pPr>
                    <w:jc w:val="left"/>
                  </w:pPr>
                  <w:r>
                    <w:rPr>
                      <w:color w:val="000000"/>
                      <w:sz w:val="22"/>
                    </w:rPr>
                    <w:t>▲</w:t>
                  </w:r>
                  <w:r>
                    <w:rPr>
                      <w:sz w:val="22"/>
                    </w:rPr>
                    <w:t>15. I/O-IO</w:t>
                  </w:r>
                  <w:r>
                    <w:rPr>
                      <w:sz w:val="22"/>
                    </w:rPr>
                    <w:t>扩展插槽：≥7个PCI-e 3.0全高插槽，可扩展至≥16个全高标准PCI-e插槽，提供官网地址和截图。</w:t>
                  </w:r>
                </w:p>
                <w:p>
                  <w:pPr>
                    <w:jc w:val="left"/>
                  </w:pPr>
                  <w:r>
                    <w:rPr>
                      <w:color w:val="000000"/>
                      <w:sz w:val="22"/>
                    </w:rPr>
                    <w:t>▲</w:t>
                  </w:r>
                  <w:r>
                    <w:rPr>
                      <w:sz w:val="22"/>
                    </w:rPr>
                    <w:t>16. I/O-GPU</w:t>
                  </w:r>
                  <w:r>
                    <w:rPr>
                      <w:sz w:val="22"/>
                    </w:rPr>
                    <w:t>：支持4个双宽全长企业级GPU，提供官网地址和截图。</w:t>
                  </w:r>
                </w:p>
                <w:p>
                  <w:pPr>
                    <w:jc w:val="left"/>
                  </w:pPr>
                  <w:r>
                    <w:rPr>
                      <w:sz w:val="22"/>
                    </w:rPr>
                    <w:t>17.</w:t>
                  </w:r>
                  <w:r>
                    <w:rPr>
                      <w:sz w:val="22"/>
                    </w:rPr>
                    <w:t>网络-网卡：标配1个网卡专用插槽（不占用PCIE扩展槽），可选配千兆或万兆网卡。本次配置≥1块4端口1G-BaseT 多功能以太网接口网卡, ≥2块2端口10GE光接口卡（满配光模块），≥1块2端口32Gb FC HBA卡。</w:t>
                  </w:r>
                </w:p>
                <w:p>
                  <w:pPr>
                    <w:jc w:val="left"/>
                  </w:pPr>
                  <w:r>
                    <w:rPr>
                      <w:sz w:val="22"/>
                    </w:rPr>
                    <w:t>18.</w:t>
                  </w:r>
                  <w:r>
                    <w:rPr>
                      <w:sz w:val="22"/>
                    </w:rPr>
                    <w:t>网络-扩展网卡：可选1Gb/10Gb/25Gb/40Gb/100Gb以太网卡或56Gb/100Gb IB/OPA卡。</w:t>
                  </w:r>
                </w:p>
                <w:p>
                  <w:pPr>
                    <w:jc w:val="left"/>
                  </w:pPr>
                  <w:r>
                    <w:rPr>
                      <w:sz w:val="22"/>
                    </w:rPr>
                    <w:t>19.</w:t>
                  </w:r>
                  <w:r>
                    <w:rPr>
                      <w:sz w:val="22"/>
                    </w:rPr>
                    <w:t>可用性-冗余风扇：热插拔冗余风扇。</w:t>
                  </w:r>
                </w:p>
                <w:p>
                  <w:pPr>
                    <w:jc w:val="left"/>
                  </w:pPr>
                  <w:r>
                    <w:rPr>
                      <w:sz w:val="22"/>
                    </w:rPr>
                    <w:t>20.</w:t>
                  </w:r>
                  <w:r>
                    <w:rPr>
                      <w:sz w:val="22"/>
                    </w:rPr>
                    <w:t>可管理性-远程管理功能：配置≥1Gb独立的远程管理控制端口，配置虚拟KVM功能, 可实现与操作系统无关的远程对服务器的完全控制，包括远程的开机、关机、重启、更新Firmware、虚拟软驱、虚拟光驱、虚拟文件夹等操作，提供服务器健康日记、服务器控制台录屏/回放功能，能够提供电源监控，可支持动态功率封顶。 主板内嵌操作系统导航安装环境，实现无物理光盘介质部署操作系统。 支持联合管理功能，无需软件即可实现多台服务器统一管理功能，如监控硬件健康状况，固件升级等。支持从管理卡访问阵列卡配置工具进行Raid配置，支持固件检测及恢复，支持安全引导。</w:t>
                  </w:r>
                </w:p>
                <w:p>
                  <w:pPr>
                    <w:jc w:val="left"/>
                  </w:pPr>
                  <w:r>
                    <w:rPr>
                      <w:sz w:val="22"/>
                    </w:rPr>
                    <w:t>21.</w:t>
                  </w:r>
                  <w:r>
                    <w:rPr>
                      <w:sz w:val="22"/>
                    </w:rPr>
                    <w:t>可管理性-智能故障诊断：支持智能故障诊断，可以快速定位系统故障，并给出处理建议。</w:t>
                  </w:r>
                </w:p>
                <w:p>
                  <w:pPr>
                    <w:jc w:val="left"/>
                  </w:pPr>
                  <w:r>
                    <w:rPr>
                      <w:sz w:val="22"/>
                    </w:rPr>
                    <w:t>22.</w:t>
                  </w:r>
                  <w:r>
                    <w:rPr>
                      <w:sz w:val="22"/>
                    </w:rPr>
                    <w:t>可管理性-机箱保护：支持机箱入侵检测和安全面板。</w:t>
                  </w:r>
                </w:p>
                <w:p>
                  <w:pPr>
                    <w:jc w:val="left"/>
                  </w:pPr>
                  <w:r>
                    <w:rPr>
                      <w:sz w:val="22"/>
                    </w:rPr>
                    <w:t>23.</w:t>
                  </w:r>
                  <w:r>
                    <w:rPr>
                      <w:sz w:val="22"/>
                    </w:rPr>
                    <w:t>可管理性-性能调优功能：支持性能调优功能：1、CPU睿频优化功能，消除或减少由于CPU频率频繁切带来的抖动问题；2、提供预优化的BIOS配置文件匹配工作负载；3、系统可根据性能数据提供性能调优建议。</w:t>
                  </w:r>
                </w:p>
                <w:p>
                  <w:pPr>
                    <w:jc w:val="left"/>
                  </w:pPr>
                  <w:r>
                    <w:rPr>
                      <w:sz w:val="22"/>
                    </w:rPr>
                    <w:t>24.</w:t>
                  </w:r>
                  <w:r>
                    <w:rPr>
                      <w:sz w:val="22"/>
                    </w:rPr>
                    <w:t>可管理性-管理软件：可选融合管理平台，支持服务器/存储/网络的集中统一管理。</w:t>
                  </w:r>
                </w:p>
                <w:p>
                  <w:pPr>
                    <w:jc w:val="left"/>
                  </w:pPr>
                  <w:r>
                    <w:rPr>
                      <w:sz w:val="22"/>
                    </w:rPr>
                    <w:t>25.</w:t>
                  </w:r>
                  <w:r>
                    <w:rPr>
                      <w:sz w:val="22"/>
                    </w:rPr>
                    <w:t>可管理性-固件保护：支持硬件信任根，可以对服务器内的固件进行保护和恢复。</w:t>
                  </w:r>
                </w:p>
                <w:p>
                  <w:pPr>
                    <w:jc w:val="left"/>
                  </w:pPr>
                  <w:r>
                    <w:rPr>
                      <w:sz w:val="22"/>
                    </w:rPr>
                    <w:t>26.</w:t>
                  </w:r>
                  <w:r>
                    <w:rPr>
                      <w:sz w:val="22"/>
                    </w:rPr>
                    <w:t>服务-保修年限：三年原厂质保服务；含原厂首次上门安装服务。</w:t>
                  </w:r>
                </w:p>
              </w:tc>
              <w:tc>
                <w:tcPr>
                  <w:tcW w:type="dxa" w:w="427"/>
                  <w:tcBorders>
                    <w:top w:val="none" w:color="000000" w:sz="4"/>
                    <w:left w:val="none" w:color="000000" w:sz="4"/>
                    <w:bottom w:val="single" w:color="000000" w:sz="4"/>
                    <w:right w:val="single" w:color="000000" w:sz="4"/>
                  </w:tcBorders>
                </w:tcPr>
                <w:p>
                  <w:pPr>
                    <w:jc w:val="center"/>
                  </w:pPr>
                  <w:r>
                    <w:rPr>
                      <w:sz w:val="22"/>
                    </w:rPr>
                    <w:t>台</w:t>
                  </w:r>
                </w:p>
              </w:tc>
              <w:tc>
                <w:tcPr>
                  <w:tcW w:type="dxa" w:w="463"/>
                  <w:tcBorders>
                    <w:top w:val="none" w:color="000000" w:sz="4"/>
                    <w:left w:val="none" w:color="000000" w:sz="4"/>
                    <w:bottom w:val="single" w:color="000000" w:sz="4"/>
                    <w:right w:val="single" w:color="000000" w:sz="4"/>
                  </w:tcBorders>
                </w:tcPr>
                <w:p>
                  <w:pPr>
                    <w:jc w:val="center"/>
                  </w:pPr>
                  <w:r>
                    <w:rPr>
                      <w:sz w:val="22"/>
                    </w:rPr>
                    <w:t>3</w:t>
                  </w:r>
                </w:p>
              </w:tc>
            </w:tr>
          </w:tbl>
          <w:p>
            <w:pPr>
              <w:jc w:val="both"/>
            </w:pPr>
          </w:p>
          <w:p>
            <w:pPr>
              <w:jc w:val="both"/>
            </w:pPr>
            <w:r>
              <w:rPr>
                <w:sz w:val="24"/>
              </w:rPr>
              <w:t>三、存储</w:t>
            </w:r>
          </w:p>
          <w:tbl>
            <w:tblGrid>
              <w:gridCol w:w="663"/>
              <w:gridCol w:w="4034"/>
              <w:gridCol w:w="427"/>
              <w:gridCol w:w="463"/>
            </w:tblGrid>
            <w:tr>
              <w:tc>
                <w:tcPr>
                  <w:tcW w:type="dxa" w:w="663"/>
                  <w:tcBorders>
                    <w:top w:val="single" w:color="000000" w:sz="4"/>
                    <w:left w:val="single" w:color="000000" w:sz="4"/>
                    <w:bottom w:val="single" w:color="000000" w:sz="4"/>
                    <w:right w:val="single" w:color="000000" w:sz="4"/>
                  </w:tcBorders>
                </w:tcPr>
                <w:p>
                  <w:pPr>
                    <w:jc w:val="center"/>
                  </w:pPr>
                  <w:r>
                    <w:rPr>
                      <w:b/>
                      <w:sz w:val="22"/>
                    </w:rPr>
                    <w:t>设备名称</w:t>
                  </w:r>
                </w:p>
              </w:tc>
              <w:tc>
                <w:tcPr>
                  <w:tcW w:type="dxa" w:w="4034"/>
                  <w:tcBorders>
                    <w:top w:val="single" w:color="000000" w:sz="4"/>
                    <w:left w:val="none" w:color="000000" w:sz="4"/>
                    <w:bottom w:val="single" w:color="000000" w:sz="4"/>
                    <w:right w:val="single" w:color="000000" w:sz="4"/>
                  </w:tcBorders>
                </w:tcPr>
                <w:p>
                  <w:pPr>
                    <w:jc w:val="center"/>
                  </w:pPr>
                  <w:r>
                    <w:rPr>
                      <w:b/>
                      <w:sz w:val="22"/>
                    </w:rPr>
                    <w:t>技术参数要求</w:t>
                  </w:r>
                </w:p>
              </w:tc>
              <w:tc>
                <w:tcPr>
                  <w:tcW w:type="dxa" w:w="427"/>
                  <w:tcBorders>
                    <w:top w:val="single" w:color="000000" w:sz="4"/>
                    <w:left w:val="none" w:color="000000" w:sz="4"/>
                    <w:bottom w:val="single" w:color="000000" w:sz="4"/>
                    <w:right w:val="single" w:color="000000" w:sz="4"/>
                  </w:tcBorders>
                </w:tcPr>
                <w:p>
                  <w:pPr>
                    <w:jc w:val="center"/>
                  </w:pPr>
                  <w:r>
                    <w:rPr>
                      <w:b/>
                      <w:sz w:val="22"/>
                    </w:rPr>
                    <w:t>单位</w:t>
                  </w:r>
                </w:p>
              </w:tc>
              <w:tc>
                <w:tcPr>
                  <w:tcW w:type="dxa" w:w="463"/>
                  <w:tcBorders>
                    <w:top w:val="single" w:color="000000" w:sz="4"/>
                    <w:left w:val="none" w:color="000000" w:sz="4"/>
                    <w:bottom w:val="single" w:color="000000" w:sz="4"/>
                    <w:right w:val="single" w:color="000000" w:sz="4"/>
                  </w:tcBorders>
                </w:tcPr>
                <w:p>
                  <w:pPr>
                    <w:jc w:val="center"/>
                  </w:pPr>
                  <w:r>
                    <w:rPr>
                      <w:b/>
                      <w:sz w:val="22"/>
                    </w:rPr>
                    <w:t>数量</w:t>
                  </w:r>
                </w:p>
              </w:tc>
            </w:tr>
            <w:tr>
              <w:tc>
                <w:tcPr>
                  <w:tcW w:type="dxa" w:w="663"/>
                  <w:tcBorders>
                    <w:top w:val="none" w:color="000000" w:sz="4"/>
                    <w:left w:val="single" w:color="000000" w:sz="4"/>
                    <w:bottom w:val="single" w:color="000000" w:sz="4"/>
                    <w:right w:val="single" w:color="000000" w:sz="4"/>
                  </w:tcBorders>
                </w:tcPr>
                <w:p>
                  <w:pPr>
                    <w:jc w:val="center"/>
                  </w:pPr>
                  <w:r>
                    <w:rPr>
                      <w:sz w:val="22"/>
                    </w:rPr>
                    <w:t>存储</w:t>
                  </w:r>
                </w:p>
              </w:tc>
              <w:tc>
                <w:tcPr>
                  <w:tcW w:type="dxa" w:w="4034"/>
                  <w:tcBorders>
                    <w:top w:val="none" w:color="000000" w:sz="4"/>
                    <w:left w:val="none" w:color="000000" w:sz="4"/>
                    <w:bottom w:val="single" w:color="000000" w:sz="4"/>
                    <w:right w:val="single" w:color="000000" w:sz="4"/>
                  </w:tcBorders>
                </w:tcPr>
                <w:p>
                  <w:pPr>
                    <w:jc w:val="left"/>
                  </w:pPr>
                  <w:r>
                    <w:rPr>
                      <w:sz w:val="22"/>
                    </w:rPr>
                    <w:t>1.</w:t>
                  </w:r>
                  <w:r>
                    <w:rPr>
                      <w:color w:val="000000"/>
                      <w:sz w:val="22"/>
                    </w:rPr>
                    <w:t>产品要求：</w:t>
                  </w:r>
                  <w:r>
                    <w:rPr>
                      <w:sz w:val="22"/>
                    </w:rPr>
                    <w:t>投标产品必须为成熟产品，需提供官方100%系统可用性证明，需提供厂商官网或官网彩页截图证明并加盖投标人公章。</w:t>
                  </w:r>
                </w:p>
                <w:p>
                  <w:pPr>
                    <w:jc w:val="left"/>
                  </w:pPr>
                  <w:r>
                    <w:rPr>
                      <w:sz w:val="22"/>
                    </w:rPr>
                    <w:t>2.</w:t>
                  </w:r>
                  <w:r>
                    <w:rPr>
                      <w:color w:val="000000"/>
                      <w:sz w:val="22"/>
                    </w:rPr>
                    <w:t>体系结构：多控制器架构，多个控制器之间采用PCI-E或Infiniband总线点对点全网状直接互联，要求无外置线缆模式互联且非万兆网络或FC链路互联模式。每个存储控制器架构相同且处理能力均衡，对于单一LUN，多个控制器可以并行读写。</w:t>
                  </w:r>
                </w:p>
                <w:p>
                  <w:pPr>
                    <w:jc w:val="left"/>
                  </w:pPr>
                  <w:r>
                    <w:rPr>
                      <w:color w:val="000000"/>
                      <w:sz w:val="22"/>
                    </w:rPr>
                    <w:t>3.</w:t>
                  </w:r>
                  <w:r>
                    <w:rPr>
                      <w:color w:val="000000"/>
                      <w:sz w:val="22"/>
                    </w:rPr>
                    <w:t>体系结构：配置2个存储控制器。</w:t>
                  </w:r>
                </w:p>
                <w:p>
                  <w:pPr>
                    <w:jc w:val="left"/>
                  </w:pPr>
                  <w:r>
                    <w:rPr>
                      <w:color w:val="000000"/>
                      <w:sz w:val="22"/>
                    </w:rPr>
                    <w:t>4.</w:t>
                  </w:r>
                  <w:r>
                    <w:rPr>
                      <w:color w:val="000000"/>
                      <w:sz w:val="22"/>
                    </w:rPr>
                    <w:t>体系结构：存储控制器机头高度≥2U。</w:t>
                  </w:r>
                </w:p>
                <w:p>
                  <w:pPr>
                    <w:jc w:val="left"/>
                  </w:pPr>
                  <w:r>
                    <w:rPr>
                      <w:color w:val="000000"/>
                      <w:sz w:val="22"/>
                    </w:rPr>
                    <w:t>▲5. 体系结构：支持控制器在线升级，可在不更换控制器机框及不搬移硬盘的情况下将控制器升级至同系列存储任意其他控制器型号，实现容量和性能的在线升级，而无需数据迁移。需提供厂商官网或官网彩页截图证明并</w:t>
                  </w:r>
                  <w:r>
                    <w:rPr>
                      <w:sz w:val="22"/>
                    </w:rPr>
                    <w:t>加盖投标人公章。</w:t>
                  </w:r>
                </w:p>
                <w:p>
                  <w:pPr>
                    <w:jc w:val="left"/>
                  </w:pPr>
                  <w:r>
                    <w:rPr>
                      <w:color w:val="000000"/>
                      <w:sz w:val="22"/>
                    </w:rPr>
                    <w:t>▲6. 存储处理器：每个控制器配置2颗相同型号的Intel存储处理器或者1颗Intel存储处理器+1颗存储专用ASIC处理器。</w:t>
                  </w:r>
                </w:p>
                <w:p>
                  <w:pPr>
                    <w:jc w:val="left"/>
                  </w:pPr>
                  <w:r>
                    <w:rPr>
                      <w:color w:val="000000"/>
                      <w:sz w:val="22"/>
                    </w:rPr>
                    <w:t>▲7. 处理器配置：每个控制器中的Intel存储处理器核数≥10核，每CPU核数频率≥2.2GHz。</w:t>
                  </w:r>
                </w:p>
                <w:p>
                  <w:pPr>
                    <w:jc w:val="left"/>
                  </w:pPr>
                  <w:r>
                    <w:rPr>
                      <w:sz w:val="22"/>
                    </w:rPr>
                    <w:t>8.</w:t>
                  </w:r>
                  <w:r>
                    <w:rPr>
                      <w:color w:val="000000"/>
                      <w:sz w:val="22"/>
                    </w:rPr>
                    <w:t>数据一致性检测：从主机端口到硬盘全路径支持基于硬件的并符合业界标准的T10-PI数据一致性检测，保障数据的一致性。</w:t>
                  </w:r>
                </w:p>
                <w:p>
                  <w:pPr>
                    <w:jc w:val="left"/>
                  </w:pPr>
                  <w:r>
                    <w:rPr>
                      <w:color w:val="000000"/>
                      <w:sz w:val="22"/>
                    </w:rPr>
                    <w:t>9.</w:t>
                  </w:r>
                  <w:r>
                    <w:rPr>
                      <w:color w:val="000000"/>
                      <w:sz w:val="22"/>
                    </w:rPr>
                    <w:t>主机接口：支持16Gbps/32Gbps FC，10GbE/25GbE接口等，最大支持16个主机端口。实配≥2块4端口32Gb FC HBA卡。</w:t>
                  </w:r>
                </w:p>
                <w:p>
                  <w:pPr>
                    <w:jc w:val="left"/>
                  </w:pPr>
                  <w:r>
                    <w:rPr>
                      <w:color w:val="000000"/>
                      <w:sz w:val="22"/>
                    </w:rPr>
                    <w:t>10.</w:t>
                  </w:r>
                  <w:r>
                    <w:rPr>
                      <w:color w:val="000000"/>
                      <w:sz w:val="22"/>
                    </w:rPr>
                    <w:t>后端接口：配置4个12Gbps SAS3.0磁盘接口,磁盘通道速率≥192Gb。</w:t>
                  </w:r>
                </w:p>
                <w:p>
                  <w:pPr>
                    <w:jc w:val="left"/>
                  </w:pPr>
                  <w:r>
                    <w:rPr>
                      <w:color w:val="000000"/>
                      <w:sz w:val="22"/>
                    </w:rPr>
                    <w:t>11.</w:t>
                  </w:r>
                  <w:r>
                    <w:rPr>
                      <w:color w:val="000000"/>
                      <w:sz w:val="22"/>
                    </w:rPr>
                    <w:t>高速缓存：配置高速缓存≥256GB（缓存不包含SSD磁盘、PCI-E SSD、闪存、压缩或重删缓存和NAS控制器缓存）</w:t>
                  </w:r>
                </w:p>
                <w:p>
                  <w:pPr>
                    <w:jc w:val="left"/>
                  </w:pPr>
                  <w:r>
                    <w:rPr>
                      <w:color w:val="000000"/>
                      <w:sz w:val="22"/>
                    </w:rPr>
                    <w:t>12.</w:t>
                  </w:r>
                  <w:r>
                    <w:rPr>
                      <w:color w:val="000000"/>
                      <w:sz w:val="22"/>
                    </w:rPr>
                    <w:t>磁盘配置：配置≥8块1.92TB 企业级SSD，≥16块2.4T 10k SAS硬盘。</w:t>
                  </w:r>
                </w:p>
                <w:p>
                  <w:pPr>
                    <w:jc w:val="left"/>
                  </w:pPr>
                  <w:r>
                    <w:rPr>
                      <w:color w:val="000000"/>
                      <w:sz w:val="22"/>
                    </w:rPr>
                    <w:t>13.</w:t>
                  </w:r>
                  <w:r>
                    <w:rPr>
                      <w:color w:val="000000"/>
                      <w:sz w:val="22"/>
                    </w:rPr>
                    <w:t>磁盘扩展：每双控最大可支持144块SSD硬盘。</w:t>
                  </w:r>
                </w:p>
                <w:p>
                  <w:pPr>
                    <w:jc w:val="left"/>
                  </w:pPr>
                  <w:r>
                    <w:rPr>
                      <w:color w:val="000000"/>
                      <w:sz w:val="22"/>
                    </w:rPr>
                    <w:t>▲14. LUN数量：存储提供双控LUN数量≥65536，需提供厂商官网或官网彩页截图证明并</w:t>
                  </w:r>
                  <w:r>
                    <w:rPr>
                      <w:sz w:val="22"/>
                    </w:rPr>
                    <w:t>加盖投标人公章。</w:t>
                  </w:r>
                </w:p>
                <w:p>
                  <w:pPr>
                    <w:jc w:val="left"/>
                  </w:pPr>
                  <w:r>
                    <w:rPr>
                      <w:sz w:val="22"/>
                    </w:rPr>
                    <w:t>15.</w:t>
                  </w:r>
                  <w:r>
                    <w:rPr>
                      <w:color w:val="000000"/>
                      <w:sz w:val="22"/>
                    </w:rPr>
                    <w:t>迁移：支持多类型磁盘多方向、无中断在线数据迁移，迁移过程不影响业务性能。</w:t>
                  </w:r>
                </w:p>
                <w:p>
                  <w:pPr>
                    <w:jc w:val="left"/>
                  </w:pPr>
                  <w:r>
                    <w:rPr>
                      <w:color w:val="000000"/>
                      <w:sz w:val="22"/>
                    </w:rPr>
                    <w:t>16.</w:t>
                  </w:r>
                  <w:r>
                    <w:rPr>
                      <w:color w:val="000000"/>
                      <w:sz w:val="22"/>
                    </w:rPr>
                    <w:t>克隆：配置全容量许可的克隆功能，后续扩容无需额外购买许可。</w:t>
                  </w:r>
                </w:p>
                <w:p>
                  <w:pPr>
                    <w:jc w:val="left"/>
                  </w:pPr>
                  <w:r>
                    <w:rPr>
                      <w:color w:val="000000"/>
                      <w:sz w:val="22"/>
                    </w:rPr>
                    <w:t>17.</w:t>
                  </w:r>
                  <w:r>
                    <w:rPr>
                      <w:color w:val="000000"/>
                      <w:sz w:val="22"/>
                    </w:rPr>
                    <w:t>快照：配置全容量许可快照功能，有效预防各种软故障的发生，快照无需预留空间，后续扩容无需额外购买许可。</w:t>
                  </w:r>
                </w:p>
                <w:p>
                  <w:pPr>
                    <w:jc w:val="left"/>
                  </w:pPr>
                  <w:r>
                    <w:rPr>
                      <w:color w:val="000000"/>
                      <w:sz w:val="22"/>
                    </w:rPr>
                    <w:t>18.</w:t>
                  </w:r>
                  <w:r>
                    <w:rPr>
                      <w:color w:val="000000"/>
                      <w:sz w:val="22"/>
                    </w:rPr>
                    <w:t>重删压缩：配置全容量许可的在线重删压缩功能，可针对指定LUN进行开启或关闭操作，后续扩容无需额外购买许可。</w:t>
                  </w:r>
                </w:p>
                <w:p>
                  <w:pPr>
                    <w:jc w:val="left"/>
                  </w:pPr>
                  <w:r>
                    <w:rPr>
                      <w:color w:val="000000"/>
                      <w:sz w:val="22"/>
                    </w:rPr>
                    <w:t>▲</w:t>
                  </w:r>
                  <w:r>
                    <w:rPr>
                      <w:sz w:val="22"/>
                    </w:rPr>
                    <w:t>19.</w:t>
                  </w:r>
                  <w:r>
                    <w:rPr>
                      <w:color w:val="000000"/>
                      <w:sz w:val="22"/>
                    </w:rPr>
                    <w:t>QoS</w:t>
                  </w:r>
                  <w:r>
                    <w:rPr>
                      <w:color w:val="000000"/>
                      <w:sz w:val="22"/>
                    </w:rPr>
                    <w:t>：支持存储QoS授权许可，支持单卷和分区的IOPS上限和下限、Bandwidth上限和下限、Response Time设定（RT最小0.5ms），需提供厂商官网或官网彩页截图证明并</w:t>
                  </w:r>
                  <w:r>
                    <w:rPr>
                      <w:sz w:val="22"/>
                    </w:rPr>
                    <w:t>加盖投标人公章。</w:t>
                  </w:r>
                </w:p>
                <w:p>
                  <w:pPr>
                    <w:jc w:val="left"/>
                  </w:pPr>
                  <w:r>
                    <w:rPr>
                      <w:sz w:val="22"/>
                    </w:rPr>
                    <w:t>20.</w:t>
                  </w:r>
                  <w:r>
                    <w:rPr>
                      <w:color w:val="000000"/>
                      <w:sz w:val="22"/>
                    </w:rPr>
                    <w:t>高速磁盘故障恢复：采用高速多对多磁盘故障恢复方式，提高恢复速度的同时，可保证磁盘复期间应用的性能。</w:t>
                  </w:r>
                </w:p>
                <w:p>
                  <w:pPr>
                    <w:jc w:val="left"/>
                  </w:pPr>
                  <w:r>
                    <w:rPr>
                      <w:color w:val="000000"/>
                      <w:sz w:val="22"/>
                    </w:rPr>
                    <w:t>21.</w:t>
                  </w:r>
                  <w:r>
                    <w:rPr>
                      <w:color w:val="000000"/>
                      <w:sz w:val="22"/>
                    </w:rPr>
                    <w:t>安装部署简便性：存储从上电到交付使用的安装部署时间小于20分钟，只需要配置存储网络就</w:t>
                  </w:r>
                  <w:r>
                    <w:rPr>
                      <w:sz w:val="22"/>
                    </w:rPr>
                    <w:t>可以完成存储的初始化过程，需提供厂商官网或官网彩页截图证明并加盖投标人公章，且需提供第三方权威机构测试报告证明并加盖投标人公章。</w:t>
                  </w:r>
                </w:p>
                <w:p>
                  <w:pPr>
                    <w:jc w:val="left"/>
                  </w:pPr>
                  <w:r>
                    <w:rPr>
                      <w:sz w:val="22"/>
                    </w:rPr>
                    <w:t>22.</w:t>
                  </w:r>
                  <w:r>
                    <w:rPr>
                      <w:color w:val="000000"/>
                      <w:sz w:val="22"/>
                    </w:rPr>
                    <w:t>智能资源池：存储可以根据当前配置（控制器，硬盘，扩展柜等）并依据最佳实践智能自动的创建存储资源池，确保最佳实践并减少人为操作的非最佳实践或操作失误的风险，此过程无需任何人工干预。</w:t>
                  </w:r>
                </w:p>
                <w:p>
                  <w:pPr>
                    <w:jc w:val="left"/>
                  </w:pPr>
                  <w:r>
                    <w:rPr>
                      <w:color w:val="000000"/>
                      <w:sz w:val="22"/>
                    </w:rPr>
                    <w:t>23.</w:t>
                  </w:r>
                  <w:r>
                    <w:rPr>
                      <w:color w:val="000000"/>
                      <w:sz w:val="22"/>
                    </w:rPr>
                    <w:t>内置智能优化：存储具备收集精确且细粒度的状态数据并将其存储在节点上的数据库中，通过人工智能/机器学习模型可以使用这些信息来计算当前性能压力和预测性能趋势，并参照自身资源使用情况来优化所有进程和任务的优先级，以便在不影响任何现有应用程序和工作负载的情况下来让各种任务和程序使用相应级别的资源，从而优化应用的性能。智能优化场景至少包括硬盘重建、硬盘扩容及在线数据迁移三种场景。</w:t>
                  </w:r>
                </w:p>
                <w:p>
                  <w:pPr>
                    <w:jc w:val="left"/>
                  </w:pPr>
                  <w:r>
                    <w:rPr>
                      <w:color w:val="000000"/>
                      <w:sz w:val="22"/>
                    </w:rPr>
                    <w:t>▲24. 智能管理运维平台：配置应用负载IO检测功能，可实现应用负载IO数据块结构检测，清晰展示不同数据块的存储数量，并依据应用负载IO数据块的规律呈现曲线图，IO数据块粒度支持4K，8K，16K，32K，64K，128K，256K，512K，可直观展示应用负载IO的特点、规律及压力，从而为每一个应用负载分配合理的资源。需提供产品管理软件的应用负载IO截图及曲线图截图证明并</w:t>
                  </w:r>
                  <w:r>
                    <w:rPr>
                      <w:sz w:val="22"/>
                    </w:rPr>
                    <w:t>加盖投标人公章。</w:t>
                  </w:r>
                </w:p>
                <w:p>
                  <w:pPr>
                    <w:jc w:val="left"/>
                  </w:pPr>
                  <w:r>
                    <w:rPr>
                      <w:sz w:val="22"/>
                    </w:rPr>
                    <w:t>25.</w:t>
                  </w:r>
                  <w:r>
                    <w:rPr>
                      <w:color w:val="000000"/>
                      <w:sz w:val="22"/>
                    </w:rPr>
                    <w:t>智能管理运维平台：配置存储能力预测功能，可根据目前存储负载情况及现有配置情况，预测存储未来若干天的性能趋势，让存储性能变得可以预测和控制。</w:t>
                  </w:r>
                </w:p>
                <w:p>
                  <w:pPr>
                    <w:jc w:val="left"/>
                  </w:pPr>
                  <w:r>
                    <w:rPr>
                      <w:color w:val="000000"/>
                      <w:sz w:val="22"/>
                    </w:rPr>
                    <w:t>26.</w:t>
                  </w:r>
                  <w:r>
                    <w:rPr>
                      <w:color w:val="000000"/>
                      <w:sz w:val="22"/>
                    </w:rPr>
                    <w:t>自动精简：配置全容量许可精简功能，实现存储空间超分配，精简回收颗粒度≤128KB，后续扩容无需额外购买许可。</w:t>
                  </w:r>
                </w:p>
                <w:p>
                  <w:pPr>
                    <w:jc w:val="left"/>
                  </w:pPr>
                  <w:r>
                    <w:rPr>
                      <w:color w:val="000000"/>
                      <w:sz w:val="22"/>
                    </w:rPr>
                    <w:t>27.</w:t>
                  </w:r>
                  <w:r>
                    <w:rPr>
                      <w:color w:val="000000"/>
                      <w:sz w:val="22"/>
                    </w:rPr>
                    <w:t>数据重构：存储可以根据应用IO负载，智能调整存储资源，从而加速每一个应用程序，可以根据负载情况自动进行垃圾回收/空间再利用/加速数据移动和RAID重建等功能，每TB数据重构时间小于20分钟，需提供存储管理界面截图和厂商官网或官网彩页截图证明并</w:t>
                  </w:r>
                  <w:r>
                    <w:rPr>
                      <w:sz w:val="22"/>
                    </w:rPr>
                    <w:t>加盖投标人公章，数据重构时间需提供第三方权威机构测试报告证明并加盖投标人公章。</w:t>
                  </w:r>
                </w:p>
                <w:p>
                  <w:pPr>
                    <w:jc w:val="left"/>
                  </w:pPr>
                  <w:r>
                    <w:rPr>
                      <w:color w:val="000000"/>
                      <w:sz w:val="22"/>
                    </w:rPr>
                    <w:t>▲</w:t>
                  </w:r>
                  <w:r>
                    <w:rPr>
                      <w:sz w:val="22"/>
                    </w:rPr>
                    <w:t>28.</w:t>
                  </w:r>
                  <w:r>
                    <w:rPr>
                      <w:color w:val="000000"/>
                      <w:sz w:val="22"/>
                    </w:rPr>
                    <w:t>存储双活：支持存储双活功能，可以实现和医院现有存储(HPE Primera A630)组成双活阵列，如需增加设备，需要投标人一并免费提供。</w:t>
                  </w:r>
                </w:p>
                <w:p>
                  <w:pPr>
                    <w:jc w:val="left"/>
                  </w:pPr>
                  <w:r>
                    <w:rPr>
                      <w:color w:val="000000"/>
                      <w:sz w:val="22"/>
                    </w:rPr>
                    <w:t>29.</w:t>
                  </w:r>
                  <w:r>
                    <w:rPr>
                      <w:color w:val="000000"/>
                      <w:sz w:val="22"/>
                    </w:rPr>
                    <w:t>存储高可用：</w:t>
                  </w:r>
                  <w:r>
                    <w:rPr>
                      <w:sz w:val="22"/>
                    </w:rPr>
                    <w:t>在一台阵列故障以及RAID失效等情况下，依然可以实现双活切换而不会中断业务，且双活切换时间不大于10秒，需提供厂商官网或官网彩页截图证明并加盖投标人公章，且需提供第三方权威机构测试报告证明并加盖投标人公章。</w:t>
                  </w:r>
                </w:p>
                <w:p>
                  <w:pPr>
                    <w:jc w:val="left"/>
                  </w:pPr>
                  <w:r>
                    <w:rPr>
                      <w:sz w:val="22"/>
                    </w:rPr>
                    <w:t>30.</w:t>
                  </w:r>
                  <w:r>
                    <w:rPr>
                      <w:color w:val="000000"/>
                      <w:sz w:val="22"/>
                    </w:rPr>
                    <w:t>扩展柜故障冗余：存储配置硬盘扩展柜冗余功能，在配置RAID6的情况下，当一个扩展柜异常故障/掉电时，仍可保持数据不丢失，业务不中断，不会因为存储的问题导致业务中断。</w:t>
                  </w:r>
                </w:p>
                <w:p>
                  <w:pPr>
                    <w:jc w:val="left"/>
                  </w:pPr>
                  <w:r>
                    <w:rPr>
                      <w:color w:val="000000"/>
                      <w:sz w:val="22"/>
                    </w:rPr>
                    <w:t>31.</w:t>
                  </w:r>
                  <w:r>
                    <w:rPr>
                      <w:sz w:val="22"/>
                    </w:rPr>
                    <w:t>服务-保修年限：三年原厂质保服务；含原厂首次上门安装服务。</w:t>
                  </w:r>
                </w:p>
              </w:tc>
              <w:tc>
                <w:tcPr>
                  <w:tcW w:type="dxa" w:w="427"/>
                  <w:tcBorders>
                    <w:top w:val="none" w:color="000000" w:sz="4"/>
                    <w:left w:val="none" w:color="000000" w:sz="4"/>
                    <w:bottom w:val="single" w:color="000000" w:sz="4"/>
                    <w:right w:val="single" w:color="000000" w:sz="4"/>
                  </w:tcBorders>
                </w:tcPr>
                <w:p>
                  <w:pPr>
                    <w:jc w:val="center"/>
                  </w:pPr>
                  <w:r>
                    <w:rPr>
                      <w:sz w:val="22"/>
                    </w:rPr>
                    <w:t>台</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bl>
          <w:p>
            <w:pPr>
              <w:jc w:val="both"/>
            </w:pPr>
          </w:p>
          <w:p>
            <w:pPr>
              <w:jc w:val="both"/>
            </w:pPr>
            <w:r>
              <w:rPr>
                <w:sz w:val="24"/>
              </w:rPr>
              <w:t>四、光交换机</w:t>
            </w:r>
          </w:p>
          <w:tbl>
            <w:tblGrid>
              <w:gridCol w:w="663"/>
              <w:gridCol w:w="4034"/>
              <w:gridCol w:w="427"/>
              <w:gridCol w:w="463"/>
            </w:tblGrid>
            <w:tr>
              <w:tc>
                <w:tcPr>
                  <w:tcW w:type="dxa" w:w="663"/>
                  <w:tcBorders>
                    <w:top w:val="single" w:color="000000" w:sz="4"/>
                    <w:left w:val="single" w:color="000000" w:sz="4"/>
                    <w:bottom w:val="single" w:color="000000" w:sz="4"/>
                    <w:right w:val="single" w:color="000000" w:sz="4"/>
                  </w:tcBorders>
                </w:tcPr>
                <w:p>
                  <w:pPr>
                    <w:jc w:val="center"/>
                  </w:pPr>
                  <w:r>
                    <w:rPr>
                      <w:b/>
                      <w:sz w:val="22"/>
                    </w:rPr>
                    <w:t>设备名称</w:t>
                  </w:r>
                </w:p>
              </w:tc>
              <w:tc>
                <w:tcPr>
                  <w:tcW w:type="dxa" w:w="4034"/>
                  <w:tcBorders>
                    <w:top w:val="single" w:color="000000" w:sz="4"/>
                    <w:left w:val="none" w:color="000000" w:sz="4"/>
                    <w:bottom w:val="single" w:color="000000" w:sz="4"/>
                    <w:right w:val="single" w:color="000000" w:sz="4"/>
                  </w:tcBorders>
                </w:tcPr>
                <w:p>
                  <w:pPr>
                    <w:jc w:val="center"/>
                  </w:pPr>
                  <w:r>
                    <w:rPr>
                      <w:b/>
                      <w:sz w:val="22"/>
                    </w:rPr>
                    <w:t>技术参数要求</w:t>
                  </w:r>
                </w:p>
              </w:tc>
              <w:tc>
                <w:tcPr>
                  <w:tcW w:type="dxa" w:w="427"/>
                  <w:tcBorders>
                    <w:top w:val="single" w:color="000000" w:sz="4"/>
                    <w:left w:val="none" w:color="000000" w:sz="4"/>
                    <w:bottom w:val="single" w:color="000000" w:sz="4"/>
                    <w:right w:val="single" w:color="000000" w:sz="4"/>
                  </w:tcBorders>
                </w:tcPr>
                <w:p>
                  <w:pPr>
                    <w:jc w:val="center"/>
                  </w:pPr>
                  <w:r>
                    <w:rPr>
                      <w:b/>
                      <w:sz w:val="22"/>
                    </w:rPr>
                    <w:t>单位</w:t>
                  </w:r>
                </w:p>
              </w:tc>
              <w:tc>
                <w:tcPr>
                  <w:tcW w:type="dxa" w:w="463"/>
                  <w:tcBorders>
                    <w:top w:val="single" w:color="000000" w:sz="4"/>
                    <w:left w:val="none" w:color="000000" w:sz="4"/>
                    <w:bottom w:val="single" w:color="000000" w:sz="4"/>
                    <w:right w:val="single" w:color="000000" w:sz="4"/>
                  </w:tcBorders>
                </w:tcPr>
                <w:p>
                  <w:pPr>
                    <w:jc w:val="center"/>
                  </w:pPr>
                  <w:r>
                    <w:rPr>
                      <w:b/>
                      <w:sz w:val="22"/>
                    </w:rPr>
                    <w:t>数量</w:t>
                  </w:r>
                </w:p>
              </w:tc>
            </w:tr>
            <w:tr>
              <w:tc>
                <w:tcPr>
                  <w:tcW w:type="dxa" w:w="663"/>
                  <w:tcBorders>
                    <w:top w:val="none" w:color="000000" w:sz="4"/>
                    <w:left w:val="single" w:color="000000" w:sz="4"/>
                    <w:bottom w:val="single" w:color="000000" w:sz="4"/>
                    <w:right w:val="single" w:color="000000" w:sz="4"/>
                  </w:tcBorders>
                </w:tcPr>
                <w:p>
                  <w:pPr>
                    <w:jc w:val="center"/>
                  </w:pPr>
                  <w:r>
                    <w:rPr>
                      <w:sz w:val="21"/>
                    </w:rPr>
                    <w:t>△</w:t>
                  </w:r>
                  <w:r>
                    <w:rPr>
                      <w:sz w:val="22"/>
                    </w:rPr>
                    <w:t>光交换机</w:t>
                  </w:r>
                </w:p>
              </w:tc>
              <w:tc>
                <w:tcPr>
                  <w:tcW w:type="dxa" w:w="4034"/>
                  <w:tcBorders>
                    <w:top w:val="none" w:color="000000" w:sz="4"/>
                    <w:left w:val="none" w:color="000000" w:sz="4"/>
                    <w:bottom w:val="single" w:color="000000" w:sz="4"/>
                    <w:right w:val="single" w:color="000000" w:sz="4"/>
                  </w:tcBorders>
                </w:tcPr>
                <w:p>
                  <w:pPr>
                    <w:jc w:val="left"/>
                  </w:pPr>
                  <w:r>
                    <w:rPr>
                      <w:color w:val="000000"/>
                      <w:sz w:val="22"/>
                    </w:rPr>
                    <w:t>▲</w:t>
                  </w:r>
                  <w:r>
                    <w:rPr>
                      <w:sz w:val="22"/>
                    </w:rPr>
                    <w:t>1.</w:t>
                  </w:r>
                  <w:r>
                    <w:rPr>
                      <w:sz w:val="22"/>
                    </w:rPr>
                    <w:t>品牌型号要求：保障核心业务数据运维界面清晰，要求与服务器同一品牌</w:t>
                  </w:r>
                  <w:r>
                    <w:rPr>
                      <w:sz w:val="22"/>
                    </w:rPr>
                    <w:t>。</w:t>
                  </w:r>
                  <w:r>
                    <w:br/>
                  </w:r>
                  <w:r>
                    <w:rPr>
                      <w:sz w:val="22"/>
                    </w:rPr>
                    <w:t>2.</w:t>
                  </w:r>
                  <w:r>
                    <w:rPr>
                      <w:sz w:val="22"/>
                    </w:rPr>
                    <w:t>系统架构：机架式安装，无拥塞架构设计，所有FC端口全线速。</w:t>
                  </w:r>
                </w:p>
                <w:p>
                  <w:pPr>
                    <w:jc w:val="left"/>
                  </w:pPr>
                  <w:r>
                    <w:rPr>
                      <w:sz w:val="22"/>
                    </w:rPr>
                    <w:t>3.</w:t>
                  </w:r>
                  <w:r>
                    <w:rPr>
                      <w:sz w:val="22"/>
                    </w:rPr>
                    <w:t>端口数量：最大可扩展端口≥24。</w:t>
                  </w:r>
                </w:p>
                <w:p>
                  <w:pPr>
                    <w:jc w:val="left"/>
                  </w:pPr>
                  <w:r>
                    <w:rPr>
                      <w:sz w:val="22"/>
                    </w:rPr>
                    <w:t>4.</w:t>
                  </w:r>
                  <w:r>
                    <w:rPr>
                      <w:sz w:val="22"/>
                    </w:rPr>
                    <w:t>端口速率：同时支持FC 32Gb/s，16Gb/s， 8Gb/s和4Gb/s速率。</w:t>
                  </w:r>
                </w:p>
                <w:p>
                  <w:pPr>
                    <w:jc w:val="left"/>
                  </w:pPr>
                  <w:r>
                    <w:rPr>
                      <w:sz w:val="22"/>
                    </w:rPr>
                    <w:t>5.</w:t>
                  </w:r>
                  <w:r>
                    <w:rPr>
                      <w:sz w:val="22"/>
                    </w:rPr>
                    <w:t>端口类型：同时支持F/E/M/D/EX等端口类型。</w:t>
                  </w:r>
                </w:p>
                <w:p>
                  <w:pPr>
                    <w:jc w:val="left"/>
                  </w:pPr>
                  <w:r>
                    <w:rPr>
                      <w:sz w:val="22"/>
                    </w:rPr>
                    <w:t>6.</w:t>
                  </w:r>
                  <w:r>
                    <w:rPr>
                      <w:sz w:val="22"/>
                    </w:rPr>
                    <w:t>互联扩展：可支持多台交换机级联和Fabric扩展。</w:t>
                  </w:r>
                </w:p>
                <w:p>
                  <w:pPr>
                    <w:jc w:val="left"/>
                  </w:pPr>
                  <w:r>
                    <w:rPr>
                      <w:sz w:val="22"/>
                    </w:rPr>
                    <w:t>7.</w:t>
                  </w:r>
                  <w:r>
                    <w:rPr>
                      <w:sz w:val="22"/>
                    </w:rPr>
                    <w:t>链路捆绑：支持基于数据帧级的“即插即用”的链路捆绑功能，单个链路聚合带宽最大256G。</w:t>
                  </w:r>
                </w:p>
                <w:p>
                  <w:pPr>
                    <w:jc w:val="left"/>
                  </w:pPr>
                  <w:r>
                    <w:rPr>
                      <w:sz w:val="22"/>
                    </w:rPr>
                    <w:t>8.</w:t>
                  </w:r>
                  <w:r>
                    <w:rPr>
                      <w:sz w:val="22"/>
                    </w:rPr>
                    <w:t>系统延时：平均延迟≤2.1微秒。</w:t>
                  </w:r>
                </w:p>
                <w:p>
                  <w:pPr>
                    <w:jc w:val="left"/>
                  </w:pPr>
                  <w:r>
                    <w:rPr>
                      <w:sz w:val="22"/>
                    </w:rPr>
                    <w:t>9.</w:t>
                  </w:r>
                  <w:r>
                    <w:rPr>
                      <w:sz w:val="22"/>
                    </w:rPr>
                    <w:t>监控管理：支持SNMPv1/v3的集中监控管理。</w:t>
                  </w:r>
                </w:p>
                <w:p>
                  <w:pPr>
                    <w:jc w:val="left"/>
                  </w:pPr>
                  <w:r>
                    <w:rPr>
                      <w:sz w:val="22"/>
                    </w:rPr>
                    <w:t>10.</w:t>
                  </w:r>
                  <w:r>
                    <w:rPr>
                      <w:sz w:val="22"/>
                    </w:rPr>
                    <w:t>实际配置：配置并激活≥16个FC端口， 配置≥16个32Gb光模块和15M光纤线。</w:t>
                  </w:r>
                </w:p>
                <w:p>
                  <w:pPr>
                    <w:jc w:val="left"/>
                  </w:pPr>
                  <w:r>
                    <w:rPr>
                      <w:sz w:val="22"/>
                    </w:rPr>
                    <w:t>11.</w:t>
                  </w:r>
                  <w:r>
                    <w:rPr>
                      <w:sz w:val="22"/>
                    </w:rPr>
                    <w:t>服务要求：提供3年原厂硬件维保服务；提供原厂上门安装调试服务。</w:t>
                  </w:r>
                </w:p>
              </w:tc>
              <w:tc>
                <w:tcPr>
                  <w:tcW w:type="dxa" w:w="427"/>
                  <w:tcBorders>
                    <w:top w:val="none" w:color="000000" w:sz="4"/>
                    <w:left w:val="none" w:color="000000" w:sz="4"/>
                    <w:bottom w:val="single" w:color="000000" w:sz="4"/>
                    <w:right w:val="single" w:color="000000" w:sz="4"/>
                  </w:tcBorders>
                </w:tcPr>
                <w:p>
                  <w:pPr>
                    <w:jc w:val="center"/>
                  </w:pPr>
                  <w:r>
                    <w:rPr>
                      <w:sz w:val="22"/>
                    </w:rPr>
                    <w:t>台</w:t>
                  </w:r>
                </w:p>
              </w:tc>
              <w:tc>
                <w:tcPr>
                  <w:tcW w:type="dxa" w:w="463"/>
                  <w:tcBorders>
                    <w:top w:val="none" w:color="000000" w:sz="4"/>
                    <w:left w:val="none" w:color="000000" w:sz="4"/>
                    <w:bottom w:val="single" w:color="000000" w:sz="4"/>
                    <w:right w:val="single" w:color="000000" w:sz="4"/>
                  </w:tcBorders>
                </w:tcPr>
                <w:p>
                  <w:pPr>
                    <w:jc w:val="center"/>
                  </w:pPr>
                  <w:r>
                    <w:rPr>
                      <w:sz w:val="22"/>
                    </w:rPr>
                    <w:t>2</w:t>
                  </w:r>
                </w:p>
              </w:tc>
            </w:tr>
          </w:tbl>
          <w:p>
            <w:pPr>
              <w:jc w:val="both"/>
            </w:pPr>
          </w:p>
          <w:p>
            <w:pPr>
              <w:jc w:val="both"/>
            </w:pPr>
            <w:r>
              <w:rPr>
                <w:sz w:val="24"/>
              </w:rPr>
              <w:t>五、核心交换机</w:t>
            </w:r>
          </w:p>
          <w:tbl>
            <w:tblGrid>
              <w:gridCol w:w="663"/>
              <w:gridCol w:w="4034"/>
              <w:gridCol w:w="427"/>
              <w:gridCol w:w="463"/>
            </w:tblGrid>
            <w:tr>
              <w:tc>
                <w:tcPr>
                  <w:tcW w:type="dxa" w:w="663"/>
                  <w:tcBorders>
                    <w:top w:val="single" w:color="000000" w:sz="4"/>
                    <w:left w:val="single" w:color="000000" w:sz="4"/>
                    <w:bottom w:val="single" w:color="000000" w:sz="4"/>
                    <w:right w:val="single" w:color="000000" w:sz="4"/>
                  </w:tcBorders>
                </w:tcPr>
                <w:p>
                  <w:pPr>
                    <w:jc w:val="center"/>
                  </w:pPr>
                  <w:r>
                    <w:rPr>
                      <w:b/>
                      <w:sz w:val="22"/>
                    </w:rPr>
                    <w:t>设备名称</w:t>
                  </w:r>
                </w:p>
              </w:tc>
              <w:tc>
                <w:tcPr>
                  <w:tcW w:type="dxa" w:w="4034"/>
                  <w:tcBorders>
                    <w:top w:val="single" w:color="000000" w:sz="4"/>
                    <w:left w:val="none" w:color="000000" w:sz="4"/>
                    <w:bottom w:val="single" w:color="000000" w:sz="4"/>
                    <w:right w:val="single" w:color="000000" w:sz="4"/>
                  </w:tcBorders>
                </w:tcPr>
                <w:p>
                  <w:pPr>
                    <w:jc w:val="center"/>
                  </w:pPr>
                  <w:r>
                    <w:rPr>
                      <w:b/>
                      <w:sz w:val="22"/>
                    </w:rPr>
                    <w:t>技术参数要求</w:t>
                  </w:r>
                </w:p>
              </w:tc>
              <w:tc>
                <w:tcPr>
                  <w:tcW w:type="dxa" w:w="427"/>
                  <w:tcBorders>
                    <w:top w:val="single" w:color="000000" w:sz="4"/>
                    <w:left w:val="none" w:color="000000" w:sz="4"/>
                    <w:bottom w:val="single" w:color="000000" w:sz="4"/>
                    <w:right w:val="single" w:color="000000" w:sz="4"/>
                  </w:tcBorders>
                </w:tcPr>
                <w:p>
                  <w:pPr>
                    <w:jc w:val="center"/>
                  </w:pPr>
                  <w:r>
                    <w:rPr>
                      <w:b/>
                      <w:sz w:val="22"/>
                    </w:rPr>
                    <w:t>单位</w:t>
                  </w:r>
                </w:p>
              </w:tc>
              <w:tc>
                <w:tcPr>
                  <w:tcW w:type="dxa" w:w="463"/>
                  <w:tcBorders>
                    <w:top w:val="single" w:color="000000" w:sz="4"/>
                    <w:left w:val="none" w:color="000000" w:sz="4"/>
                    <w:bottom w:val="single" w:color="000000" w:sz="4"/>
                    <w:right w:val="single" w:color="000000" w:sz="4"/>
                  </w:tcBorders>
                </w:tcPr>
                <w:p>
                  <w:pPr>
                    <w:jc w:val="center"/>
                  </w:pPr>
                  <w:r>
                    <w:rPr>
                      <w:b/>
                      <w:sz w:val="22"/>
                    </w:rPr>
                    <w:t>数量</w:t>
                  </w:r>
                </w:p>
              </w:tc>
            </w:tr>
            <w:tr>
              <w:tc>
                <w:tcPr>
                  <w:tcW w:type="dxa" w:w="663"/>
                  <w:tcBorders>
                    <w:top w:val="none" w:color="000000" w:sz="4"/>
                    <w:left w:val="single" w:color="000000" w:sz="4"/>
                    <w:bottom w:val="single" w:color="000000" w:sz="4"/>
                    <w:right w:val="single" w:color="000000" w:sz="4"/>
                  </w:tcBorders>
                </w:tcPr>
                <w:p>
                  <w:pPr>
                    <w:jc w:val="center"/>
                  </w:pPr>
                  <w:r>
                    <w:rPr>
                      <w:sz w:val="22"/>
                    </w:rPr>
                    <w:t>核心交换机</w:t>
                  </w:r>
                </w:p>
              </w:tc>
              <w:tc>
                <w:tcPr>
                  <w:tcW w:type="dxa" w:w="4034"/>
                  <w:tcBorders>
                    <w:top w:val="none" w:color="000000" w:sz="4"/>
                    <w:left w:val="none" w:color="000000" w:sz="4"/>
                    <w:bottom w:val="single" w:color="000000" w:sz="4"/>
                    <w:right w:val="single" w:color="000000" w:sz="4"/>
                  </w:tcBorders>
                </w:tcPr>
                <w:p>
                  <w:pPr>
                    <w:jc w:val="left"/>
                  </w:pPr>
                  <w:r>
                    <w:rPr>
                      <w:sz w:val="22"/>
                    </w:rPr>
                    <w:t>1.</w:t>
                  </w:r>
                  <w:r>
                    <w:rPr>
                      <w:color w:val="333333"/>
                      <w:sz w:val="22"/>
                    </w:rPr>
                    <w:t>交换容量</w:t>
                  </w:r>
                  <w:r>
                    <w:rPr>
                      <w:sz w:val="22"/>
                    </w:rPr>
                    <w:t>：</w:t>
                  </w:r>
                  <w:r>
                    <w:rPr>
                      <w:color w:val="333333"/>
                      <w:sz w:val="22"/>
                    </w:rPr>
                    <w:t>≥76.8Tbps</w:t>
                  </w:r>
                  <w:r>
                    <w:br/>
                  </w:r>
                  <w:r>
                    <w:rPr>
                      <w:sz w:val="22"/>
                    </w:rPr>
                    <w:t>2.</w:t>
                  </w:r>
                  <w:r>
                    <w:rPr>
                      <w:color w:val="333333"/>
                      <w:sz w:val="22"/>
                    </w:rPr>
                    <w:t>包转发能力：≥57600Mpps</w:t>
                  </w:r>
                </w:p>
                <w:p>
                  <w:pPr>
                    <w:jc w:val="left"/>
                  </w:pPr>
                  <w:r>
                    <w:rPr>
                      <w:sz w:val="22"/>
                    </w:rPr>
                    <w:t>3.</w:t>
                  </w:r>
                  <w:r>
                    <w:rPr>
                      <w:color w:val="333333"/>
                      <w:sz w:val="22"/>
                    </w:rPr>
                    <w:t>业务槽数量：≥6</w:t>
                  </w:r>
                </w:p>
                <w:p>
                  <w:pPr>
                    <w:jc w:val="left"/>
                  </w:pPr>
                  <w:r>
                    <w:rPr>
                      <w:color w:val="333333"/>
                      <w:sz w:val="22"/>
                    </w:rPr>
                    <w:t>4.</w:t>
                  </w:r>
                  <w:r>
                    <w:rPr>
                      <w:color w:val="333333"/>
                      <w:sz w:val="22"/>
                    </w:rPr>
                    <w:t>交换网槽位：≥2（主控集成）</w:t>
                  </w:r>
                </w:p>
                <w:p>
                  <w:pPr>
                    <w:jc w:val="left"/>
                  </w:pPr>
                  <w:r>
                    <w:rPr>
                      <w:color w:val="333333"/>
                      <w:sz w:val="22"/>
                    </w:rPr>
                    <w:t>5.</w:t>
                  </w:r>
                  <w:r>
                    <w:rPr>
                      <w:color w:val="333333"/>
                      <w:sz w:val="22"/>
                    </w:rPr>
                    <w:t>电源模块数：≥4</w:t>
                  </w:r>
                </w:p>
                <w:p>
                  <w:pPr>
                    <w:jc w:val="left"/>
                  </w:pPr>
                  <w:r>
                    <w:rPr>
                      <w:color w:val="333333"/>
                      <w:sz w:val="22"/>
                    </w:rPr>
                    <w:t>6.</w:t>
                  </w:r>
                  <w:r>
                    <w:rPr>
                      <w:color w:val="333333"/>
                      <w:sz w:val="22"/>
                    </w:rPr>
                    <w:t>接口配置：不少于24个千兆光口，4个万兆光口</w:t>
                  </w:r>
                </w:p>
              </w:tc>
              <w:tc>
                <w:tcPr>
                  <w:tcW w:type="dxa" w:w="427"/>
                  <w:tcBorders>
                    <w:top w:val="none" w:color="000000" w:sz="4"/>
                    <w:left w:val="none" w:color="000000" w:sz="4"/>
                    <w:bottom w:val="single" w:color="000000" w:sz="4"/>
                    <w:right w:val="single" w:color="000000" w:sz="4"/>
                  </w:tcBorders>
                </w:tcPr>
                <w:p>
                  <w:pPr>
                    <w:jc w:val="center"/>
                  </w:pPr>
                  <w:r>
                    <w:rPr>
                      <w:sz w:val="22"/>
                    </w:rPr>
                    <w:t>台</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bl>
          <w:p>
            <w:pPr>
              <w:jc w:val="both"/>
            </w:pPr>
          </w:p>
          <w:p>
            <w:pPr>
              <w:jc w:val="both"/>
            </w:pPr>
            <w:r>
              <w:rPr>
                <w:sz w:val="24"/>
              </w:rPr>
              <w:t>六、存储迁移与容灾调试服务</w:t>
            </w:r>
          </w:p>
          <w:tbl>
            <w:tblGrid>
              <w:gridCol w:w="663"/>
              <w:gridCol w:w="4034"/>
              <w:gridCol w:w="427"/>
              <w:gridCol w:w="463"/>
            </w:tblGrid>
            <w:tr>
              <w:tc>
                <w:tcPr>
                  <w:tcW w:type="dxa" w:w="663"/>
                  <w:tcBorders>
                    <w:top w:val="single" w:color="000000" w:sz="4"/>
                    <w:left w:val="single" w:color="000000" w:sz="4"/>
                    <w:bottom w:val="single" w:color="000000" w:sz="4"/>
                    <w:right w:val="single" w:color="000000" w:sz="4"/>
                  </w:tcBorders>
                </w:tcPr>
                <w:p>
                  <w:pPr>
                    <w:jc w:val="center"/>
                  </w:pPr>
                  <w:r>
                    <w:rPr>
                      <w:b/>
                      <w:sz w:val="22"/>
                    </w:rPr>
                    <w:t>名称</w:t>
                  </w:r>
                </w:p>
              </w:tc>
              <w:tc>
                <w:tcPr>
                  <w:tcW w:type="dxa" w:w="4034"/>
                  <w:tcBorders>
                    <w:top w:val="single" w:color="000000" w:sz="4"/>
                    <w:left w:val="none" w:color="000000" w:sz="4"/>
                    <w:bottom w:val="single" w:color="000000" w:sz="4"/>
                    <w:right w:val="single" w:color="000000" w:sz="4"/>
                  </w:tcBorders>
                </w:tcPr>
                <w:p>
                  <w:pPr>
                    <w:jc w:val="center"/>
                  </w:pPr>
                  <w:r>
                    <w:rPr>
                      <w:b/>
                      <w:sz w:val="22"/>
                    </w:rPr>
                    <w:t>技术参数要求</w:t>
                  </w:r>
                </w:p>
              </w:tc>
              <w:tc>
                <w:tcPr>
                  <w:tcW w:type="dxa" w:w="427"/>
                  <w:tcBorders>
                    <w:top w:val="single" w:color="000000" w:sz="4"/>
                    <w:left w:val="none" w:color="000000" w:sz="4"/>
                    <w:bottom w:val="single" w:color="000000" w:sz="4"/>
                    <w:right w:val="single" w:color="000000" w:sz="4"/>
                  </w:tcBorders>
                </w:tcPr>
                <w:p>
                  <w:pPr>
                    <w:jc w:val="center"/>
                  </w:pPr>
                  <w:r>
                    <w:rPr>
                      <w:b/>
                      <w:sz w:val="22"/>
                    </w:rPr>
                    <w:t>单位</w:t>
                  </w:r>
                </w:p>
              </w:tc>
              <w:tc>
                <w:tcPr>
                  <w:tcW w:type="dxa" w:w="463"/>
                  <w:tcBorders>
                    <w:top w:val="single" w:color="000000" w:sz="4"/>
                    <w:left w:val="none" w:color="000000" w:sz="4"/>
                    <w:bottom w:val="single" w:color="000000" w:sz="4"/>
                    <w:right w:val="single" w:color="000000" w:sz="4"/>
                  </w:tcBorders>
                </w:tcPr>
                <w:p>
                  <w:pPr>
                    <w:jc w:val="center"/>
                  </w:pPr>
                  <w:r>
                    <w:rPr>
                      <w:b/>
                      <w:sz w:val="22"/>
                    </w:rPr>
                    <w:t>数量</w:t>
                  </w:r>
                </w:p>
              </w:tc>
            </w:tr>
            <w:tr>
              <w:tc>
                <w:tcPr>
                  <w:tcW w:type="dxa" w:w="663"/>
                  <w:tcBorders>
                    <w:top w:val="none" w:color="000000" w:sz="4"/>
                    <w:left w:val="single" w:color="000000" w:sz="4"/>
                    <w:bottom w:val="single" w:color="000000" w:sz="4"/>
                    <w:right w:val="single" w:color="000000" w:sz="4"/>
                  </w:tcBorders>
                </w:tcPr>
                <w:p>
                  <w:pPr>
                    <w:jc w:val="center"/>
                  </w:pPr>
                  <w:r>
                    <w:rPr>
                      <w:sz w:val="22"/>
                    </w:rPr>
                    <w:t>存储迁移与容灾调试服务</w:t>
                  </w:r>
                </w:p>
              </w:tc>
              <w:tc>
                <w:tcPr>
                  <w:tcW w:type="dxa" w:w="4034"/>
                  <w:tcBorders>
                    <w:top w:val="none" w:color="000000" w:sz="4"/>
                    <w:left w:val="none" w:color="000000" w:sz="4"/>
                    <w:bottom w:val="single" w:color="000000" w:sz="4"/>
                    <w:right w:val="single" w:color="000000" w:sz="4"/>
                  </w:tcBorders>
                </w:tcPr>
                <w:p>
                  <w:pPr>
                    <w:jc w:val="left"/>
                  </w:pPr>
                  <w:r>
                    <w:rPr>
                      <w:sz w:val="22"/>
                    </w:rPr>
                    <w:t>1.</w:t>
                  </w:r>
                  <w:r>
                    <w:rPr>
                      <w:sz w:val="22"/>
                    </w:rPr>
                    <w:t>数据迁移：将原有Primera A630数据迁移至新购存储，保证迁移过程中业务不中断，提供迁移实施方案。</w:t>
                  </w:r>
                  <w:r>
                    <w:br/>
                  </w:r>
                  <w:r>
                    <w:rPr>
                      <w:color w:val="000000"/>
                      <w:sz w:val="22"/>
                    </w:rPr>
                    <w:t>▲</w:t>
                  </w:r>
                  <w:r>
                    <w:rPr>
                      <w:sz w:val="22"/>
                    </w:rPr>
                    <w:t>2.</w:t>
                  </w:r>
                  <w:r>
                    <w:rPr>
                      <w:sz w:val="22"/>
                    </w:rPr>
                    <w:t>存储双活调试：新购存储与原存储</w:t>
                  </w:r>
                  <w:r>
                    <w:rPr>
                      <w:color w:val="000000"/>
                      <w:sz w:val="22"/>
                    </w:rPr>
                    <w:t>(HPE Primera A630)</w:t>
                  </w:r>
                  <w:r>
                    <w:rPr>
                      <w:sz w:val="22"/>
                    </w:rPr>
                    <w:t>进行双活调试，需提供实施部署方案，如需增加设备，投标人需要在方案中一并免费提供。</w:t>
                  </w:r>
                </w:p>
                <w:p>
                  <w:pPr>
                    <w:jc w:val="left"/>
                  </w:pPr>
                  <w:r>
                    <w:rPr>
                      <w:color w:val="000000"/>
                      <w:sz w:val="22"/>
                    </w:rPr>
                    <w:t>▲</w:t>
                  </w:r>
                  <w:r>
                    <w:rPr>
                      <w:sz w:val="22"/>
                    </w:rPr>
                    <w:t>3.</w:t>
                  </w:r>
                  <w:r>
                    <w:rPr>
                      <w:color w:val="000000"/>
                      <w:sz w:val="22"/>
                    </w:rPr>
                    <w:t>存储容灾调试：</w:t>
                  </w:r>
                  <w:r>
                    <w:rPr>
                      <w:sz w:val="22"/>
                    </w:rPr>
                    <w:t>新购存储与原存储</w:t>
                  </w:r>
                  <w:r>
                    <w:rPr>
                      <w:color w:val="000000"/>
                      <w:sz w:val="22"/>
                    </w:rPr>
                    <w:t>(HPE Primera A630)</w:t>
                  </w:r>
                  <w:r>
                    <w:rPr>
                      <w:sz w:val="22"/>
                    </w:rPr>
                    <w:t>配置异步复制容灾功能，并对容灾效果进行演练，需提供异步容灾解决方案，如需增加设备，投标人需要在方案中一并免费提供。</w:t>
                  </w:r>
                </w:p>
              </w:tc>
              <w:tc>
                <w:tcPr>
                  <w:tcW w:type="dxa" w:w="427"/>
                  <w:tcBorders>
                    <w:top w:val="none" w:color="000000" w:sz="4"/>
                    <w:left w:val="none" w:color="000000" w:sz="4"/>
                    <w:bottom w:val="single" w:color="000000" w:sz="4"/>
                    <w:right w:val="single" w:color="000000" w:sz="4"/>
                  </w:tcBorders>
                </w:tcPr>
                <w:p>
                  <w:pPr>
                    <w:jc w:val="center"/>
                  </w:pPr>
                  <w:r>
                    <w:rPr>
                      <w:sz w:val="22"/>
                    </w:rPr>
                    <w:t>项</w:t>
                  </w:r>
                </w:p>
              </w:tc>
              <w:tc>
                <w:tcPr>
                  <w:tcW w:type="dxa" w:w="463"/>
                  <w:tcBorders>
                    <w:top w:val="none" w:color="000000" w:sz="4"/>
                    <w:left w:val="none" w:color="000000" w:sz="4"/>
                    <w:bottom w:val="single" w:color="000000" w:sz="4"/>
                    <w:right w:val="single" w:color="000000" w:sz="4"/>
                  </w:tcBorders>
                </w:tcPr>
                <w:p>
                  <w:pPr>
                    <w:jc w:val="center"/>
                  </w:pPr>
                  <w:r>
                    <w:rPr>
                      <w:sz w:val="22"/>
                    </w:rPr>
                    <w:t>1</w:t>
                  </w:r>
                </w:p>
              </w:tc>
            </w:tr>
          </w:tbl>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1.采购代理机构：本项目是指江门市蓬江区政府采购中心，负责整个采购活动的组织，依法负责编制和发布招标文件，对招标文件拥有最终的解释权，不以任何身份出任评标委员会成员。</w:t>
      </w:r>
    </w:p>
    <w:p>
      <w:pPr>
        <w:ind w:firstLine="480"/>
      </w:pPr>
      <w:r>
        <w:rPr/>
        <w:t>2.采购人：本项目是指</w:t>
      </w:r>
      <w:r>
        <w:rPr/>
        <w:t>江门市第二人民医院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江门市蓬江区政府采购中心</w:t>
      </w:r>
      <w:r>
        <w:rPr/>
        <w:t>代收。具体操作要求详见</w:t>
      </w:r>
      <w:r>
        <w:rPr/>
        <w:t>江门市蓬江区政府采购中心</w:t>
      </w:r>
      <w:r>
        <w:rPr/>
        <w:t>有关指引，递交事宜请自行咨询</w:t>
      </w:r>
      <w:r>
        <w:rPr/>
        <w:t>江门市蓬江区政府采购中心</w:t>
      </w:r>
      <w:r>
        <w:rPr/>
        <w:t>；请各投标人在投标文件递交截止时间前按须知前附表规定的金额递交至</w:t>
      </w:r>
      <w:r>
        <w:rPr/>
        <w:t>江门市蓬江区政府采购中心</w:t>
      </w:r>
      <w:r>
        <w:rPr/>
        <w:t>，到账情况以开标时</w:t>
      </w:r>
      <w:r>
        <w:rPr/>
        <w:t>江门市蓬江区政府采购中心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梁先生</w:t>
      </w:r>
    </w:p>
    <w:p>
      <w:pPr>
        <w:ind w:firstLine="480"/>
      </w:pPr>
      <w:r>
        <w:rPr/>
        <w:t>电话：</w:t>
      </w:r>
      <w:r>
        <w:rPr/>
        <w:t>0750-3920310</w:t>
      </w:r>
    </w:p>
    <w:p>
      <w:pPr>
        <w:ind w:firstLine="480"/>
      </w:pPr>
      <w:r>
        <w:rPr/>
        <w:t>传真：</w:t>
      </w:r>
      <w:r>
        <w:rPr/>
        <w:t>--</w:t>
      </w:r>
    </w:p>
    <w:p>
      <w:pPr>
        <w:ind w:firstLine="480"/>
      </w:pPr>
      <w:r>
        <w:rPr/>
        <w:t>邮箱：</w:t>
      </w:r>
      <w:r>
        <w:rPr/>
        <w:t>--</w:t>
      </w:r>
    </w:p>
    <w:p>
      <w:pPr>
        <w:ind w:firstLine="480"/>
      </w:pPr>
      <w:r>
        <w:rPr/>
        <w:t>地址：</w:t>
      </w:r>
      <w:r>
        <w:rPr/>
        <w:t>江门市蓬江区天福路6号</w:t>
      </w:r>
    </w:p>
    <w:p>
      <w:pPr>
        <w:ind w:firstLine="480"/>
      </w:pPr>
      <w:r>
        <w:rPr/>
        <w:t>邮编：</w:t>
      </w:r>
      <w:r>
        <w:rPr/>
        <w:t>--</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政府采购监督管理机构名称：江门市蓬江区财政局政府采购监管股</w:t>
      </w:r>
    </w:p>
    <w:p>
      <w:r>
        <w:rPr/>
        <w:t>地  址：江门市五福一街8座</w:t>
      </w:r>
    </w:p>
    <w:p>
      <w:r>
        <w:rPr/>
        <w:t>电  话：07503833886</w:t>
      </w:r>
    </w:p>
    <w:p>
      <w:r>
        <w:rPr/>
        <w:t>邮  编：529000</w:t>
      </w:r>
    </w:p>
    <w:p>
      <w:r>
        <w:rPr/>
        <w:t>传  真：0750-3833760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采购包1(三级等保设备及测评服务)：综合评分法,是指投标文件满足招标文件全部实质性要求，且按照评审因素的量化指标评审得分最高的投标人为中标候选人的评标方法。（最低报价不是中标的唯一依据。）</w:t>
      </w:r>
    </w:p>
    <w:p/>
    <w:p>
      <w:r>
        <w:rPr/>
        <w:t>采购包2(模块化灾备机房)：综合评分法,是指投标文件满足招标文件全部实质性要求，且按照评审因素的量化指标评审得分最高的投标人为中标候选人的评标方法。（最低报价不是中标的唯一依据。）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江门市蓬江区政府采购中心</w:t>
      </w:r>
      <w:r>
        <w:rPr/>
        <w:t>统一对外发布。</w:t>
      </w:r>
    </w:p>
    <w:p>
      <w:pPr>
        <w:ind w:firstLine="480"/>
      </w:pPr>
      <w:r>
        <w:rPr/>
        <w:t>（2）对</w:t>
      </w:r>
      <w:r>
        <w:rPr/>
        <w:t>江门市蓬江区政府采购中心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采购包1（三级等保设备及测评服务）：</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采购包2（模块化灾备机房）：</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采购包1（三级等保设备及测评服务）：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投标人应在投标（响应）文件中提供财务报表和财务会计制度。（复印件，盖投标人公章）。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r>
        <w:rPr/>
        <w:t>采购包2（模块化灾备机房）：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投标人应在投标（响应）文件中提供财务报表和财务会计制度。（复印件，盖投标人公章）。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采购包1（三级等保设备及测评服务）：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投标文件满足招标文件实质性要求</w:t>
            </w:r>
          </w:p>
        </w:tc>
        <w:tc>
          <w:tcPr>
            <w:tcW w:type="dxa" w:w="4238"/>
          </w:tcPr>
          <w:p>
            <w:r>
              <w:rPr/>
              <w:t>本项目的实质性内容为投标报价、合同履行期限、交货期、“★”条款（若有），投标人必须完全满足上述实质性内容的要求，如果有一项不满足，其投标将被拒绝。</w:t>
            </w:r>
          </w:p>
        </w:tc>
      </w:tr>
      <w:tr>
        <w:tc>
          <w:tcPr>
            <w:tcW w:type="dxa" w:w="890"/>
          </w:tcPr>
          <w:p>
            <w:r>
              <w:rPr/>
              <w:t>2</w:t>
            </w:r>
          </w:p>
        </w:tc>
        <w:tc>
          <w:tcPr>
            <w:tcW w:type="dxa" w:w="3178"/>
          </w:tcPr>
          <w:p>
            <w:r>
              <w:rPr/>
              <w:t>有效的法定代表人/负责人授权委托书</w:t>
            </w:r>
          </w:p>
        </w:tc>
        <w:tc>
          <w:tcPr>
            <w:tcW w:type="dxa" w:w="4238"/>
          </w:tcPr>
          <w:p>
            <w:r>
              <w:rPr/>
              <w:t>投标人需提供有效的法定代表人/负责人授权委托书。</w:t>
            </w:r>
          </w:p>
        </w:tc>
      </w:tr>
      <w:tr>
        <w:tc>
          <w:tcPr>
            <w:tcW w:type="dxa" w:w="890"/>
          </w:tcPr>
          <w:p>
            <w:r>
              <w:rPr/>
              <w:t>3</w:t>
            </w:r>
          </w:p>
        </w:tc>
        <w:tc>
          <w:tcPr>
            <w:tcW w:type="dxa" w:w="3178"/>
          </w:tcPr>
          <w:p>
            <w:r>
              <w:rPr/>
              <w:t>投标文件按要求签署、盖章</w:t>
            </w:r>
          </w:p>
        </w:tc>
        <w:tc>
          <w:tcPr>
            <w:tcW w:type="dxa" w:w="4238"/>
          </w:tcPr>
          <w:p>
            <w:r>
              <w:rPr/>
              <w:t>投标文件按要求签署、盖章。</w:t>
            </w:r>
          </w:p>
        </w:tc>
      </w:tr>
    </w:tbl>
    <w:p/>
    <w:p>
      <w:r>
        <w:rPr/>
        <w:t>采购包2（模块化灾备机房）：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投标文件满足招标文件实质性要求</w:t>
            </w:r>
          </w:p>
        </w:tc>
        <w:tc>
          <w:tcPr>
            <w:tcW w:type="dxa" w:w="4238"/>
          </w:tcPr>
          <w:p>
            <w:r>
              <w:rPr/>
              <w:t>本项目的实质性内容为投标报价、合同履行期限、交货期、“★”条款（若有），投标人必须完全满足上述实质性内容的要求，如果有一项不满足，其投标将被拒绝。</w:t>
            </w:r>
          </w:p>
        </w:tc>
      </w:tr>
      <w:tr>
        <w:tc>
          <w:tcPr>
            <w:tcW w:type="dxa" w:w="890"/>
          </w:tcPr>
          <w:p>
            <w:r>
              <w:rPr/>
              <w:t>2</w:t>
            </w:r>
          </w:p>
        </w:tc>
        <w:tc>
          <w:tcPr>
            <w:tcW w:type="dxa" w:w="3178"/>
          </w:tcPr>
          <w:p>
            <w:r>
              <w:rPr/>
              <w:t>有效的法定代表人/负责人授权委托书</w:t>
            </w:r>
          </w:p>
        </w:tc>
        <w:tc>
          <w:tcPr>
            <w:tcW w:type="dxa" w:w="4238"/>
          </w:tcPr>
          <w:p>
            <w:r>
              <w:rPr/>
              <w:t>投标人需提供有效的法定代表人/负责人授权委托书。</w:t>
            </w:r>
          </w:p>
        </w:tc>
      </w:tr>
      <w:tr>
        <w:tc>
          <w:tcPr>
            <w:tcW w:type="dxa" w:w="890"/>
          </w:tcPr>
          <w:p>
            <w:r>
              <w:rPr/>
              <w:t>3</w:t>
            </w:r>
          </w:p>
        </w:tc>
        <w:tc>
          <w:tcPr>
            <w:tcW w:type="dxa" w:w="3178"/>
          </w:tcPr>
          <w:p>
            <w:r>
              <w:rPr/>
              <w:t>投标文件按要求签署、盖章</w:t>
            </w:r>
          </w:p>
        </w:tc>
        <w:tc>
          <w:tcPr>
            <w:tcW w:type="dxa" w:w="4238"/>
          </w:tcPr>
          <w:p>
            <w:r>
              <w:rPr/>
              <w:t>投标文件按要求签署、盖章。</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采购包1(三级等保设备及测评服务):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tcPr>
          <w:p>
            <w:pPr>
              <w:jc w:val="center"/>
            </w:pPr>
            <w:r>
              <w:rPr/>
              <w:t>技术部分</w:t>
            </w:r>
          </w:p>
        </w:tc>
        <w:tc>
          <w:tcPr>
            <w:tcW w:type="dxa" w:w="2307"/>
          </w:tcPr>
          <w:p>
            <w:pPr>
              <w:jc w:val="left"/>
            </w:pPr>
            <w:r>
              <w:rPr/>
              <w:t>技术参数响应情况 (40.0分)</w:t>
            </w:r>
          </w:p>
        </w:tc>
        <w:tc>
          <w:tcPr>
            <w:tcW w:type="dxa" w:w="5076"/>
          </w:tcPr>
          <w:p>
            <w:pPr>
              <w:jc w:val="left"/>
            </w:pPr>
            <w:r>
              <w:rPr/>
              <w:t>根据投标人投标文件中的技术条款对技术要求的响应情况进行评审：  1、 带“▲”的重要技术参数，每存在一项负偏离或无响应的，扣2分，本小点最高扣34分。 2、其他技术参数（带“▲”“★”号的除外）每存在一项负偏离或无响应的，扣0.1分，本小点最高扣6分。   注：须按需求书中要求提供对应的证明材料，不提供证明材料或证明材料不符合要求均视为未响应。如需求书中无明确证明材料的，则以投标人提供的《技术和服务要求响应表》的响应情况进行评审。</w:t>
            </w:r>
          </w:p>
        </w:tc>
      </w:tr>
      <w:tr>
        <w:tc>
          <w:tcPr>
            <w:tcW w:type="dxa" w:w="922"/>
            <w:gridSpan w:val="2"/>
            <w:vMerge w:val="restart"/>
          </w:tcPr>
          <w:p>
            <w:pPr>
              <w:jc w:val="center"/>
            </w:pPr>
            <w:r>
              <w:rPr/>
              <w:t>商务部分</w:t>
            </w:r>
          </w:p>
        </w:tc>
        <w:tc>
          <w:tcPr>
            <w:tcW w:type="dxa" w:w="2307"/>
          </w:tcPr>
          <w:p>
            <w:pPr>
              <w:jc w:val="left"/>
            </w:pPr>
            <w:r>
              <w:rPr/>
              <w:t>安全资质认证 (12.0分)</w:t>
            </w:r>
          </w:p>
        </w:tc>
        <w:tc>
          <w:tcPr>
            <w:tcW w:type="dxa" w:w="5076"/>
          </w:tcPr>
          <w:p>
            <w:pPr>
              <w:jc w:val="left"/>
            </w:pPr>
            <w:r>
              <w:rPr/>
              <w:t>投标人具有由国家认证认可监督管理部门批准设立的认证机构颁发的安全类证书，每提供一个证书得2分，本项最高得12分：  1、DSMM数据安全能力成熟度等级证书； 2、信息安全集成服务资质证书； 3、信息安全风险评估服务资质证书； 4、大数据安全管理体系认证证书； 5、网络空间安全管理体系认证证书； 6、信息安全应急处理服务资质证书。 注：须提供有效期内的证书复印件并加盖投标人公章。</w:t>
            </w:r>
          </w:p>
        </w:tc>
      </w:tr>
      <w:tr>
        <w:tc>
          <w:tcPr>
            <w:tcW w:type="dxa" w:w="922"/>
            <w:gridSpan w:val="2"/>
            <w:vMerge/>
          </w:tcPr>
          <w:p/>
        </w:tc>
        <w:tc>
          <w:tcPr>
            <w:tcW w:type="dxa" w:w="2307"/>
          </w:tcPr>
          <w:p>
            <w:pPr>
              <w:jc w:val="left"/>
            </w:pPr>
            <w:r>
              <w:rPr/>
              <w:t>拟投入项目负责人资质情况 (7.0分)</w:t>
            </w:r>
          </w:p>
        </w:tc>
        <w:tc>
          <w:tcPr>
            <w:tcW w:type="dxa" w:w="5076"/>
          </w:tcPr>
          <w:p>
            <w:pPr>
              <w:jc w:val="left"/>
            </w:pPr>
            <w:r>
              <w:rPr/>
              <w:t>根据投标人拟投入项目负责人（仅限1人）资质情况进行评审，具备以下条件的每一条得 1分，本项最高得7分：1、CISAW（信息安全保障人员认证证书）安全集成；2、CISP（注册信息安全专业人员）；3、网络与信息安全管理师；4、IT服务项目经理；5、信息系统项目管理师；6、系统架构设计师；7、电子技术工程师。 注：1、提供投标人为上述人员缴纳的开标截止日前6个月内任意1个月的社保证明材料复印件，并加盖投标人公章，否则不得分，若依法免缴、缓缴社保或免税的，应提供对应证明材料复印件，并加盖投标人公章，否则不得分。2、提供上述人员有效期内的证书复印件并加盖投标人公章，否则不得分。</w:t>
            </w:r>
          </w:p>
        </w:tc>
      </w:tr>
      <w:tr>
        <w:tc>
          <w:tcPr>
            <w:tcW w:type="dxa" w:w="922"/>
            <w:gridSpan w:val="2"/>
            <w:vMerge/>
          </w:tcPr>
          <w:p/>
        </w:tc>
        <w:tc>
          <w:tcPr>
            <w:tcW w:type="dxa" w:w="2307"/>
          </w:tcPr>
          <w:p>
            <w:pPr>
              <w:jc w:val="left"/>
            </w:pPr>
            <w:r>
              <w:rPr/>
              <w:t>拟投入项目团队情况 (5.0分)</w:t>
            </w:r>
          </w:p>
        </w:tc>
        <w:tc>
          <w:tcPr>
            <w:tcW w:type="dxa" w:w="5076"/>
          </w:tcPr>
          <w:p>
            <w:pPr>
              <w:jc w:val="left"/>
            </w:pPr>
            <w:r>
              <w:rPr/>
              <w:t>根据投标人拟投入本项目的项目团队成员（项目负责人除外）资质情况进行评审： 1、具有信息通信或电子类高级工程师，每人得0.5分，本小点最高得1分； 2、具有系统集成项目管理工程师，每人得0.5分，本小点最高得1分； 3、具有信息安全工程师，每人得0.5分，本小点最高得1分； 4、具有高级网络与信息安全管理师，每人得0.5分，本小点最高得1分； 5、具有网络工程师证书，每人得0.5分，本小点最高得1分。 注：1、提供投标人为上述人员缴纳的开标截止日前6个月内任意1个月的社保证明材料复印件，并加盖投标人公章，否则不得分，若依法免缴、缓缴社保或免税的，应提供对应证明材料复印件，并加盖投标人公章，否则不得分。2、提供上述人员有效期内的证书复印件并加盖投标人公章，否则不得分，如一人同时有多证则只按一个计算。</w:t>
            </w:r>
          </w:p>
        </w:tc>
      </w:tr>
      <w:tr>
        <w:tc>
          <w:tcPr>
            <w:tcW w:type="dxa" w:w="922"/>
            <w:gridSpan w:val="2"/>
            <w:vMerge/>
          </w:tcPr>
          <w:p/>
        </w:tc>
        <w:tc>
          <w:tcPr>
            <w:tcW w:type="dxa" w:w="2307"/>
          </w:tcPr>
          <w:p>
            <w:pPr>
              <w:jc w:val="left"/>
            </w:pPr>
            <w:r>
              <w:rPr/>
              <w:t>项目方案 (4.0分)</w:t>
            </w:r>
          </w:p>
        </w:tc>
        <w:tc>
          <w:tcPr>
            <w:tcW w:type="dxa" w:w="5076"/>
          </w:tcPr>
          <w:p>
            <w:pPr>
              <w:jc w:val="left"/>
            </w:pPr>
            <w:r>
              <w:rPr/>
              <w:t>根据其他商务要求(包括但不限于：设备安装、售后、培训安排和安全保密要求等)，投标人提供的项目方案进行评审： 1.方案详细完善，可行性高、操作性强，得4分； 2.方案较详细完善，可行性、操作性较强，得2分； 3.方案一般，具有一定的可行性、操作性，得1分； 4.方案不详细完善，可行性、操作性较低，或无提供方案的得0分。</w:t>
            </w:r>
          </w:p>
        </w:tc>
      </w:tr>
      <w:tr>
        <w:tc>
          <w:tcPr>
            <w:tcW w:type="dxa" w:w="922"/>
            <w:gridSpan w:val="2"/>
            <w:vMerge/>
          </w:tcPr>
          <w:p/>
        </w:tc>
        <w:tc>
          <w:tcPr>
            <w:tcW w:type="dxa" w:w="2307"/>
          </w:tcPr>
          <w:p>
            <w:pPr>
              <w:jc w:val="left"/>
            </w:pPr>
            <w:r>
              <w:rPr/>
              <w:t>项目业绩 (2.0分)</w:t>
            </w:r>
          </w:p>
        </w:tc>
        <w:tc>
          <w:tcPr>
            <w:tcW w:type="dxa" w:w="5076"/>
          </w:tcPr>
          <w:p>
            <w:pPr>
              <w:jc w:val="left"/>
            </w:pPr>
            <w:r>
              <w:rPr/>
              <w:t>投标人提供2020年1月1日至今承接的等保设备类设备项目业绩情况，每提供一项得1分，本项最高为2分。 注：须提供项目合同关键页（包括但不限于项目名称、合同金额、项目内容、双方盖章、签订日期等）复印件作为证明材料，并加盖投标人单位公章；不提供不得分。时间以合同签订时间为准。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采购包2(模块化灾备机房):</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tcPr>
          <w:p>
            <w:pPr>
              <w:jc w:val="center"/>
            </w:pPr>
            <w:r>
              <w:rPr/>
              <w:t>技术部分</w:t>
            </w:r>
          </w:p>
        </w:tc>
        <w:tc>
          <w:tcPr>
            <w:tcW w:type="dxa" w:w="2307"/>
          </w:tcPr>
          <w:p>
            <w:pPr>
              <w:jc w:val="left"/>
            </w:pPr>
            <w:r>
              <w:rPr/>
              <w:t>产品的技术参数响应情况 (45.0分)</w:t>
            </w:r>
          </w:p>
        </w:tc>
        <w:tc>
          <w:tcPr>
            <w:tcW w:type="dxa" w:w="5076"/>
          </w:tcPr>
          <w:p>
            <w:pPr>
              <w:jc w:val="left"/>
            </w:pPr>
            <w:r>
              <w:rPr/>
              <w:t>根据投标人投标文件中的技术条款对技术要求的响应情况进行评审：  1、 带“▲”的重要技术参数，每存在一项负偏离或无响应的，扣2分，本小点最高扣32分。 2、 其他技术参数（带“▲”“★”号的除外）每存在一项负偏离或无响应的，扣0.1分，本小点最高扣13分。   注：须按需求书中要求提供对应证明材料，不提供证明材料或证明材料不符合要求均视为未响应。如需求书中无明确证明材料的，则以投标人提供的《技术和服务要求响应表》的响应情况进行评审。</w:t>
            </w:r>
          </w:p>
        </w:tc>
      </w:tr>
      <w:tr>
        <w:tc>
          <w:tcPr>
            <w:tcW w:type="dxa" w:w="922"/>
            <w:gridSpan w:val="2"/>
            <w:vMerge w:val="restart"/>
          </w:tcPr>
          <w:p>
            <w:pPr>
              <w:jc w:val="center"/>
            </w:pPr>
            <w:r>
              <w:rPr/>
              <w:t>商务部分</w:t>
            </w:r>
          </w:p>
        </w:tc>
        <w:tc>
          <w:tcPr>
            <w:tcW w:type="dxa" w:w="2307"/>
          </w:tcPr>
          <w:p>
            <w:pPr>
              <w:jc w:val="left"/>
            </w:pPr>
            <w:r>
              <w:rPr/>
              <w:t>管理体系情况 (3.0分)</w:t>
            </w:r>
          </w:p>
        </w:tc>
        <w:tc>
          <w:tcPr>
            <w:tcW w:type="dxa" w:w="5076"/>
          </w:tcPr>
          <w:p>
            <w:pPr>
              <w:jc w:val="left"/>
            </w:pPr>
            <w:r>
              <w:rPr/>
              <w:t>投标人具有在有效期内的以下证书，每提供一个得1分，本项最高得3分。 1、信息技术服务管理体系认证； 2、健康信息安全管理体系认证； 3、质量管理体系认证； 注：须提供在有效期内的证书复印件并加盖投标人公章，不提供不得分。</w:t>
            </w:r>
          </w:p>
        </w:tc>
      </w:tr>
      <w:tr>
        <w:tc>
          <w:tcPr>
            <w:tcW w:type="dxa" w:w="922"/>
            <w:gridSpan w:val="2"/>
            <w:vMerge/>
          </w:tcPr>
          <w:p/>
        </w:tc>
        <w:tc>
          <w:tcPr>
            <w:tcW w:type="dxa" w:w="2307"/>
          </w:tcPr>
          <w:p>
            <w:pPr>
              <w:jc w:val="left"/>
            </w:pPr>
            <w:r>
              <w:rPr/>
              <w:t>企业实力 (6.0分)</w:t>
            </w:r>
          </w:p>
        </w:tc>
        <w:tc>
          <w:tcPr>
            <w:tcW w:type="dxa" w:w="5076"/>
          </w:tcPr>
          <w:p>
            <w:pPr>
              <w:jc w:val="left"/>
            </w:pPr>
            <w:r>
              <w:rPr/>
              <w:t>投标人具有在有效期内的以下证书，每提供一个得3分，本项最高得6分。 1、具有信息系统建设和服务能力（CS）二级或以上； 2、具有数据安全服务能力评定资格二级证书； 注：须提供在有效期内的证书复印件并加盖投标人公章，不提供不得分。</w:t>
            </w:r>
          </w:p>
        </w:tc>
      </w:tr>
      <w:tr>
        <w:tc>
          <w:tcPr>
            <w:tcW w:type="dxa" w:w="922"/>
            <w:gridSpan w:val="2"/>
            <w:vMerge/>
          </w:tcPr>
          <w:p/>
        </w:tc>
        <w:tc>
          <w:tcPr>
            <w:tcW w:type="dxa" w:w="2307"/>
          </w:tcPr>
          <w:p>
            <w:pPr>
              <w:jc w:val="left"/>
            </w:pPr>
            <w:r>
              <w:rPr/>
              <w:t>项目业绩 (2.0分)</w:t>
            </w:r>
          </w:p>
        </w:tc>
        <w:tc>
          <w:tcPr>
            <w:tcW w:type="dxa" w:w="5076"/>
          </w:tcPr>
          <w:p>
            <w:pPr>
              <w:jc w:val="left"/>
            </w:pPr>
            <w:r>
              <w:rPr/>
              <w:t>投标人提供2020年1月1日至今承接的灾备机房类设备项目业绩情况，每提供一项得1分，本项最高为2分。 注：须提供项目合同关键页（包括但不限于项目名称、合同金额、项目内容、双方盖章、签订日期等）复印件作为证明材料，并加盖投标人单位公章；不提供不得分。时间以合同签订时间为准。</w:t>
            </w:r>
          </w:p>
        </w:tc>
      </w:tr>
      <w:tr>
        <w:tc>
          <w:tcPr>
            <w:tcW w:type="dxa" w:w="922"/>
            <w:gridSpan w:val="2"/>
            <w:vMerge/>
          </w:tcPr>
          <w:p/>
        </w:tc>
        <w:tc>
          <w:tcPr>
            <w:tcW w:type="dxa" w:w="2307"/>
          </w:tcPr>
          <w:p>
            <w:pPr>
              <w:jc w:val="left"/>
            </w:pPr>
            <w:r>
              <w:rPr/>
              <w:t>拟投入项目负责人资质情况 (4.0分)</w:t>
            </w:r>
          </w:p>
        </w:tc>
        <w:tc>
          <w:tcPr>
            <w:tcW w:type="dxa" w:w="5076"/>
          </w:tcPr>
          <w:p>
            <w:pPr>
              <w:jc w:val="left"/>
            </w:pPr>
            <w:r>
              <w:rPr/>
              <w:t>根据投标人拟投入项目负责人（仅限1人）资质情况进行评审，具备以下条件的每一条得 1分，本项最高得4分：1、高级信息系统项目管理师；2、智能建筑弱电系统项目管理师；3、综合布线工程师； 4、通信工程师。 注：1、提供投标人为上述人员缴纳的开标截止日前6个月内任意1个月的社保证明材料复印件，并加盖投标人公章，否则不得分，若依法免缴、缓缴社保或免税的，应提供对应证明材料复印件，并加盖投标人公章，否则不得分。2、提供上述人员有效期内的证书复印件并加盖投标人公章，否则不得分。</w:t>
            </w:r>
          </w:p>
        </w:tc>
      </w:tr>
      <w:tr>
        <w:tc>
          <w:tcPr>
            <w:tcW w:type="dxa" w:w="922"/>
            <w:gridSpan w:val="2"/>
            <w:vMerge/>
          </w:tcPr>
          <w:p/>
        </w:tc>
        <w:tc>
          <w:tcPr>
            <w:tcW w:type="dxa" w:w="2307"/>
          </w:tcPr>
          <w:p>
            <w:pPr>
              <w:jc w:val="left"/>
            </w:pPr>
            <w:r>
              <w:rPr/>
              <w:t>项目团队资质情况 (3.0分)</w:t>
            </w:r>
          </w:p>
        </w:tc>
        <w:tc>
          <w:tcPr>
            <w:tcW w:type="dxa" w:w="5076"/>
          </w:tcPr>
          <w:p>
            <w:pPr>
              <w:jc w:val="left"/>
            </w:pPr>
            <w:r>
              <w:rPr/>
              <w:t>根据投标人拟投入本项目的团队成员（项目负责人除外）资质情况进行评审： 1、具有网络工程师证书，每人得0.5分，本小点最高得1分； 2、具有系统集成项目管理工程师证书，每人得0.5分，本小点最高得1分； 3、具有电子技术工程师证书，每人得0.5分，本小点最高得1分。 注：1、提供投标人为上述人员缴纳的开标截止日前6个月内任意1个月的社保证明材料复印件，并加盖投标人公章，否则不得分，若依法免缴、缓缴社保或免税的，应提供对应证明材料复印件，并加盖投标人公章，否则不得分。2、提供上述人员有效期内的证书复印件并加盖投标人公章，否则不得分，如一人同时有多证则只按一个计算。</w:t>
            </w:r>
          </w:p>
        </w:tc>
      </w:tr>
      <w:tr>
        <w:tc>
          <w:tcPr>
            <w:tcW w:type="dxa" w:w="922"/>
            <w:gridSpan w:val="2"/>
            <w:vMerge/>
          </w:tcPr>
          <w:p/>
        </w:tc>
        <w:tc>
          <w:tcPr>
            <w:tcW w:type="dxa" w:w="2307"/>
          </w:tcPr>
          <w:p>
            <w:pPr>
              <w:jc w:val="left"/>
            </w:pPr>
            <w:r>
              <w:rPr/>
              <w:t>售后服务 (7.0分)</w:t>
            </w:r>
          </w:p>
        </w:tc>
        <w:tc>
          <w:tcPr>
            <w:tcW w:type="dxa" w:w="5076"/>
          </w:tcPr>
          <w:p>
            <w:pPr>
              <w:jc w:val="left"/>
            </w:pPr>
            <w:r>
              <w:rPr/>
              <w:t>根据其他商务要求(包括但不限于：服务实施计划、服务响应时效、调试与培训安排)，投标人提供的售后服务方案进行评审：  1、方案内容计划条理清晰，脉络分明，具体全面，项目管理进度、服务响应安排合理高效、操作性强，贴合项目需求；得7分；  2、方案内容计划条理较清晰具体，项目管理进度、服务响应安排较合理、操作性一般，满足项目需求；得4分；  3、方案内容计划有条理清晰，但不够具体全面，项目管理进度、服务响应安排有可能影响项目进度，基本能满足项目需求；得2分；  4、方案内容计划不全面，项目管理进度、服务响应安排影响项目进度，不能满足项目需求或无提供方案的得0分。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sz w:val="24"/>
              </w:rPr>
              <w:t>名称</w:t>
            </w:r>
          </w:p>
        </w:tc>
        <w:tc>
          <w:tcPr>
            <w:tcW w:type="dxa" w:w="3516"/>
            <w:tcBorders>
              <w:top w:val="single" w:color="CCCCCC" w:sz="4"/>
              <w:bottom w:val="single" w:color="CCCCCC" w:sz="8"/>
              <w:right w:val="single" w:color="CCCCCC" w:sz="4"/>
            </w:tcBorders>
            <w:vAlign w:val="center"/>
          </w:tcPr>
          <w:p>
            <w:pPr>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vAlign w:val="center"/>
          </w:tcPr>
          <w:p>
            <w:pPr>
              <w:jc w:val="both"/>
            </w:pPr>
            <w:r>
              <w:rPr>
                <w:sz w:val="24"/>
              </w:rPr>
              <w:t>产地</w:t>
            </w:r>
          </w:p>
        </w:tc>
        <w:tc>
          <w:tcPr>
            <w:tcW w:type="dxa" w:w="470"/>
            <w:tcBorders>
              <w:top w:val="single" w:color="CCCCCC" w:sz="4"/>
              <w:bottom w:val="single" w:color="CCCCCC" w:sz="8"/>
              <w:right w:val="single" w:color="CCCCCC" w:sz="4"/>
            </w:tcBorders>
            <w:vAlign w:val="center"/>
          </w:tcPr>
          <w:p>
            <w:pPr>
              <w:jc w:val="center"/>
            </w:pPr>
            <w:r>
              <w:rPr>
                <w:sz w:val="24"/>
              </w:rPr>
              <w:t>数量</w:t>
            </w:r>
          </w:p>
        </w:tc>
        <w:tc>
          <w:tcPr>
            <w:tcW w:type="dxa" w:w="470"/>
            <w:tcBorders>
              <w:top w:val="single" w:color="CCCCCC" w:sz="4"/>
              <w:bottom w:val="single" w:color="CCCCCC" w:sz="8"/>
              <w:right w:val="single" w:color="CCCCCC" w:sz="4"/>
            </w:tcBorders>
            <w:vAlign w:val="center"/>
          </w:tcPr>
          <w:p>
            <w:pPr>
              <w:jc w:val="center"/>
            </w:pPr>
            <w:r>
              <w:rPr>
                <w:sz w:val="24"/>
              </w:rPr>
              <w:t>单位</w:t>
            </w:r>
          </w:p>
        </w:tc>
        <w:tc>
          <w:tcPr>
            <w:tcW w:type="dxa" w:w="705"/>
            <w:tcBorders>
              <w:top w:val="single" w:color="CCCCCC" w:sz="4"/>
              <w:bottom w:val="single" w:color="CCCCCC" w:sz="8"/>
              <w:right w:val="single" w:color="CCCCCC" w:sz="4"/>
            </w:tcBorders>
            <w:vAlign w:val="center"/>
          </w:tcPr>
          <w:p>
            <w:pPr>
              <w:jc w:val="center"/>
            </w:pPr>
            <w:r>
              <w:rPr>
                <w:sz w:val="24"/>
              </w:rPr>
              <w:t>单价</w:t>
            </w:r>
          </w:p>
          <w:p>
            <w:pPr>
              <w:jc w:val="center"/>
            </w:pPr>
            <w:r>
              <w:rPr>
                <w:sz w:val="24"/>
              </w:rPr>
              <w:t>（元）</w:t>
            </w:r>
          </w:p>
        </w:tc>
        <w:tc>
          <w:tcPr>
            <w:tcW w:type="dxa" w:w="705"/>
            <w:tcBorders>
              <w:top w:val="single" w:color="CCCCCC" w:sz="4"/>
              <w:bottom w:val="single" w:color="CCCCCC" w:sz="8"/>
              <w:right w:val="single" w:color="CCCCCC" w:sz="4"/>
            </w:tcBorders>
            <w:vAlign w:val="center"/>
          </w:tcPr>
          <w:p>
            <w:pPr>
              <w:jc w:val="center"/>
            </w:pPr>
            <w:r>
              <w:rPr>
                <w:sz w:val="24"/>
              </w:rPr>
              <w:t>金额</w:t>
            </w:r>
          </w:p>
          <w:p>
            <w:pPr>
              <w:jc w:val="center"/>
            </w:pPr>
            <w:r>
              <w:rPr>
                <w:sz w:val="24"/>
              </w:rPr>
              <w:t>（元）</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r>
              <w:rPr>
                <w:sz w:val="24"/>
              </w:rPr>
              <w:t>**</w:t>
            </w:r>
          </w:p>
        </w:tc>
        <w:tc>
          <w:tcPr>
            <w:tcW w:type="dxa" w:w="3516"/>
            <w:tcBorders>
              <w:bottom w:val="single" w:color="CCCCCC" w:sz="4"/>
              <w:right w:val="single" w:color="CCCCCC" w:sz="4"/>
            </w:tcBorders>
            <w:vAlign w:val="center"/>
          </w:tcPr>
          <w:p>
            <w:pPr>
              <w:jc w:val="center"/>
            </w:pPr>
            <w:r>
              <w:rPr>
                <w:sz w:val="24"/>
              </w:rPr>
              <w:t>**</w:t>
            </w:r>
            <w:r>
              <w:rPr>
                <w:sz w:val="24"/>
              </w:rPr>
              <w:t xml:space="preserve"> </w:t>
            </w:r>
          </w:p>
        </w:tc>
        <w:tc>
          <w:tcPr>
            <w:tcW w:type="dxa" w:w="696"/>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r>
              <w:rPr>
                <w:sz w:val="24"/>
              </w:rPr>
              <w:t>**</w:t>
            </w:r>
          </w:p>
        </w:tc>
        <w:tc>
          <w:tcPr>
            <w:tcW w:type="dxa" w:w="705"/>
            <w:tcBorders>
              <w:bottom w:val="single" w:color="CCCCCC" w:sz="4"/>
              <w:right w:val="single" w:color="CCCCCC" w:sz="4"/>
            </w:tcBorders>
            <w:vAlign w:val="center"/>
          </w:tcPr>
          <w:p>
            <w:pPr>
              <w:jc w:val="center"/>
            </w:pPr>
            <w:r>
              <w:rPr>
                <w:sz w:val="24"/>
              </w:rPr>
              <w:t>**</w:t>
            </w: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sz w:val="24"/>
              </w:rPr>
              <w:t>合计：人民币大写：**元整</w:t>
            </w:r>
          </w:p>
        </w:tc>
        <w:tc>
          <w:tcPr>
            <w:tcW w:type="dxa" w:w="705"/>
            <w:tcBorders>
              <w:bottom w:val="single" w:color="CCCCCC" w:sz="4"/>
              <w:right w:val="single" w:color="CCCCCC" w:sz="4"/>
            </w:tcBorders>
            <w:vAlign w:val="center"/>
          </w:tcPr>
          <w:p>
            <w:pPr>
              <w:jc w:val="center"/>
            </w:pPr>
            <w:r>
              <w:rPr>
                <w:sz w:val="24"/>
              </w:rPr>
              <w:t>￥：**</w:t>
            </w:r>
          </w:p>
        </w:tc>
      </w:tr>
      <w:tr>
        <w:tc>
          <w:tcPr>
            <w:tcW w:type="dxa" w:w="696"/>
            <w:tcBorders>
              <w:top w:val="none" w:color="000000" w:sz="4"/>
              <w:left w:val="none" w:color="000000" w:sz="4"/>
              <w:bottom w:val="none" w:color="000000" w:sz="4"/>
              <w:right w:val="none" w:color="000000" w:sz="4"/>
            </w:tcBorders>
          </w:tcPr>
          <w:p>
            <w:r>
              <w:rPr/>
              <w:t xml:space="preserve"> </w:t>
            </w:r>
          </w:p>
        </w:tc>
        <w:tc>
          <w:tcPr>
            <w:tcW w:type="dxa" w:w="3516"/>
            <w:tcBorders>
              <w:top w:val="none" w:color="000000" w:sz="4"/>
              <w:left w:val="none" w:color="000000" w:sz="4"/>
              <w:bottom w:val="none" w:color="000000" w:sz="4"/>
              <w:right w:val="none" w:color="000000" w:sz="4"/>
            </w:tcBorders>
          </w:tcPr>
          <w:p>
            <w:r>
              <w:rPr/>
              <w:t xml:space="preserve"> </w:t>
            </w:r>
          </w:p>
        </w:tc>
        <w:tc>
          <w:tcPr>
            <w:tcW w:type="dxa" w:w="696"/>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r>
    </w:tbl>
    <w:p>
      <w:pPr>
        <w:jc w:val="both"/>
      </w:pPr>
      <w:r>
        <w:rPr>
          <w:sz w:val="32"/>
        </w:rPr>
        <w:t xml:space="preserve"> </w:t>
      </w:r>
    </w:p>
    <w:p>
      <w:pPr>
        <w:ind w:firstLine="400"/>
        <w:jc w:val="both"/>
      </w:pPr>
      <w:r>
        <w:rPr>
          <w:sz w:val="27"/>
        </w:rPr>
        <w:t>合同总额包括乙方设计、安装、随机零配件、标配工具、运输保险、调试、培训、质保期服务、各项税费及合同实施过程中不可预见费用等。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w:t>
      </w:r>
      <w:r>
        <w:rPr>
          <w:b/>
          <w:sz w:val="27"/>
        </w:rPr>
        <w:t>合同金额</w:t>
      </w:r>
    </w:p>
    <w:p>
      <w:pPr>
        <w:jc w:val="both"/>
      </w:pPr>
      <w:r>
        <w:rPr>
          <w:sz w:val="27"/>
        </w:rPr>
        <w:t>合同金额为（大写）：_________________元（￥_______________元）人民币。</w:t>
      </w:r>
    </w:p>
    <w:p>
      <w:pPr>
        <w:jc w:val="both"/>
      </w:pPr>
      <w:r>
        <w:rPr>
          <w:b/>
          <w:sz w:val="27"/>
        </w:rPr>
        <w:t>三、</w:t>
      </w:r>
      <w:r>
        <w:rPr>
          <w:b/>
          <w:sz w:val="27"/>
        </w:rPr>
        <w:t>设备要求</w:t>
      </w:r>
    </w:p>
    <w:p>
      <w:pPr>
        <w:jc w:val="both"/>
      </w:pPr>
      <w:r>
        <w:rPr>
          <w:sz w:val="27"/>
        </w:rPr>
        <w:t>货物为原制造商制造的全新产品，整机无污染，无侵权行为、表面无划损、无任何缺陷隐患，在中国境内可依常规安全合法使用。</w:t>
      </w:r>
    </w:p>
    <w:p>
      <w:pPr>
        <w:jc w:val="both"/>
      </w:pPr>
      <w:r>
        <w:rPr>
          <w:b/>
          <w:sz w:val="27"/>
        </w:rPr>
        <w:t>四、</w:t>
      </w:r>
      <w:r>
        <w:rPr>
          <w:b/>
          <w:sz w:val="27"/>
        </w:rPr>
        <w:t>交货期、交货方式及交货地点</w:t>
      </w:r>
    </w:p>
    <w:p>
      <w:pPr>
        <w:jc w:val="both"/>
      </w:pPr>
      <w:r>
        <w:rPr>
          <w:sz w:val="27"/>
        </w:rPr>
        <w:t xml:space="preserve">       </w:t>
      </w:r>
      <w:r>
        <w:rPr>
          <w:sz w:val="27"/>
        </w:rPr>
        <w:t>1.</w:t>
      </w:r>
      <w:r>
        <w:rPr>
          <w:sz w:val="27"/>
        </w:rPr>
        <w:t>交货期：</w:t>
      </w:r>
    </w:p>
    <w:p>
      <w:pPr>
        <w:jc w:val="both"/>
      </w:pPr>
      <w:r>
        <w:rPr>
          <w:sz w:val="27"/>
        </w:rPr>
        <w:t xml:space="preserve">       </w:t>
      </w:r>
      <w:r>
        <w:rPr>
          <w:sz w:val="27"/>
        </w:rPr>
        <w:t>2.</w:t>
      </w:r>
      <w:r>
        <w:rPr>
          <w:sz w:val="27"/>
        </w:rPr>
        <w:t>交货方式：</w:t>
      </w:r>
    </w:p>
    <w:p>
      <w:pPr>
        <w:jc w:val="both"/>
      </w:pPr>
      <w:r>
        <w:rPr>
          <w:sz w:val="27"/>
        </w:rPr>
        <w:t xml:space="preserve">       </w:t>
      </w:r>
      <w:r>
        <w:rPr>
          <w:sz w:val="27"/>
        </w:rPr>
        <w:t>3.</w:t>
      </w:r>
      <w:r>
        <w:rPr>
          <w:sz w:val="27"/>
        </w:rPr>
        <w:t>交货地点：</w:t>
      </w:r>
    </w:p>
    <w:p>
      <w:pPr>
        <w:jc w:val="both"/>
      </w:pPr>
      <w:r>
        <w:rPr>
          <w:b/>
          <w:sz w:val="27"/>
        </w:rPr>
        <w:t>五、</w:t>
      </w:r>
      <w:r>
        <w:rPr>
          <w:b/>
          <w:sz w:val="27"/>
        </w:rPr>
        <w:t>付款方式</w:t>
      </w:r>
    </w:p>
    <w:p>
      <w:pPr>
        <w:jc w:val="both"/>
      </w:pPr>
      <w:r>
        <w:rPr>
          <w:sz w:val="27"/>
        </w:rPr>
        <w:t>由甲方按下列程序在</w:t>
      </w:r>
      <w:r>
        <w:rPr>
          <w:sz w:val="27"/>
          <w:u w:val="single"/>
        </w:rPr>
        <w:t xml:space="preserve">       </w:t>
      </w:r>
      <w:r>
        <w:rPr>
          <w:sz w:val="27"/>
        </w:rPr>
        <w:t>内付款：</w:t>
      </w:r>
    </w:p>
    <w:p>
      <w:pPr>
        <w:jc w:val="both"/>
      </w:pPr>
      <w:r>
        <w:rPr>
          <w:sz w:val="27"/>
        </w:rPr>
        <w:t>1.</w:t>
      </w:r>
      <w:r>
        <w:rPr>
          <w:sz w:val="27"/>
        </w:rPr>
        <w:t>预付款：签订合同后，支付合同总价的</w:t>
      </w:r>
      <w:r>
        <w:rPr>
          <w:sz w:val="27"/>
          <w:u w:val="single"/>
        </w:rPr>
        <w:t xml:space="preserve">     </w:t>
      </w:r>
      <w:r>
        <w:rPr>
          <w:sz w:val="27"/>
        </w:rPr>
        <w:t>%。</w:t>
      </w:r>
    </w:p>
    <w:p>
      <w:pPr>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b/>
          <w:sz w:val="27"/>
        </w:rPr>
        <w:t>六、</w:t>
      </w:r>
      <w:r>
        <w:rPr>
          <w:b/>
          <w:sz w:val="27"/>
        </w:rPr>
        <w:t>质保期及售后服务要求</w:t>
      </w:r>
    </w:p>
    <w:p>
      <w:pPr>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jc w:val="both"/>
      </w:pPr>
      <w:r>
        <w:rPr>
          <w:sz w:val="27"/>
        </w:rPr>
        <w:t>2.</w:t>
      </w:r>
      <w:r>
        <w:rPr>
          <w:sz w:val="27"/>
        </w:rPr>
        <w:t>质保期内，如设备或零部件因质量原因出现故障而造成短期停用时，则质保期和免费维修期相应顺延。如停用时间累计超过60天则质保期重新计算。</w:t>
      </w:r>
    </w:p>
    <w:p>
      <w:pPr>
        <w:jc w:val="both"/>
      </w:pPr>
      <w:r>
        <w:rPr>
          <w:sz w:val="27"/>
        </w:rPr>
        <w:t>3.</w:t>
      </w:r>
      <w:r>
        <w:rPr>
          <w:sz w:val="27"/>
        </w:rPr>
        <w:t>对甲方的服务通知，乙方在接报后1小时内响应，4小时内到达现场，48小时内处理完毕。若在48小时内仍未能有效解决，乙方须免费提供同档次的设备予甲方临时使用。</w:t>
      </w:r>
    </w:p>
    <w:p>
      <w:pPr>
        <w:jc w:val="both"/>
      </w:pPr>
      <w:r>
        <w:rPr>
          <w:b/>
          <w:sz w:val="27"/>
        </w:rPr>
        <w:t>七、</w:t>
      </w:r>
      <w:r>
        <w:rPr>
          <w:b/>
          <w:sz w:val="27"/>
        </w:rPr>
        <w:t>安装与调试</w:t>
      </w:r>
    </w:p>
    <w:p>
      <w:pPr>
        <w:jc w:val="both"/>
      </w:pPr>
      <w:r>
        <w:rPr>
          <w:sz w:val="27"/>
        </w:rPr>
        <w:t>1.</w:t>
      </w:r>
      <w:r>
        <w:rPr>
          <w:sz w:val="27"/>
        </w:rPr>
        <w:t>乙方必须依照招标文件的要求和报价文件的承诺，将设备、系统安装并调试至正常运行的最佳状态。</w:t>
      </w:r>
    </w:p>
    <w:p>
      <w:pPr>
        <w:jc w:val="both"/>
      </w:pPr>
      <w:r>
        <w:rPr>
          <w:b/>
          <w:sz w:val="27"/>
        </w:rPr>
        <w:t>八、</w:t>
      </w:r>
      <w:r>
        <w:rPr>
          <w:b/>
          <w:sz w:val="27"/>
        </w:rPr>
        <w:t>验收：</w:t>
      </w:r>
    </w:p>
    <w:p>
      <w:pPr>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jc w:val="both"/>
      </w:pPr>
      <w:r>
        <w:rPr>
          <w:sz w:val="27"/>
        </w:rPr>
        <w:t>2.</w:t>
      </w:r>
      <w:r>
        <w:rPr>
          <w:sz w:val="27"/>
        </w:rPr>
        <w:t>进口产品必须具备原产地证明和商检局的检验证明及合法进货渠道证明。</w:t>
      </w:r>
    </w:p>
    <w:p>
      <w:pPr>
        <w:jc w:val="both"/>
      </w:pPr>
      <w:r>
        <w:rPr>
          <w:sz w:val="27"/>
        </w:rPr>
        <w:t>3.</w:t>
      </w:r>
      <w:r>
        <w:rPr>
          <w:sz w:val="27"/>
        </w:rPr>
        <w:t>货物为原厂商未启封全新包装，具出厂合格证，序列号、包装箱号与出厂批号一致，并可追索查阅。所有随设备的附件必须齐全。</w:t>
      </w:r>
    </w:p>
    <w:p>
      <w:pPr>
        <w:jc w:val="both"/>
      </w:pPr>
      <w:r>
        <w:rPr>
          <w:sz w:val="27"/>
        </w:rPr>
        <w:t>4.</w:t>
      </w:r>
      <w:r>
        <w:rPr>
          <w:sz w:val="27"/>
        </w:rPr>
        <w:t>乙方应将关键主机设备的用户手册、保修手册、有关单证资料及配备件、随机工具等交付给甲方，使用操作及安全须知等重要资料应附有中文说明。</w:t>
      </w:r>
    </w:p>
    <w:p>
      <w:pPr>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jc w:val="both"/>
      </w:pPr>
      <w:r>
        <w:rPr>
          <w:b/>
          <w:sz w:val="27"/>
        </w:rPr>
        <w:t>九、</w:t>
      </w:r>
      <w:r>
        <w:rPr>
          <w:b/>
          <w:sz w:val="27"/>
        </w:rPr>
        <w:t>违约责任与赔偿损失</w:t>
      </w:r>
    </w:p>
    <w:p>
      <w:pPr>
        <w:jc w:val="both"/>
      </w:pPr>
      <w:r>
        <w:rPr>
          <w:sz w:val="27"/>
        </w:rPr>
        <w:t>1.</w:t>
      </w:r>
      <w:r>
        <w:rPr>
          <w:sz w:val="27"/>
        </w:rPr>
        <w:t>乙方交付的货物、工程/提供的服务不符合本合同规定的，甲方有权拒收，并且乙方须向甲方支付本合同总价5%的违约金。</w:t>
      </w:r>
    </w:p>
    <w:p>
      <w:pPr>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sz w:val="27"/>
        </w:rPr>
        <w:t>3.</w:t>
      </w:r>
      <w:r>
        <w:rPr>
          <w:sz w:val="27"/>
        </w:rPr>
        <w:t>甲方无正当理由拒收货物/接受服务，到期拒付货物/服务款项的，甲方向乙方偿付本合同总的5%的违约金。</w:t>
      </w:r>
    </w:p>
    <w:p>
      <w:pPr>
        <w:jc w:val="both"/>
      </w:pPr>
      <w:r>
        <w:rPr>
          <w:sz w:val="27"/>
        </w:rPr>
        <w:t>4.   对于因甲方原因导致变更、中止或者终止政府采购合同的，甲方应当依照以下合同约定对供应商受到的损失予以赔偿或者补偿：</w:t>
      </w:r>
    </w:p>
    <w:p>
      <w:pPr>
        <w:jc w:val="both"/>
      </w:pPr>
      <w:r>
        <w:rPr>
          <w:sz w:val="27"/>
        </w:rPr>
        <w:t xml:space="preserve">       </w:t>
      </w:r>
      <w:r>
        <w:rPr>
          <w:sz w:val="27"/>
          <w:u w:val="single"/>
        </w:rPr>
        <w:t xml:space="preserve">                                                </w:t>
      </w:r>
    </w:p>
    <w:p>
      <w:pPr>
        <w:jc w:val="both"/>
      </w:pPr>
      <w:r>
        <w:rPr>
          <w:sz w:val="27"/>
        </w:rPr>
        <w:t>5.</w:t>
      </w:r>
      <w:r>
        <w:rPr>
          <w:sz w:val="27"/>
        </w:rPr>
        <w:t>其它违约责任按《中华人民</w:t>
      </w:r>
      <w:r>
        <w:rPr>
          <w:sz w:val="27"/>
        </w:rPr>
        <w:t>共和国民法典(合同编)》处理。</w:t>
      </w:r>
    </w:p>
    <w:p>
      <w:pPr>
        <w:jc w:val="both"/>
      </w:pPr>
      <w:r>
        <w:rPr>
          <w:b/>
          <w:sz w:val="27"/>
        </w:rPr>
        <w:t>十、</w:t>
      </w:r>
      <w:r>
        <w:rPr>
          <w:b/>
          <w:sz w:val="27"/>
        </w:rPr>
        <w:t>争议的解决</w:t>
      </w:r>
      <w:r>
        <w:rPr>
          <w:sz w:val="27"/>
        </w:rPr>
        <w:t xml:space="preserve">  合同执行过程中发生的任何争议，如双方不能通过友好协商解决，按相关法律法规处理。</w:t>
      </w:r>
    </w:p>
    <w:p>
      <w:pPr>
        <w:jc w:val="both"/>
      </w:pPr>
      <w:r>
        <w:rPr>
          <w:b/>
          <w:sz w:val="27"/>
        </w:rPr>
        <w:t>十一、不可抗力</w:t>
      </w:r>
    </w:p>
    <w:p>
      <w:pPr>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十二、</w:t>
      </w:r>
      <w:r>
        <w:rPr>
          <w:b/>
          <w:sz w:val="27"/>
        </w:rPr>
        <w:t>税费</w:t>
      </w:r>
    </w:p>
    <w:p>
      <w:pPr>
        <w:jc w:val="both"/>
      </w:pPr>
      <w:r>
        <w:rPr>
          <w:sz w:val="27"/>
        </w:rPr>
        <w:t>1.</w:t>
      </w:r>
      <w:r>
        <w:rPr>
          <w:sz w:val="27"/>
        </w:rPr>
        <w:t>在中国境内、外发生的与本合同执行有关的一切税费均由乙方负担。</w:t>
      </w:r>
    </w:p>
    <w:p>
      <w:pPr>
        <w:jc w:val="both"/>
      </w:pPr>
      <w:r>
        <w:rPr>
          <w:b/>
          <w:sz w:val="27"/>
        </w:rPr>
        <w:t>十三、</w:t>
      </w:r>
      <w:r>
        <w:rPr>
          <w:sz w:val="27"/>
        </w:rPr>
        <w:t xml:space="preserve"> </w:t>
      </w:r>
      <w:r>
        <w:rPr>
          <w:b/>
          <w:sz w:val="27"/>
        </w:rPr>
        <w:t>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7"/>
        </w:rPr>
        <w:t>十四、</w:t>
      </w:r>
      <w:r>
        <w:rPr>
          <w:sz w:val="27"/>
        </w:rPr>
        <w:t xml:space="preserve">     </w:t>
      </w:r>
      <w:r>
        <w:rPr>
          <w:b/>
          <w:sz w:val="27"/>
        </w:rPr>
        <w:t>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7"/>
          <w:u w:val="single"/>
        </w:rPr>
        <w:t xml:space="preserve">   </w:t>
      </w:r>
      <w:r>
        <w:rPr>
          <w:sz w:val="27"/>
        </w:rPr>
        <w:t>份。</w:t>
      </w:r>
    </w:p>
    <w:p>
      <w:pPr>
        <w:jc w:val="both"/>
      </w:pPr>
      <w:r>
        <w:rPr>
          <w:sz w:val="27"/>
        </w:rPr>
        <w:t xml:space="preserve"> </w:t>
      </w:r>
    </w:p>
    <w:p>
      <w:pPr>
        <w:jc w:val="both"/>
      </w:pPr>
      <w:r>
        <w:rPr>
          <w:b/>
          <w:sz w:val="27"/>
        </w:rPr>
        <w:t>甲方（盖章）：</w:t>
      </w:r>
      <w:r>
        <w:rPr>
          <w:b/>
          <w:sz w:val="27"/>
        </w:rPr>
        <w:t>乙方（盖章）：</w:t>
      </w:r>
    </w:p>
    <w:p>
      <w:pPr>
        <w:jc w:val="both"/>
      </w:pPr>
      <w:r>
        <w:rPr>
          <w:b/>
          <w:sz w:val="27"/>
        </w:rPr>
        <w:t>代表：</w:t>
      </w:r>
      <w:r>
        <w:rPr>
          <w:b/>
          <w:sz w:val="27"/>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7"/>
        </w:rPr>
        <w:t>开户名称：</w:t>
      </w:r>
    </w:p>
    <w:p>
      <w:pPr>
        <w:jc w:val="both"/>
      </w:pPr>
      <w:r>
        <w:rPr>
          <w:sz w:val="27"/>
        </w:rPr>
        <w:t>银行帐号：</w:t>
      </w:r>
    </w:p>
    <w:p>
      <w:pPr>
        <w:jc w:val="both"/>
      </w:pPr>
      <w:r>
        <w:rPr>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440703-2023-01599</w:t>
      </w:r>
    </w:p>
    <w:p>
      <w:pPr>
        <w:jc w:val="center"/>
      </w:pPr>
      <w:r>
        <w:rPr>
          <w:b/>
          <w:sz w:val="24"/>
        </w:rPr>
        <w:t>采购项目编号：</w:t>
      </w:r>
      <w:r>
        <w:rPr>
          <w:b/>
          <w:sz w:val="24"/>
        </w:rPr>
        <w:t>JMPJ2023-03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江门市蓬江区政府采购中心</w:t>
      </w:r>
    </w:p>
    <w:p>
      <w:pPr>
        <w:ind w:firstLine="480"/>
      </w:pPr>
      <w:r>
        <w:rPr/>
        <w:t>你方组织的</w:t>
      </w:r>
      <w:r>
        <w:rPr>
          <w:u w:val="single"/>
        </w:rPr>
        <w:t>“</w:t>
      </w:r>
      <w:r>
        <w:rPr>
          <w:u w:val="single"/>
        </w:rPr>
        <w:t>江门市第二人民医院信息设备采购项目</w:t>
      </w:r>
      <w:r>
        <w:rPr>
          <w:u w:val="single"/>
        </w:rPr>
        <w:t>”</w:t>
      </w:r>
      <w:r>
        <w:rPr/>
        <w:t>项目的招标[采购项目编号为：</w:t>
      </w:r>
      <w:r>
        <w:rPr>
          <w:u w:val="single"/>
        </w:rPr>
        <w:t>JMPJ2023-03</w:t>
      </w:r>
      <w:r>
        <w:rPr/>
        <w:t>]，我方愿参与投标。</w:t>
      </w:r>
    </w:p>
    <w:p>
      <w:pPr>
        <w:ind w:firstLine="480"/>
      </w:pPr>
      <w:r>
        <w:rPr/>
        <w:t>我方确认收到贵方提供的</w:t>
      </w:r>
      <w:r>
        <w:rPr>
          <w:u w:val="single"/>
        </w:rPr>
        <w:t>“</w:t>
      </w:r>
      <w:r>
        <w:rPr>
          <w:u w:val="single"/>
        </w:rPr>
        <w:t>江门市第二人民医院信息设备采购项目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江门市蓬江区政府采购中心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江门市第二人民医院信息设备采购项目</w:t>
      </w:r>
      <w:r>
        <w:rPr/>
        <w:t>”项目采购[采购项目编号为</w:t>
      </w:r>
      <w:r>
        <w:rPr/>
        <w:t>JMPJ2023-03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江门市第二人民医院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江门市蓬江区政府采购中心</w:t>
      </w:r>
    </w:p>
    <w:p>
      <w:pPr>
        <w:ind w:firstLine="480"/>
      </w:pPr>
      <w:r>
        <w:rPr/>
        <w:t>如果我方在贵采购代理机构组织的</w:t>
      </w:r>
      <w:r>
        <w:rPr/>
        <w:t>江门市第二人民医院信息设备采购项目</w:t>
      </w:r>
      <w:r>
        <w:rPr/>
        <w:t>招标中获中标（采购项目编号：</w:t>
      </w:r>
      <w:r>
        <w:rPr/>
        <w:t>JMPJ2023-03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江门市蓬江区政府采购中心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江门市蓬江区政府采购中心</w:t>
      </w:r>
    </w:p>
    <w:p>
      <w:pPr>
        <w:ind w:firstLine="480"/>
      </w:pPr>
      <w:r>
        <w:rPr/>
        <w:t>我单位已登记并准备参与“</w:t>
      </w:r>
      <w:r>
        <w:rPr/>
        <w:t>江门市第二人民医院信息设备采购项目</w:t>
      </w:r>
      <w:r>
        <w:rPr/>
        <w:t>”项目（采购项目编号：</w:t>
      </w:r>
      <w:r>
        <w:rPr/>
        <w:t>JMPJ2023-03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