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441501-2023-02618</w:t>
      </w:r>
    </w:p>
    <w:p>
      <w:pPr>
        <w:jc w:val="center"/>
      </w:pPr>
      <w:r>
        <w:rPr>
          <w:b/>
          <w:sz w:val="24"/>
        </w:rPr>
        <w:t>采购项目编号：</w:t>
      </w:r>
      <w:r>
        <w:rPr>
          <w:b/>
          <w:sz w:val="24"/>
        </w:rPr>
        <w:t>0724-2331SW906131</w:t>
      </w:r>
    </w:p>
    <w:p>
      <w:pPr>
        <w:jc w:val="center"/>
      </w:pPr>
      <w:r>
        <w:rPr>
          <w:b/>
          <w:sz w:val="24"/>
        </w:rPr>
        <w:t>项目名称：</w:t>
      </w:r>
      <w:r>
        <w:rPr>
          <w:b/>
          <w:sz w:val="24"/>
        </w:rPr>
        <w:t>中山大学孙逸仙纪念医院深汕中心医院 麻醉机监护仪采购项目</w:t>
      </w:r>
    </w:p>
    <w:p>
      <w:pPr>
        <w:jc w:val="center"/>
      </w:pPr>
      <w:r>
        <w:rPr>
          <w:b/>
          <w:sz w:val="24"/>
        </w:rPr>
        <w:t>采购人：</w:t>
      </w:r>
      <w:r>
        <w:rPr>
          <w:b/>
          <w:sz w:val="24"/>
        </w:rPr>
        <w:t>中山大学孙逸仙纪念医院深汕中心医院</w:t>
      </w:r>
    </w:p>
    <w:p>
      <w:pPr>
        <w:jc w:val="center"/>
      </w:pPr>
      <w:r>
        <w:rPr>
          <w:b/>
          <w:sz w:val="24"/>
        </w:rPr>
        <w:t>采购代理机构：</w:t>
      </w:r>
      <w:r>
        <w:rPr>
          <w:b/>
          <w:sz w:val="24"/>
        </w:rPr>
        <w:t>国义招标股份有限公司</w:t>
      </w:r>
    </w:p>
    <w:p>
      <w:pPr>
        <w:ind w:firstLine="480"/>
      </w:pPr>
    </w:p>
    <w:p>
      <w:r>
        <w:rPr/>
        <w:t xml:space="preserve"> </w:t>
      </w:r>
    </w:p>
    <w:p/>
    <w:p>
      <w:pPr>
        <w:jc w:val="center"/>
      </w:pPr>
      <w:r>
        <w:rPr>
          <w:b/>
          <w:sz w:val="36"/>
        </w:rPr>
        <w:t>第一章投标邀请</w:t>
      </w:r>
    </w:p>
    <w:p>
      <w:pPr>
        <w:ind w:firstLine="480"/>
      </w:pPr>
      <w:r>
        <w:rPr/>
        <w:t>国义招标股份有限公司</w:t>
      </w:r>
      <w:r>
        <w:rPr/>
        <w:t>受</w:t>
      </w:r>
      <w:r>
        <w:rPr/>
        <w:t>中山大学孙逸仙纪念医院深汕中心医院</w:t>
      </w:r>
      <w:r>
        <w:rPr/>
        <w:t>的委托，采用</w:t>
      </w:r>
      <w:r>
        <w:rPr/>
        <w:t>公开招标</w:t>
      </w:r>
      <w:r>
        <w:rPr/>
        <w:t>方式组织采购</w:t>
      </w:r>
      <w:r>
        <w:rPr/>
        <w:t>中山大学孙逸仙纪念医院深汕中心医院 麻醉机监护仪采购项目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中山大学孙逸仙纪念医院深汕中心医院 麻醉机监护仪采购项目</w:t>
      </w:r>
    </w:p>
    <w:p>
      <w:pPr>
        <w:ind w:firstLine="480"/>
      </w:pPr>
      <w:r>
        <w:rPr/>
        <w:t>采购计划编号：</w:t>
      </w:r>
      <w:r>
        <w:rPr/>
        <w:t>441501-2023-02618</w:t>
      </w:r>
    </w:p>
    <w:p>
      <w:pPr>
        <w:ind w:firstLine="480"/>
      </w:pPr>
      <w:r>
        <w:rPr/>
        <w:t>采购项目编号：</w:t>
      </w:r>
      <w:r>
        <w:rPr/>
        <w:t>0724-2331SW906131</w:t>
      </w:r>
    </w:p>
    <w:p>
      <w:pPr>
        <w:ind w:firstLine="480"/>
      </w:pPr>
      <w:r>
        <w:rPr/>
        <w:t>采购方式：</w:t>
      </w:r>
      <w:r>
        <w:rPr/>
        <w:t>公开招标</w:t>
      </w:r>
    </w:p>
    <w:p>
      <w:pPr>
        <w:ind w:firstLine="480"/>
      </w:pPr>
      <w:r>
        <w:rPr/>
        <w:t>预算金额：</w:t>
      </w:r>
      <w:r>
        <w:rPr/>
        <w:t>2,160,000.00</w:t>
      </w:r>
      <w:r>
        <w:rPr/>
        <w:t>元</w:t>
      </w:r>
    </w:p>
    <w:p>
      <w:r>
        <w:rPr>
          <w:b/>
          <w:sz w:val="24"/>
        </w:rPr>
        <w:t>2.项目内容及需求情况（采购项目技术规格、参数及要求）</w:t>
      </w:r>
    </w:p>
    <w:p>
      <w:pPr>
        <w:ind w:firstLine="480"/>
      </w:pPr>
    </w:p>
    <w:p/>
    <w:p>
      <w:r>
        <w:rPr/>
        <w:t>采购包1(麻醉机):</w:t>
      </w:r>
    </w:p>
    <w:p>
      <w:r>
        <w:rPr/>
        <w:t>采购包预算金额：1,520,000.00元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急救和生命支持设备</w:t>
            </w:r>
          </w:p>
        </w:tc>
        <w:tc>
          <w:tcPr>
            <w:tcW w:type="dxa" w:w="2136"/>
          </w:tcPr>
          <w:p>
            <w:r>
              <w:rPr/>
              <w:t>麻醉机</w:t>
            </w:r>
          </w:p>
        </w:tc>
        <w:tc>
          <w:tcPr>
            <w:tcW w:type="dxa" w:w="1187"/>
          </w:tcPr>
          <w:p>
            <w:r>
              <w:rPr/>
              <w:t>4.00(台)</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合同履行期限：自合同生效之日起至合同全部权利义务履行完毕之日止。</w:t>
      </w:r>
    </w:p>
    <w:p/>
    <w:p>
      <w:r>
        <w:rPr/>
        <w:t>采购包2(监护仪):</w:t>
      </w:r>
    </w:p>
    <w:p>
      <w:r>
        <w:rPr/>
        <w:t>采购包预算金额：640,000.00元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医用电子生理参数检测仪器设备</w:t>
            </w:r>
          </w:p>
        </w:tc>
        <w:tc>
          <w:tcPr>
            <w:tcW w:type="dxa" w:w="2136"/>
          </w:tcPr>
          <w:p>
            <w:r>
              <w:rPr/>
              <w:t>监护仪</w:t>
            </w:r>
          </w:p>
        </w:tc>
        <w:tc>
          <w:tcPr>
            <w:tcW w:type="dxa" w:w="1187"/>
          </w:tcPr>
          <w:p>
            <w:r>
              <w:rPr/>
              <w:t>4.00(台)</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合同履行期限：自合同生效之日起至合同全部权利义务履行完毕之日止。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采购包2）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采购包1）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p/>
    <w:p>
      <w:r>
        <w:rPr/>
        <w:t>2）具有良好的商业信誉和健全的财务会计制度：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p/>
    <w:p>
      <w:r>
        <w:rPr/>
        <w:t>3）履行合同所必需的设备和专业技术能力：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p/>
    <w:p>
      <w:r>
        <w:rPr/>
        <w:t>4）有依法缴纳税收和社会保障资金的良好记录：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p/>
    <w:p>
      <w:r>
        <w:rPr/>
        <w:t>5）参加采购活动前3年内，在经营活动中没有重大违法记录：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p/>
    <w:p>
      <w:r>
        <w:rPr>
          <w:b/>
          <w:sz w:val="24"/>
        </w:rPr>
        <w:t>2.落实政府采购政策需满足的资格要求：</w:t>
      </w:r>
    </w:p>
    <w:p>
      <w:pPr>
        <w:ind w:firstLine="480"/>
      </w:pPr>
    </w:p>
    <w:p>
      <w:pPr>
        <w:jc w:val="left"/>
      </w:pPr>
    </w:p>
    <w:p>
      <w:r>
        <w:rPr/>
        <w:t>采购包1（麻醉机）：</w:t>
      </w:r>
      <w:r>
        <w:rPr/>
        <w:t>本项目不属于专门面向中小企业采购的项目。按照《政府采购促进中小企业发展管理办法》规定，本项目属于预留采购份额无法确保充分供应、充分竞争，或者存在可能影响政府采购目标实现的情形。</w:t>
      </w:r>
    </w:p>
    <w:p>
      <w:pPr>
        <w:jc w:val="left"/>
      </w:pPr>
    </w:p>
    <w:p>
      <w:r>
        <w:rPr/>
        <w:t>采购包2（监护仪）：</w:t>
      </w:r>
      <w:r>
        <w:rPr/>
        <w:t>本项目不属于专门面向中小企业采购的项目。按照《政府采购促进中小企业发展管理办法》规定，本项目属于预留采购份额无法确保充分供应、充分竞争，或者存在可能影响政府采购目标实现的情形。</w:t>
      </w:r>
    </w:p>
    <w:p/>
    <w:p>
      <w:r>
        <w:rPr>
          <w:b/>
          <w:sz w:val="24"/>
        </w:rPr>
        <w:t>3.本项目特定的资格要求：</w:t>
      </w:r>
    </w:p>
    <w:p>
      <w:pPr>
        <w:ind w:firstLine="480"/>
      </w:pPr>
    </w:p>
    <w:p/>
    <w:p>
      <w:r>
        <w:rPr/>
        <w:t>采购包1（麻醉机）：</w:t>
      </w:r>
    </w:p>
    <w:p/>
    <w:p>
      <w:r>
        <w:rPr/>
        <w:t>1)本项目不接受联合体投标。</w:t>
      </w:r>
    </w:p>
    <w:p/>
    <w:p>
      <w:r>
        <w:rPr/>
        <w:t>2)具备二类或三类医疗器械经营许可证明材料副本（如投标人为代理经销商）或二类或三类医疗器械生产许可证明材料副本（如投标人为制造商）。</w:t>
      </w:r>
    </w:p>
    <w:p/>
    <w:p>
      <w:r>
        <w:rPr/>
        <w:t>3)投标人没有被列入失信被执行人、重大税收违法案件当事人名单（即税收违法黑名单）、政府采购严重违法失信行为记录名单及其他不符合规定条件的供应商。[根据信用中国网站（www.creditchina.gov.cn）、中国政府采购网（www.ccgp.gov.cn）主体信用记录信息进行查询]。</w:t>
      </w:r>
    </w:p>
    <w:p/>
    <w:p>
      <w:r>
        <w:rPr/>
        <w:t>4)单位负责人为同一人或者存在直接控股、管理关系的不同供应商，不得参加同一包号投标或者未划分包号的同一招标项目投标(投标人出具声明函)。</w:t>
      </w:r>
    </w:p>
    <w:p/>
    <w:p>
      <w:r>
        <w:rPr/>
        <w:t>5)为采购项目提供整体设计、规范编制或者项目管理、监理、检测等服务的供应商，不得再参加该采购项目的其他采购活动(投标人出具声明函)。</w:t>
      </w:r>
    </w:p>
    <w:p/>
    <w:p>
      <w:r>
        <w:rPr/>
        <w:t>6)供应商必须符合法律、行政法规规定的其他条件</w:t>
      </w:r>
    </w:p>
    <w:p/>
    <w:p>
      <w:r>
        <w:rPr/>
        <w:t>7)已获取本次采购文件。</w:t>
      </w:r>
    </w:p>
    <w:p/>
    <w:p>
      <w:r>
        <w:rPr/>
        <w:t>采购包2（监护仪）：</w:t>
      </w:r>
    </w:p>
    <w:p/>
    <w:p>
      <w:r>
        <w:rPr/>
        <w:t>1)本项目不接受联合体投标。</w:t>
      </w:r>
    </w:p>
    <w:p/>
    <w:p>
      <w:r>
        <w:rPr/>
        <w:t>2)具备二类或三类医疗器械经营许可证明材料副本（如投标人为代理经销商）或二类或三类医疗器械生产许可证明材料副本（如投标人为制造商）。</w:t>
      </w:r>
    </w:p>
    <w:p/>
    <w:p>
      <w:r>
        <w:rPr/>
        <w:t>3)投标人没有被列入失信被执行人、重大税收违法案件当事人名单（即税收违法黑名单）、政府采购严重违法失信行为记录名单及其他不符合规定条件的供应商。[根据信用中国网站（www.creditchina.gov.cn）、中国政府采购网（www.ccgp.gov.cn）主体信用记录信息进行查询]。</w:t>
      </w:r>
    </w:p>
    <w:p/>
    <w:p>
      <w:r>
        <w:rPr/>
        <w:t>4)单位负责人为同一人或者存在直接控股、管理关系的不同供应商，不得参加同一包号投标或者未划分包号的同一招标项目投标(投标人出具声明函)。</w:t>
      </w:r>
    </w:p>
    <w:p/>
    <w:p>
      <w:r>
        <w:rPr/>
        <w:t>5)为采购项目提供整体设计、规范编制或者项目管理、监理、检测等服务的供应商，不得再参加该采购项目的其他采购活动(投标人出具声明函)。</w:t>
      </w:r>
    </w:p>
    <w:p/>
    <w:p>
      <w:r>
        <w:rPr/>
        <w:t>6)供应商必须符合法律、行政法规规定的其他条件</w:t>
      </w:r>
    </w:p>
    <w:p/>
    <w:p>
      <w:r>
        <w:rPr/>
        <w:t>7)已获取本次采购文件。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中山大学孙逸仙纪念医院深汕中心医院</w:t>
      </w:r>
    </w:p>
    <w:p>
      <w:pPr>
        <w:ind w:firstLine="480"/>
      </w:pPr>
      <w:r>
        <w:rPr/>
        <w:t>地址：</w:t>
      </w:r>
      <w:r>
        <w:rPr/>
        <w:t>汕尾市城区东涌镇站前横二路1号</w:t>
      </w:r>
    </w:p>
    <w:p>
      <w:pPr>
        <w:ind w:firstLine="480"/>
      </w:pPr>
      <w:r>
        <w:rPr/>
        <w:t>联系方式：</w:t>
      </w:r>
      <w:r>
        <w:rPr/>
        <w:t>0660-3863370</w:t>
      </w:r>
    </w:p>
    <w:p>
      <w:r>
        <w:rPr>
          <w:b/>
          <w:sz w:val="24"/>
        </w:rPr>
        <w:t>2.采购代理机构信息</w:t>
      </w:r>
    </w:p>
    <w:p>
      <w:pPr>
        <w:ind w:firstLine="480"/>
      </w:pPr>
      <w:r>
        <w:rPr/>
        <w:t>名称：</w:t>
      </w:r>
      <w:r>
        <w:rPr/>
        <w:t>国义招标股份有限公司</w:t>
      </w:r>
    </w:p>
    <w:p>
      <w:pPr>
        <w:ind w:firstLine="480"/>
      </w:pPr>
      <w:r>
        <w:rPr/>
        <w:t>地址：</w:t>
      </w:r>
      <w:r>
        <w:rPr/>
        <w:t>广东省广州市越秀区东风东路726号16-18楼</w:t>
      </w:r>
    </w:p>
    <w:p>
      <w:pPr>
        <w:ind w:firstLine="480"/>
      </w:pPr>
      <w:r>
        <w:rPr/>
        <w:t>联系方式：</w:t>
      </w:r>
      <w:r>
        <w:rPr/>
        <w:t>020-37861057、020-37860526</w:t>
      </w:r>
    </w:p>
    <w:p>
      <w:r>
        <w:rPr>
          <w:b/>
          <w:sz w:val="24"/>
        </w:rPr>
        <w:t>3.项目联系方式</w:t>
      </w:r>
    </w:p>
    <w:p>
      <w:pPr>
        <w:ind w:firstLine="480"/>
      </w:pPr>
      <w:r>
        <w:rPr/>
        <w:t>项目联系人：</w:t>
      </w:r>
      <w:r>
        <w:rPr/>
        <w:t>杨旭华、邓子华</w:t>
      </w:r>
    </w:p>
    <w:p>
      <w:pPr>
        <w:ind w:firstLine="480"/>
      </w:pPr>
      <w:r>
        <w:rPr/>
        <w:t>电话：</w:t>
      </w:r>
      <w:r>
        <w:rPr/>
        <w:t>020-37861057、020-37860526</w:t>
      </w:r>
    </w:p>
    <w:p>
      <w:r>
        <w:rPr>
          <w:b/>
          <w:sz w:val="24"/>
        </w:rPr>
        <w:t>4.技术支持联系方式</w:t>
      </w:r>
    </w:p>
    <w:p>
      <w:pPr>
        <w:ind w:firstLine="480"/>
      </w:pPr>
      <w:r>
        <w:rPr/>
        <w:t>云平台联系方式：020-88696588</w:t>
      </w:r>
    </w:p>
    <w:p>
      <w:r>
        <w:rPr/>
        <w:t>采购代理机构：</w:t>
      </w:r>
      <w:r>
        <w:rPr/>
        <w:t>国义招标股份有限公司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tbl>
      <w:tblPr>
        <w:tblW w:w="0" w:type="auto"/>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single" w:color="000000" w:sz="4"/>
              <w:left w:val="single" w:color="000000" w:sz="4"/>
              <w:bottom w:val="single" w:color="000000" w:sz="4"/>
              <w:right w:val="single" w:color="000000" w:sz="4"/>
            </w:tcBorders>
            <w:vAlign w:val="top"/>
          </w:tcPr>
          <w:p>
            <w:pPr>
              <w:jc w:val="center"/>
            </w:pPr>
            <w:r>
              <w:rPr>
                <w:b/>
                <w:sz w:val="21"/>
              </w:rPr>
              <w:t>包号</w:t>
            </w:r>
          </w:p>
        </w:tc>
        <w:tc>
          <w:tcPr>
            <w:tcW w:type="dxa" w:w="2076"/>
            <w:tcBorders>
              <w:top w:val="single" w:color="000000" w:sz="4"/>
              <w:left w:val="single" w:color="000000" w:sz="4"/>
              <w:bottom w:val="single" w:color="000000" w:sz="4"/>
              <w:right w:val="single" w:color="000000" w:sz="4"/>
            </w:tcBorders>
            <w:vAlign w:val="top"/>
          </w:tcPr>
          <w:p>
            <w:pPr>
              <w:jc w:val="center"/>
            </w:pPr>
            <w:r>
              <w:rPr>
                <w:b/>
                <w:sz w:val="21"/>
              </w:rPr>
              <w:t>设备名称</w:t>
            </w:r>
          </w:p>
        </w:tc>
        <w:tc>
          <w:tcPr>
            <w:tcW w:type="dxa" w:w="2076"/>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2076"/>
            <w:tcBorders>
              <w:top w:val="single" w:color="000000" w:sz="4"/>
              <w:left w:val="single" w:color="000000" w:sz="4"/>
              <w:bottom w:val="single" w:color="000000" w:sz="4"/>
              <w:right w:val="single" w:color="000000" w:sz="4"/>
            </w:tcBorders>
            <w:vAlign w:val="top"/>
          </w:tcPr>
          <w:p>
            <w:pPr>
              <w:jc w:val="center"/>
            </w:pPr>
            <w:r>
              <w:rPr>
                <w:b/>
                <w:sz w:val="21"/>
              </w:rPr>
              <w:t>最高采购限价</w:t>
            </w:r>
          </w:p>
        </w:tc>
      </w:tr>
      <w:tr>
        <w:tc>
          <w:tcPr>
            <w:tcW w:type="dxa" w:w="20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076"/>
            <w:tcBorders>
              <w:top w:val="none" w:color="000000" w:sz="4"/>
              <w:left w:val="single" w:color="000000" w:sz="4"/>
              <w:bottom w:val="single" w:color="000000" w:sz="4"/>
              <w:right w:val="single" w:color="000000" w:sz="4"/>
            </w:tcBorders>
            <w:vAlign w:val="top"/>
          </w:tcPr>
          <w:p>
            <w:pPr>
              <w:jc w:val="center"/>
            </w:pPr>
            <w:r>
              <w:rPr>
                <w:sz w:val="21"/>
              </w:rPr>
              <w:t>麻醉机</w:t>
            </w:r>
          </w:p>
        </w:tc>
        <w:tc>
          <w:tcPr>
            <w:tcW w:type="dxa" w:w="2076"/>
            <w:tcBorders>
              <w:top w:val="none" w:color="000000" w:sz="4"/>
              <w:left w:val="single" w:color="000000" w:sz="4"/>
              <w:bottom w:val="single" w:color="000000" w:sz="4"/>
              <w:right w:val="single" w:color="000000" w:sz="4"/>
            </w:tcBorders>
            <w:vAlign w:val="top"/>
          </w:tcPr>
          <w:p>
            <w:pPr>
              <w:jc w:val="center"/>
            </w:pPr>
            <w:r>
              <w:rPr>
                <w:sz w:val="21"/>
              </w:rPr>
              <w:t>4</w:t>
            </w:r>
            <w:r>
              <w:rPr>
                <w:sz w:val="21"/>
              </w:rPr>
              <w:t>台</w:t>
            </w:r>
          </w:p>
        </w:tc>
        <w:tc>
          <w:tcPr>
            <w:tcW w:type="dxa" w:w="2076"/>
            <w:tcBorders>
              <w:top w:val="none" w:color="000000" w:sz="4"/>
              <w:left w:val="single" w:color="000000" w:sz="4"/>
              <w:bottom w:val="single" w:color="000000" w:sz="4"/>
              <w:right w:val="single" w:color="000000" w:sz="4"/>
            </w:tcBorders>
            <w:vAlign w:val="top"/>
          </w:tcPr>
          <w:p>
            <w:pPr>
              <w:jc w:val="center"/>
            </w:pPr>
            <w:r>
              <w:rPr>
                <w:sz w:val="21"/>
              </w:rPr>
              <w:t>人民币</w:t>
            </w:r>
            <w:r>
              <w:rPr>
                <w:sz w:val="21"/>
              </w:rPr>
              <w:t>152</w:t>
            </w:r>
            <w:r>
              <w:rPr>
                <w:sz w:val="21"/>
              </w:rPr>
              <w:t>万元</w:t>
            </w:r>
          </w:p>
        </w:tc>
      </w:tr>
      <w:tr>
        <w:tc>
          <w:tcPr>
            <w:tcW w:type="dxa" w:w="207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76"/>
            <w:tcBorders>
              <w:top w:val="none" w:color="000000" w:sz="4"/>
              <w:left w:val="single" w:color="000000" w:sz="4"/>
              <w:bottom w:val="single" w:color="000000" w:sz="4"/>
              <w:right w:val="single" w:color="000000" w:sz="4"/>
            </w:tcBorders>
            <w:vAlign w:val="top"/>
          </w:tcPr>
          <w:p>
            <w:pPr>
              <w:jc w:val="center"/>
            </w:pPr>
            <w:r>
              <w:rPr>
                <w:sz w:val="21"/>
              </w:rPr>
              <w:t>监护仪</w:t>
            </w:r>
          </w:p>
        </w:tc>
        <w:tc>
          <w:tcPr>
            <w:tcW w:type="dxa" w:w="2076"/>
            <w:tcBorders>
              <w:top w:val="none" w:color="000000" w:sz="4"/>
              <w:left w:val="single" w:color="000000" w:sz="4"/>
              <w:bottom w:val="single" w:color="000000" w:sz="4"/>
              <w:right w:val="single" w:color="000000" w:sz="4"/>
            </w:tcBorders>
            <w:vAlign w:val="top"/>
          </w:tcPr>
          <w:p>
            <w:pPr>
              <w:jc w:val="center"/>
            </w:pPr>
            <w:r>
              <w:rPr>
                <w:sz w:val="21"/>
              </w:rPr>
              <w:t>4</w:t>
            </w:r>
            <w:r>
              <w:rPr>
                <w:sz w:val="21"/>
              </w:rPr>
              <w:t>台</w:t>
            </w:r>
          </w:p>
        </w:tc>
        <w:tc>
          <w:tcPr>
            <w:tcW w:type="dxa" w:w="2076"/>
            <w:tcBorders>
              <w:top w:val="none" w:color="000000" w:sz="4"/>
              <w:left w:val="single" w:color="000000" w:sz="4"/>
              <w:bottom w:val="single" w:color="000000" w:sz="4"/>
              <w:right w:val="single" w:color="000000" w:sz="4"/>
            </w:tcBorders>
            <w:vAlign w:val="top"/>
          </w:tcPr>
          <w:p>
            <w:pPr>
              <w:jc w:val="center"/>
            </w:pPr>
            <w:r>
              <w:rPr>
                <w:sz w:val="21"/>
              </w:rPr>
              <w:t>人民币</w:t>
            </w:r>
            <w:r>
              <w:rPr>
                <w:sz w:val="21"/>
              </w:rPr>
              <w:t>64</w:t>
            </w:r>
            <w:r>
              <w:rPr>
                <w:sz w:val="21"/>
              </w:rPr>
              <w:t>万元</w:t>
            </w:r>
          </w:p>
        </w:tc>
      </w:tr>
    </w:tbl>
    <w:p>
      <w:pPr>
        <w:ind w:firstLine="420"/>
        <w:jc w:val="both"/>
      </w:pPr>
    </w:p>
    <w:p>
      <w:pPr>
        <w:ind w:firstLine="420"/>
        <w:jc w:val="both"/>
      </w:pPr>
      <w:r>
        <w:rPr>
          <w:sz w:val="21"/>
        </w:rPr>
        <w:t>详细技术规范请参阅招标文件中的用户需求书。投标人必须对所投包号内全部内容进投标报价，如有缺</w:t>
      </w:r>
      <w:r>
        <w:rPr>
          <w:sz w:val="21"/>
        </w:rPr>
        <w:t>漏</w:t>
      </w:r>
      <w:r>
        <w:rPr>
          <w:sz w:val="21"/>
        </w:rPr>
        <w:t>或超出最高单价限价及总限价，将导致投标无效。</w:t>
      </w:r>
    </w:p>
    <w:p>
      <w:pPr>
        <w:ind w:firstLine="420"/>
        <w:jc w:val="both"/>
      </w:pPr>
      <w:r>
        <w:rPr>
          <w:sz w:val="21"/>
        </w:rPr>
        <w:t>本项目</w:t>
      </w:r>
      <w:r>
        <w:rPr>
          <w:sz w:val="21"/>
        </w:rPr>
        <w:t>采购本国产品。</w:t>
      </w:r>
    </w:p>
    <w:p>
      <w:pPr>
        <w:ind w:firstLine="420"/>
        <w:jc w:val="both"/>
      </w:pP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号）、《关于环境标志产品政府采购实施的意见》（财库</w:t>
      </w:r>
      <w:r>
        <w:rPr>
          <w:sz w:val="21"/>
        </w:rPr>
        <w:t>[2006]90</w:t>
      </w:r>
      <w:r>
        <w:rPr>
          <w:sz w:val="21"/>
        </w:rPr>
        <w:t>号）、《节能产品政府采购实施意见》的通知》（财库［</w:t>
      </w:r>
      <w:r>
        <w:rPr>
          <w:sz w:val="21"/>
        </w:rPr>
        <w:t>2004</w:t>
      </w:r>
      <w:r>
        <w:rPr>
          <w:sz w:val="21"/>
        </w:rPr>
        <w:t>］</w:t>
      </w:r>
      <w:r>
        <w:rPr>
          <w:sz w:val="21"/>
        </w:rPr>
        <w:t>185</w:t>
      </w:r>
      <w:r>
        <w:rPr>
          <w:sz w:val="21"/>
        </w:rPr>
        <w:t>号）、《关于调整优化节能产品、环境标志产品政府采购执行机制的通知》（财库〔</w:t>
      </w:r>
      <w:r>
        <w:rPr>
          <w:sz w:val="21"/>
        </w:rPr>
        <w:t>2019</w:t>
      </w:r>
      <w:r>
        <w:rPr>
          <w:sz w:val="21"/>
        </w:rPr>
        <w:t>〕</w:t>
      </w:r>
      <w:r>
        <w:rPr>
          <w:sz w:val="21"/>
        </w:rPr>
        <w:t>9</w:t>
      </w:r>
      <w:r>
        <w:rPr>
          <w:sz w:val="21"/>
        </w:rPr>
        <w:t>号）等。</w:t>
      </w:r>
    </w:p>
    <w:p/>
    <w:p>
      <w:pPr>
        <w:ind w:firstLine="480"/>
      </w:pPr>
    </w:p>
    <w:p/>
    <w:p>
      <w:r>
        <w:rPr/>
        <w:t>采购包1（麻醉机）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按采购人要求</w:t>
            </w:r>
          </w:p>
        </w:tc>
      </w:tr>
      <w:tr>
        <w:tc>
          <w:tcPr>
            <w:tcW w:type="dxa" w:w="4153"/>
          </w:tcPr>
          <w:p>
            <w:r>
              <w:rPr/>
              <w:t>标的提供的地点</w:t>
            </w:r>
          </w:p>
        </w:tc>
        <w:tc>
          <w:tcPr>
            <w:tcW w:type="dxa" w:w="4153"/>
          </w:tcPr>
          <w:p/>
          <w:p>
            <w:r>
              <w:rPr/>
              <w:t>按采购人要求</w:t>
            </w:r>
          </w:p>
        </w:tc>
      </w:tr>
      <w:tr>
        <w:tc>
          <w:tcPr>
            <w:tcW w:type="dxa" w:w="4153"/>
          </w:tcPr>
          <w:p>
            <w:r>
              <w:rPr/>
              <w:t>付款方式</w:t>
            </w:r>
          </w:p>
        </w:tc>
        <w:tc>
          <w:tcPr>
            <w:tcW w:type="dxa" w:w="4153"/>
          </w:tcPr>
          <w:p/>
          <w:p/>
          <w:p>
            <w:r>
              <w:rPr/>
              <w:t>1期：支付比例100%,★一、如中标单位为大型企业（依据《关于印发中小企业划型标准规定的通知》工信部联企业〔2011〕300号划分大型企业） 1）中标人与采购人签订合同后5个工作日内以支票、汇票、本票、保函等非现金形式提交合同总额5%的履约保证金给采购人。 2）合同设备全部到工地或指定地点交付并完成安装及验收后，中标人凭采购人收货证明、使用部门调试使用意见（加盖采购人装备科公章）等资料，向采购人申请付款。 3）付款方式经采购人、中标人双方共同协议同意于货到验收合格后，采购人在收到相关申请资料及满足付款支付条件后5个工作日内以银行转账支付合同金额的100%，待设备安装正常运行后采购人在收到相关申请资料后10个工作日内退回5%履约保证金。 4）如不是医院自有资金项目，付款方式按相关经费要求支付。  ★二、如中标单位为中小企业（依据《关于印发中小企业划型标准规定的通知》工信部联企业〔2011〕300号划分中小企业） 1）合同签订后，中标人向采购人开具合同总价30%的发票及等额的预付款保函，满足付款支付条件后5个工作日内支付合同总金额的30%； 2） 货物按照验收合格并通过相关部门的评定验收后，在收到中标人开具合同总价70%的发票及满足付款支付条件后5个工作日内支付合同总金额的70%，若中标人没有违约行为，保函在验收合格后当月自动失效；  3）如不是医院自有资金项目，付款方式按相关经费要求支付。</w:t>
            </w:r>
          </w:p>
        </w:tc>
      </w:tr>
      <w:tr>
        <w:tc>
          <w:tcPr>
            <w:tcW w:type="dxa" w:w="4153"/>
          </w:tcPr>
          <w:p>
            <w:r>
              <w:rPr/>
              <w:t>验收要求</w:t>
            </w:r>
          </w:p>
        </w:tc>
        <w:tc>
          <w:tcPr>
            <w:tcW w:type="dxa" w:w="4153"/>
          </w:tcPr>
          <w:p/>
          <w:p/>
          <w:p/>
          <w:p>
            <w:r>
              <w:rPr/>
              <w:t>1期：★1)、本项目质量应达到国家质量评定合格标准，通过第三方权威机构的验收，提供有效的验收报告。同时参考相关校准规范的要求出具仪器设备计量校准证书，相关费用由中标人承担。 ★2)、设备到货验收后，必须免费安装调试至能正常使用。中标人响应设备验收合格后，如果由厂家提供免费保修、维护及保养等服务，厂家承诺书应明确具体的项目名称。</w:t>
            </w:r>
          </w:p>
        </w:tc>
      </w:tr>
      <w:tr>
        <w:tc>
          <w:tcPr>
            <w:tcW w:type="dxa" w:w="4153"/>
          </w:tcPr>
          <w:p>
            <w:r>
              <w:rPr/>
              <w:t>履约保证金</w:t>
            </w:r>
          </w:p>
        </w:tc>
        <w:tc>
          <w:tcPr>
            <w:tcW w:type="dxa" w:w="4153"/>
          </w:tcPr>
          <w:p/>
          <w:p/>
          <w:p/>
          <w:p/>
          <w:p>
            <w:r>
              <w:rPr/>
              <w:t>收取比例：5%,说明：中标人与采购人签订合同后5个工作日内以支票、汇票、本票、保函等非现金形式提交合同总额5%的履约保证金给采购人。</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真实性和有效性，同意采购方以任何形式对我方投标文件内容及采购方认为有必要的相关资料的真实性和有效性进行审查、验证</w:t>
            </w:r>
          </w:p>
          <w:p/>
          <w:p>
            <w:r>
              <w:rPr/>
              <w:t>招标文件附件，投标人应将招标公告的招标文件附件中“补充附件”内容填写好相关信息后附在投标文件中</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投标人应报货交采购人指定地点/仓库（包括安装至指定位置）人民币含税价，并按开标一览表及投标明细报价表进行明细报价。</w:t>
            </w:r>
          </w:p>
        </w:tc>
      </w:tr>
      <w:tr>
        <w:tc>
          <w:tcPr>
            <w:tcW w:type="dxa" w:w="2076"/>
          </w:tcPr>
          <w:p>
            <w:pPr>
              <w:jc w:val="center"/>
            </w:pPr>
            <w:r>
              <w:rPr/>
              <w:t>★</w:t>
            </w:r>
          </w:p>
        </w:tc>
        <w:tc>
          <w:tcPr>
            <w:tcW w:type="dxa" w:w="2076"/>
          </w:tcPr>
          <w:p>
            <w:pPr>
              <w:jc w:val="center"/>
            </w:pPr>
            <w:r>
              <w:rPr/>
              <w:t>2</w:t>
            </w:r>
          </w:p>
        </w:tc>
        <w:tc>
          <w:tcPr>
            <w:tcW w:type="dxa" w:w="2076"/>
          </w:tcPr>
          <w:p>
            <w:pPr>
              <w:jc w:val="left"/>
            </w:pPr>
            <w:r>
              <w:rPr/>
              <w:t>质保期（服务期）</w:t>
            </w:r>
          </w:p>
        </w:tc>
        <w:tc>
          <w:tcPr>
            <w:tcW w:type="dxa" w:w="2076"/>
          </w:tcPr>
          <w:p>
            <w:pPr>
              <w:jc w:val="left"/>
            </w:pPr>
            <w:r>
              <w:rPr/>
              <w:t>验收合格后主机整机免费保修期至少 3年，质保期内每年至少两次免费现场维护（包括整机清洁、维护保养、定期巡查、性能调整等内容），并提供保修、维护及保养说明</w:t>
            </w:r>
          </w:p>
        </w:tc>
      </w:tr>
      <w:tr>
        <w:tc>
          <w:tcPr>
            <w:tcW w:type="dxa" w:w="2076"/>
          </w:tcPr>
          <w:p>
            <w:pPr>
              <w:jc w:val="center"/>
            </w:pPr>
          </w:p>
        </w:tc>
        <w:tc>
          <w:tcPr>
            <w:tcW w:type="dxa" w:w="2076"/>
          </w:tcPr>
          <w:p>
            <w:pPr>
              <w:jc w:val="center"/>
            </w:pPr>
            <w:r>
              <w:rPr/>
              <w:t>3</w:t>
            </w:r>
          </w:p>
        </w:tc>
        <w:tc>
          <w:tcPr>
            <w:tcW w:type="dxa" w:w="2076"/>
          </w:tcPr>
          <w:p>
            <w:pPr>
              <w:jc w:val="left"/>
            </w:pPr>
            <w:r>
              <w:rPr/>
              <w:t>培训要求</w:t>
            </w:r>
          </w:p>
        </w:tc>
        <w:tc>
          <w:tcPr>
            <w:tcW w:type="dxa" w:w="2076"/>
          </w:tcPr>
          <w:p>
            <w:pPr>
              <w:jc w:val="left"/>
            </w:pPr>
            <w:r>
              <w:rPr/>
              <w:t>（1）设备必须免费安装调试至能正常使用，并无偿培训采购人维修人员，主要内容为设备的基本结构、性能、主要部件的构造及修理，日常使用保养与管理，常见故障的排除、紧急情况的处理等，培训地点主要在设备安装现场或按采购人安排。 （2）中标人需提供详细的培训方案，包括但不限于培训内容和培训计划，保证两名或以上操作人员熟练掌握操作技术为止；如遇设备升级更新，中标人需及时提供更新操作指导。</w:t>
            </w:r>
          </w:p>
        </w:tc>
      </w:tr>
      <w:tr>
        <w:tc>
          <w:tcPr>
            <w:tcW w:type="dxa" w:w="2076"/>
          </w:tcPr>
          <w:p>
            <w:pPr>
              <w:jc w:val="center"/>
            </w:pPr>
          </w:p>
        </w:tc>
        <w:tc>
          <w:tcPr>
            <w:tcW w:type="dxa" w:w="2076"/>
          </w:tcPr>
          <w:p>
            <w:pPr>
              <w:jc w:val="center"/>
            </w:pPr>
            <w:r>
              <w:rPr/>
              <w:t>4</w:t>
            </w:r>
          </w:p>
        </w:tc>
        <w:tc>
          <w:tcPr>
            <w:tcW w:type="dxa" w:w="2076"/>
          </w:tcPr>
          <w:p>
            <w:pPr>
              <w:jc w:val="left"/>
            </w:pPr>
            <w:r>
              <w:rPr/>
              <w:t>售后服务</w:t>
            </w:r>
          </w:p>
        </w:tc>
        <w:tc>
          <w:tcPr>
            <w:tcW w:type="dxa" w:w="2076"/>
          </w:tcPr>
          <w:p>
            <w:pPr>
              <w:jc w:val="left"/>
            </w:pPr>
            <w:r>
              <w:rPr/>
              <w:t>对采购人的服务通知，中标人4小时内派员到现场维修，在中标人承诺的质量保证期内，如经中标人两次维修或更换，货物仍不能达到合同约定的质量标准，采购人有权退货或要求更换，中标人应赔偿采购人因此遭受的损失。</w:t>
            </w:r>
          </w:p>
        </w:tc>
      </w:tr>
      <w:tr>
        <w:tc>
          <w:tcPr>
            <w:tcW w:type="dxa" w:w="2076"/>
          </w:tcPr>
          <w:p>
            <w:pPr>
              <w:jc w:val="center"/>
            </w:pPr>
          </w:p>
        </w:tc>
        <w:tc>
          <w:tcPr>
            <w:tcW w:type="dxa" w:w="2076"/>
          </w:tcPr>
          <w:p>
            <w:pPr>
              <w:jc w:val="center"/>
            </w:pPr>
            <w:r>
              <w:rPr/>
              <w:t>5</w:t>
            </w:r>
          </w:p>
        </w:tc>
        <w:tc>
          <w:tcPr>
            <w:tcW w:type="dxa" w:w="2076"/>
          </w:tcPr>
          <w:p>
            <w:pPr>
              <w:jc w:val="left"/>
            </w:pPr>
            <w:r>
              <w:rPr/>
              <w:t>包装和运输</w:t>
            </w:r>
          </w:p>
        </w:tc>
        <w:tc>
          <w:tcPr>
            <w:tcW w:type="dxa" w:w="2076"/>
          </w:tcPr>
          <w:p>
            <w:pPr>
              <w:jc w:val="left"/>
            </w:pPr>
            <w:r>
              <w:rPr/>
              <w:t>（1）中标人应提供运至交付地点所需要的包装，包装应符合经济、牢固、美观的要求，采取防潮、防晒、防锈、防震及防止其它损坏的必要措施，以防止货物在运转中损坏或变质。 （2）包装必须要符合相关法律法规的要求，包括与环境、职业健康和安全有关的法律、法规标准。 （3）运输包装应根据产品的特点及国家相关标准标注有相应的运输标志。 （4）中标人负责将货物运输并卸载到采购人指定地点。</w:t>
            </w:r>
          </w:p>
        </w:tc>
      </w:tr>
      <w:tr>
        <w:tc>
          <w:tcPr>
            <w:tcW w:type="dxa" w:w="2076"/>
          </w:tcPr>
          <w:p>
            <w:pPr>
              <w:jc w:val="center"/>
            </w:pPr>
          </w:p>
        </w:tc>
        <w:tc>
          <w:tcPr>
            <w:tcW w:type="dxa" w:w="2076"/>
          </w:tcPr>
          <w:p>
            <w:pPr>
              <w:jc w:val="center"/>
            </w:pPr>
            <w:r>
              <w:rPr/>
              <w:t>6</w:t>
            </w:r>
          </w:p>
        </w:tc>
        <w:tc>
          <w:tcPr>
            <w:tcW w:type="dxa" w:w="2076"/>
          </w:tcPr>
          <w:p>
            <w:pPr>
              <w:jc w:val="left"/>
            </w:pPr>
            <w:r>
              <w:rPr/>
              <w:t>安装、调试与测试</w:t>
            </w:r>
          </w:p>
        </w:tc>
        <w:tc>
          <w:tcPr>
            <w:tcW w:type="dxa" w:w="2076"/>
          </w:tcPr>
          <w:p>
            <w:pPr>
              <w:jc w:val="left"/>
            </w:pPr>
            <w:r>
              <w:rPr/>
              <w:t>（1）中标人必须依照招标文件的要求和投标文件的承诺，将设备、系统安装并调试至正常运行的最佳状态，测试无故障。 （2）合同设备安装 1）各种设备必须提供装箱清单，按合同清单验收货物。 2）中标人安装时须对各安装场地内的其他设备、设施有良好保护措施。如损坏采购人院内设备、设施，中标人需与采购人协商赔偿事宜。</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急救和生命支持设备</w:t>
            </w:r>
          </w:p>
        </w:tc>
        <w:tc>
          <w:tcPr>
            <w:tcW w:type="dxa" w:w="831"/>
          </w:tcPr>
          <w:p>
            <w:pPr>
              <w:jc w:val="left"/>
            </w:pPr>
            <w:r>
              <w:rPr/>
              <w:t>麻醉机</w:t>
            </w:r>
          </w:p>
        </w:tc>
        <w:tc>
          <w:tcPr>
            <w:tcW w:type="dxa" w:w="831"/>
          </w:tcPr>
          <w:p>
            <w:pPr>
              <w:jc w:val="left"/>
            </w:pPr>
            <w:r>
              <w:rPr/>
              <w:t>台</w:t>
            </w:r>
          </w:p>
        </w:tc>
        <w:tc>
          <w:tcPr>
            <w:tcW w:type="dxa" w:w="831"/>
          </w:tcPr>
          <w:p>
            <w:pPr>
              <w:jc w:val="right"/>
            </w:pPr>
            <w:r>
              <w:rPr/>
              <w:t>4.00</w:t>
            </w:r>
          </w:p>
        </w:tc>
        <w:tc>
          <w:tcPr>
            <w:tcW w:type="dxa" w:w="831"/>
          </w:tcPr>
          <w:p>
            <w:pPr>
              <w:jc w:val="right"/>
            </w:pPr>
            <w:r>
              <w:rPr/>
              <w:t>380,000.00</w:t>
            </w:r>
          </w:p>
        </w:tc>
        <w:tc>
          <w:tcPr>
            <w:tcW w:type="dxa" w:w="831"/>
          </w:tcPr>
          <w:p>
            <w:pPr>
              <w:jc w:val="right"/>
            </w:pPr>
            <w:r>
              <w:rPr/>
              <w:t>1,520,000.00</w:t>
            </w:r>
          </w:p>
        </w:tc>
        <w:tc>
          <w:tcPr>
            <w:tcW w:type="dxa" w:w="831"/>
          </w:tcPr>
          <w:p>
            <w:r>
              <w:rPr/>
              <w:t>工业</w:t>
            </w:r>
          </w:p>
        </w:tc>
        <w:tc>
          <w:tcPr>
            <w:tcW w:type="dxa" w:w="831"/>
          </w:tcPr>
          <w:p>
            <w:r>
              <w:rPr/>
              <w:t>详见附表一</w:t>
            </w:r>
          </w:p>
        </w:tc>
      </w:tr>
    </w:tbl>
    <w:p/>
    <w:p>
      <w:r>
        <w:rPr>
          <w:b/>
        </w:rPr>
        <w:t>附表</w:t>
      </w:r>
      <w:r>
        <w:rPr>
          <w:b/>
        </w:rPr>
        <w:t>一</w:t>
      </w:r>
      <w:r>
        <w:rPr>
          <w:b/>
        </w:rPr>
        <w:t>：</w:t>
      </w:r>
      <w:r>
        <w:rPr>
          <w:b/>
        </w:rPr>
        <w:t>麻醉机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总体要求：</w:t>
            </w:r>
          </w:p>
          <w:p>
            <w:pPr>
              <w:jc w:val="both"/>
            </w:pPr>
            <w:r>
              <w:rPr>
                <w:sz w:val="21"/>
              </w:rPr>
              <w:t>★（</w:t>
            </w:r>
            <w:r>
              <w:rPr>
                <w:sz w:val="21"/>
              </w:rPr>
              <w:t>1</w:t>
            </w:r>
            <w:r>
              <w:rPr>
                <w:sz w:val="21"/>
              </w:rPr>
              <w:t>）、所投产品具有有效的</w:t>
            </w:r>
            <w:r>
              <w:rPr>
                <w:sz w:val="21"/>
              </w:rPr>
              <w:t>第二类</w:t>
            </w:r>
            <w:r>
              <w:rPr>
                <w:sz w:val="21"/>
              </w:rPr>
              <w:t>医疗器械注册证明资料</w:t>
            </w:r>
          </w:p>
          <w:p>
            <w:pPr>
              <w:jc w:val="both"/>
            </w:pPr>
            <w:r>
              <w:rPr>
                <w:sz w:val="21"/>
              </w:rPr>
              <w:t>（</w:t>
            </w:r>
            <w:r>
              <w:rPr>
                <w:sz w:val="21"/>
              </w:rPr>
              <w:t>2</w:t>
            </w:r>
            <w:r>
              <w:rPr>
                <w:sz w:val="21"/>
              </w:rPr>
              <w:t>）</w:t>
            </w:r>
            <w:r>
              <w:rPr>
                <w:sz w:val="21"/>
              </w:rPr>
              <w:t>“★”号条款是关键技术参数，一项不符合即导致该投标人投标无效。所有投标人必须严格按照招标文件的内容进行填写，如不能填写请提供说明。“▲”号条款为评审时的重要技术参数，不作为投标无效条款。</w:t>
            </w:r>
          </w:p>
          <w:p>
            <w:pPr>
              <w:jc w:val="both"/>
            </w:pPr>
            <w:r>
              <w:rPr>
                <w:b/>
                <w:sz w:val="21"/>
              </w:rPr>
              <w:t>麻醉机技术参数</w:t>
            </w:r>
          </w:p>
          <w:p>
            <w:pPr>
              <w:jc w:val="both"/>
            </w:pPr>
            <w:r>
              <w:rPr>
                <w:sz w:val="21"/>
              </w:rPr>
              <w:t>1</w:t>
            </w:r>
            <w:r>
              <w:rPr>
                <w:sz w:val="21"/>
              </w:rPr>
              <w:t>、货物名称：麻醉工作站</w:t>
            </w:r>
          </w:p>
          <w:p>
            <w:pPr>
              <w:jc w:val="both"/>
            </w:pPr>
            <w:r>
              <w:rPr>
                <w:sz w:val="21"/>
              </w:rPr>
              <w:t>2</w:t>
            </w:r>
            <w:r>
              <w:rPr>
                <w:sz w:val="21"/>
              </w:rPr>
              <w:t>、数量 ：</w:t>
            </w:r>
            <w:r>
              <w:rPr>
                <w:sz w:val="21"/>
              </w:rPr>
              <w:t>4</w:t>
            </w:r>
            <w:r>
              <w:rPr>
                <w:sz w:val="21"/>
              </w:rPr>
              <w:t>台</w:t>
            </w:r>
            <w:r>
              <w:rPr>
                <w:sz w:val="21"/>
              </w:rPr>
              <w:t xml:space="preserve">  </w:t>
            </w:r>
          </w:p>
          <w:p>
            <w:pPr>
              <w:jc w:val="both"/>
            </w:pPr>
            <w:r>
              <w:rPr>
                <w:sz w:val="21"/>
              </w:rPr>
              <w:t>3</w:t>
            </w:r>
            <w:r>
              <w:rPr>
                <w:sz w:val="21"/>
              </w:rPr>
              <w:t>、技术规格：</w:t>
            </w:r>
          </w:p>
          <w:p>
            <w:pPr>
              <w:jc w:val="both"/>
            </w:pPr>
            <w:r>
              <w:rPr>
                <w:sz w:val="21"/>
              </w:rPr>
              <w:t>3.1</w:t>
            </w:r>
            <w:r>
              <w:rPr>
                <w:sz w:val="21"/>
              </w:rPr>
              <w:t>工作条件</w:t>
            </w:r>
          </w:p>
          <w:p>
            <w:pPr>
              <w:jc w:val="both"/>
            </w:pPr>
            <w:r>
              <w:rPr>
                <w:sz w:val="21"/>
              </w:rPr>
              <w:t>3.1.1</w:t>
            </w:r>
            <w:r>
              <w:rPr>
                <w:sz w:val="21"/>
              </w:rPr>
              <w:t>操作环境，温度：</w:t>
            </w:r>
            <w:r>
              <w:rPr>
                <w:sz w:val="21"/>
              </w:rPr>
              <w:t>10°</w:t>
            </w:r>
            <w:r>
              <w:rPr>
                <w:sz w:val="21"/>
              </w:rPr>
              <w:t>至</w:t>
            </w:r>
            <w:r>
              <w:rPr>
                <w:sz w:val="21"/>
              </w:rPr>
              <w:t>40°C</w:t>
            </w:r>
            <w:r>
              <w:rPr>
                <w:sz w:val="21"/>
              </w:rPr>
              <w:t>，湿度：</w:t>
            </w:r>
            <w:r>
              <w:rPr>
                <w:sz w:val="21"/>
              </w:rPr>
              <w:t>15%</w:t>
            </w:r>
            <w:r>
              <w:rPr>
                <w:sz w:val="21"/>
              </w:rPr>
              <w:t>至</w:t>
            </w:r>
            <w:r>
              <w:rPr>
                <w:sz w:val="21"/>
              </w:rPr>
              <w:t>95%</w:t>
            </w:r>
            <w:r>
              <w:rPr>
                <w:sz w:val="21"/>
              </w:rPr>
              <w:t>，大气压：</w:t>
            </w:r>
            <w:r>
              <w:rPr>
                <w:sz w:val="21"/>
              </w:rPr>
              <w:t>500</w:t>
            </w:r>
            <w:r>
              <w:rPr>
                <w:sz w:val="21"/>
              </w:rPr>
              <w:t>至</w:t>
            </w:r>
            <w:r>
              <w:rPr>
                <w:sz w:val="21"/>
              </w:rPr>
              <w:t>800 mmHg</w:t>
            </w:r>
          </w:p>
          <w:p>
            <w:pPr>
              <w:jc w:val="both"/>
            </w:pPr>
            <w:r>
              <w:rPr>
                <w:sz w:val="21"/>
              </w:rPr>
              <w:t>3.1.2</w:t>
            </w:r>
            <w:r>
              <w:rPr>
                <w:sz w:val="21"/>
              </w:rPr>
              <w:t>电源：</w:t>
            </w:r>
            <w:r>
              <w:rPr>
                <w:sz w:val="21"/>
              </w:rPr>
              <w:t>220V (±10%), 50Hz(±2%)</w:t>
            </w:r>
          </w:p>
          <w:p>
            <w:pPr>
              <w:jc w:val="both"/>
            </w:pPr>
            <w:r>
              <w:rPr>
                <w:sz w:val="21"/>
              </w:rPr>
              <w:t>3.1.3</w:t>
            </w:r>
            <w:r>
              <w:rPr>
                <w:sz w:val="21"/>
              </w:rPr>
              <w:t>后备电池使用时间：</w:t>
            </w:r>
            <w:r>
              <w:rPr>
                <w:sz w:val="21"/>
              </w:rPr>
              <w:t>≥90</w:t>
            </w:r>
            <w:r>
              <w:rPr>
                <w:sz w:val="21"/>
              </w:rPr>
              <w:t>分钟</w:t>
            </w:r>
          </w:p>
          <w:p>
            <w:pPr>
              <w:jc w:val="both"/>
            </w:pPr>
            <w:r>
              <w:rPr>
                <w:sz w:val="21"/>
              </w:rPr>
              <w:t>3.1.4</w:t>
            </w:r>
            <w:r>
              <w:rPr>
                <w:sz w:val="21"/>
              </w:rPr>
              <w:t>机架：带推车，前扶手，三个大抽屉，中央脚刹</w:t>
            </w:r>
          </w:p>
          <w:p>
            <w:pPr>
              <w:jc w:val="both"/>
            </w:pPr>
            <w:r>
              <w:rPr>
                <w:sz w:val="21"/>
              </w:rPr>
              <w:t>3.1.5</w:t>
            </w:r>
            <w:r>
              <w:rPr>
                <w:sz w:val="21"/>
              </w:rPr>
              <w:t>工作台双层灯光亮度可调，全金属台面</w:t>
            </w:r>
          </w:p>
          <w:p>
            <w:pPr>
              <w:jc w:val="both"/>
            </w:pPr>
            <w:r>
              <w:rPr>
                <w:sz w:val="21"/>
              </w:rPr>
              <w:t>3.1.6</w:t>
            </w:r>
            <w:r>
              <w:rPr>
                <w:sz w:val="21"/>
              </w:rPr>
              <w:t>标配气体模块侧插槽</w:t>
            </w:r>
          </w:p>
          <w:p>
            <w:pPr>
              <w:jc w:val="both"/>
            </w:pPr>
            <w:r>
              <w:rPr>
                <w:sz w:val="21"/>
              </w:rPr>
              <w:t>3.1.7</w:t>
            </w:r>
            <w:r>
              <w:rPr>
                <w:sz w:val="21"/>
              </w:rPr>
              <w:t>标配</w:t>
            </w:r>
            <w:r>
              <w:rPr>
                <w:sz w:val="21"/>
              </w:rPr>
              <w:t>RS232</w:t>
            </w:r>
            <w:r>
              <w:rPr>
                <w:sz w:val="21"/>
              </w:rPr>
              <w:t>接口，以太网络接口，投影仪分屏接口。</w:t>
            </w:r>
          </w:p>
          <w:p>
            <w:pPr>
              <w:jc w:val="both"/>
            </w:pPr>
            <w:r>
              <w:rPr>
                <w:sz w:val="21"/>
              </w:rPr>
              <w:t>3.1.8</w:t>
            </w:r>
            <w:r>
              <w:rPr>
                <w:sz w:val="21"/>
              </w:rPr>
              <w:t>标配缆线防缠绕功能，防止在推动机器过程中脚轮被环境中线缆缠绕。</w:t>
            </w:r>
          </w:p>
          <w:p>
            <w:pPr>
              <w:jc w:val="both"/>
            </w:pPr>
            <w:r>
              <w:rPr>
                <w:sz w:val="21"/>
              </w:rPr>
              <w:t>3.2</w:t>
            </w:r>
            <w:r>
              <w:rPr>
                <w:sz w:val="21"/>
              </w:rPr>
              <w:t>气源</w:t>
            </w:r>
          </w:p>
          <w:p>
            <w:pPr>
              <w:jc w:val="both"/>
            </w:pPr>
            <w:r>
              <w:rPr>
                <w:sz w:val="21"/>
              </w:rPr>
              <w:t>3.2.1</w:t>
            </w:r>
            <w:r>
              <w:rPr>
                <w:sz w:val="21"/>
              </w:rPr>
              <w:t>氧气：具备安全保护装置，在供氧压低于</w:t>
            </w:r>
            <w:r>
              <w:rPr>
                <w:sz w:val="21"/>
              </w:rPr>
              <w:t>252Kpa</w:t>
            </w:r>
            <w:r>
              <w:rPr>
                <w:sz w:val="21"/>
              </w:rPr>
              <w:t>时报警</w:t>
            </w:r>
          </w:p>
          <w:p>
            <w:pPr>
              <w:jc w:val="both"/>
            </w:pPr>
            <w:r>
              <w:rPr>
                <w:sz w:val="21"/>
              </w:rPr>
              <w:t>3.2.2</w:t>
            </w:r>
            <w:r>
              <w:rPr>
                <w:sz w:val="21"/>
              </w:rPr>
              <w:t>具有空气气源及接口</w:t>
            </w:r>
          </w:p>
          <w:p>
            <w:pPr>
              <w:jc w:val="both"/>
            </w:pPr>
            <w:r>
              <w:rPr>
                <w:sz w:val="21"/>
              </w:rPr>
              <w:t>3.2.3</w:t>
            </w:r>
            <w:r>
              <w:rPr>
                <w:sz w:val="21"/>
              </w:rPr>
              <w:t>快速充氧范围</w:t>
            </w:r>
            <w:r>
              <w:rPr>
                <w:sz w:val="21"/>
              </w:rPr>
              <w:t>25-75L/min</w:t>
            </w:r>
          </w:p>
          <w:p>
            <w:pPr>
              <w:jc w:val="both"/>
            </w:pPr>
            <w:r>
              <w:rPr>
                <w:sz w:val="21"/>
              </w:rPr>
              <w:t>3.3</w:t>
            </w:r>
            <w:r>
              <w:rPr>
                <w:sz w:val="21"/>
              </w:rPr>
              <w:t>流量计</w:t>
            </w:r>
          </w:p>
          <w:p>
            <w:pPr>
              <w:jc w:val="both"/>
            </w:pPr>
            <w:r>
              <w:rPr>
                <w:sz w:val="21"/>
              </w:rPr>
              <w:t>3.3.1</w:t>
            </w:r>
            <w:r>
              <w:rPr>
                <w:sz w:val="21"/>
              </w:rPr>
              <w:t>电子流量计，氧气、空气，流量通过呼吸机屏幕及数码管两种方式电子显示；流量范围</w:t>
            </w:r>
            <w:r>
              <w:rPr>
                <w:sz w:val="21"/>
              </w:rPr>
              <w:t>0.1-15 l/min</w:t>
            </w:r>
          </w:p>
          <w:p>
            <w:pPr>
              <w:jc w:val="both"/>
            </w:pPr>
            <w:r>
              <w:rPr>
                <w:sz w:val="21"/>
              </w:rPr>
              <w:t>3.3.2</w:t>
            </w:r>
            <w:r>
              <w:rPr>
                <w:sz w:val="21"/>
              </w:rPr>
              <w:t>具备备用机械流量管，流量范围</w:t>
            </w:r>
            <w:r>
              <w:rPr>
                <w:sz w:val="21"/>
              </w:rPr>
              <w:t>1-10 l/min</w:t>
            </w:r>
            <w:r>
              <w:rPr>
                <w:sz w:val="21"/>
              </w:rPr>
              <w:t>，保证在停电时能正常工作</w:t>
            </w:r>
          </w:p>
          <w:p>
            <w:pPr>
              <w:jc w:val="both"/>
            </w:pPr>
            <w:r>
              <w:rPr>
                <w:sz w:val="21"/>
              </w:rPr>
              <w:t>3.4</w:t>
            </w:r>
            <w:r>
              <w:rPr>
                <w:sz w:val="21"/>
              </w:rPr>
              <w:t>挥发罐</w:t>
            </w:r>
          </w:p>
          <w:p>
            <w:pPr>
              <w:jc w:val="both"/>
            </w:pPr>
            <w:r>
              <w:rPr>
                <w:sz w:val="21"/>
              </w:rPr>
              <w:t>3.4.1</w:t>
            </w:r>
            <w:r>
              <w:rPr>
                <w:sz w:val="21"/>
              </w:rPr>
              <w:t>≥2</w:t>
            </w:r>
            <w:r>
              <w:rPr>
                <w:sz w:val="21"/>
              </w:rPr>
              <w:t>个挥发罐的位置，标配一个七氟醚挥发罐，可</w:t>
            </w:r>
            <w:r>
              <w:rPr>
                <w:sz w:val="21"/>
              </w:rPr>
              <w:t>升级</w:t>
            </w:r>
            <w:r>
              <w:rPr>
                <w:sz w:val="21"/>
              </w:rPr>
              <w:t>厂同品牌地氟醚挥发罐。</w:t>
            </w:r>
          </w:p>
          <w:p>
            <w:pPr>
              <w:jc w:val="both"/>
            </w:pPr>
            <w:r>
              <w:rPr>
                <w:sz w:val="21"/>
              </w:rPr>
              <w:t>3.4.2</w:t>
            </w:r>
            <w:r>
              <w:rPr>
                <w:sz w:val="21"/>
              </w:rPr>
              <w:t>快速加药器式挥发罐，既保证快速加药，又保证无药物泄漏造成的浪费和环境污染</w:t>
            </w:r>
          </w:p>
          <w:p>
            <w:pPr>
              <w:jc w:val="both"/>
            </w:pPr>
            <w:r>
              <w:rPr>
                <w:sz w:val="21"/>
              </w:rPr>
              <w:t>3.5</w:t>
            </w:r>
            <w:r>
              <w:rPr>
                <w:sz w:val="21"/>
              </w:rPr>
              <w:t>呼吸回路</w:t>
            </w:r>
          </w:p>
          <w:p>
            <w:pPr>
              <w:jc w:val="both"/>
            </w:pPr>
            <w:r>
              <w:rPr>
                <w:sz w:val="21"/>
              </w:rPr>
              <w:t>3.5.1</w:t>
            </w:r>
            <w:r>
              <w:rPr>
                <w:sz w:val="21"/>
              </w:rPr>
              <w:t>≤3L</w:t>
            </w:r>
            <w:r>
              <w:rPr>
                <w:sz w:val="21"/>
              </w:rPr>
              <w:t>回路容积，为快速调节新鲜气体流量以及输出麻药浓度提供保障。</w:t>
            </w:r>
          </w:p>
          <w:p>
            <w:pPr>
              <w:jc w:val="both"/>
            </w:pPr>
            <w:r>
              <w:rPr>
                <w:sz w:val="21"/>
              </w:rPr>
              <w:t>3.5.2</w:t>
            </w:r>
            <w:r>
              <w:rPr>
                <w:sz w:val="21"/>
              </w:rPr>
              <w:t>模块化呼吸回路，所有传感器及连接电缆内置在回路内；所有回路模块不用任何工具可以拆卸、安装</w:t>
            </w:r>
          </w:p>
          <w:p>
            <w:pPr>
              <w:jc w:val="both"/>
            </w:pPr>
            <w:r>
              <w:rPr>
                <w:sz w:val="21"/>
              </w:rPr>
              <w:t>3.5.3</w:t>
            </w:r>
            <w:r>
              <w:rPr>
                <w:sz w:val="21"/>
              </w:rPr>
              <w:t>▲</w:t>
            </w:r>
            <w:r>
              <w:rPr>
                <w:sz w:val="21"/>
              </w:rPr>
              <w:t>所有模块（含流量传感器）标注并可耐受</w:t>
            </w:r>
            <w:r>
              <w:rPr>
                <w:sz w:val="21"/>
              </w:rPr>
              <w:t>≥134℃</w:t>
            </w:r>
            <w:r>
              <w:rPr>
                <w:sz w:val="21"/>
              </w:rPr>
              <w:t>高温高压消毒避免院内交叉感染</w:t>
            </w:r>
          </w:p>
          <w:p>
            <w:pPr>
              <w:jc w:val="both"/>
            </w:pPr>
            <w:r>
              <w:rPr>
                <w:sz w:val="21"/>
              </w:rPr>
              <w:t>3.5.4</w:t>
            </w:r>
            <w:r>
              <w:rPr>
                <w:sz w:val="21"/>
              </w:rPr>
              <w:t>▲</w:t>
            </w:r>
            <w:r>
              <w:rPr>
                <w:sz w:val="21"/>
              </w:rPr>
              <w:t>二氧化碳吸收罐，容积</w:t>
            </w:r>
            <w:r>
              <w:rPr>
                <w:sz w:val="21"/>
              </w:rPr>
              <w:t>≥1370ml/1150g</w:t>
            </w:r>
          </w:p>
          <w:p>
            <w:pPr>
              <w:jc w:val="both"/>
            </w:pPr>
            <w:r>
              <w:rPr>
                <w:sz w:val="21"/>
              </w:rPr>
              <w:t>3.5.5</w:t>
            </w:r>
            <w:r>
              <w:rPr>
                <w:sz w:val="21"/>
              </w:rPr>
              <w:t>标配内置二氧化碳旁路功能，支持术中更换钠石灰</w:t>
            </w:r>
          </w:p>
          <w:p>
            <w:pPr>
              <w:jc w:val="both"/>
            </w:pPr>
            <w:r>
              <w:rPr>
                <w:sz w:val="21"/>
              </w:rPr>
              <w:t>3.5.6</w:t>
            </w:r>
            <w:r>
              <w:rPr>
                <w:sz w:val="21"/>
              </w:rPr>
              <w:t>内置冷凝功能，采用物理方式解决回路积水问题</w:t>
            </w:r>
          </w:p>
          <w:p>
            <w:pPr>
              <w:jc w:val="both"/>
            </w:pPr>
            <w:r>
              <w:rPr>
                <w:sz w:val="21"/>
              </w:rPr>
              <w:t>3.5.7</w:t>
            </w:r>
            <w:r>
              <w:rPr>
                <w:sz w:val="21"/>
              </w:rPr>
              <w:t>智能回路系统，能识别和显示：正在使用回路类型、正在使用呼吸模式以及</w:t>
            </w:r>
            <w:r>
              <w:rPr>
                <w:sz w:val="21"/>
              </w:rPr>
              <w:t>CO2</w:t>
            </w:r>
            <w:r>
              <w:rPr>
                <w:sz w:val="21"/>
              </w:rPr>
              <w:t>吸收罐状态</w:t>
            </w:r>
          </w:p>
          <w:p>
            <w:pPr>
              <w:jc w:val="both"/>
            </w:pPr>
            <w:r>
              <w:rPr>
                <w:sz w:val="21"/>
              </w:rPr>
              <w:t>3.5.8</w:t>
            </w:r>
            <w:r>
              <w:rPr>
                <w:sz w:val="21"/>
              </w:rPr>
              <w:t>具备附加吸氧功能，无需开机即可给病人吸氧</w:t>
            </w:r>
          </w:p>
          <w:p>
            <w:pPr>
              <w:jc w:val="both"/>
            </w:pPr>
            <w:r>
              <w:rPr>
                <w:sz w:val="21"/>
              </w:rPr>
              <w:t>3.5.9</w:t>
            </w:r>
            <w:r>
              <w:rPr>
                <w:sz w:val="21"/>
              </w:rPr>
              <w:t>具备附加新鲜气体出口，可以直接连接特殊的开放式回路，如</w:t>
            </w:r>
            <w:r>
              <w:rPr>
                <w:sz w:val="21"/>
              </w:rPr>
              <w:t>Bain</w:t>
            </w:r>
            <w:r>
              <w:rPr>
                <w:sz w:val="21"/>
              </w:rPr>
              <w:t>回路、</w:t>
            </w:r>
            <w:r>
              <w:rPr>
                <w:sz w:val="21"/>
              </w:rPr>
              <w:t>T</w:t>
            </w:r>
            <w:r>
              <w:rPr>
                <w:sz w:val="21"/>
              </w:rPr>
              <w:t>管回路</w:t>
            </w:r>
          </w:p>
          <w:p>
            <w:pPr>
              <w:jc w:val="both"/>
            </w:pPr>
            <w:r>
              <w:rPr>
                <w:sz w:val="21"/>
              </w:rPr>
              <w:t>3.5.10</w:t>
            </w:r>
            <w:r>
              <w:rPr>
                <w:sz w:val="21"/>
              </w:rPr>
              <w:t>采用水管理回路构造，智能引导水行进方向，保证回路不受积水影响</w:t>
            </w:r>
          </w:p>
          <w:p>
            <w:pPr>
              <w:jc w:val="both"/>
            </w:pPr>
            <w:r>
              <w:rPr>
                <w:sz w:val="21"/>
              </w:rPr>
              <w:t>3.5.11</w:t>
            </w:r>
            <w:r>
              <w:rPr>
                <w:sz w:val="21"/>
              </w:rPr>
              <w:t>上升式风箱，可以直接观察病人实际呼吸状态，保证安全</w:t>
            </w:r>
          </w:p>
          <w:p>
            <w:pPr>
              <w:jc w:val="both"/>
            </w:pPr>
            <w:r>
              <w:rPr>
                <w:sz w:val="21"/>
              </w:rPr>
              <w:t>3.6</w:t>
            </w:r>
            <w:r>
              <w:rPr>
                <w:sz w:val="21"/>
              </w:rPr>
              <w:t>呼吸机</w:t>
            </w:r>
          </w:p>
          <w:p>
            <w:pPr>
              <w:jc w:val="both"/>
            </w:pPr>
            <w:r>
              <w:rPr>
                <w:sz w:val="21"/>
              </w:rPr>
              <w:t>3.6.1</w:t>
            </w:r>
            <w:r>
              <w:rPr>
                <w:sz w:val="21"/>
              </w:rPr>
              <w:t>▲</w:t>
            </w:r>
            <w:r>
              <w:rPr>
                <w:sz w:val="21"/>
              </w:rPr>
              <w:t>气动电控呼吸机，支持中英文界面，双轴支臂外置彩色触摸</w:t>
            </w:r>
            <w:r>
              <w:rPr>
                <w:sz w:val="21"/>
              </w:rPr>
              <w:t>装置</w:t>
            </w:r>
            <w:r>
              <w:rPr>
                <w:sz w:val="21"/>
              </w:rPr>
              <w:t xml:space="preserve"> </w:t>
            </w:r>
          </w:p>
          <w:p>
            <w:pPr>
              <w:jc w:val="both"/>
            </w:pPr>
            <w:r>
              <w:rPr>
                <w:sz w:val="21"/>
              </w:rPr>
              <w:t>3.6.2</w:t>
            </w:r>
            <w:r>
              <w:rPr>
                <w:sz w:val="21"/>
              </w:rPr>
              <w:t>▲</w:t>
            </w:r>
            <w:r>
              <w:rPr>
                <w:sz w:val="21"/>
              </w:rPr>
              <w:t>应用范围：新生儿、儿童及成人等所有病人通气</w:t>
            </w:r>
          </w:p>
          <w:p>
            <w:pPr>
              <w:jc w:val="both"/>
            </w:pPr>
            <w:r>
              <w:rPr>
                <w:sz w:val="21"/>
              </w:rPr>
              <w:t>3.6.3</w:t>
            </w:r>
            <w:r>
              <w:rPr>
                <w:sz w:val="21"/>
              </w:rPr>
              <w:t>▲≥15</w:t>
            </w:r>
            <w:r>
              <w:rPr>
                <w:sz w:val="21"/>
              </w:rPr>
              <w:t>英寸彩色可</w:t>
            </w:r>
            <w:r>
              <w:rPr>
                <w:sz w:val="21"/>
              </w:rPr>
              <w:t>≥270</w:t>
            </w:r>
            <w:r>
              <w:rPr>
                <w:sz w:val="21"/>
              </w:rPr>
              <w:t>度平面旋转及可调节倾斜度的第二代高触感</w:t>
            </w:r>
            <w:r>
              <w:rPr>
                <w:sz w:val="21"/>
              </w:rPr>
              <w:t>SAW</w:t>
            </w:r>
            <w:r>
              <w:rPr>
                <w:sz w:val="21"/>
              </w:rPr>
              <w:t>（</w:t>
            </w:r>
            <w:r>
              <w:rPr>
                <w:sz w:val="21"/>
              </w:rPr>
              <w:t>Surface Acoustic Wave</w:t>
            </w:r>
            <w:r>
              <w:rPr>
                <w:sz w:val="21"/>
              </w:rPr>
              <w:t>）玻璃触摸显示屏幕，具备双分屏显示功能</w:t>
            </w:r>
            <w:r>
              <w:rPr>
                <w:sz w:val="21"/>
              </w:rPr>
              <w:t>.</w:t>
            </w:r>
            <w:r>
              <w:rPr>
                <w:sz w:val="21"/>
              </w:rPr>
              <w:t>当触屏失灵</w:t>
            </w:r>
            <w:r>
              <w:rPr>
                <w:sz w:val="21"/>
              </w:rPr>
              <w:t>,</w:t>
            </w:r>
            <w:r>
              <w:rPr>
                <w:sz w:val="21"/>
              </w:rPr>
              <w:t>手动可调</w:t>
            </w:r>
            <w:r>
              <w:rPr>
                <w:sz w:val="21"/>
              </w:rPr>
              <w:t>.</w:t>
            </w:r>
          </w:p>
          <w:p>
            <w:pPr>
              <w:jc w:val="both"/>
            </w:pPr>
            <w:r>
              <w:rPr>
                <w:sz w:val="21"/>
              </w:rPr>
              <w:t>3.6.4</w:t>
            </w:r>
            <w:r>
              <w:rPr>
                <w:sz w:val="21"/>
              </w:rPr>
              <w:t>▲</w:t>
            </w:r>
            <w:r>
              <w:rPr>
                <w:sz w:val="21"/>
              </w:rPr>
              <w:t>可选择的全自检或部分自检功能，既能保证安全的使用，又能保证紧急抢救时的快速启动，可无限次跳过自检</w:t>
            </w:r>
          </w:p>
          <w:p>
            <w:pPr>
              <w:jc w:val="both"/>
            </w:pPr>
            <w:r>
              <w:rPr>
                <w:sz w:val="21"/>
              </w:rPr>
              <w:t>3.6.5</w:t>
            </w:r>
            <w:r>
              <w:rPr>
                <w:sz w:val="21"/>
              </w:rPr>
              <w:t>▲</w:t>
            </w:r>
            <w:r>
              <w:rPr>
                <w:sz w:val="21"/>
              </w:rPr>
              <w:t>自动检测挥发罐状态，提示低压漏气情况，保证医护人员的安全</w:t>
            </w:r>
          </w:p>
          <w:p>
            <w:pPr>
              <w:jc w:val="both"/>
            </w:pPr>
            <w:r>
              <w:rPr>
                <w:sz w:val="21"/>
              </w:rPr>
              <w:t>3.6.6</w:t>
            </w:r>
            <w:r>
              <w:rPr>
                <w:sz w:val="21"/>
              </w:rPr>
              <w:t>▲</w:t>
            </w:r>
            <w:r>
              <w:rPr>
                <w:sz w:val="21"/>
              </w:rPr>
              <w:t>提供辅助</w:t>
            </w:r>
            <w:r>
              <w:rPr>
                <w:sz w:val="21"/>
              </w:rPr>
              <w:t>/</w:t>
            </w:r>
            <w:r>
              <w:rPr>
                <w:sz w:val="21"/>
              </w:rPr>
              <w:t>控制</w:t>
            </w:r>
            <w:r>
              <w:rPr>
                <w:sz w:val="21"/>
              </w:rPr>
              <w:t>/</w:t>
            </w:r>
            <w:r>
              <w:rPr>
                <w:sz w:val="21"/>
              </w:rPr>
              <w:t>支持通气模式，标配</w:t>
            </w:r>
            <w:r>
              <w:rPr>
                <w:sz w:val="21"/>
              </w:rPr>
              <w:t>: VCV</w:t>
            </w:r>
            <w:r>
              <w:rPr>
                <w:sz w:val="21"/>
              </w:rPr>
              <w:t>、</w:t>
            </w:r>
            <w:r>
              <w:rPr>
                <w:sz w:val="21"/>
              </w:rPr>
              <w:t>PCV</w:t>
            </w:r>
            <w:r>
              <w:rPr>
                <w:sz w:val="21"/>
              </w:rPr>
              <w:t>、</w:t>
            </w:r>
            <w:r>
              <w:rPr>
                <w:sz w:val="21"/>
              </w:rPr>
              <w:t>SIMV PCV</w:t>
            </w:r>
            <w:r>
              <w:rPr>
                <w:sz w:val="21"/>
              </w:rPr>
              <w:t>、</w:t>
            </w:r>
            <w:r>
              <w:rPr>
                <w:sz w:val="21"/>
              </w:rPr>
              <w:t>SIMV VCV</w:t>
            </w:r>
            <w:r>
              <w:rPr>
                <w:sz w:val="21"/>
              </w:rPr>
              <w:t>、</w:t>
            </w:r>
            <w:r>
              <w:rPr>
                <w:sz w:val="21"/>
              </w:rPr>
              <w:t>PSV Pro</w:t>
            </w:r>
            <w:r>
              <w:rPr>
                <w:sz w:val="21"/>
              </w:rPr>
              <w:t>、</w:t>
            </w:r>
            <w:r>
              <w:rPr>
                <w:sz w:val="21"/>
              </w:rPr>
              <w:t>PCV-VG</w:t>
            </w:r>
            <w:r>
              <w:rPr>
                <w:sz w:val="21"/>
              </w:rPr>
              <w:t>、手动通气、电子</w:t>
            </w:r>
            <w:r>
              <w:rPr>
                <w:sz w:val="21"/>
              </w:rPr>
              <w:t>PEEP</w:t>
            </w:r>
            <w:r>
              <w:rPr>
                <w:sz w:val="21"/>
              </w:rPr>
              <w:t>等</w:t>
            </w:r>
            <w:r>
              <w:rPr>
                <w:sz w:val="21"/>
              </w:rPr>
              <w:t>。</w:t>
            </w:r>
          </w:p>
          <w:p>
            <w:pPr>
              <w:jc w:val="both"/>
            </w:pPr>
            <w:r>
              <w:rPr>
                <w:sz w:val="21"/>
              </w:rPr>
              <w:t>3.6.7</w:t>
            </w:r>
            <w:r>
              <w:rPr>
                <w:sz w:val="21"/>
              </w:rPr>
              <w:t>标配</w:t>
            </w:r>
            <w:r>
              <w:rPr>
                <w:sz w:val="21"/>
              </w:rPr>
              <w:t>VCV</w:t>
            </w:r>
            <w:r>
              <w:rPr>
                <w:sz w:val="21"/>
              </w:rPr>
              <w:t>心脏旁路功能</w:t>
            </w:r>
          </w:p>
          <w:p>
            <w:pPr>
              <w:jc w:val="both"/>
            </w:pPr>
            <w:r>
              <w:rPr>
                <w:sz w:val="21"/>
              </w:rPr>
              <w:t>3.6.8</w:t>
            </w:r>
            <w:r>
              <w:rPr>
                <w:sz w:val="21"/>
              </w:rPr>
              <w:t>▲</w:t>
            </w:r>
            <w:r>
              <w:rPr>
                <w:sz w:val="21"/>
              </w:rPr>
              <w:t>标配气流暂停功能，适用于机械通气和手动通气模式，通过一键式操作即可实现暂停新鲜气流和报警，方便术中吸痰，管位调整等操作</w:t>
            </w:r>
          </w:p>
          <w:p>
            <w:pPr>
              <w:jc w:val="both"/>
            </w:pPr>
            <w:r>
              <w:rPr>
                <w:sz w:val="21"/>
              </w:rPr>
              <w:t>3.6.9</w:t>
            </w:r>
            <w:r>
              <w:rPr>
                <w:sz w:val="21"/>
              </w:rPr>
              <w:t>▲</w:t>
            </w:r>
            <w:r>
              <w:rPr>
                <w:sz w:val="21"/>
              </w:rPr>
              <w:t>标配肺复张程序功能，支持术中执行单次膨肺和</w:t>
            </w:r>
            <w:r>
              <w:rPr>
                <w:sz w:val="21"/>
              </w:rPr>
              <w:t>PEEP</w:t>
            </w:r>
            <w:r>
              <w:rPr>
                <w:sz w:val="21"/>
              </w:rPr>
              <w:t>递增循环法等肺复张的临床决策，并通过肺顺应性趋势图对治疗效果量化。</w:t>
            </w:r>
          </w:p>
          <w:p>
            <w:pPr>
              <w:jc w:val="both"/>
            </w:pPr>
            <w:r>
              <w:rPr>
                <w:sz w:val="21"/>
              </w:rPr>
              <w:t>3.6.10</w:t>
            </w:r>
            <w:r>
              <w:rPr>
                <w:sz w:val="21"/>
              </w:rPr>
              <w:t>潮气量范围</w:t>
            </w:r>
            <w:r>
              <w:rPr>
                <w:sz w:val="21"/>
              </w:rPr>
              <w:t>:5-1500ml</w:t>
            </w:r>
            <w:r>
              <w:rPr>
                <w:sz w:val="21"/>
              </w:rPr>
              <w:t>（</w:t>
            </w:r>
            <w:r>
              <w:rPr>
                <w:sz w:val="21"/>
              </w:rPr>
              <w:t>VCV</w:t>
            </w:r>
            <w:r>
              <w:rPr>
                <w:sz w:val="21"/>
              </w:rPr>
              <w:t>、</w:t>
            </w:r>
            <w:r>
              <w:rPr>
                <w:sz w:val="21"/>
              </w:rPr>
              <w:t>SIMV PCV-VG</w:t>
            </w:r>
            <w:r>
              <w:rPr>
                <w:sz w:val="21"/>
              </w:rPr>
              <w:t>模式下：</w:t>
            </w:r>
            <w:r>
              <w:rPr>
                <w:sz w:val="21"/>
              </w:rPr>
              <w:t>20ml-1500ml</w:t>
            </w:r>
            <w:r>
              <w:rPr>
                <w:sz w:val="21"/>
              </w:rPr>
              <w:t>，</w:t>
            </w:r>
            <w:r>
              <w:rPr>
                <w:sz w:val="21"/>
              </w:rPr>
              <w:t>PCV</w:t>
            </w:r>
            <w:r>
              <w:rPr>
                <w:sz w:val="21"/>
              </w:rPr>
              <w:t>模式下</w:t>
            </w:r>
            <w:r>
              <w:rPr>
                <w:sz w:val="21"/>
              </w:rPr>
              <w:t>5ml-1500ml</w:t>
            </w:r>
            <w:r>
              <w:rPr>
                <w:sz w:val="21"/>
              </w:rPr>
              <w:t>）</w:t>
            </w:r>
          </w:p>
          <w:p>
            <w:pPr>
              <w:jc w:val="both"/>
            </w:pPr>
            <w:r>
              <w:rPr>
                <w:sz w:val="21"/>
              </w:rPr>
              <w:t>3.6.11</w:t>
            </w:r>
            <w:r>
              <w:rPr>
                <w:sz w:val="21"/>
              </w:rPr>
              <w:t>呼吸频率：</w:t>
            </w:r>
            <w:r>
              <w:rPr>
                <w:sz w:val="21"/>
              </w:rPr>
              <w:t>4-100</w:t>
            </w:r>
            <w:r>
              <w:rPr>
                <w:sz w:val="21"/>
              </w:rPr>
              <w:t>次</w:t>
            </w:r>
            <w:r>
              <w:rPr>
                <w:sz w:val="21"/>
              </w:rPr>
              <w:t>/</w:t>
            </w:r>
            <w:r>
              <w:rPr>
                <w:sz w:val="21"/>
              </w:rPr>
              <w:t>分钟</w:t>
            </w:r>
          </w:p>
          <w:p>
            <w:pPr>
              <w:jc w:val="both"/>
            </w:pPr>
            <w:r>
              <w:rPr>
                <w:sz w:val="21"/>
              </w:rPr>
              <w:t>3.6.12</w:t>
            </w:r>
            <w:r>
              <w:rPr>
                <w:sz w:val="21"/>
              </w:rPr>
              <w:t>吸呼比：</w:t>
            </w:r>
            <w:r>
              <w:rPr>
                <w:sz w:val="21"/>
              </w:rPr>
              <w:t>2:1</w:t>
            </w:r>
            <w:r>
              <w:rPr>
                <w:sz w:val="21"/>
              </w:rPr>
              <w:t>到</w:t>
            </w:r>
            <w:r>
              <w:rPr>
                <w:sz w:val="21"/>
              </w:rPr>
              <w:t>1:8</w:t>
            </w:r>
          </w:p>
          <w:p>
            <w:pPr>
              <w:jc w:val="both"/>
            </w:pPr>
            <w:r>
              <w:rPr>
                <w:sz w:val="21"/>
              </w:rPr>
              <w:t>3.6.13</w:t>
            </w:r>
            <w:r>
              <w:rPr>
                <w:sz w:val="21"/>
              </w:rPr>
              <w:t>最大吸气流速：</w:t>
            </w:r>
            <w:r>
              <w:rPr>
                <w:sz w:val="21"/>
              </w:rPr>
              <w:t>120 l/min+</w:t>
            </w:r>
            <w:r>
              <w:rPr>
                <w:sz w:val="21"/>
              </w:rPr>
              <w:t>新鲜气体流量</w:t>
            </w:r>
          </w:p>
          <w:p>
            <w:pPr>
              <w:jc w:val="both"/>
            </w:pPr>
            <w:r>
              <w:rPr>
                <w:sz w:val="21"/>
              </w:rPr>
              <w:t>3.6.14</w:t>
            </w:r>
            <w:r>
              <w:rPr>
                <w:sz w:val="21"/>
              </w:rPr>
              <w:t>压力范围（压力模式）：</w:t>
            </w:r>
            <w:r>
              <w:rPr>
                <w:sz w:val="21"/>
              </w:rPr>
              <w:t>5</w:t>
            </w:r>
            <w:r>
              <w:rPr>
                <w:sz w:val="21"/>
              </w:rPr>
              <w:t>到</w:t>
            </w:r>
            <w:r>
              <w:rPr>
                <w:sz w:val="21"/>
              </w:rPr>
              <w:t>60 cmH2O</w:t>
            </w:r>
          </w:p>
          <w:p>
            <w:pPr>
              <w:jc w:val="both"/>
            </w:pPr>
            <w:r>
              <w:rPr>
                <w:sz w:val="21"/>
              </w:rPr>
              <w:t>3.6.15</w:t>
            </w:r>
            <w:r>
              <w:rPr>
                <w:sz w:val="21"/>
              </w:rPr>
              <w:t>压力限制范围：</w:t>
            </w:r>
            <w:r>
              <w:rPr>
                <w:sz w:val="21"/>
              </w:rPr>
              <w:t>12</w:t>
            </w:r>
            <w:r>
              <w:rPr>
                <w:sz w:val="21"/>
              </w:rPr>
              <w:t>到</w:t>
            </w:r>
            <w:r>
              <w:rPr>
                <w:sz w:val="21"/>
              </w:rPr>
              <w:t>100 cmH2O</w:t>
            </w:r>
          </w:p>
          <w:p>
            <w:pPr>
              <w:jc w:val="both"/>
            </w:pPr>
            <w:r>
              <w:rPr>
                <w:sz w:val="21"/>
              </w:rPr>
              <w:t>3.6.16</w:t>
            </w:r>
            <w:r>
              <w:rPr>
                <w:sz w:val="21"/>
              </w:rPr>
              <w:t>▲</w:t>
            </w:r>
            <w:r>
              <w:rPr>
                <w:sz w:val="21"/>
              </w:rPr>
              <w:t>标配</w:t>
            </w:r>
            <w:r>
              <w:rPr>
                <w:sz w:val="21"/>
              </w:rPr>
              <w:t>SIMV</w:t>
            </w:r>
            <w:r>
              <w:rPr>
                <w:sz w:val="21"/>
              </w:rPr>
              <w:t>模式：流速触发，触发范围</w:t>
            </w:r>
            <w:r>
              <w:rPr>
                <w:sz w:val="21"/>
              </w:rPr>
              <w:t>: 0.2–10 L/min</w:t>
            </w:r>
            <w:r>
              <w:rPr>
                <w:sz w:val="21"/>
              </w:rPr>
              <w:t>；触发窗范围</w:t>
            </w:r>
            <w:r>
              <w:rPr>
                <w:sz w:val="21"/>
              </w:rPr>
              <w:t>:</w:t>
            </w:r>
            <w:r>
              <w:rPr>
                <w:sz w:val="21"/>
              </w:rPr>
              <w:t>关，</w:t>
            </w:r>
            <w:r>
              <w:rPr>
                <w:sz w:val="21"/>
              </w:rPr>
              <w:t>5%–80%</w:t>
            </w:r>
            <w:r>
              <w:rPr>
                <w:sz w:val="21"/>
              </w:rPr>
              <w:t>呼气时间；机械通气呼吸频率为：</w:t>
            </w:r>
            <w:r>
              <w:rPr>
                <w:sz w:val="21"/>
              </w:rPr>
              <w:t>2-60</w:t>
            </w:r>
            <w:r>
              <w:rPr>
                <w:sz w:val="21"/>
              </w:rPr>
              <w:t>次</w:t>
            </w:r>
            <w:r>
              <w:rPr>
                <w:sz w:val="21"/>
              </w:rPr>
              <w:t>/</w:t>
            </w:r>
            <w:r>
              <w:rPr>
                <w:sz w:val="21"/>
              </w:rPr>
              <w:t>分钟、吸气时间：</w:t>
            </w:r>
            <w:r>
              <w:rPr>
                <w:sz w:val="21"/>
              </w:rPr>
              <w:t>0.2-5.0</w:t>
            </w:r>
            <w:r>
              <w:rPr>
                <w:sz w:val="21"/>
              </w:rPr>
              <w:t>秒；压力支持：</w:t>
            </w:r>
            <w:r>
              <w:rPr>
                <w:sz w:val="21"/>
              </w:rPr>
              <w:t>2-40cmH2O</w:t>
            </w:r>
          </w:p>
          <w:p>
            <w:pPr>
              <w:jc w:val="both"/>
            </w:pPr>
            <w:r>
              <w:rPr>
                <w:sz w:val="21"/>
              </w:rPr>
              <w:t>3.6.17</w:t>
            </w:r>
            <w:r>
              <w:rPr>
                <w:sz w:val="21"/>
              </w:rPr>
              <w:t>▲</w:t>
            </w:r>
            <w:r>
              <w:rPr>
                <w:sz w:val="21"/>
              </w:rPr>
              <w:t>标配具备窒息保护的</w:t>
            </w:r>
            <w:r>
              <w:rPr>
                <w:sz w:val="21"/>
              </w:rPr>
              <w:t>PSVpro</w:t>
            </w:r>
            <w:r>
              <w:rPr>
                <w:sz w:val="21"/>
              </w:rPr>
              <w:t>模式：流速触发；终末吸气流速调节吸、呼转换：</w:t>
            </w:r>
            <w:r>
              <w:rPr>
                <w:sz w:val="21"/>
              </w:rPr>
              <w:t>0%-60%</w:t>
            </w:r>
            <w:r>
              <w:rPr>
                <w:sz w:val="21"/>
              </w:rPr>
              <w:t>峰值流速；压力范围：</w:t>
            </w:r>
            <w:r>
              <w:rPr>
                <w:sz w:val="21"/>
              </w:rPr>
              <w:t>2-40cmH2O</w:t>
            </w:r>
            <w:r>
              <w:rPr>
                <w:sz w:val="21"/>
              </w:rPr>
              <w:t>；窒息发生后</w:t>
            </w:r>
            <w:r>
              <w:rPr>
                <w:sz w:val="21"/>
              </w:rPr>
              <w:t>10—30</w:t>
            </w:r>
            <w:r>
              <w:rPr>
                <w:sz w:val="21"/>
              </w:rPr>
              <w:t>秒范围内可调启动</w:t>
            </w:r>
            <w:r>
              <w:rPr>
                <w:sz w:val="21"/>
              </w:rPr>
              <w:t>SIMV-PCV</w:t>
            </w:r>
            <w:r>
              <w:rPr>
                <w:sz w:val="21"/>
              </w:rPr>
              <w:t>安全模式</w:t>
            </w:r>
          </w:p>
          <w:p>
            <w:pPr>
              <w:jc w:val="both"/>
            </w:pPr>
            <w:r>
              <w:rPr>
                <w:sz w:val="21"/>
              </w:rPr>
              <w:t>3.6.18</w:t>
            </w:r>
            <w:r>
              <w:rPr>
                <w:sz w:val="21"/>
              </w:rPr>
              <w:t>PEEP</w:t>
            </w:r>
            <w:r>
              <w:rPr>
                <w:sz w:val="21"/>
              </w:rPr>
              <w:t>范围：关，</w:t>
            </w:r>
            <w:r>
              <w:rPr>
                <w:sz w:val="21"/>
              </w:rPr>
              <w:t>4</w:t>
            </w:r>
            <w:r>
              <w:rPr>
                <w:sz w:val="21"/>
              </w:rPr>
              <w:t>到</w:t>
            </w:r>
            <w:r>
              <w:rPr>
                <w:sz w:val="21"/>
              </w:rPr>
              <w:t>30 cmH2O</w:t>
            </w:r>
          </w:p>
          <w:p>
            <w:pPr>
              <w:jc w:val="both"/>
            </w:pPr>
            <w:r>
              <w:rPr>
                <w:sz w:val="21"/>
              </w:rPr>
              <w:t>3.6.19</w:t>
            </w:r>
            <w:r>
              <w:rPr>
                <w:sz w:val="21"/>
              </w:rPr>
              <w:t>具备流量静态以及动态实时自动补偿功能，补偿新鲜气体变化、气体压缩、回路顺应性变化以及小的回路泄漏造成的吸入潮气量和设置潮气量的误差；</w:t>
            </w:r>
          </w:p>
          <w:p>
            <w:pPr>
              <w:jc w:val="both"/>
            </w:pPr>
            <w:r>
              <w:rPr>
                <w:sz w:val="21"/>
              </w:rPr>
              <w:t>3.6.20</w:t>
            </w:r>
            <w:r>
              <w:rPr>
                <w:sz w:val="21"/>
              </w:rPr>
              <w:t>智能化呼吸机，有防止错误设置功能，保证麻醉安全</w:t>
            </w:r>
          </w:p>
          <w:p>
            <w:pPr>
              <w:jc w:val="both"/>
            </w:pPr>
            <w:r>
              <w:rPr>
                <w:sz w:val="21"/>
              </w:rPr>
              <w:t>3.6.21</w:t>
            </w:r>
            <w:r>
              <w:rPr>
                <w:sz w:val="21"/>
              </w:rPr>
              <w:t>标配三种工作模式：通气模式、待机模式和心脏手术模式</w:t>
            </w:r>
          </w:p>
          <w:p>
            <w:pPr>
              <w:jc w:val="both"/>
            </w:pPr>
            <w:r>
              <w:rPr>
                <w:sz w:val="21"/>
              </w:rPr>
              <w:t>3.6.22</w:t>
            </w:r>
            <w:r>
              <w:rPr>
                <w:sz w:val="21"/>
              </w:rPr>
              <w:t>≥</w:t>
            </w:r>
            <w:r>
              <w:rPr>
                <w:sz w:val="21"/>
              </w:rPr>
              <w:t>30</w:t>
            </w:r>
            <w:r>
              <w:rPr>
                <w:sz w:val="21"/>
              </w:rPr>
              <w:t>分钟迷你趋势图，可手术中与其他呼吸机参数同屏分屏显示</w:t>
            </w:r>
          </w:p>
          <w:p>
            <w:pPr>
              <w:jc w:val="both"/>
            </w:pPr>
            <w:r>
              <w:rPr>
                <w:sz w:val="21"/>
              </w:rPr>
              <w:t>3.6.23</w:t>
            </w:r>
            <w:r>
              <w:rPr>
                <w:sz w:val="21"/>
              </w:rPr>
              <w:t>标配被动排污系统</w:t>
            </w:r>
            <w:r>
              <w:rPr>
                <w:sz w:val="21"/>
              </w:rPr>
              <w:t>,</w:t>
            </w:r>
            <w:r>
              <w:rPr>
                <w:sz w:val="21"/>
              </w:rPr>
              <w:t>可</w:t>
            </w:r>
            <w:r>
              <w:rPr>
                <w:sz w:val="21"/>
              </w:rPr>
              <w:t>升级</w:t>
            </w:r>
            <w:r>
              <w:rPr>
                <w:sz w:val="21"/>
              </w:rPr>
              <w:t>主动排污</w:t>
            </w:r>
          </w:p>
          <w:p>
            <w:pPr>
              <w:jc w:val="both"/>
            </w:pPr>
            <w:r>
              <w:rPr>
                <w:sz w:val="21"/>
              </w:rPr>
              <w:t>3.7</w:t>
            </w:r>
            <w:r>
              <w:rPr>
                <w:sz w:val="21"/>
              </w:rPr>
              <w:t>数字和波形监测</w:t>
            </w:r>
          </w:p>
          <w:p>
            <w:pPr>
              <w:jc w:val="both"/>
            </w:pPr>
            <w:r>
              <w:rPr>
                <w:sz w:val="21"/>
              </w:rPr>
              <w:t>3.7.1</w:t>
            </w:r>
            <w:r>
              <w:rPr>
                <w:sz w:val="21"/>
              </w:rPr>
              <w:t>监测参数：吸入氧、空气流量、可选笑气、潮气量、分钟通气量、气道压（峰压、平台压、平均压、</w:t>
            </w:r>
            <w:r>
              <w:rPr>
                <w:sz w:val="21"/>
              </w:rPr>
              <w:t>PEEP</w:t>
            </w:r>
            <w:r>
              <w:rPr>
                <w:sz w:val="21"/>
              </w:rPr>
              <w:t>）；实时压力时间、流速时间呼吸波形描记并同屏显示。</w:t>
            </w:r>
          </w:p>
          <w:p>
            <w:pPr>
              <w:jc w:val="both"/>
            </w:pPr>
            <w:r>
              <w:rPr>
                <w:sz w:val="21"/>
              </w:rPr>
              <w:t>3.7.2</w:t>
            </w:r>
            <w:r>
              <w:rPr>
                <w:sz w:val="21"/>
              </w:rPr>
              <w:t>▲</w:t>
            </w:r>
            <w:r>
              <w:rPr>
                <w:sz w:val="21"/>
              </w:rPr>
              <w:t>回路呼吸环监测功能，可监测描记：压力容量环、流量容量环和压力流量环；回路顺应性；气体流速。</w:t>
            </w:r>
          </w:p>
          <w:p>
            <w:pPr>
              <w:jc w:val="both"/>
            </w:pPr>
            <w:r>
              <w:rPr>
                <w:sz w:val="21"/>
              </w:rPr>
              <w:t>3.7.3</w:t>
            </w:r>
            <w:r>
              <w:rPr>
                <w:sz w:val="21"/>
              </w:rPr>
              <w:t>潮气量监测范围：</w:t>
            </w:r>
            <w:r>
              <w:rPr>
                <w:sz w:val="21"/>
              </w:rPr>
              <w:t>5</w:t>
            </w:r>
            <w:r>
              <w:rPr>
                <w:sz w:val="21"/>
              </w:rPr>
              <w:t>到</w:t>
            </w:r>
            <w:r>
              <w:rPr>
                <w:sz w:val="21"/>
              </w:rPr>
              <w:t>1500ml</w:t>
            </w:r>
          </w:p>
          <w:p>
            <w:pPr>
              <w:jc w:val="both"/>
            </w:pPr>
            <w:r>
              <w:rPr>
                <w:sz w:val="21"/>
              </w:rPr>
              <w:t>3.7.4</w:t>
            </w:r>
            <w:r>
              <w:rPr>
                <w:sz w:val="21"/>
              </w:rPr>
              <w:t>报警参数：氧浓度、低驱动压、气道压、潮气量、分钟通气量、窒息</w:t>
            </w:r>
          </w:p>
          <w:p>
            <w:pPr>
              <w:jc w:val="both"/>
            </w:pPr>
            <w:r>
              <w:rPr>
                <w:sz w:val="21"/>
              </w:rPr>
              <w:t>3.7.5</w:t>
            </w:r>
            <w:r>
              <w:rPr>
                <w:sz w:val="21"/>
              </w:rPr>
              <w:t>智能报警限设置功能，可以根据手术参数运行情况智能给出报警限值参考，智能节约操作，提高效率。</w:t>
            </w:r>
          </w:p>
          <w:p>
            <w:pPr>
              <w:jc w:val="both"/>
            </w:pPr>
            <w:r>
              <w:rPr>
                <w:sz w:val="21"/>
              </w:rPr>
              <w:t>3.8</w:t>
            </w:r>
            <w:r>
              <w:rPr>
                <w:sz w:val="21"/>
              </w:rPr>
              <w:t>传感器</w:t>
            </w:r>
          </w:p>
          <w:p>
            <w:pPr>
              <w:jc w:val="both"/>
            </w:pPr>
            <w:r>
              <w:rPr>
                <w:sz w:val="21"/>
              </w:rPr>
              <w:t>3.8.1</w:t>
            </w:r>
            <w:r>
              <w:rPr>
                <w:sz w:val="21"/>
              </w:rPr>
              <w:t>▲</w:t>
            </w:r>
            <w:r>
              <w:rPr>
                <w:sz w:val="21"/>
              </w:rPr>
              <w:t>韧钢抗变型加热流量传感器，可耐受并标注</w:t>
            </w:r>
            <w:r>
              <w:rPr>
                <w:sz w:val="21"/>
              </w:rPr>
              <w:t>≥134℃</w:t>
            </w:r>
            <w:r>
              <w:rPr>
                <w:sz w:val="21"/>
              </w:rPr>
              <w:t>高温高压消毒</w:t>
            </w:r>
          </w:p>
          <w:p>
            <w:pPr>
              <w:jc w:val="both"/>
            </w:pPr>
            <w:r>
              <w:rPr>
                <w:sz w:val="21"/>
              </w:rPr>
              <w:t>3.8.2</w:t>
            </w:r>
            <w:r>
              <w:rPr>
                <w:sz w:val="21"/>
              </w:rPr>
              <w:t>▲</w:t>
            </w:r>
            <w:r>
              <w:rPr>
                <w:sz w:val="21"/>
              </w:rPr>
              <w:t>吸入和呼出端双高精度流量传感器，保证流量自动实时补偿，流量补偿范围：</w:t>
            </w:r>
            <w:r>
              <w:rPr>
                <w:sz w:val="21"/>
              </w:rPr>
              <w:t>200 ml/ min-15 l/min</w:t>
            </w:r>
            <w:r>
              <w:rPr>
                <w:sz w:val="21"/>
              </w:rPr>
              <w:t>；保证</w:t>
            </w:r>
            <w:r>
              <w:rPr>
                <w:sz w:val="21"/>
              </w:rPr>
              <w:t>SIMV</w:t>
            </w:r>
            <w:r>
              <w:rPr>
                <w:sz w:val="21"/>
              </w:rPr>
              <w:t>、</w:t>
            </w:r>
            <w:r>
              <w:rPr>
                <w:sz w:val="21"/>
              </w:rPr>
              <w:t>PSV</w:t>
            </w:r>
            <w:r>
              <w:rPr>
                <w:sz w:val="21"/>
              </w:rPr>
              <w:t>功能的实施</w:t>
            </w:r>
          </w:p>
          <w:p>
            <w:pPr>
              <w:jc w:val="both"/>
            </w:pPr>
            <w:r>
              <w:rPr>
                <w:sz w:val="21"/>
              </w:rPr>
              <w:t>3.8.3</w:t>
            </w:r>
            <w:r>
              <w:rPr>
                <w:sz w:val="21"/>
              </w:rPr>
              <w:t>传感器可耐受</w:t>
            </w:r>
            <w:r>
              <w:rPr>
                <w:sz w:val="21"/>
              </w:rPr>
              <w:t>≥134℃</w:t>
            </w:r>
            <w:r>
              <w:rPr>
                <w:sz w:val="21"/>
              </w:rPr>
              <w:t>高温高压消毒，减少医院维护负担，避免院内交叉感染。</w:t>
            </w:r>
          </w:p>
          <w:p>
            <w:pPr>
              <w:jc w:val="both"/>
            </w:pPr>
            <w:r>
              <w:rPr>
                <w:sz w:val="21"/>
              </w:rPr>
              <w:t>配置清单</w:t>
            </w:r>
          </w:p>
          <w:p>
            <w:pPr>
              <w:jc w:val="both"/>
            </w:pPr>
            <w:r>
              <w:rPr>
                <w:sz w:val="21"/>
              </w:rPr>
              <w:t>单套麻醉</w:t>
            </w:r>
            <w:r>
              <w:rPr>
                <w:sz w:val="21"/>
              </w:rPr>
              <w:t>机</w:t>
            </w:r>
            <w:r>
              <w:rPr>
                <w:sz w:val="21"/>
              </w:rPr>
              <w:t>配置清单</w:t>
            </w:r>
          </w:p>
          <w:tbl>
            <w:tblPr>
              <w:tblInd w:type="dxa" w:w="135"/>
              <w:tblBorders>
                <w:top w:val="none" w:color="000000" w:sz="4"/>
                <w:left w:val="none" w:color="000000" w:sz="4"/>
                <w:bottom w:val="none" w:color="000000" w:sz="4"/>
                <w:right w:val="none" w:color="000000" w:sz="4"/>
                <w:insideH w:val="none"/>
                <w:insideV w:val="none"/>
              </w:tblBorders>
            </w:tblPr>
            <w:tblGrid>
              <w:gridCol w:w="1866"/>
              <w:gridCol w:w="3206"/>
              <w:gridCol w:w="526"/>
            </w:tblGrid>
            <w:tr>
              <w:tc>
                <w:tcPr>
                  <w:tcW w:type="dxa" w:w="1866"/>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3206"/>
                  <w:tcBorders>
                    <w:top w:val="single" w:color="000000" w:sz="4"/>
                    <w:left w:val="single" w:color="000000" w:sz="4"/>
                    <w:bottom w:val="single" w:color="000000" w:sz="4"/>
                    <w:right w:val="single" w:color="000000" w:sz="4"/>
                  </w:tcBorders>
                  <w:vAlign w:val="top"/>
                </w:tcPr>
                <w:p>
                  <w:pPr>
                    <w:jc w:val="both"/>
                  </w:pPr>
                  <w:r>
                    <w:rPr>
                      <w:sz w:val="21"/>
                    </w:rPr>
                    <w:t>名称描述</w:t>
                  </w:r>
                </w:p>
              </w:tc>
              <w:tc>
                <w:tcPr>
                  <w:tcW w:type="dxa" w:w="526"/>
                  <w:tcBorders>
                    <w:top w:val="single" w:color="000000" w:sz="4"/>
                    <w:left w:val="single" w:color="000000" w:sz="4"/>
                    <w:bottom w:val="single" w:color="000000" w:sz="4"/>
                    <w:right w:val="single" w:color="000000" w:sz="4"/>
                  </w:tcBorders>
                  <w:vAlign w:val="top"/>
                </w:tcPr>
                <w:p>
                  <w:pPr>
                    <w:jc w:val="both"/>
                  </w:pPr>
                  <w:r>
                    <w:rPr>
                      <w:sz w:val="21"/>
                    </w:rPr>
                    <w:t>数量</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1</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主机架</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1.1</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中文软件和用户手册</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1.2</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国际标准化认证颜色，</w:t>
                  </w:r>
                  <w:r>
                    <w:rPr>
                      <w:sz w:val="21"/>
                    </w:rPr>
                    <w:t>NIST</w:t>
                  </w:r>
                  <w:r>
                    <w:rPr>
                      <w:sz w:val="21"/>
                    </w:rPr>
                    <w:t>管路配置，氧气左侧</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1.3</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氧空双气源，数字流量计</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1.4</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NIST</w:t>
                  </w:r>
                  <w:r>
                    <w:rPr>
                      <w:sz w:val="21"/>
                    </w:rPr>
                    <w:t>接口，空气管路</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1.5</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备用氧接口</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1.6</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氧气驱动</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1.7</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中国制式电源及电源插座</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1.8</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麻醉显示屏支臂</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1.9</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手动皮囊支臂</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1.10</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排污系统</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2</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压力控制模式</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2.1</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同步呼吸套装</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3</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临床决策工具气流暂停</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3.1</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临床决策工具肺复张程序</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4</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VCV</w:t>
                  </w:r>
                  <w:r>
                    <w:rPr>
                      <w:sz w:val="21"/>
                    </w:rPr>
                    <w:t>心肺旁路功能</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4.1</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钠石灰罐组件</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5</w:t>
                  </w:r>
                </w:p>
              </w:tc>
              <w:tc>
                <w:tcPr>
                  <w:tcW w:type="dxa" w:w="3206"/>
                  <w:tcBorders>
                    <w:top w:val="none" w:color="000000" w:sz="4"/>
                    <w:left w:val="single" w:color="000000" w:sz="4"/>
                    <w:bottom w:val="single" w:color="000000" w:sz="4"/>
                    <w:right w:val="single" w:color="000000" w:sz="4"/>
                  </w:tcBorders>
                  <w:vAlign w:val="bottom"/>
                </w:tcPr>
                <w:p>
                  <w:pPr>
                    <w:jc w:val="both"/>
                  </w:pPr>
                  <w:r>
                    <w:rPr>
                      <w:sz w:val="21"/>
                    </w:rPr>
                    <w:t>柒氟醚蒸发罐</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5.1</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气体管路</w:t>
                  </w:r>
                  <w:r>
                    <w:rPr>
                      <w:sz w:val="21"/>
                    </w:rPr>
                    <w:t>,</w:t>
                  </w:r>
                  <w:r>
                    <w:rPr>
                      <w:sz w:val="21"/>
                    </w:rPr>
                    <w:t>氧气</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r>
              <w:tc>
                <w:tcPr>
                  <w:tcW w:type="dxa" w:w="1866"/>
                  <w:tcBorders>
                    <w:top w:val="none" w:color="000000" w:sz="4"/>
                    <w:left w:val="single" w:color="000000" w:sz="4"/>
                    <w:bottom w:val="single" w:color="000000" w:sz="4"/>
                    <w:right w:val="single" w:color="000000" w:sz="4"/>
                  </w:tcBorders>
                  <w:vAlign w:val="top"/>
                </w:tcPr>
                <w:p>
                  <w:pPr>
                    <w:jc w:val="both"/>
                  </w:pPr>
                  <w:r>
                    <w:rPr>
                      <w:sz w:val="21"/>
                    </w:rPr>
                    <w:t>6</w:t>
                  </w:r>
                </w:p>
              </w:tc>
              <w:tc>
                <w:tcPr>
                  <w:tcW w:type="dxa" w:w="3206"/>
                  <w:tcBorders>
                    <w:top w:val="none" w:color="000000" w:sz="4"/>
                    <w:left w:val="single" w:color="000000" w:sz="4"/>
                    <w:bottom w:val="single" w:color="000000" w:sz="4"/>
                    <w:right w:val="single" w:color="000000" w:sz="4"/>
                  </w:tcBorders>
                  <w:vAlign w:val="top"/>
                </w:tcPr>
                <w:p>
                  <w:pPr>
                    <w:jc w:val="both"/>
                  </w:pPr>
                  <w:r>
                    <w:rPr>
                      <w:sz w:val="21"/>
                    </w:rPr>
                    <w:t>气体管路</w:t>
                  </w:r>
                  <w:r>
                    <w:rPr>
                      <w:sz w:val="21"/>
                    </w:rPr>
                    <w:t>,</w:t>
                  </w:r>
                  <w:r>
                    <w:rPr>
                      <w:sz w:val="21"/>
                    </w:rPr>
                    <w:t>空气</w:t>
                  </w:r>
                </w:p>
              </w:tc>
              <w:tc>
                <w:tcPr>
                  <w:tcW w:type="dxa" w:w="526"/>
                  <w:tcBorders>
                    <w:top w:val="none" w:color="000000" w:sz="4"/>
                    <w:left w:val="single" w:color="000000" w:sz="4"/>
                    <w:bottom w:val="single" w:color="000000" w:sz="4"/>
                    <w:right w:val="single" w:color="000000" w:sz="4"/>
                  </w:tcBorders>
                  <w:vAlign w:val="top"/>
                </w:tcPr>
                <w:p>
                  <w:pPr>
                    <w:jc w:val="both"/>
                  </w:pPr>
                  <w:r>
                    <w:rPr>
                      <w:sz w:val="21"/>
                    </w:rPr>
                    <w:t>1</w:t>
                  </w:r>
                </w:p>
              </w:tc>
            </w:tr>
          </w:tbl>
          <w:p>
            <w:pPr>
              <w:jc w:val="both"/>
            </w:pPr>
            <w:r>
              <w:rPr>
                <w:sz w:val="21"/>
              </w:rPr>
              <w:t>四</w:t>
            </w:r>
            <w:r>
              <w:rPr>
                <w:sz w:val="21"/>
              </w:rPr>
              <w:t>、其它要求：</w:t>
            </w:r>
          </w:p>
          <w:p>
            <w:pPr>
              <w:jc w:val="both"/>
            </w:pPr>
            <w:r>
              <w:rPr>
                <w:sz w:val="21"/>
              </w:rPr>
              <w:t>1.</w:t>
            </w:r>
            <w:r>
              <w:rPr>
                <w:sz w:val="21"/>
              </w:rPr>
              <w:t>如有相关耗材（三年以内要更换或耗损的）、试剂或易损器械（三年以内要更换或耗损的），请提供它们的优惠价格。</w:t>
            </w:r>
          </w:p>
          <w:p>
            <w:pPr>
              <w:jc w:val="both"/>
            </w:pPr>
            <w:r>
              <w:rPr>
                <w:sz w:val="21"/>
              </w:rPr>
              <w:t>2.</w:t>
            </w:r>
            <w:r>
              <w:rPr>
                <w:sz w:val="21"/>
              </w:rPr>
              <w:t>电源插头符合使用科室现有的插座，如不符合需要提供相应的插头转换接口。院方只提供电源到机房总配电箱，机房的天花（含龙骨）、地面机座插座、底座、电线、电缆、线管（槽）及配电分箱等相关费用，由中标方负责。安装现场所涉及到的总承包管理配合费、配套服务费由中标方负责。</w:t>
            </w:r>
          </w:p>
          <w:p>
            <w:pPr>
              <w:jc w:val="both"/>
            </w:pPr>
            <w:r>
              <w:rPr>
                <w:sz w:val="21"/>
              </w:rPr>
              <w:t>3.</w:t>
            </w:r>
            <w:r>
              <w:rPr>
                <w:sz w:val="21"/>
              </w:rPr>
              <w:t>采购合同签订且采购人发出通知后，</w:t>
            </w:r>
            <w:r>
              <w:rPr>
                <w:sz w:val="21"/>
              </w:rPr>
              <w:t>60</w:t>
            </w:r>
            <w:r>
              <w:rPr>
                <w:sz w:val="21"/>
              </w:rPr>
              <w:t>天或以内完成交货至安装验收。（其中交货时间为</w:t>
            </w:r>
            <w:r>
              <w:rPr>
                <w:sz w:val="21"/>
              </w:rPr>
              <w:t xml:space="preserve">53  </w:t>
            </w:r>
            <w:r>
              <w:rPr>
                <w:sz w:val="21"/>
              </w:rPr>
              <w:t>天或以内完成交货，安装时间为交货后</w:t>
            </w:r>
            <w:r>
              <w:rPr>
                <w:sz w:val="21"/>
              </w:rPr>
              <w:t>7</w:t>
            </w:r>
            <w:r>
              <w:rPr>
                <w:sz w:val="21"/>
              </w:rPr>
              <w:t>天完成安装）</w:t>
            </w:r>
          </w:p>
          <w:p>
            <w:pPr>
              <w:jc w:val="both"/>
            </w:pPr>
            <w:r>
              <w:rPr>
                <w:sz w:val="21"/>
              </w:rPr>
              <w:t>4.</w:t>
            </w:r>
            <w:r>
              <w:rPr>
                <w:sz w:val="21"/>
              </w:rPr>
              <w:t>国家法律法规规定的需计量强检、第三方验收的设备，其相应的计量强检费、第三方验收服务费等费用全由中标方负责。</w:t>
            </w:r>
          </w:p>
          <w:p>
            <w:pPr>
              <w:jc w:val="both"/>
            </w:pPr>
            <w:r>
              <w:rPr>
                <w:sz w:val="21"/>
              </w:rPr>
              <w:t>5.</w:t>
            </w:r>
            <w:r>
              <w:rPr>
                <w:sz w:val="21"/>
              </w:rPr>
              <w:t>按三甲医院信息化建设的标准来满足医院使用需求，所提供的系统符合智慧医院建设的整体要求，实现信息系统一体化、无纸化。还需提供网络接口、电子签名。</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采购包2（监护仪）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按采购人要求</w:t>
            </w:r>
          </w:p>
        </w:tc>
      </w:tr>
      <w:tr>
        <w:tc>
          <w:tcPr>
            <w:tcW w:type="dxa" w:w="4153"/>
          </w:tcPr>
          <w:p>
            <w:r>
              <w:rPr/>
              <w:t>标的提供的地点</w:t>
            </w:r>
          </w:p>
        </w:tc>
        <w:tc>
          <w:tcPr>
            <w:tcW w:type="dxa" w:w="4153"/>
          </w:tcPr>
          <w:p/>
          <w:p>
            <w:r>
              <w:rPr/>
              <w:t>按采购人要求</w:t>
            </w:r>
          </w:p>
        </w:tc>
      </w:tr>
      <w:tr>
        <w:tc>
          <w:tcPr>
            <w:tcW w:type="dxa" w:w="4153"/>
          </w:tcPr>
          <w:p>
            <w:r>
              <w:rPr/>
              <w:t>付款方式</w:t>
            </w:r>
          </w:p>
        </w:tc>
        <w:tc>
          <w:tcPr>
            <w:tcW w:type="dxa" w:w="4153"/>
          </w:tcPr>
          <w:p/>
          <w:p/>
          <w:p>
            <w:r>
              <w:rPr/>
              <w:t>1期：支付比例100%,★一、如中标单位为大型企业（依据《关于印发中小企业划型标准规定的通知》工信部联企业〔2011〕300号划分大型企业） 1）中标人与采购人签订合同后5个工作日内以支票、汇票、本票、保函等非现金形式提交合同总额5%的履约保证金给采购人。 2）合同设备全部到工地或指定地点交付并完成安装及验收后，中标人凭采购人收货证明、使用部门调试使用意见（加盖采购人装备科公章）等资料，向采购人申请付款。 3）付款方式经采购人、中标人双方共同协议同意于货到验收合格后，采购人在收到相关申请资料及满足付款支付条件后5个工作日内以银行转账支付合同金额的100%，待设备安装正常运行后采购人在收到相关申请资料后10个工作日内退回5%履约保证金。 4）如不是医院自有资金项目，付款方式按相关经费要求支付。  ★二、如中标单位为中小企业（依据《关于印发中小企业划型标准规定的通知》工信部联企业〔2011〕300号划分中小企业） 1）合同签订后，中标人向采购人开具合同总价30%的发票及等额的预付款保函，满足付款支付条件后5个工作日内支付合同总金额的30%； 2） 货物按照验收合格并通过相关部门的评定验收后，在收到中标人开具合同总价70%的发票及满足付款支付条件后5个工作日内支付合同总金额的70%，若中标人没有违约行为，保函在验收合格后当月自动失效；  3）如不是医院自有资金项目，付款方式按相关经费要求支付。</w:t>
            </w:r>
          </w:p>
        </w:tc>
      </w:tr>
      <w:tr>
        <w:tc>
          <w:tcPr>
            <w:tcW w:type="dxa" w:w="4153"/>
          </w:tcPr>
          <w:p>
            <w:r>
              <w:rPr/>
              <w:t>验收要求</w:t>
            </w:r>
          </w:p>
        </w:tc>
        <w:tc>
          <w:tcPr>
            <w:tcW w:type="dxa" w:w="4153"/>
          </w:tcPr>
          <w:p/>
          <w:p/>
          <w:p/>
          <w:p>
            <w:r>
              <w:rPr/>
              <w:t>1期：★1)、本项目质量应达到国家质量评定合格标准，通过第三方权威机构的验收，提供有效的验收报告。同时参考相关校准规范的要求出具仪器设备计量校准证书，相关费用由中标人承担。 ★2)、设备到货验收后，必须免费安装调试至能正常使用。中标人响应设备验收合格后，如果由厂家提供免费保修、维护及保养等服务，厂家承诺书应明确具体的项目名称。</w:t>
            </w:r>
          </w:p>
        </w:tc>
      </w:tr>
      <w:tr>
        <w:tc>
          <w:tcPr>
            <w:tcW w:type="dxa" w:w="4153"/>
          </w:tcPr>
          <w:p>
            <w:r>
              <w:rPr/>
              <w:t>履约保证金</w:t>
            </w:r>
          </w:p>
        </w:tc>
        <w:tc>
          <w:tcPr>
            <w:tcW w:type="dxa" w:w="4153"/>
          </w:tcPr>
          <w:p/>
          <w:p/>
          <w:p/>
          <w:p/>
          <w:p>
            <w:r>
              <w:rPr/>
              <w:t>收取比例：5%,说明：中标人与采购人签订合同后5个工作日内以支票、汇票、本票、保函等非现金形式提交合同总额5%的履约保证金给采购人。</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真实性和有效性，同意采购方以任何形式对我方投标文件内容及采购方认为有必要的相关资料的真实性和有效性进行审查、验证</w:t>
            </w:r>
          </w:p>
          <w:p/>
          <w:p>
            <w:r>
              <w:rPr/>
              <w:t>招标文件附件，投标人应将招标公告的招标文件附件中“补充附件”内容填写好相关信息后附在投标文件中</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投标人应报货交采购人指定地点/仓库（包括安装至指定位置）人民币含税价，并按开标一览表及投标明细报价表进行明细报价。</w:t>
            </w:r>
          </w:p>
        </w:tc>
      </w:tr>
      <w:tr>
        <w:tc>
          <w:tcPr>
            <w:tcW w:type="dxa" w:w="2076"/>
          </w:tcPr>
          <w:p>
            <w:pPr>
              <w:jc w:val="center"/>
            </w:pPr>
            <w:r>
              <w:rPr/>
              <w:t>★</w:t>
            </w:r>
          </w:p>
        </w:tc>
        <w:tc>
          <w:tcPr>
            <w:tcW w:type="dxa" w:w="2076"/>
          </w:tcPr>
          <w:p>
            <w:pPr>
              <w:jc w:val="center"/>
            </w:pPr>
            <w:r>
              <w:rPr/>
              <w:t>2</w:t>
            </w:r>
          </w:p>
        </w:tc>
        <w:tc>
          <w:tcPr>
            <w:tcW w:type="dxa" w:w="2076"/>
          </w:tcPr>
          <w:p>
            <w:pPr>
              <w:jc w:val="left"/>
            </w:pPr>
            <w:r>
              <w:rPr/>
              <w:t>质保期（服务期）</w:t>
            </w:r>
          </w:p>
        </w:tc>
        <w:tc>
          <w:tcPr>
            <w:tcW w:type="dxa" w:w="2076"/>
          </w:tcPr>
          <w:p>
            <w:pPr>
              <w:jc w:val="left"/>
            </w:pPr>
            <w:r>
              <w:rPr/>
              <w:t>主机整机免费保修期至少5年，附件保修6个月，质保期内每年至少两次免费现场维护（包括整机清洁、维护保养、定期巡查、性能调整等内容），并提供保修、维护及保养说明</w:t>
            </w:r>
          </w:p>
        </w:tc>
      </w:tr>
      <w:tr>
        <w:tc>
          <w:tcPr>
            <w:tcW w:type="dxa" w:w="2076"/>
          </w:tcPr>
          <w:p>
            <w:pPr>
              <w:jc w:val="center"/>
            </w:pPr>
          </w:p>
        </w:tc>
        <w:tc>
          <w:tcPr>
            <w:tcW w:type="dxa" w:w="2076"/>
          </w:tcPr>
          <w:p>
            <w:pPr>
              <w:jc w:val="center"/>
            </w:pPr>
            <w:r>
              <w:rPr/>
              <w:t>3</w:t>
            </w:r>
          </w:p>
        </w:tc>
        <w:tc>
          <w:tcPr>
            <w:tcW w:type="dxa" w:w="2076"/>
          </w:tcPr>
          <w:p>
            <w:pPr>
              <w:jc w:val="left"/>
            </w:pPr>
            <w:r>
              <w:rPr/>
              <w:t>培训要求</w:t>
            </w:r>
          </w:p>
        </w:tc>
        <w:tc>
          <w:tcPr>
            <w:tcW w:type="dxa" w:w="2076"/>
          </w:tcPr>
          <w:p>
            <w:pPr>
              <w:jc w:val="left"/>
            </w:pPr>
            <w:r>
              <w:rPr/>
              <w:t>（1）设备必须免费安装调试至能正常使用，并无偿培训采购人维修人员，主要内容为设备的基本结构、性能、主要部件的构造及修理，日常使用保养与管理，常见故障的排除、紧急情况的处理等，培训地点主要在设备安装现场或按采购人安排。 （2）中标人需提供详细的培训方案，包括但不限于培训内容和培训计划，保证两名或以上操作人员熟练掌握操作技术为止；如遇设备升级更新，中标人需及时提供更新操作指导。</w:t>
            </w:r>
          </w:p>
        </w:tc>
      </w:tr>
      <w:tr>
        <w:tc>
          <w:tcPr>
            <w:tcW w:type="dxa" w:w="2076"/>
          </w:tcPr>
          <w:p>
            <w:pPr>
              <w:jc w:val="center"/>
            </w:pPr>
          </w:p>
        </w:tc>
        <w:tc>
          <w:tcPr>
            <w:tcW w:type="dxa" w:w="2076"/>
          </w:tcPr>
          <w:p>
            <w:pPr>
              <w:jc w:val="center"/>
            </w:pPr>
            <w:r>
              <w:rPr/>
              <w:t>4</w:t>
            </w:r>
          </w:p>
        </w:tc>
        <w:tc>
          <w:tcPr>
            <w:tcW w:type="dxa" w:w="2076"/>
          </w:tcPr>
          <w:p>
            <w:pPr>
              <w:jc w:val="left"/>
            </w:pPr>
            <w:r>
              <w:rPr/>
              <w:t>售后服务</w:t>
            </w:r>
          </w:p>
        </w:tc>
        <w:tc>
          <w:tcPr>
            <w:tcW w:type="dxa" w:w="2076"/>
          </w:tcPr>
          <w:p>
            <w:pPr>
              <w:jc w:val="left"/>
            </w:pPr>
            <w:r>
              <w:rPr/>
              <w:t>对采购人的服务通知，中标人4小时内派员到现场维修，在中标人承诺的质量保证期内，如经中标人两次维修或更换，货物仍不能达到合同约定的质量标准，采购人有权退货或要求更换，中标人应赔偿采购人因此遭受的损失。</w:t>
            </w:r>
          </w:p>
        </w:tc>
      </w:tr>
      <w:tr>
        <w:tc>
          <w:tcPr>
            <w:tcW w:type="dxa" w:w="2076"/>
          </w:tcPr>
          <w:p>
            <w:pPr>
              <w:jc w:val="center"/>
            </w:pPr>
          </w:p>
        </w:tc>
        <w:tc>
          <w:tcPr>
            <w:tcW w:type="dxa" w:w="2076"/>
          </w:tcPr>
          <w:p>
            <w:pPr>
              <w:jc w:val="center"/>
            </w:pPr>
            <w:r>
              <w:rPr/>
              <w:t>5</w:t>
            </w:r>
          </w:p>
        </w:tc>
        <w:tc>
          <w:tcPr>
            <w:tcW w:type="dxa" w:w="2076"/>
          </w:tcPr>
          <w:p>
            <w:pPr>
              <w:jc w:val="left"/>
            </w:pPr>
            <w:r>
              <w:rPr/>
              <w:t>包装和运输</w:t>
            </w:r>
          </w:p>
        </w:tc>
        <w:tc>
          <w:tcPr>
            <w:tcW w:type="dxa" w:w="2076"/>
          </w:tcPr>
          <w:p>
            <w:pPr>
              <w:jc w:val="left"/>
            </w:pPr>
            <w:r>
              <w:rPr/>
              <w:t>（1）中标人应提供运至交付地点所需要的包装，包装应符合经济、牢固、美观的要求，采取防潮、防晒、防锈、防震及防止其它损坏的必要措施，以防止货物在运转中损坏或变质。 （2）包装必须要符合相关法律法规的要求，包括与环境、职业健康和安全有关的法律、法规标准。 （3）运输包装应根据产品的特点及国家相关标准标注有相应的运输标志。 （4）中标人负责将货物运输并卸载到采购人指定地点。</w:t>
            </w:r>
          </w:p>
        </w:tc>
      </w:tr>
      <w:tr>
        <w:tc>
          <w:tcPr>
            <w:tcW w:type="dxa" w:w="2076"/>
          </w:tcPr>
          <w:p>
            <w:pPr>
              <w:jc w:val="center"/>
            </w:pPr>
          </w:p>
        </w:tc>
        <w:tc>
          <w:tcPr>
            <w:tcW w:type="dxa" w:w="2076"/>
          </w:tcPr>
          <w:p>
            <w:pPr>
              <w:jc w:val="center"/>
            </w:pPr>
            <w:r>
              <w:rPr/>
              <w:t>6</w:t>
            </w:r>
          </w:p>
        </w:tc>
        <w:tc>
          <w:tcPr>
            <w:tcW w:type="dxa" w:w="2076"/>
          </w:tcPr>
          <w:p>
            <w:pPr>
              <w:jc w:val="left"/>
            </w:pPr>
            <w:r>
              <w:rPr/>
              <w:t>安装、调试与测试</w:t>
            </w:r>
          </w:p>
        </w:tc>
        <w:tc>
          <w:tcPr>
            <w:tcW w:type="dxa" w:w="2076"/>
          </w:tcPr>
          <w:p>
            <w:pPr>
              <w:jc w:val="left"/>
            </w:pPr>
            <w:r>
              <w:rPr/>
              <w:t>（1）中标人必须依照招标文件的要求和投标文件的承诺，将设备、系统安装并调试至正常运行的最佳状态，测试无故障。 （2）合同设备安装 1）各种设备必须提供装箱清单，按合同清单验收货物。 2）中标人安装时须对各安装场地内的其他设备、设施有良好保护措施。如损坏采购人院内设备、设施，中标人需与采购人协商赔偿事宜。</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监护仪</w:t>
            </w:r>
          </w:p>
        </w:tc>
        <w:tc>
          <w:tcPr>
            <w:tcW w:type="dxa" w:w="831"/>
          </w:tcPr>
          <w:p>
            <w:pPr>
              <w:jc w:val="left"/>
            </w:pPr>
            <w:r>
              <w:rPr/>
              <w:t>台</w:t>
            </w:r>
          </w:p>
        </w:tc>
        <w:tc>
          <w:tcPr>
            <w:tcW w:type="dxa" w:w="831"/>
          </w:tcPr>
          <w:p>
            <w:pPr>
              <w:jc w:val="right"/>
            </w:pPr>
            <w:r>
              <w:rPr/>
              <w:t>4.00</w:t>
            </w:r>
          </w:p>
        </w:tc>
        <w:tc>
          <w:tcPr>
            <w:tcW w:type="dxa" w:w="831"/>
          </w:tcPr>
          <w:p>
            <w:pPr>
              <w:jc w:val="right"/>
            </w:pPr>
            <w:r>
              <w:rPr/>
              <w:t>160,000.00</w:t>
            </w:r>
          </w:p>
        </w:tc>
        <w:tc>
          <w:tcPr>
            <w:tcW w:type="dxa" w:w="831"/>
          </w:tcPr>
          <w:p>
            <w:pPr>
              <w:jc w:val="right"/>
            </w:pPr>
            <w:r>
              <w:rPr/>
              <w:t>640,000.00</w:t>
            </w:r>
          </w:p>
        </w:tc>
        <w:tc>
          <w:tcPr>
            <w:tcW w:type="dxa" w:w="831"/>
          </w:tcPr>
          <w:p>
            <w:r>
              <w:rPr/>
              <w:t>工业</w:t>
            </w:r>
          </w:p>
        </w:tc>
        <w:tc>
          <w:tcPr>
            <w:tcW w:type="dxa" w:w="831"/>
          </w:tcPr>
          <w:p>
            <w:r>
              <w:rPr/>
              <w:t>详见附表一</w:t>
            </w:r>
          </w:p>
        </w:tc>
      </w:tr>
    </w:tbl>
    <w:p/>
    <w:p>
      <w:r>
        <w:rPr>
          <w:b/>
        </w:rPr>
        <w:t>附表</w:t>
      </w:r>
      <w:r>
        <w:rPr>
          <w:b/>
        </w:rPr>
        <w:t>一</w:t>
      </w:r>
      <w:r>
        <w:rPr>
          <w:b/>
        </w:rPr>
        <w:t>：</w:t>
      </w:r>
      <w:r>
        <w:rPr>
          <w:b/>
        </w:rPr>
        <w:t>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总体要求：</w:t>
            </w:r>
          </w:p>
          <w:p>
            <w:pPr>
              <w:jc w:val="both"/>
            </w:pPr>
            <w:r>
              <w:rPr>
                <w:sz w:val="21"/>
              </w:rPr>
              <w:t>★（</w:t>
            </w:r>
            <w:r>
              <w:rPr>
                <w:sz w:val="21"/>
              </w:rPr>
              <w:t>1</w:t>
            </w:r>
            <w:r>
              <w:rPr>
                <w:sz w:val="21"/>
              </w:rPr>
              <w:t>）所投产品具有有效的</w:t>
            </w:r>
            <w:r>
              <w:rPr>
                <w:sz w:val="21"/>
              </w:rPr>
              <w:t>第二类</w:t>
            </w:r>
            <w:r>
              <w:rPr>
                <w:sz w:val="21"/>
              </w:rPr>
              <w:t>医疗器械注册证明资料</w:t>
            </w:r>
          </w:p>
          <w:p>
            <w:pPr>
              <w:jc w:val="both"/>
            </w:pPr>
            <w:r>
              <w:rPr>
                <w:sz w:val="21"/>
              </w:rPr>
              <w:t>（</w:t>
            </w:r>
            <w:r>
              <w:rPr>
                <w:sz w:val="21"/>
              </w:rPr>
              <w:t>2</w:t>
            </w:r>
            <w:r>
              <w:rPr>
                <w:sz w:val="21"/>
              </w:rPr>
              <w:t>）</w:t>
            </w:r>
            <w:r>
              <w:rPr>
                <w:sz w:val="21"/>
              </w:rPr>
              <w:t>“★”号条款是关键技术参数，一项不符合即导致该投标人投标无效。所有投标人必须严格按照招标文件的内容进行填写，如不能填写请提供说明。“▲”号条款为评审时的重要技术参数，不作为投标无效条款。</w:t>
            </w:r>
          </w:p>
          <w:p>
            <w:pPr>
              <w:jc w:val="both"/>
            </w:pPr>
            <w:r>
              <w:rPr>
                <w:b/>
                <w:sz w:val="21"/>
              </w:rPr>
              <w:t>监护仪技术参数</w:t>
            </w:r>
          </w:p>
          <w:p>
            <w:pPr>
              <w:jc w:val="both"/>
            </w:pPr>
            <w:r>
              <w:rPr>
                <w:sz w:val="21"/>
              </w:rPr>
              <w:t>监护仪结构：</w:t>
            </w:r>
          </w:p>
          <w:p>
            <w:pPr>
              <w:jc w:val="both"/>
            </w:pPr>
            <w:r>
              <w:rPr>
                <w:sz w:val="21"/>
              </w:rPr>
              <w:t>1</w:t>
            </w:r>
            <w:r>
              <w:rPr>
                <w:sz w:val="21"/>
              </w:rPr>
              <w:t>、▲模块化插件式床边监护仪，主机、显示屏和插件槽一体化设计，主机插槽数≥</w:t>
            </w:r>
            <w:r>
              <w:rPr>
                <w:sz w:val="21"/>
              </w:rPr>
              <w:t>6</w:t>
            </w:r>
            <w:r>
              <w:rPr>
                <w:sz w:val="21"/>
              </w:rPr>
              <w:t>个</w:t>
            </w:r>
            <w:r>
              <w:rPr>
                <w:sz w:val="21"/>
              </w:rPr>
              <w:t>,</w:t>
            </w:r>
            <w:r>
              <w:rPr>
                <w:sz w:val="21"/>
              </w:rPr>
              <w:t>支持扩展</w:t>
            </w:r>
            <w:r>
              <w:rPr>
                <w:sz w:val="21"/>
              </w:rPr>
              <w:t>8</w:t>
            </w:r>
            <w:r>
              <w:rPr>
                <w:sz w:val="21"/>
              </w:rPr>
              <w:t>槽位插件箱</w:t>
            </w:r>
          </w:p>
          <w:p>
            <w:pPr>
              <w:jc w:val="both"/>
            </w:pPr>
            <w:r>
              <w:rPr>
                <w:sz w:val="21"/>
              </w:rPr>
              <w:t>2</w:t>
            </w:r>
            <w:r>
              <w:rPr>
                <w:sz w:val="21"/>
              </w:rPr>
              <w:t>、▲≥</w:t>
            </w:r>
            <w:r>
              <w:rPr>
                <w:sz w:val="21"/>
              </w:rPr>
              <w:t>18</w:t>
            </w:r>
            <w:r>
              <w:rPr>
                <w:sz w:val="21"/>
              </w:rPr>
              <w:t>英寸彩色电容触摸屏，高分辨率≥</w:t>
            </w:r>
            <w:r>
              <w:rPr>
                <w:sz w:val="21"/>
              </w:rPr>
              <w:t>1920</w:t>
            </w:r>
            <w:r>
              <w:rPr>
                <w:sz w:val="21"/>
              </w:rPr>
              <w:t>×</w:t>
            </w:r>
            <w:r>
              <w:rPr>
                <w:sz w:val="21"/>
              </w:rPr>
              <w:t>1080</w:t>
            </w:r>
            <w:r>
              <w:rPr>
                <w:sz w:val="21"/>
              </w:rPr>
              <w:t>像素，≥</w:t>
            </w:r>
            <w:r>
              <w:rPr>
                <w:sz w:val="21"/>
              </w:rPr>
              <w:t>12</w:t>
            </w:r>
            <w:r>
              <w:rPr>
                <w:sz w:val="21"/>
              </w:rPr>
              <w:t>通道显示，显示屏亮度自动调节，屏幕支持手势滑动操作，支持穿戴医用防护手套操作</w:t>
            </w:r>
          </w:p>
          <w:p>
            <w:pPr>
              <w:jc w:val="both"/>
            </w:pPr>
            <w:r>
              <w:rPr>
                <w:sz w:val="21"/>
              </w:rPr>
              <w:t>3</w:t>
            </w:r>
            <w:r>
              <w:rPr>
                <w:sz w:val="21"/>
              </w:rPr>
              <w:t>、采用无风扇设计</w:t>
            </w:r>
          </w:p>
          <w:p>
            <w:pPr>
              <w:jc w:val="both"/>
            </w:pPr>
            <w:r>
              <w:rPr>
                <w:sz w:val="21"/>
              </w:rPr>
              <w:t>4</w:t>
            </w:r>
            <w:r>
              <w:rPr>
                <w:sz w:val="21"/>
              </w:rPr>
              <w:t>、可内置高能锂电池，供电时间</w:t>
            </w:r>
            <w:r>
              <w:rPr>
                <w:sz w:val="21"/>
              </w:rPr>
              <w:t>≥</w:t>
            </w:r>
            <w:r>
              <w:rPr>
                <w:sz w:val="21"/>
              </w:rPr>
              <w:t>2</w:t>
            </w:r>
            <w:r>
              <w:rPr>
                <w:sz w:val="21"/>
              </w:rPr>
              <w:t>小时</w:t>
            </w:r>
          </w:p>
          <w:p>
            <w:pPr>
              <w:jc w:val="both"/>
            </w:pPr>
            <w:r>
              <w:rPr>
                <w:sz w:val="21"/>
              </w:rPr>
              <w:t>5</w:t>
            </w:r>
            <w:r>
              <w:rPr>
                <w:sz w:val="21"/>
              </w:rPr>
              <w:t>、</w:t>
            </w:r>
            <w:r>
              <w:rPr>
                <w:sz w:val="21"/>
              </w:rPr>
              <w:t>▲配置≥</w:t>
            </w:r>
            <w:r>
              <w:rPr>
                <w:sz w:val="21"/>
              </w:rPr>
              <w:t>4</w:t>
            </w:r>
            <w:r>
              <w:rPr>
                <w:sz w:val="21"/>
              </w:rPr>
              <w:t>个</w:t>
            </w:r>
            <w:r>
              <w:rPr>
                <w:sz w:val="21"/>
              </w:rPr>
              <w:t>USB</w:t>
            </w:r>
            <w:r>
              <w:rPr>
                <w:sz w:val="21"/>
              </w:rPr>
              <w:t>接口，支持连接存储介质、鼠标、键盘、条码扫描枪等</w:t>
            </w:r>
            <w:r>
              <w:rPr>
                <w:sz w:val="21"/>
              </w:rPr>
              <w:t>USB</w:t>
            </w:r>
            <w:r>
              <w:rPr>
                <w:sz w:val="21"/>
              </w:rPr>
              <w:t>设备</w:t>
            </w:r>
          </w:p>
          <w:p>
            <w:pPr>
              <w:jc w:val="both"/>
            </w:pPr>
            <w:r>
              <w:rPr>
                <w:sz w:val="21"/>
              </w:rPr>
              <w:t>监测参数：</w:t>
            </w:r>
          </w:p>
          <w:p>
            <w:pPr>
              <w:jc w:val="both"/>
            </w:pPr>
            <w:r>
              <w:rPr>
                <w:sz w:val="21"/>
              </w:rPr>
              <w:t>1</w:t>
            </w:r>
            <w:r>
              <w:rPr>
                <w:sz w:val="21"/>
              </w:rPr>
              <w:t>、▲基本功能模块支持心电，呼吸，心率，无创血压，血氧饱和度，脉搏，双通道体温和双通道有创血压的同时监测</w:t>
            </w:r>
          </w:p>
          <w:p>
            <w:pPr>
              <w:jc w:val="both"/>
            </w:pPr>
            <w:r>
              <w:rPr>
                <w:sz w:val="21"/>
              </w:rPr>
              <w:t>2</w:t>
            </w:r>
            <w:r>
              <w:rPr>
                <w:sz w:val="21"/>
              </w:rPr>
              <w:t>、支持</w:t>
            </w:r>
            <w:r>
              <w:rPr>
                <w:sz w:val="21"/>
              </w:rPr>
              <w:t>3/5</w:t>
            </w:r>
            <w:r>
              <w:rPr>
                <w:sz w:val="21"/>
              </w:rPr>
              <w:t>导心电监测</w:t>
            </w:r>
          </w:p>
          <w:p>
            <w:pPr>
              <w:jc w:val="both"/>
            </w:pPr>
            <w:r>
              <w:rPr>
                <w:sz w:val="21"/>
              </w:rPr>
              <w:t>3</w:t>
            </w:r>
            <w:r>
              <w:rPr>
                <w:sz w:val="21"/>
              </w:rPr>
              <w:t>、▲支持房颤及室上性心律失常分析功能，如：室上性心动过速，</w:t>
            </w:r>
            <w:r>
              <w:rPr>
                <w:sz w:val="21"/>
              </w:rPr>
              <w:t>SVCs/min</w:t>
            </w:r>
            <w:r>
              <w:rPr>
                <w:sz w:val="21"/>
              </w:rPr>
              <w:t>等，标配支持≥</w:t>
            </w:r>
            <w:r>
              <w:rPr>
                <w:sz w:val="21"/>
              </w:rPr>
              <w:t>27</w:t>
            </w:r>
            <w:r>
              <w:rPr>
                <w:sz w:val="21"/>
              </w:rPr>
              <w:t>种实时心律失常分析</w:t>
            </w:r>
          </w:p>
          <w:p>
            <w:pPr>
              <w:jc w:val="both"/>
            </w:pPr>
            <w:r>
              <w:rPr>
                <w:sz w:val="21"/>
              </w:rPr>
              <w:t>4</w:t>
            </w:r>
            <w:r>
              <w:rPr>
                <w:sz w:val="21"/>
              </w:rPr>
              <w:t>、▲提供</w:t>
            </w:r>
            <w:r>
              <w:rPr>
                <w:sz w:val="21"/>
              </w:rPr>
              <w:t>ST</w:t>
            </w:r>
            <w:r>
              <w:rPr>
                <w:sz w:val="21"/>
              </w:rPr>
              <w:t>段分析功能，适用于成人，小儿和新生儿，支持在专门的窗口中分组显示心脏前壁，下壁和侧壁的</w:t>
            </w:r>
            <w:r>
              <w:rPr>
                <w:sz w:val="21"/>
              </w:rPr>
              <w:t>ST</w:t>
            </w:r>
            <w:r>
              <w:rPr>
                <w:sz w:val="21"/>
              </w:rPr>
              <w:t>实时片段和参考片段</w:t>
            </w:r>
          </w:p>
          <w:p>
            <w:pPr>
              <w:jc w:val="both"/>
            </w:pPr>
            <w:r>
              <w:rPr>
                <w:sz w:val="21"/>
              </w:rPr>
              <w:t>5</w:t>
            </w:r>
            <w:r>
              <w:rPr>
                <w:sz w:val="21"/>
              </w:rPr>
              <w:t>、支持≥</w:t>
            </w:r>
            <w:r>
              <w:rPr>
                <w:sz w:val="21"/>
              </w:rPr>
              <w:t>3</w:t>
            </w:r>
            <w:r>
              <w:rPr>
                <w:sz w:val="21"/>
              </w:rPr>
              <w:t>通道心电波形同步分析，可进行多导心电分析。</w:t>
            </w:r>
          </w:p>
          <w:p>
            <w:pPr>
              <w:jc w:val="both"/>
            </w:pPr>
            <w:r>
              <w:rPr>
                <w:sz w:val="21"/>
              </w:rPr>
              <w:t>6</w:t>
            </w:r>
            <w:r>
              <w:rPr>
                <w:sz w:val="21"/>
              </w:rPr>
              <w:t>、支持</w:t>
            </w:r>
            <w:r>
              <w:rPr>
                <w:sz w:val="21"/>
              </w:rPr>
              <w:t>RR</w:t>
            </w:r>
            <w:r>
              <w:rPr>
                <w:sz w:val="21"/>
              </w:rPr>
              <w:t>呼吸率测量，测量范围：</w:t>
            </w:r>
            <w:r>
              <w:rPr>
                <w:sz w:val="21"/>
              </w:rPr>
              <w:t>0~200rpm</w:t>
            </w:r>
          </w:p>
          <w:p>
            <w:pPr>
              <w:jc w:val="both"/>
            </w:pPr>
            <w:r>
              <w:rPr>
                <w:sz w:val="21"/>
              </w:rPr>
              <w:t>7</w:t>
            </w:r>
            <w:r>
              <w:rPr>
                <w:sz w:val="21"/>
              </w:rPr>
              <w:t>、具有</w:t>
            </w:r>
            <w:r>
              <w:rPr>
                <w:sz w:val="21"/>
              </w:rPr>
              <w:t>QT/QTc</w:t>
            </w:r>
            <w:r>
              <w:rPr>
                <w:sz w:val="21"/>
              </w:rPr>
              <w:t>实时连续测量功能，提供</w:t>
            </w:r>
            <w:r>
              <w:rPr>
                <w:sz w:val="21"/>
              </w:rPr>
              <w:t>QT</w:t>
            </w:r>
            <w:r>
              <w:rPr>
                <w:sz w:val="21"/>
              </w:rPr>
              <w:t>，</w:t>
            </w:r>
            <w:r>
              <w:rPr>
                <w:sz w:val="21"/>
              </w:rPr>
              <w:t>QTc</w:t>
            </w:r>
            <w:r>
              <w:rPr>
                <w:sz w:val="21"/>
              </w:rPr>
              <w:t>和Δ</w:t>
            </w:r>
            <w:r>
              <w:rPr>
                <w:sz w:val="21"/>
              </w:rPr>
              <w:t>QTc</w:t>
            </w:r>
            <w:r>
              <w:rPr>
                <w:sz w:val="21"/>
              </w:rPr>
              <w:t>参数值的显示</w:t>
            </w:r>
          </w:p>
          <w:p>
            <w:pPr>
              <w:jc w:val="both"/>
            </w:pPr>
            <w:r>
              <w:rPr>
                <w:sz w:val="21"/>
              </w:rPr>
              <w:t>8</w:t>
            </w:r>
            <w:r>
              <w:rPr>
                <w:sz w:val="21"/>
              </w:rPr>
              <w:t>、无创血压提供手动、自动间隔、连续、序列、整点五种测量模式</w:t>
            </w:r>
          </w:p>
          <w:p>
            <w:pPr>
              <w:jc w:val="both"/>
            </w:pPr>
            <w:r>
              <w:rPr>
                <w:sz w:val="21"/>
              </w:rPr>
              <w:t>9</w:t>
            </w:r>
            <w:r>
              <w:rPr>
                <w:sz w:val="21"/>
              </w:rPr>
              <w:t>、无创血压监测适用于成人，小儿和新生儿</w:t>
            </w:r>
          </w:p>
          <w:p>
            <w:pPr>
              <w:jc w:val="both"/>
            </w:pPr>
            <w:r>
              <w:rPr>
                <w:sz w:val="21"/>
              </w:rPr>
              <w:t>10</w:t>
            </w:r>
            <w:r>
              <w:rPr>
                <w:sz w:val="21"/>
              </w:rPr>
              <w:t>、▲</w:t>
            </w:r>
            <w:r>
              <w:rPr>
                <w:sz w:val="21"/>
              </w:rPr>
              <w:t>NIBP</w:t>
            </w:r>
            <w:r>
              <w:rPr>
                <w:sz w:val="21"/>
              </w:rPr>
              <w:t>成人病人类型收缩压测量：</w:t>
            </w:r>
            <w:r>
              <w:rPr>
                <w:sz w:val="21"/>
              </w:rPr>
              <w:t>25~290mmHg</w:t>
            </w:r>
          </w:p>
          <w:p>
            <w:pPr>
              <w:jc w:val="both"/>
            </w:pPr>
            <w:r>
              <w:rPr>
                <w:sz w:val="21"/>
              </w:rPr>
              <w:t>11</w:t>
            </w:r>
            <w:r>
              <w:rPr>
                <w:sz w:val="21"/>
              </w:rPr>
              <w:t>、血氧监测提供灌注指数（</w:t>
            </w:r>
            <w:r>
              <w:rPr>
                <w:sz w:val="21"/>
              </w:rPr>
              <w:t>PI</w:t>
            </w:r>
            <w:r>
              <w:rPr>
                <w:sz w:val="21"/>
              </w:rPr>
              <w:t>）的监测</w:t>
            </w:r>
          </w:p>
          <w:p>
            <w:pPr>
              <w:jc w:val="both"/>
            </w:pPr>
            <w:r>
              <w:rPr>
                <w:sz w:val="21"/>
              </w:rPr>
              <w:t>12</w:t>
            </w:r>
            <w:r>
              <w:rPr>
                <w:sz w:val="21"/>
              </w:rPr>
              <w:t>、配置指套式血氧探头，支持浸泡清洁与消毒，防水等级</w:t>
            </w:r>
            <w:r>
              <w:rPr>
                <w:sz w:val="21"/>
              </w:rPr>
              <w:t>IPx7</w:t>
            </w:r>
          </w:p>
          <w:p>
            <w:pPr>
              <w:jc w:val="both"/>
            </w:pPr>
            <w:r>
              <w:rPr>
                <w:sz w:val="21"/>
              </w:rPr>
              <w:t>13</w:t>
            </w:r>
            <w:r>
              <w:rPr>
                <w:sz w:val="21"/>
              </w:rPr>
              <w:t>、支持双通道有创压</w:t>
            </w:r>
            <w:r>
              <w:rPr>
                <w:sz w:val="21"/>
              </w:rPr>
              <w:t>IBP</w:t>
            </w:r>
            <w:r>
              <w:rPr>
                <w:sz w:val="21"/>
              </w:rPr>
              <w:t>监测，支持升级多达</w:t>
            </w:r>
            <w:r>
              <w:rPr>
                <w:sz w:val="21"/>
              </w:rPr>
              <w:t>4</w:t>
            </w:r>
            <w:r>
              <w:rPr>
                <w:sz w:val="21"/>
              </w:rPr>
              <w:t>通道有创压监测</w:t>
            </w:r>
          </w:p>
          <w:p>
            <w:pPr>
              <w:jc w:val="both"/>
            </w:pPr>
            <w:r>
              <w:rPr>
                <w:sz w:val="21"/>
              </w:rPr>
              <w:t>14</w:t>
            </w:r>
            <w:r>
              <w:rPr>
                <w:sz w:val="21"/>
              </w:rPr>
              <w:t>、有创压监测适用于成人，小儿和新生儿</w:t>
            </w:r>
          </w:p>
          <w:p>
            <w:pPr>
              <w:jc w:val="both"/>
            </w:pPr>
            <w:r>
              <w:rPr>
                <w:sz w:val="21"/>
              </w:rPr>
              <w:t>15</w:t>
            </w:r>
            <w:r>
              <w:rPr>
                <w:sz w:val="21"/>
              </w:rPr>
              <w:t>、▲</w:t>
            </w:r>
            <w:r>
              <w:rPr>
                <w:sz w:val="21"/>
              </w:rPr>
              <w:t>IBP</w:t>
            </w:r>
            <w:r>
              <w:rPr>
                <w:sz w:val="21"/>
              </w:rPr>
              <w:t>有创压测量范围：</w:t>
            </w:r>
            <w:r>
              <w:rPr>
                <w:sz w:val="21"/>
              </w:rPr>
              <w:t>-50~360mmHg</w:t>
            </w:r>
          </w:p>
          <w:p>
            <w:pPr>
              <w:jc w:val="both"/>
            </w:pPr>
            <w:r>
              <w:rPr>
                <w:sz w:val="21"/>
              </w:rPr>
              <w:t>16</w:t>
            </w:r>
            <w:r>
              <w:rPr>
                <w:sz w:val="21"/>
              </w:rPr>
              <w:t>、提供肺动脉锲压（</w:t>
            </w:r>
            <w:r>
              <w:rPr>
                <w:sz w:val="21"/>
              </w:rPr>
              <w:t>PAWP</w:t>
            </w:r>
            <w:r>
              <w:rPr>
                <w:sz w:val="21"/>
              </w:rPr>
              <w:t>）的监测和</w:t>
            </w:r>
            <w:r>
              <w:rPr>
                <w:sz w:val="21"/>
              </w:rPr>
              <w:t>PPV</w:t>
            </w:r>
            <w:r>
              <w:rPr>
                <w:sz w:val="21"/>
              </w:rPr>
              <w:t>参数监测</w:t>
            </w:r>
          </w:p>
          <w:p>
            <w:pPr>
              <w:jc w:val="both"/>
            </w:pPr>
            <w:r>
              <w:rPr>
                <w:sz w:val="21"/>
              </w:rPr>
              <w:t>17</w:t>
            </w:r>
            <w:r>
              <w:rPr>
                <w:sz w:val="21"/>
              </w:rPr>
              <w:t>、支持多达</w:t>
            </w:r>
            <w:r>
              <w:rPr>
                <w:sz w:val="21"/>
              </w:rPr>
              <w:t>4</w:t>
            </w:r>
            <w:r>
              <w:rPr>
                <w:sz w:val="21"/>
              </w:rPr>
              <w:t>道</w:t>
            </w:r>
            <w:r>
              <w:rPr>
                <w:sz w:val="21"/>
              </w:rPr>
              <w:t>IBP</w:t>
            </w:r>
            <w:r>
              <w:rPr>
                <w:sz w:val="21"/>
              </w:rPr>
              <w:t>波形叠加显示，满足临床对比查看和节约显示空间的需求</w:t>
            </w:r>
          </w:p>
          <w:p>
            <w:pPr>
              <w:jc w:val="both"/>
            </w:pPr>
            <w:r>
              <w:rPr>
                <w:sz w:val="21"/>
              </w:rPr>
              <w:t>18</w:t>
            </w:r>
            <w:r>
              <w:rPr>
                <w:sz w:val="21"/>
              </w:rPr>
              <w:t>、▲支持升级模块，进行</w:t>
            </w:r>
            <w:r>
              <w:rPr>
                <w:sz w:val="21"/>
              </w:rPr>
              <w:t>BIS</w:t>
            </w:r>
            <w:r>
              <w:rPr>
                <w:sz w:val="21"/>
              </w:rPr>
              <w:t>，</w:t>
            </w:r>
            <w:r>
              <w:rPr>
                <w:sz w:val="21"/>
              </w:rPr>
              <w:t>NMT</w:t>
            </w:r>
            <w:r>
              <w:rPr>
                <w:sz w:val="21"/>
              </w:rPr>
              <w:t>参数监测，并通过三类注册</w:t>
            </w:r>
          </w:p>
          <w:p>
            <w:pPr>
              <w:jc w:val="both"/>
            </w:pPr>
            <w:r>
              <w:rPr>
                <w:sz w:val="21"/>
              </w:rPr>
              <w:t>支持升级模块，与主流呼吸机品牌的呼吸机相连，实现呼吸机设备的信息在监护仪上显示、存储、记录、打印或者用于参与计算。</w:t>
            </w:r>
          </w:p>
          <w:p>
            <w:pPr>
              <w:jc w:val="both"/>
            </w:pPr>
            <w:r>
              <w:rPr>
                <w:sz w:val="21"/>
              </w:rPr>
              <w:t>系统功能：</w:t>
            </w:r>
          </w:p>
          <w:p>
            <w:pPr>
              <w:jc w:val="both"/>
            </w:pPr>
            <w:r>
              <w:rPr>
                <w:sz w:val="21"/>
              </w:rPr>
              <w:t>1</w:t>
            </w:r>
            <w:r>
              <w:rPr>
                <w:sz w:val="21"/>
              </w:rPr>
              <w:t>、具有图形化报警指示功能，看报警信息更容易</w:t>
            </w:r>
          </w:p>
          <w:p>
            <w:pPr>
              <w:jc w:val="both"/>
            </w:pPr>
            <w:r>
              <w:rPr>
                <w:sz w:val="21"/>
              </w:rPr>
              <w:t>2</w:t>
            </w:r>
            <w:r>
              <w:rPr>
                <w:sz w:val="21"/>
              </w:rPr>
              <w:t>、▲标配具备血液动力学，药物计算，氧合计算，通气计算和肾功能计算功能，并提供截图证明材料</w:t>
            </w:r>
          </w:p>
          <w:p>
            <w:pPr>
              <w:jc w:val="both"/>
            </w:pPr>
            <w:r>
              <w:rPr>
                <w:sz w:val="21"/>
              </w:rPr>
              <w:t>3</w:t>
            </w:r>
            <w:r>
              <w:rPr>
                <w:sz w:val="21"/>
              </w:rPr>
              <w:t>、支持≥</w:t>
            </w:r>
            <w:r>
              <w:rPr>
                <w:sz w:val="21"/>
              </w:rPr>
              <w:t>120</w:t>
            </w:r>
            <w:r>
              <w:rPr>
                <w:sz w:val="21"/>
              </w:rPr>
              <w:t>小时趋势表、趋势图回顾</w:t>
            </w:r>
          </w:p>
          <w:p>
            <w:pPr>
              <w:jc w:val="both"/>
            </w:pPr>
            <w:r>
              <w:rPr>
                <w:sz w:val="21"/>
              </w:rPr>
              <w:t>4</w:t>
            </w:r>
            <w:r>
              <w:rPr>
                <w:sz w:val="21"/>
              </w:rPr>
              <w:t>、具有特殊报警音，当监护仪在病人发生致命性参数报警时，发出特殊的报警音进行提示病人处于危急状态</w:t>
            </w:r>
          </w:p>
          <w:p>
            <w:pPr>
              <w:jc w:val="both"/>
            </w:pPr>
            <w:r>
              <w:rPr>
                <w:sz w:val="21"/>
              </w:rPr>
              <w:t>5</w:t>
            </w:r>
            <w:r>
              <w:rPr>
                <w:sz w:val="21"/>
              </w:rPr>
              <w:t>、▲支持根据病人的参数趋势变化，自动推送推荐报警限</w:t>
            </w:r>
          </w:p>
          <w:p>
            <w:pPr>
              <w:jc w:val="both"/>
            </w:pPr>
            <w:r>
              <w:rPr>
                <w:sz w:val="21"/>
              </w:rPr>
              <w:t>6</w:t>
            </w:r>
            <w:r>
              <w:rPr>
                <w:sz w:val="21"/>
              </w:rPr>
              <w:t>、▲具备参数组合报警功能，可对患者同时多个参数变化给出统一报警提示，预示病人不同生理系统状态改变，提供≥</w:t>
            </w:r>
            <w:r>
              <w:rPr>
                <w:sz w:val="21"/>
              </w:rPr>
              <w:t>10</w:t>
            </w:r>
            <w:r>
              <w:rPr>
                <w:sz w:val="21"/>
              </w:rPr>
              <w:t>个预设组合报警，并允许自定义≥</w:t>
            </w:r>
            <w:r>
              <w:rPr>
                <w:sz w:val="21"/>
              </w:rPr>
              <w:t>10</w:t>
            </w:r>
            <w:r>
              <w:rPr>
                <w:sz w:val="21"/>
              </w:rPr>
              <w:t>个组合报警</w:t>
            </w:r>
          </w:p>
          <w:p>
            <w:pPr>
              <w:jc w:val="both"/>
            </w:pPr>
            <w:r>
              <w:rPr>
                <w:sz w:val="21"/>
              </w:rPr>
              <w:t>7</w:t>
            </w:r>
            <w:r>
              <w:rPr>
                <w:sz w:val="21"/>
              </w:rPr>
              <w:t>、支持≥</w:t>
            </w:r>
            <w:r>
              <w:rPr>
                <w:sz w:val="21"/>
              </w:rPr>
              <w:t>1000</w:t>
            </w:r>
            <w:r>
              <w:rPr>
                <w:sz w:val="21"/>
              </w:rPr>
              <w:t>条事件回顾。每条报警事件至少能够存储</w:t>
            </w:r>
            <w:r>
              <w:rPr>
                <w:sz w:val="21"/>
              </w:rPr>
              <w:t>32</w:t>
            </w:r>
            <w:r>
              <w:rPr>
                <w:sz w:val="21"/>
              </w:rPr>
              <w:t>秒三道相关波形，以及报警触发时所有测量参数值</w:t>
            </w:r>
          </w:p>
          <w:p>
            <w:pPr>
              <w:jc w:val="both"/>
            </w:pPr>
            <w:r>
              <w:rPr>
                <w:sz w:val="21"/>
              </w:rPr>
              <w:t>8</w:t>
            </w:r>
            <w:r>
              <w:rPr>
                <w:sz w:val="21"/>
              </w:rPr>
              <w:t>、▲具备≥</w:t>
            </w:r>
            <w:r>
              <w:rPr>
                <w:sz w:val="21"/>
              </w:rPr>
              <w:t>40</w:t>
            </w:r>
            <w:r>
              <w:rPr>
                <w:sz w:val="21"/>
              </w:rPr>
              <w:t>小时全息波形的存储与回顾功能</w:t>
            </w:r>
          </w:p>
          <w:p>
            <w:pPr>
              <w:jc w:val="both"/>
            </w:pPr>
            <w:r>
              <w:rPr>
                <w:sz w:val="21"/>
              </w:rPr>
              <w:t>支持</w:t>
            </w:r>
            <w:r>
              <w:rPr>
                <w:sz w:val="21"/>
              </w:rPr>
              <w:t>≥</w:t>
            </w:r>
            <w:r>
              <w:rPr>
                <w:sz w:val="21"/>
              </w:rPr>
              <w:t>120</w:t>
            </w:r>
            <w:r>
              <w:rPr>
                <w:sz w:val="21"/>
              </w:rPr>
              <w:t>小时</w:t>
            </w:r>
            <w:r>
              <w:rPr>
                <w:sz w:val="21"/>
              </w:rPr>
              <w:t>ST</w:t>
            </w:r>
            <w:r>
              <w:rPr>
                <w:sz w:val="21"/>
              </w:rPr>
              <w:t>波形片段的存储与回顾</w:t>
            </w:r>
          </w:p>
          <w:p>
            <w:pPr>
              <w:jc w:val="both"/>
            </w:pPr>
            <w:r>
              <w:rPr>
                <w:sz w:val="21"/>
              </w:rPr>
              <w:t>9</w:t>
            </w:r>
            <w:r>
              <w:rPr>
                <w:sz w:val="21"/>
              </w:rPr>
              <w:t>、▲患者离开科室，监护仪状态由接收患者到解除患者后，患者数据不删除，支持在监护仪回顾历史病人数据</w:t>
            </w:r>
          </w:p>
          <w:p>
            <w:pPr>
              <w:jc w:val="both"/>
            </w:pPr>
            <w:r>
              <w:rPr>
                <w:sz w:val="21"/>
              </w:rPr>
              <w:t>10</w:t>
            </w:r>
            <w:r>
              <w:rPr>
                <w:sz w:val="21"/>
              </w:rPr>
              <w:t>、工作模式提供：监护模式、待机模式、体外循环模式模式、插管模式，夜间模式、隐私模式、演示模式等</w:t>
            </w:r>
          </w:p>
          <w:p>
            <w:pPr>
              <w:jc w:val="both"/>
            </w:pPr>
            <w:r>
              <w:rPr>
                <w:sz w:val="21"/>
              </w:rPr>
              <w:t>11</w:t>
            </w:r>
            <w:r>
              <w:rPr>
                <w:sz w:val="21"/>
              </w:rPr>
              <w:t>、支持与除颤监护仪，遥测合并联通至中心监护系统，实现护士站的集中管理</w:t>
            </w:r>
          </w:p>
          <w:p>
            <w:pPr>
              <w:jc w:val="both"/>
            </w:pPr>
          </w:p>
          <w:p>
            <w:pPr>
              <w:jc w:val="both"/>
            </w:pPr>
            <w:r>
              <w:rPr>
                <w:sz w:val="21"/>
              </w:rPr>
              <w:t>配置清单</w:t>
            </w:r>
          </w:p>
          <w:p>
            <w:pPr>
              <w:jc w:val="both"/>
            </w:pPr>
            <w:r>
              <w:rPr>
                <w:sz w:val="21"/>
              </w:rPr>
              <w:t>单套监护仪产品配置清单</w:t>
            </w:r>
          </w:p>
          <w:tbl>
            <w:tblPr>
              <w:tblInd w:type="dxa" w:w="120"/>
              <w:tblBorders>
                <w:top w:val="none" w:color="000000" w:sz="4"/>
                <w:left w:val="none" w:color="000000" w:sz="4"/>
                <w:bottom w:val="none" w:color="000000" w:sz="4"/>
                <w:right w:val="none" w:color="000000" w:sz="4"/>
                <w:insideH w:val="none"/>
                <w:insideV w:val="none"/>
              </w:tblBorders>
            </w:tblPr>
            <w:tblGrid>
              <w:gridCol w:w="792"/>
              <w:gridCol w:w="3719"/>
              <w:gridCol w:w="1086"/>
            </w:tblGrid>
            <w:tr>
              <w:tc>
                <w:tcPr>
                  <w:tcW w:type="dxa" w:w="792"/>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3719"/>
                  <w:tcBorders>
                    <w:top w:val="single" w:color="000000" w:sz="4"/>
                    <w:left w:val="single" w:color="000000" w:sz="4"/>
                    <w:bottom w:val="single" w:color="000000" w:sz="4"/>
                    <w:right w:val="single" w:color="000000" w:sz="4"/>
                  </w:tcBorders>
                  <w:vAlign w:val="top"/>
                </w:tcPr>
                <w:p>
                  <w:pPr>
                    <w:jc w:val="both"/>
                  </w:pPr>
                  <w:r>
                    <w:rPr>
                      <w:sz w:val="21"/>
                    </w:rPr>
                    <w:t>名称描述</w:t>
                  </w:r>
                </w:p>
              </w:tc>
              <w:tc>
                <w:tcPr>
                  <w:tcW w:type="dxa" w:w="1086"/>
                  <w:tcBorders>
                    <w:top w:val="single" w:color="000000" w:sz="4"/>
                    <w:left w:val="single" w:color="000000" w:sz="4"/>
                    <w:bottom w:val="single" w:color="000000" w:sz="4"/>
                    <w:right w:val="single" w:color="000000" w:sz="4"/>
                  </w:tcBorders>
                  <w:vAlign w:val="top"/>
                </w:tcPr>
                <w:p>
                  <w:pPr>
                    <w:jc w:val="both"/>
                  </w:pPr>
                  <w:r>
                    <w:rPr>
                      <w:sz w:val="21"/>
                    </w:rPr>
                    <w:t>数量</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1</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触摸屏主机</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台</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2</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国标电源线</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根</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3</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基本参数监测模块（</w:t>
                  </w:r>
                  <w:r>
                    <w:rPr>
                      <w:sz w:val="21"/>
                    </w:rPr>
                    <w:t>IBP</w:t>
                  </w:r>
                  <w:r>
                    <w:rPr>
                      <w:sz w:val="21"/>
                    </w:rPr>
                    <w:t>通道）</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个</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4</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锂电池</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块</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5</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麻醉深度监测模块及附件包</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套</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6</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肌松模块及附件包</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套</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7</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设备连接模块及附件包</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套</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8</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有创血压附件包</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套</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9</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心电附件包</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套</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10</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血压附件包</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套</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11</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血氧附件包</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套</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12</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说明书</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本</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13</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合格证</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张</w:t>
                  </w:r>
                </w:p>
              </w:tc>
            </w:tr>
            <w:tr>
              <w:tc>
                <w:tcPr>
                  <w:tcW w:type="dxa" w:w="792"/>
                  <w:tcBorders>
                    <w:top w:val="none" w:color="000000" w:sz="4"/>
                    <w:left w:val="single" w:color="000000" w:sz="4"/>
                    <w:bottom w:val="single" w:color="000000" w:sz="4"/>
                    <w:right w:val="single" w:color="000000" w:sz="4"/>
                  </w:tcBorders>
                  <w:vAlign w:val="top"/>
                </w:tcPr>
                <w:p>
                  <w:pPr>
                    <w:jc w:val="both"/>
                  </w:pPr>
                  <w:r>
                    <w:rPr>
                      <w:sz w:val="21"/>
                    </w:rPr>
                    <w:t>14</w:t>
                  </w:r>
                </w:p>
              </w:tc>
              <w:tc>
                <w:tcPr>
                  <w:tcW w:type="dxa" w:w="3719"/>
                  <w:tcBorders>
                    <w:top w:val="none" w:color="000000" w:sz="4"/>
                    <w:left w:val="single" w:color="000000" w:sz="4"/>
                    <w:bottom w:val="single" w:color="000000" w:sz="4"/>
                    <w:right w:val="single" w:color="000000" w:sz="4"/>
                  </w:tcBorders>
                  <w:vAlign w:val="top"/>
                </w:tcPr>
                <w:p>
                  <w:pPr>
                    <w:jc w:val="both"/>
                  </w:pPr>
                  <w:r>
                    <w:rPr>
                      <w:sz w:val="21"/>
                    </w:rPr>
                    <w:t>保修卡</w:t>
                  </w:r>
                </w:p>
              </w:tc>
              <w:tc>
                <w:tcPr>
                  <w:tcW w:type="dxa" w:w="1086"/>
                  <w:tcBorders>
                    <w:top w:val="none" w:color="000000" w:sz="4"/>
                    <w:left w:val="single" w:color="000000" w:sz="4"/>
                    <w:bottom w:val="single" w:color="000000" w:sz="4"/>
                    <w:right w:val="single" w:color="000000" w:sz="4"/>
                  </w:tcBorders>
                  <w:vAlign w:val="top"/>
                </w:tcPr>
                <w:p>
                  <w:pPr>
                    <w:jc w:val="both"/>
                  </w:pPr>
                  <w:r>
                    <w:rPr>
                      <w:sz w:val="21"/>
                    </w:rPr>
                    <w:t>1</w:t>
                  </w:r>
                  <w:r>
                    <w:rPr>
                      <w:sz w:val="21"/>
                    </w:rPr>
                    <w:t>张</w:t>
                  </w:r>
                </w:p>
              </w:tc>
            </w:tr>
          </w:tbl>
          <w:p>
            <w:pPr>
              <w:jc w:val="both"/>
            </w:pPr>
            <w:r>
              <w:rPr>
                <w:sz w:val="21"/>
              </w:rPr>
              <w:t>四</w:t>
            </w:r>
            <w:r>
              <w:rPr>
                <w:sz w:val="21"/>
              </w:rPr>
              <w:t>、其它要求：</w:t>
            </w:r>
          </w:p>
          <w:p>
            <w:pPr>
              <w:jc w:val="both"/>
            </w:pPr>
            <w:r>
              <w:rPr>
                <w:sz w:val="21"/>
              </w:rPr>
              <w:t>1.</w:t>
            </w:r>
            <w:r>
              <w:rPr>
                <w:sz w:val="21"/>
              </w:rPr>
              <w:t>如有相关耗材（三年以内要更换或耗损的）、试剂或易损器械（三年以内要更换或耗损的），请提供它们的优惠价格。</w:t>
            </w:r>
          </w:p>
          <w:p>
            <w:pPr>
              <w:jc w:val="both"/>
            </w:pPr>
            <w:r>
              <w:rPr>
                <w:sz w:val="21"/>
              </w:rPr>
              <w:t>2.</w:t>
            </w:r>
            <w:r>
              <w:rPr>
                <w:sz w:val="21"/>
              </w:rPr>
              <w:t>电源插头符合使用科室现有的插座，如不符合需要提供相应的插头转换接口。院方只提供电源到机房总配电箱，机房的天花（含龙骨）、地面机座插座、底座、电线、电缆、线管（槽）及配电分箱等相关费用，由中标方负责。安装现场所涉及到的总承包管理配合费、配套服务费由中标方负责。</w:t>
            </w:r>
          </w:p>
          <w:p>
            <w:pPr>
              <w:jc w:val="both"/>
            </w:pPr>
            <w:r>
              <w:rPr>
                <w:sz w:val="21"/>
              </w:rPr>
              <w:t>3.</w:t>
            </w:r>
            <w:r>
              <w:rPr>
                <w:sz w:val="21"/>
              </w:rPr>
              <w:t>采购合同签订且采购人发出通知后，</w:t>
            </w:r>
            <w:r>
              <w:rPr>
                <w:sz w:val="21"/>
              </w:rPr>
              <w:t>60</w:t>
            </w:r>
            <w:r>
              <w:rPr>
                <w:sz w:val="21"/>
              </w:rPr>
              <w:t>天或以内完成交货至安装验收。（其中交货时间为</w:t>
            </w:r>
            <w:r>
              <w:rPr>
                <w:sz w:val="21"/>
              </w:rPr>
              <w:t xml:space="preserve">53  </w:t>
            </w:r>
            <w:r>
              <w:rPr>
                <w:sz w:val="21"/>
              </w:rPr>
              <w:t>天或以内完成交货，安装时间为交货后</w:t>
            </w:r>
            <w:r>
              <w:rPr>
                <w:sz w:val="21"/>
              </w:rPr>
              <w:t>7</w:t>
            </w:r>
            <w:r>
              <w:rPr>
                <w:sz w:val="21"/>
              </w:rPr>
              <w:t>天完成安装）</w:t>
            </w:r>
          </w:p>
          <w:p>
            <w:pPr>
              <w:jc w:val="both"/>
            </w:pPr>
            <w:r>
              <w:rPr>
                <w:sz w:val="21"/>
              </w:rPr>
              <w:t>4.</w:t>
            </w:r>
            <w:r>
              <w:rPr>
                <w:sz w:val="21"/>
              </w:rPr>
              <w:t>国家法律法规规定的需计量强检、第三方验收的设备，其相应的计量强检费、第三方验收服务费等费用全由中标方负责。</w:t>
            </w:r>
          </w:p>
          <w:p>
            <w:pPr>
              <w:jc w:val="both"/>
            </w:pPr>
            <w:r>
              <w:rPr>
                <w:sz w:val="21"/>
              </w:rPr>
              <w:t>5.</w:t>
            </w:r>
            <w:r>
              <w:rPr>
                <w:sz w:val="21"/>
              </w:rPr>
              <w:t>按三甲医院信息化建设的标准来满足医院使用需求，所提供的系统符合智慧医院建设的整体要求，实现信息系统一体化、无纸化。还需提供网络接口、电子签名。</w:t>
            </w: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1.采购代理机构：本项目是指国义招标股份有限公司 ，负责整个采购活动的组织，依法负责编制和发布招标文件，对招标文件拥有最终的解释权，不以任何身份出任评标委员会成员。</w:t>
      </w:r>
    </w:p>
    <w:p>
      <w:pPr>
        <w:ind w:firstLine="480"/>
      </w:pPr>
      <w:r>
        <w:rPr/>
        <w:t>2.采购人：本项目是指</w:t>
      </w:r>
      <w:r>
        <w:rPr/>
        <w:t>中山大学孙逸仙纪念医院深汕中心医院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5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次招标向中标人收取的中标服务费，参照国家发展计划委员会颁发的[2002]1980号文《招标代理服务收费管理暂行办法》及[2011]534号文《国家发改委关于降低部分建设项目收费标准规范收费行为等有关问题的通知》的有关规定执行，具体如下： 招标代理服务收费按差额定率累进法计算，以中标通知书中确定的中标金额作为收费的计算依据。该项目中标服务费参照国家计委[计价格[2002]1980号]文货物招标代理服务收费标准差额定率累进法计算下浮20%收取。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纸质投标文件递交方式，本项目采用远程电子开标。纸质投标文件需按招标文件规定密封完好，在投标截止时间前亲自送达或邮寄到开标地点。邮寄地址：广州市越秀区东风东路726号，杨先生，020-37861057.采用邮寄方式递交的须确保在投标截止时间前收到。</w:t>
            </w:r>
          </w:p>
        </w:tc>
      </w:tr>
      <w:tr>
        <w:tc>
          <w:tcPr>
            <w:tcW w:type="dxa" w:w="1051"/>
          </w:tcPr>
          <w:p>
            <w:r>
              <w:rPr/>
              <w:t>19</w:t>
            </w:r>
          </w:p>
        </w:tc>
        <w:tc>
          <w:tcPr>
            <w:tcW w:type="dxa" w:w="2252"/>
          </w:tcPr>
          <w:p>
            <w:r>
              <w:rPr/>
              <w:t>开标解密时长</w:t>
            </w:r>
          </w:p>
        </w:tc>
        <w:tc>
          <w:tcPr>
            <w:tcW w:type="dxa" w:w="5004"/>
          </w:tcPr>
          <w:p>
            <w:r>
              <w:rPr/>
              <w:t>启动解密阶段时间为60分钟内</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国义招标股份有限公司</w:t>
      </w:r>
      <w:r>
        <w:rPr/>
        <w:t>代收。具体操作要求详见</w:t>
      </w:r>
      <w:r>
        <w:rPr/>
        <w:t>国义招标股份有限公司</w:t>
      </w:r>
      <w:r>
        <w:rPr/>
        <w:t>有关指引，递交事宜请自行咨询</w:t>
      </w:r>
      <w:r>
        <w:rPr/>
        <w:t>国义招标股份有限公司</w:t>
      </w:r>
      <w:r>
        <w:rPr/>
        <w:t>；请各投标人在投标文件递交截止时间前按须知前附表规定的金额递交至</w:t>
      </w:r>
      <w:r>
        <w:rPr/>
        <w:t>国义招标股份有限公司</w:t>
      </w:r>
      <w:r>
        <w:rPr/>
        <w:t>，到账情况以开标时</w:t>
      </w:r>
      <w:r>
        <w:rPr/>
        <w:t>国义招标股份有限公司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郭小姐、李小姐</w:t>
      </w:r>
    </w:p>
    <w:p>
      <w:pPr>
        <w:ind w:firstLine="480"/>
      </w:pPr>
      <w:r>
        <w:rPr/>
        <w:t>电话：</w:t>
      </w:r>
      <w:r>
        <w:rPr/>
        <w:t>020-37860713/715（工作时间：8：30-17：00）</w:t>
      </w:r>
    </w:p>
    <w:p>
      <w:pPr>
        <w:ind w:firstLine="480"/>
      </w:pPr>
      <w:r>
        <w:rPr/>
        <w:t>传真：</w:t>
      </w:r>
      <w:r>
        <w:rPr/>
        <w:t>/</w:t>
      </w:r>
    </w:p>
    <w:p>
      <w:pPr>
        <w:ind w:firstLine="480"/>
      </w:pPr>
      <w:r>
        <w:rPr/>
        <w:t>邮箱：</w:t>
      </w:r>
      <w:r>
        <w:rPr/>
        <w:t>guochunxi@ebidding.com</w:t>
      </w:r>
    </w:p>
    <w:p>
      <w:pPr>
        <w:ind w:firstLine="480"/>
      </w:pPr>
      <w:r>
        <w:rPr/>
        <w:t>地址：</w:t>
      </w:r>
      <w:r>
        <w:rPr/>
        <w:t>广州市东风东路726号9楼903室（纪检审计部）</w:t>
      </w:r>
    </w:p>
    <w:p>
      <w:pPr>
        <w:ind w:firstLine="480"/>
      </w:pPr>
      <w:r>
        <w:rPr/>
        <w:t>邮编：</w:t>
      </w:r>
      <w:r>
        <w:rPr/>
        <w:t>510080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政府采购监督管理机构名称：汕尾市财政局政府采购监管科</w:t>
      </w:r>
    </w:p>
    <w:p>
      <w:r>
        <w:rPr/>
        <w:t>地  址：汕尾市城区政和路10号政府采购监管科</w:t>
      </w:r>
    </w:p>
    <w:p>
      <w:r>
        <w:rPr/>
        <w:t>电  话：0660—3310721</w:t>
      </w:r>
    </w:p>
    <w:p>
      <w:r>
        <w:rPr/>
        <w:t>邮  编：516600</w:t>
      </w:r>
    </w:p>
    <w:p>
      <w:r>
        <w:rPr/>
        <w:t>传  真：0660—3310721</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采购包1(麻醉机)：综合评分法,是指投标文件满足招标文件全部实质性要求，且按照评审因素的量化指标评审得分最高的投标人为中标候选人的评标方法。（最低报价不是中标的唯一依据。）</w:t>
      </w:r>
    </w:p>
    <w:p/>
    <w:p>
      <w:r>
        <w:rPr/>
        <w:t>采购包2(监护仪)：综合评分法,是指投标文件满足招标文件全部实质性要求，且按照评审因素的量化指标评审得分最高的投标人为中标候选人的评标方法。（最低报价不是中标的唯一依据。）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国义招标股份有限公司</w:t>
      </w:r>
      <w:r>
        <w:rPr/>
        <w:t>统一对外发布。</w:t>
      </w:r>
    </w:p>
    <w:p>
      <w:pPr>
        <w:ind w:firstLine="480"/>
      </w:pPr>
      <w:r>
        <w:rPr/>
        <w:t>（2）对</w:t>
      </w:r>
      <w:r>
        <w:rPr/>
        <w:t>国义招标股份有限公司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采购包1（麻醉机）：</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采购包2（监护仪）：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采购包1（麻醉机）：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tc>
      </w:tr>
      <w:tr>
        <w:tc>
          <w:tcPr>
            <w:tcW w:type="dxa" w:w="890"/>
          </w:tcPr>
          <w:p>
            <w:r>
              <w:rPr/>
              <w:t>2</w:t>
            </w:r>
          </w:p>
        </w:tc>
        <w:tc>
          <w:tcPr>
            <w:tcW w:type="dxa" w:w="3178"/>
          </w:tcPr>
          <w:p>
            <w:r>
              <w:rPr/>
              <w:t>具有良好的商业信誉和健全的财务会计制度</w:t>
            </w:r>
          </w:p>
        </w:tc>
        <w:tc>
          <w:tcPr>
            <w:tcW w:type="dxa" w:w="4238"/>
          </w:tcPr>
          <w:p>
            <w:r>
              <w:rPr/>
              <w:t>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tc>
      </w:tr>
      <w:tr>
        <w:tc>
          <w:tcPr>
            <w:tcW w:type="dxa" w:w="890"/>
          </w:tcPr>
          <w:p>
            <w:r>
              <w:rPr/>
              <w:t>3</w:t>
            </w:r>
          </w:p>
        </w:tc>
        <w:tc>
          <w:tcPr>
            <w:tcW w:type="dxa" w:w="3178"/>
          </w:tcPr>
          <w:p>
            <w:r>
              <w:rPr/>
              <w:t>履行合同所必需的设备和专业技术能力</w:t>
            </w:r>
          </w:p>
        </w:tc>
        <w:tc>
          <w:tcPr>
            <w:tcW w:type="dxa" w:w="4238"/>
          </w:tcPr>
          <w:p>
            <w:r>
              <w:rPr/>
              <w:t>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tc>
      </w:tr>
      <w:tr>
        <w:tc>
          <w:tcPr>
            <w:tcW w:type="dxa" w:w="890"/>
          </w:tcPr>
          <w:p>
            <w:r>
              <w:rPr/>
              <w:t>4</w:t>
            </w:r>
          </w:p>
        </w:tc>
        <w:tc>
          <w:tcPr>
            <w:tcW w:type="dxa" w:w="3178"/>
          </w:tcPr>
          <w:p>
            <w:r>
              <w:rPr/>
              <w:t>有依法缴纳税收和社会保障资金的良好记录</w:t>
            </w:r>
          </w:p>
        </w:tc>
        <w:tc>
          <w:tcPr>
            <w:tcW w:type="dxa" w:w="4238"/>
          </w:tcPr>
          <w:p>
            <w:r>
              <w:rPr/>
              <w:t>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tc>
      </w:tr>
      <w:tr>
        <w:tc>
          <w:tcPr>
            <w:tcW w:type="dxa" w:w="890"/>
          </w:tcPr>
          <w:p>
            <w:r>
              <w:rPr/>
              <w:t>5</w:t>
            </w:r>
          </w:p>
        </w:tc>
        <w:tc>
          <w:tcPr>
            <w:tcW w:type="dxa" w:w="3178"/>
          </w:tcPr>
          <w:p>
            <w:r>
              <w:rPr/>
              <w:t>参加采购活动前3年内，在经营活动中没有重大违法记录</w:t>
            </w:r>
          </w:p>
        </w:tc>
        <w:tc>
          <w:tcPr>
            <w:tcW w:type="dxa" w:w="4238"/>
          </w:tcPr>
          <w:p>
            <w:r>
              <w:rPr/>
              <w:t>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tc>
      </w:tr>
      <w:tr>
        <w:tc>
          <w:tcPr>
            <w:tcW w:type="dxa" w:w="890"/>
          </w:tcPr>
          <w:p>
            <w:r>
              <w:rPr/>
              <w:t>6</w:t>
            </w:r>
          </w:p>
        </w:tc>
        <w:tc>
          <w:tcPr>
            <w:tcW w:type="dxa" w:w="3178"/>
          </w:tcPr>
          <w:p>
            <w:r>
              <w:rPr/>
              <w:t>特定资格要求</w:t>
            </w:r>
          </w:p>
        </w:tc>
        <w:tc>
          <w:tcPr>
            <w:tcW w:type="dxa" w:w="4238"/>
          </w:tcPr>
          <w:p>
            <w:r>
              <w:rPr/>
              <w:t>本项目不接受联合体投标。</w:t>
            </w:r>
          </w:p>
        </w:tc>
      </w:tr>
      <w:tr>
        <w:tc>
          <w:tcPr>
            <w:tcW w:type="dxa" w:w="890"/>
          </w:tcPr>
          <w:p>
            <w:r>
              <w:rPr/>
              <w:t>7</w:t>
            </w:r>
          </w:p>
        </w:tc>
        <w:tc>
          <w:tcPr>
            <w:tcW w:type="dxa" w:w="3178"/>
          </w:tcPr>
          <w:p>
            <w:r>
              <w:rPr/>
              <w:t>特定资格要求</w:t>
            </w:r>
          </w:p>
        </w:tc>
        <w:tc>
          <w:tcPr>
            <w:tcW w:type="dxa" w:w="4238"/>
          </w:tcPr>
          <w:p>
            <w:r>
              <w:rPr/>
              <w:t>具备二类或三类医疗器械经营许可证明材料副本（如投标人为代理经销商）或二类或三类医疗器械生产许可证明材料副本（如投标人为制造商）。</w:t>
            </w:r>
          </w:p>
        </w:tc>
      </w:tr>
      <w:tr>
        <w:tc>
          <w:tcPr>
            <w:tcW w:type="dxa" w:w="890"/>
          </w:tcPr>
          <w:p>
            <w:r>
              <w:rPr/>
              <w:t>8</w:t>
            </w:r>
          </w:p>
        </w:tc>
        <w:tc>
          <w:tcPr>
            <w:tcW w:type="dxa" w:w="3178"/>
          </w:tcPr>
          <w:p>
            <w:r>
              <w:rPr/>
              <w:t>信用记录</w:t>
            </w:r>
          </w:p>
        </w:tc>
        <w:tc>
          <w:tcPr>
            <w:tcW w:type="dxa" w:w="4238"/>
          </w:tcPr>
          <w:p>
            <w:r>
              <w:rPr/>
              <w:t>投标人没有被列入失信被执行人、重大税收违法案件当事人名单（即税收违法黑名单）、政府采购严重违法失信行为记录名单及其他不符合规定条件的供应商。[根据信用中国网站（www.creditchina.gov.cn）、中国政府采购网（www.ccgp.gov.cn）主体信用记录信息进行查询]。</w:t>
            </w:r>
          </w:p>
        </w:tc>
      </w:tr>
      <w:tr>
        <w:tc>
          <w:tcPr>
            <w:tcW w:type="dxa" w:w="890"/>
          </w:tcPr>
          <w:p>
            <w:r>
              <w:rPr/>
              <w:t>9</w:t>
            </w:r>
          </w:p>
        </w:tc>
        <w:tc>
          <w:tcPr>
            <w:tcW w:type="dxa" w:w="3178"/>
          </w:tcPr>
          <w:p>
            <w:r>
              <w:rPr/>
              <w:t>特定资格要求</w:t>
            </w:r>
          </w:p>
        </w:tc>
        <w:tc>
          <w:tcPr>
            <w:tcW w:type="dxa" w:w="4238"/>
          </w:tcPr>
          <w:p>
            <w:r>
              <w:rPr/>
              <w:t>单位负责人为同一人或者存在直接控股、管理关系的不同供应商，不得参加同一包号投标或者未划分包号的同一招标项目投标(投标人出具声明函)。</w:t>
            </w:r>
          </w:p>
        </w:tc>
      </w:tr>
      <w:tr>
        <w:tc>
          <w:tcPr>
            <w:tcW w:type="dxa" w:w="890"/>
          </w:tcPr>
          <w:p>
            <w:r>
              <w:rPr/>
              <w:t>10</w:t>
            </w:r>
          </w:p>
        </w:tc>
        <w:tc>
          <w:tcPr>
            <w:tcW w:type="dxa" w:w="3178"/>
          </w:tcPr>
          <w:p>
            <w:r>
              <w:rPr/>
              <w:t>特定资格要求</w:t>
            </w:r>
          </w:p>
        </w:tc>
        <w:tc>
          <w:tcPr>
            <w:tcW w:type="dxa" w:w="4238"/>
          </w:tcPr>
          <w:p>
            <w:r>
              <w:rPr/>
              <w:t>为采购项目提供整体设计、规范编制或者项目管理、监理、检测等服务的供应商，不得再参加该采购项目的其他采购活动(投标人出具声明函)。</w:t>
            </w:r>
          </w:p>
        </w:tc>
      </w:tr>
      <w:tr>
        <w:tc>
          <w:tcPr>
            <w:tcW w:type="dxa" w:w="890"/>
          </w:tcPr>
          <w:p>
            <w:r>
              <w:rPr/>
              <w:t>11</w:t>
            </w:r>
          </w:p>
        </w:tc>
        <w:tc>
          <w:tcPr>
            <w:tcW w:type="dxa" w:w="3178"/>
          </w:tcPr>
          <w:p>
            <w:r>
              <w:rPr/>
              <w:t>供应商必须符合法律、行政法规规定的其他条件</w:t>
            </w:r>
          </w:p>
        </w:tc>
        <w:tc>
          <w:tcPr>
            <w:tcW w:type="dxa" w:w="4238"/>
          </w:tcPr>
          <w:p>
            <w:r>
              <w:rPr/>
              <w:t>供应商必须符合法律、行政法规规定的其他条件</w:t>
            </w:r>
          </w:p>
        </w:tc>
      </w:tr>
      <w:tr>
        <w:tc>
          <w:tcPr>
            <w:tcW w:type="dxa" w:w="890"/>
          </w:tcPr>
          <w:p>
            <w:r>
              <w:rPr/>
              <w:t>12</w:t>
            </w:r>
          </w:p>
        </w:tc>
        <w:tc>
          <w:tcPr>
            <w:tcW w:type="dxa" w:w="3178"/>
          </w:tcPr>
          <w:p>
            <w:r>
              <w:rPr/>
              <w:t>特定资格要求</w:t>
            </w:r>
          </w:p>
        </w:tc>
        <w:tc>
          <w:tcPr>
            <w:tcW w:type="dxa" w:w="4238"/>
          </w:tcPr>
          <w:p>
            <w:r>
              <w:rPr/>
              <w:t>已获取本次采购文件。</w:t>
            </w:r>
          </w:p>
        </w:tc>
      </w:tr>
      <w:tr>
        <w:tc>
          <w:tcPr>
            <w:tcW w:type="dxa" w:w="890"/>
          </w:tcPr>
          <w:p>
            <w:r>
              <w:rPr/>
              <w:t>13</w:t>
            </w:r>
          </w:p>
        </w:tc>
        <w:tc>
          <w:tcPr>
            <w:tcW w:type="dxa" w:w="3178"/>
          </w:tcPr>
          <w:p>
            <w:r>
              <w:rPr/>
              <w:t>落实政府采购政策需满足的资格要求</w:t>
            </w:r>
          </w:p>
        </w:tc>
        <w:tc>
          <w:tcPr>
            <w:tcW w:type="dxa" w:w="4238"/>
          </w:tcPr>
          <w:p>
            <w:r>
              <w:rPr/>
              <w:t>本项目不属于专门面向中小企业采购的项目。按照《政府采购促进中小企业发展管理办法》规定，本项目属于预留采购份额无法确保充分供应、充分竞争，或者存在可能影响政府采购目标实现的情形。</w:t>
            </w:r>
          </w:p>
        </w:tc>
      </w:tr>
    </w:tbl>
    <w:p/>
    <w:p>
      <w:r>
        <w:rPr/>
        <w:t>采购包2（监护仪）：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tc>
      </w:tr>
      <w:tr>
        <w:tc>
          <w:tcPr>
            <w:tcW w:type="dxa" w:w="890"/>
          </w:tcPr>
          <w:p>
            <w:r>
              <w:rPr/>
              <w:t>2</w:t>
            </w:r>
          </w:p>
        </w:tc>
        <w:tc>
          <w:tcPr>
            <w:tcW w:type="dxa" w:w="3178"/>
          </w:tcPr>
          <w:p>
            <w:r>
              <w:rPr/>
              <w:t>具有良好的商业信誉和健全的财务会计制度</w:t>
            </w:r>
          </w:p>
        </w:tc>
        <w:tc>
          <w:tcPr>
            <w:tcW w:type="dxa" w:w="4238"/>
          </w:tcPr>
          <w:p>
            <w:r>
              <w:rPr/>
              <w:t>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tc>
      </w:tr>
      <w:tr>
        <w:tc>
          <w:tcPr>
            <w:tcW w:type="dxa" w:w="890"/>
          </w:tcPr>
          <w:p>
            <w:r>
              <w:rPr/>
              <w:t>3</w:t>
            </w:r>
          </w:p>
        </w:tc>
        <w:tc>
          <w:tcPr>
            <w:tcW w:type="dxa" w:w="3178"/>
          </w:tcPr>
          <w:p>
            <w:r>
              <w:rPr/>
              <w:t>履行合同所必需的设备和专业技术能力</w:t>
            </w:r>
          </w:p>
        </w:tc>
        <w:tc>
          <w:tcPr>
            <w:tcW w:type="dxa" w:w="4238"/>
          </w:tcPr>
          <w:p>
            <w:r>
              <w:rPr/>
              <w:t>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tc>
      </w:tr>
      <w:tr>
        <w:tc>
          <w:tcPr>
            <w:tcW w:type="dxa" w:w="890"/>
          </w:tcPr>
          <w:p>
            <w:r>
              <w:rPr/>
              <w:t>4</w:t>
            </w:r>
          </w:p>
        </w:tc>
        <w:tc>
          <w:tcPr>
            <w:tcW w:type="dxa" w:w="3178"/>
          </w:tcPr>
          <w:p>
            <w:r>
              <w:rPr/>
              <w:t>有依法缴纳税收和社会保障资金的良好记录</w:t>
            </w:r>
          </w:p>
        </w:tc>
        <w:tc>
          <w:tcPr>
            <w:tcW w:type="dxa" w:w="4238"/>
          </w:tcPr>
          <w:p>
            <w:r>
              <w:rPr/>
              <w:t>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tc>
      </w:tr>
      <w:tr>
        <w:tc>
          <w:tcPr>
            <w:tcW w:type="dxa" w:w="890"/>
          </w:tcPr>
          <w:p>
            <w:r>
              <w:rPr/>
              <w:t>5</w:t>
            </w:r>
          </w:p>
        </w:tc>
        <w:tc>
          <w:tcPr>
            <w:tcW w:type="dxa" w:w="3178"/>
          </w:tcPr>
          <w:p>
            <w:r>
              <w:rPr/>
              <w:t>参加采购活动前3年内，在经营活动中没有重大违法记录</w:t>
            </w:r>
          </w:p>
        </w:tc>
        <w:tc>
          <w:tcPr>
            <w:tcW w:type="dxa" w:w="4238"/>
          </w:tcPr>
          <w:p>
            <w:r>
              <w:rPr/>
              <w:t>具备《政府采购法》第二十二条规定的条件,供应商在投标(响应)时，按规定提供信用承诺函即可无需提交证明材料（政府采购供应商信用承诺函见附件）。采购人有权在发放中标通知书前要求中标(成交)供应商提供证明材料，以备核实供应商承诺事项的真实性。</w:t>
            </w:r>
          </w:p>
        </w:tc>
      </w:tr>
      <w:tr>
        <w:tc>
          <w:tcPr>
            <w:tcW w:type="dxa" w:w="890"/>
          </w:tcPr>
          <w:p>
            <w:r>
              <w:rPr/>
              <w:t>6</w:t>
            </w:r>
          </w:p>
        </w:tc>
        <w:tc>
          <w:tcPr>
            <w:tcW w:type="dxa" w:w="3178"/>
          </w:tcPr>
          <w:p>
            <w:r>
              <w:rPr/>
              <w:t>特定资格要求</w:t>
            </w:r>
          </w:p>
        </w:tc>
        <w:tc>
          <w:tcPr>
            <w:tcW w:type="dxa" w:w="4238"/>
          </w:tcPr>
          <w:p>
            <w:r>
              <w:rPr/>
              <w:t>本项目不接受联合体投标。</w:t>
            </w:r>
          </w:p>
        </w:tc>
      </w:tr>
      <w:tr>
        <w:tc>
          <w:tcPr>
            <w:tcW w:type="dxa" w:w="890"/>
          </w:tcPr>
          <w:p>
            <w:r>
              <w:rPr/>
              <w:t>7</w:t>
            </w:r>
          </w:p>
        </w:tc>
        <w:tc>
          <w:tcPr>
            <w:tcW w:type="dxa" w:w="3178"/>
          </w:tcPr>
          <w:p>
            <w:r>
              <w:rPr/>
              <w:t>特定资格要求</w:t>
            </w:r>
          </w:p>
        </w:tc>
        <w:tc>
          <w:tcPr>
            <w:tcW w:type="dxa" w:w="4238"/>
          </w:tcPr>
          <w:p>
            <w:r>
              <w:rPr/>
              <w:t>具备二类或三类医疗器械经营许可证明材料副本（如投标人为代理经销商）或二类或三类医疗器械生产许可证明材料副本（如投标人为制造商）。</w:t>
            </w:r>
          </w:p>
        </w:tc>
      </w:tr>
      <w:tr>
        <w:tc>
          <w:tcPr>
            <w:tcW w:type="dxa" w:w="890"/>
          </w:tcPr>
          <w:p>
            <w:r>
              <w:rPr/>
              <w:t>8</w:t>
            </w:r>
          </w:p>
        </w:tc>
        <w:tc>
          <w:tcPr>
            <w:tcW w:type="dxa" w:w="3178"/>
          </w:tcPr>
          <w:p>
            <w:r>
              <w:rPr/>
              <w:t>信用记录</w:t>
            </w:r>
          </w:p>
        </w:tc>
        <w:tc>
          <w:tcPr>
            <w:tcW w:type="dxa" w:w="4238"/>
          </w:tcPr>
          <w:p>
            <w:r>
              <w:rPr/>
              <w:t>投标人没有被列入失信被执行人、重大税收违法案件当事人名单（即税收违法黑名单）、政府采购严重违法失信行为记录名单及其他不符合规定条件的供应商。[根据信用中国网站（www.creditchina.gov.cn）、中国政府采购网（www.ccgp.gov.cn）主体信用记录信息进行查询]。</w:t>
            </w:r>
          </w:p>
        </w:tc>
      </w:tr>
      <w:tr>
        <w:tc>
          <w:tcPr>
            <w:tcW w:type="dxa" w:w="890"/>
          </w:tcPr>
          <w:p>
            <w:r>
              <w:rPr/>
              <w:t>9</w:t>
            </w:r>
          </w:p>
        </w:tc>
        <w:tc>
          <w:tcPr>
            <w:tcW w:type="dxa" w:w="3178"/>
          </w:tcPr>
          <w:p>
            <w:r>
              <w:rPr/>
              <w:t>特定资格要求</w:t>
            </w:r>
          </w:p>
        </w:tc>
        <w:tc>
          <w:tcPr>
            <w:tcW w:type="dxa" w:w="4238"/>
          </w:tcPr>
          <w:p>
            <w:r>
              <w:rPr/>
              <w:t>单位负责人为同一人或者存在直接控股、管理关系的不同供应商，不得参加同一包号投标或者未划分包号的同一招标项目投标(投标人出具声明函)。</w:t>
            </w:r>
          </w:p>
        </w:tc>
      </w:tr>
      <w:tr>
        <w:tc>
          <w:tcPr>
            <w:tcW w:type="dxa" w:w="890"/>
          </w:tcPr>
          <w:p>
            <w:r>
              <w:rPr/>
              <w:t>10</w:t>
            </w:r>
          </w:p>
        </w:tc>
        <w:tc>
          <w:tcPr>
            <w:tcW w:type="dxa" w:w="3178"/>
          </w:tcPr>
          <w:p>
            <w:r>
              <w:rPr/>
              <w:t>特定资格要求</w:t>
            </w:r>
          </w:p>
        </w:tc>
        <w:tc>
          <w:tcPr>
            <w:tcW w:type="dxa" w:w="4238"/>
          </w:tcPr>
          <w:p>
            <w:r>
              <w:rPr/>
              <w:t>为采购项目提供整体设计、规范编制或者项目管理、监理、检测等服务的供应商，不得再参加该采购项目的其他采购活动(投标人出具声明函)。</w:t>
            </w:r>
          </w:p>
        </w:tc>
      </w:tr>
      <w:tr>
        <w:tc>
          <w:tcPr>
            <w:tcW w:type="dxa" w:w="890"/>
          </w:tcPr>
          <w:p>
            <w:r>
              <w:rPr/>
              <w:t>11</w:t>
            </w:r>
          </w:p>
        </w:tc>
        <w:tc>
          <w:tcPr>
            <w:tcW w:type="dxa" w:w="3178"/>
          </w:tcPr>
          <w:p>
            <w:r>
              <w:rPr/>
              <w:t>供应商必须符合法律、行政法规规定的其他条件</w:t>
            </w:r>
          </w:p>
        </w:tc>
        <w:tc>
          <w:tcPr>
            <w:tcW w:type="dxa" w:w="4238"/>
          </w:tcPr>
          <w:p>
            <w:r>
              <w:rPr/>
              <w:t>供应商必须符合法律、行政法规规定的其他条件</w:t>
            </w:r>
          </w:p>
        </w:tc>
      </w:tr>
      <w:tr>
        <w:tc>
          <w:tcPr>
            <w:tcW w:type="dxa" w:w="890"/>
          </w:tcPr>
          <w:p>
            <w:r>
              <w:rPr/>
              <w:t>12</w:t>
            </w:r>
          </w:p>
        </w:tc>
        <w:tc>
          <w:tcPr>
            <w:tcW w:type="dxa" w:w="3178"/>
          </w:tcPr>
          <w:p>
            <w:r>
              <w:rPr/>
              <w:t>特定资格要求</w:t>
            </w:r>
          </w:p>
        </w:tc>
        <w:tc>
          <w:tcPr>
            <w:tcW w:type="dxa" w:w="4238"/>
          </w:tcPr>
          <w:p>
            <w:r>
              <w:rPr/>
              <w:t>已获取本次采购文件。</w:t>
            </w:r>
          </w:p>
        </w:tc>
      </w:tr>
      <w:tr>
        <w:tc>
          <w:tcPr>
            <w:tcW w:type="dxa" w:w="890"/>
          </w:tcPr>
          <w:p>
            <w:r>
              <w:rPr/>
              <w:t>13</w:t>
            </w:r>
          </w:p>
        </w:tc>
        <w:tc>
          <w:tcPr>
            <w:tcW w:type="dxa" w:w="3178"/>
          </w:tcPr>
          <w:p>
            <w:r>
              <w:rPr/>
              <w:t>落实政府采购政策需满足的资格要求</w:t>
            </w:r>
          </w:p>
        </w:tc>
        <w:tc>
          <w:tcPr>
            <w:tcW w:type="dxa" w:w="4238"/>
          </w:tcPr>
          <w:p>
            <w:r>
              <w:rPr/>
              <w:t>本项目不属于专门面向中小企业采购的项目。按照《政府采购促进中小企业发展管理办法》规定，本项目属于预留采购份额无法确保充分供应、充分竞争，或者存在可能影响政府采购目标实现的情形。</w:t>
            </w:r>
          </w:p>
        </w:tc>
      </w:tr>
    </w:tbl>
    <w:p/>
    <w:p>
      <w:pPr>
        <w:ind w:firstLine="480"/>
      </w:pPr>
      <w:r>
        <w:rPr/>
        <w:t>表二符合性审查表：</w:t>
      </w:r>
    </w:p>
    <w:p>
      <w:pPr>
        <w:ind w:firstLine="480"/>
      </w:pPr>
    </w:p>
    <w:p/>
    <w:p>
      <w:r>
        <w:rPr/>
        <w:t>采购包1（麻醉机）：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1）投标报价未超过所投包号单价限价及最高限价（人民币：152万元）  2) 对所投包号的全部招标内容进行投标报价  3）投标报价是唯一确定的</w:t>
            </w:r>
          </w:p>
        </w:tc>
      </w:tr>
      <w:tr>
        <w:tc>
          <w:tcPr>
            <w:tcW w:type="dxa" w:w="890"/>
          </w:tcPr>
          <w:p>
            <w:r>
              <w:rPr/>
              <w:t>2</w:t>
            </w:r>
          </w:p>
        </w:tc>
        <w:tc>
          <w:tcPr>
            <w:tcW w:type="dxa" w:w="3178"/>
          </w:tcPr>
          <w:p>
            <w:r>
              <w:rPr/>
              <w:t>投标函</w:t>
            </w:r>
          </w:p>
        </w:tc>
        <w:tc>
          <w:tcPr>
            <w:tcW w:type="dxa" w:w="4238"/>
          </w:tcPr>
          <w:p>
            <w:r>
              <w:rPr/>
              <w:t>提供《投标函》，报价有效期为报价截止日后的90天</w:t>
            </w:r>
          </w:p>
        </w:tc>
      </w:tr>
      <w:tr>
        <w:tc>
          <w:tcPr>
            <w:tcW w:type="dxa" w:w="890"/>
          </w:tcPr>
          <w:p>
            <w:r>
              <w:rPr/>
              <w:t>3</w:t>
            </w:r>
          </w:p>
        </w:tc>
        <w:tc>
          <w:tcPr>
            <w:tcW w:type="dxa" w:w="3178"/>
          </w:tcPr>
          <w:p>
            <w:r>
              <w:rPr/>
              <w:t>进口产品</w:t>
            </w:r>
          </w:p>
        </w:tc>
        <w:tc>
          <w:tcPr>
            <w:tcW w:type="dxa" w:w="4238"/>
          </w:tcPr>
          <w:p>
            <w:r>
              <w:rPr/>
              <w:t>招标文件不允许采购进口产品时，不得以进口产品投标</w:t>
            </w:r>
          </w:p>
        </w:tc>
      </w:tr>
      <w:tr>
        <w:tc>
          <w:tcPr>
            <w:tcW w:type="dxa" w:w="890"/>
          </w:tcPr>
          <w:p>
            <w:r>
              <w:rPr/>
              <w:t>4</w:t>
            </w:r>
          </w:p>
        </w:tc>
        <w:tc>
          <w:tcPr>
            <w:tcW w:type="dxa" w:w="3178"/>
          </w:tcPr>
          <w:p>
            <w:r>
              <w:rPr/>
              <w:t>法定代表人证明书及授权委托书</w:t>
            </w:r>
          </w:p>
        </w:tc>
        <w:tc>
          <w:tcPr>
            <w:tcW w:type="dxa" w:w="4238"/>
          </w:tcPr>
          <w:p>
            <w:r>
              <w:rPr/>
              <w:t>按对应格式文件签署、盖章(原件)</w:t>
            </w:r>
          </w:p>
        </w:tc>
      </w:tr>
      <w:tr>
        <w:tc>
          <w:tcPr>
            <w:tcW w:type="dxa" w:w="890"/>
          </w:tcPr>
          <w:p>
            <w:r>
              <w:rPr/>
              <w:t>5</w:t>
            </w:r>
          </w:p>
        </w:tc>
        <w:tc>
          <w:tcPr>
            <w:tcW w:type="dxa" w:w="3178"/>
          </w:tcPr>
          <w:p>
            <w:r>
              <w:rPr/>
              <w:t>签署、盖章</w:t>
            </w:r>
          </w:p>
        </w:tc>
        <w:tc>
          <w:tcPr>
            <w:tcW w:type="dxa" w:w="4238"/>
          </w:tcPr>
          <w:p>
            <w:r>
              <w:rPr/>
              <w:t>投标文件按照招标文件规定要求签署、盖章</w:t>
            </w:r>
          </w:p>
        </w:tc>
      </w:tr>
      <w:tr>
        <w:tc>
          <w:tcPr>
            <w:tcW w:type="dxa" w:w="890"/>
          </w:tcPr>
          <w:p>
            <w:r>
              <w:rPr/>
              <w:t>6</w:t>
            </w:r>
          </w:p>
        </w:tc>
        <w:tc>
          <w:tcPr>
            <w:tcW w:type="dxa" w:w="3178"/>
          </w:tcPr>
          <w:p>
            <w:r>
              <w:rPr/>
              <w:t>实质性响应招标文件中“★”号条款的技术、商务要求</w:t>
            </w:r>
          </w:p>
        </w:tc>
        <w:tc>
          <w:tcPr>
            <w:tcW w:type="dxa" w:w="4238"/>
          </w:tcPr>
          <w:p>
            <w:r>
              <w:rPr/>
              <w:t>投标方案不得对实质性技术与商务的（即标注★号条款）条款产生偏离</w:t>
            </w:r>
          </w:p>
        </w:tc>
      </w:tr>
      <w:tr>
        <w:tc>
          <w:tcPr>
            <w:tcW w:type="dxa" w:w="890"/>
          </w:tcPr>
          <w:p>
            <w:r>
              <w:rPr/>
              <w:t>7</w:t>
            </w:r>
          </w:p>
        </w:tc>
        <w:tc>
          <w:tcPr>
            <w:tcW w:type="dxa" w:w="3178"/>
          </w:tcPr>
          <w:p>
            <w:r>
              <w:rPr/>
              <w:t>其它情况</w:t>
            </w:r>
          </w:p>
        </w:tc>
        <w:tc>
          <w:tcPr>
            <w:tcW w:type="dxa" w:w="4238"/>
          </w:tcPr>
          <w:p>
            <w:r>
              <w:rPr/>
              <w:t>实质性响应招标文件中规定的其它情况</w:t>
            </w:r>
          </w:p>
        </w:tc>
      </w:tr>
    </w:tbl>
    <w:p/>
    <w:p>
      <w:r>
        <w:rPr/>
        <w:t>采购包2（监护仪）：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1）投标报价未超过所投包号单价限价及最高限价（人民币：64万元）  2) 对所投包号的全部招标内容进行投标报价  3）投标报价是唯一确定的</w:t>
            </w:r>
          </w:p>
        </w:tc>
      </w:tr>
      <w:tr>
        <w:tc>
          <w:tcPr>
            <w:tcW w:type="dxa" w:w="890"/>
          </w:tcPr>
          <w:p>
            <w:r>
              <w:rPr/>
              <w:t>2</w:t>
            </w:r>
          </w:p>
        </w:tc>
        <w:tc>
          <w:tcPr>
            <w:tcW w:type="dxa" w:w="3178"/>
          </w:tcPr>
          <w:p>
            <w:r>
              <w:rPr/>
              <w:t>投标函</w:t>
            </w:r>
          </w:p>
        </w:tc>
        <w:tc>
          <w:tcPr>
            <w:tcW w:type="dxa" w:w="4238"/>
          </w:tcPr>
          <w:p>
            <w:r>
              <w:rPr/>
              <w:t>提供《投标函》，报价有效期为报价截止日后的90天</w:t>
            </w:r>
          </w:p>
        </w:tc>
      </w:tr>
      <w:tr>
        <w:tc>
          <w:tcPr>
            <w:tcW w:type="dxa" w:w="890"/>
          </w:tcPr>
          <w:p>
            <w:r>
              <w:rPr/>
              <w:t>3</w:t>
            </w:r>
          </w:p>
        </w:tc>
        <w:tc>
          <w:tcPr>
            <w:tcW w:type="dxa" w:w="3178"/>
          </w:tcPr>
          <w:p>
            <w:r>
              <w:rPr/>
              <w:t>进口产品</w:t>
            </w:r>
          </w:p>
        </w:tc>
        <w:tc>
          <w:tcPr>
            <w:tcW w:type="dxa" w:w="4238"/>
          </w:tcPr>
          <w:p>
            <w:r>
              <w:rPr/>
              <w:t>招标文件不允许采购进口产品时，不得以进口产品投标</w:t>
            </w:r>
          </w:p>
        </w:tc>
      </w:tr>
      <w:tr>
        <w:tc>
          <w:tcPr>
            <w:tcW w:type="dxa" w:w="890"/>
          </w:tcPr>
          <w:p>
            <w:r>
              <w:rPr/>
              <w:t>4</w:t>
            </w:r>
          </w:p>
        </w:tc>
        <w:tc>
          <w:tcPr>
            <w:tcW w:type="dxa" w:w="3178"/>
          </w:tcPr>
          <w:p>
            <w:r>
              <w:rPr/>
              <w:t>法定代表人证明书及授权委托书</w:t>
            </w:r>
          </w:p>
        </w:tc>
        <w:tc>
          <w:tcPr>
            <w:tcW w:type="dxa" w:w="4238"/>
          </w:tcPr>
          <w:p>
            <w:r>
              <w:rPr/>
              <w:t>按对应格式文件签署、盖章(原件)</w:t>
            </w:r>
          </w:p>
        </w:tc>
      </w:tr>
      <w:tr>
        <w:tc>
          <w:tcPr>
            <w:tcW w:type="dxa" w:w="890"/>
          </w:tcPr>
          <w:p>
            <w:r>
              <w:rPr/>
              <w:t>5</w:t>
            </w:r>
          </w:p>
        </w:tc>
        <w:tc>
          <w:tcPr>
            <w:tcW w:type="dxa" w:w="3178"/>
          </w:tcPr>
          <w:p>
            <w:r>
              <w:rPr/>
              <w:t>签署、盖章</w:t>
            </w:r>
          </w:p>
        </w:tc>
        <w:tc>
          <w:tcPr>
            <w:tcW w:type="dxa" w:w="4238"/>
          </w:tcPr>
          <w:p>
            <w:r>
              <w:rPr/>
              <w:t>投标文件按照招标文件规定要求签署、盖章</w:t>
            </w:r>
          </w:p>
        </w:tc>
      </w:tr>
      <w:tr>
        <w:tc>
          <w:tcPr>
            <w:tcW w:type="dxa" w:w="890"/>
          </w:tcPr>
          <w:p>
            <w:r>
              <w:rPr/>
              <w:t>6</w:t>
            </w:r>
          </w:p>
        </w:tc>
        <w:tc>
          <w:tcPr>
            <w:tcW w:type="dxa" w:w="3178"/>
          </w:tcPr>
          <w:p>
            <w:r>
              <w:rPr/>
              <w:t>实质性响应招标文件中“★”号条款的技术、商务要求</w:t>
            </w:r>
          </w:p>
        </w:tc>
        <w:tc>
          <w:tcPr>
            <w:tcW w:type="dxa" w:w="4238"/>
          </w:tcPr>
          <w:p>
            <w:r>
              <w:rPr/>
              <w:t>投标方案不得对实质性技术与商务的（即标注★号条款）条款产生偏离</w:t>
            </w:r>
          </w:p>
        </w:tc>
      </w:tr>
      <w:tr>
        <w:tc>
          <w:tcPr>
            <w:tcW w:type="dxa" w:w="890"/>
          </w:tcPr>
          <w:p>
            <w:r>
              <w:rPr/>
              <w:t>7</w:t>
            </w:r>
          </w:p>
        </w:tc>
        <w:tc>
          <w:tcPr>
            <w:tcW w:type="dxa" w:w="3178"/>
          </w:tcPr>
          <w:p>
            <w:r>
              <w:rPr/>
              <w:t>其它情况</w:t>
            </w:r>
          </w:p>
        </w:tc>
        <w:tc>
          <w:tcPr>
            <w:tcW w:type="dxa" w:w="4238"/>
          </w:tcPr>
          <w:p>
            <w:r>
              <w:rPr/>
              <w:t>实质性响应招标文件中规定的其它情况</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采购包1(麻醉机):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所投产品对用户需求书中带▲号的重要技术参数的符合性 (37.5分)</w:t>
            </w:r>
          </w:p>
        </w:tc>
        <w:tc>
          <w:tcPr>
            <w:tcW w:type="dxa" w:w="5076"/>
          </w:tcPr>
          <w:p>
            <w:pPr>
              <w:jc w:val="left"/>
            </w:pPr>
            <w:r>
              <w:rPr/>
              <w:t>投标人所投产品每满足一项用户需求书中带“▲”号的重要技术要求（共15项），得2.5分，合计37.5分； 所有投标人须提供投标产品彩页及相应技术参数的厂家使用说明书作为技术证明文件，否则评标委员会有权视相应技术参数响应不符合招标要求（如厂家的产品使用说明书为英文版，请同时提供中文版）。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所投货物技术参数及性能与技术规格要求的符合性 (9.5分)</w:t>
            </w:r>
          </w:p>
        </w:tc>
        <w:tc>
          <w:tcPr>
            <w:tcW w:type="dxa" w:w="5076"/>
          </w:tcPr>
          <w:p>
            <w:pPr>
              <w:jc w:val="left"/>
            </w:pPr>
            <w:r>
              <w:rPr/>
              <w:t>完全满足用户需求书中不带▲号的一般技术参数，得9.5分。 有1项不带▲号的一般技术参数负偏离，得8.5分； 有2项不带▲号的一般技术参数负偏离，得7.5分； 有3项不带▲号的一般技术参数负偏离，得6.5分； 有4项不带▲号的一般技术参数负偏离，得5.5分； 有5项不带▲号的一般技术参数负偏离，得4.5分； 有6项不带▲号的一般技术参数负偏离，得3.5分； 有7项不带▲号的一般技术参数负偏离，得2.5分；有8项及以上不带▲号的一般技术参数负偏离，得1.5分。 所有投标人须提供投标产品彩页及相应技术参数的厂家使用说明书作为技术证明文件，否则评标委员会有权视相应技术参数响应不符合招标要求（如厂家的产品使用说明书为英文版，请同时提供中文版）。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培训方案 (6.0分)</w:t>
            </w:r>
          </w:p>
        </w:tc>
        <w:tc>
          <w:tcPr>
            <w:tcW w:type="dxa" w:w="5076"/>
          </w:tcPr>
          <w:p>
            <w:pPr>
              <w:jc w:val="left"/>
            </w:pPr>
            <w:r>
              <w:rPr/>
              <w:t>根据投标人针对本项目制定的培训方案进行评审： 根据采购需求中的培训要求内容，投标人提供的培训方案，优于采购需求的，得6分；能满足采购需求的，得3分；不能满足采购需求的，得0分。</w:t>
            </w:r>
          </w:p>
        </w:tc>
      </w:tr>
      <w:tr>
        <w:tc>
          <w:tcPr>
            <w:tcW w:type="dxa" w:w="922"/>
            <w:gridSpan w:val="2"/>
            <w:vMerge/>
          </w:tcPr>
          <w:p/>
        </w:tc>
        <w:tc>
          <w:tcPr>
            <w:tcW w:type="dxa" w:w="2307"/>
          </w:tcPr>
          <w:p>
            <w:pPr>
              <w:jc w:val="left"/>
            </w:pPr>
            <w:r>
              <w:rPr/>
              <w:t>质量保证及售后服务方案 (4.0分)</w:t>
            </w:r>
          </w:p>
        </w:tc>
        <w:tc>
          <w:tcPr>
            <w:tcW w:type="dxa" w:w="5076"/>
          </w:tcPr>
          <w:p>
            <w:pPr>
              <w:jc w:val="left"/>
            </w:pPr>
            <w:r>
              <w:rPr/>
              <w:t>根据投标人针对本项目所提供的售后服务方案，方案内容包括但不限于售后服务人员（专人跟进、服务沟通等）的安排、服务计划安排、响应时间的及时性、提供备品备件服务等内容进行评审： （1）投标人所提供的质量保证及售后服务方案内容详细，有完整合理的部署规划，有安排专人负责响应采购人的维修要求及服务过程中的沟通，有专业的、具有相关资质的售后服务人员，对需维修的设备有完整可行操作的维修处理方法，对日常维修和应急情况响应及时，完全满足项目要求的得4分； （2）投标人所提供的质量保证及售后服务方案内容完整，有基本的部署规划，有安排专人负责响应采购人的维修要求及服务过程中的沟通，有专业的、具有相关资质的售后服务人员，对需维修的设备有基础保底操作的维修处理方法，对日常维修和应急情况响应不够及时，部分满足项目要求的得2分； （3）投标人只提供了简单的质量保证及售后服务方案，维修服务安排无法满足项目要求，对日常维修和应急情况响应慢，不能满足项目要求的得1分； （4）不提供的不得分。</w:t>
            </w:r>
          </w:p>
        </w:tc>
      </w:tr>
      <w:tr>
        <w:tc>
          <w:tcPr>
            <w:tcW w:type="dxa" w:w="922"/>
            <w:gridSpan w:val="2"/>
            <w:vMerge/>
          </w:tcPr>
          <w:p/>
        </w:tc>
        <w:tc>
          <w:tcPr>
            <w:tcW w:type="dxa" w:w="2307"/>
          </w:tcPr>
          <w:p>
            <w:pPr>
              <w:jc w:val="left"/>
            </w:pPr>
            <w:r>
              <w:rPr/>
              <w:t>投标人供货渠道来源  (3.0分)</w:t>
            </w:r>
          </w:p>
        </w:tc>
        <w:tc>
          <w:tcPr>
            <w:tcW w:type="dxa" w:w="5076"/>
          </w:tcPr>
          <w:p>
            <w:pPr>
              <w:jc w:val="left"/>
            </w:pPr>
            <w:r>
              <w:rPr/>
              <w:t>为保证货物渠道来源，如投标人为所响应产品制造商或具有有效授权的代理经销商，得3分，提供有效的制造商资格证明或授权证明材料并加盖公章，如不提供，不得分。</w:t>
            </w:r>
          </w:p>
        </w:tc>
      </w:tr>
      <w:tr>
        <w:tc>
          <w:tcPr>
            <w:tcW w:type="dxa" w:w="922"/>
            <w:gridSpan w:val="2"/>
            <w:vMerge w:val="restart"/>
          </w:tcPr>
          <w:p>
            <w:pPr>
              <w:jc w:val="center"/>
            </w:pPr>
            <w:r>
              <w:rPr/>
              <w:t>商务部分</w:t>
            </w:r>
          </w:p>
        </w:tc>
        <w:tc>
          <w:tcPr>
            <w:tcW w:type="dxa" w:w="2307"/>
          </w:tcPr>
          <w:p>
            <w:pPr>
              <w:jc w:val="left"/>
            </w:pPr>
            <w:r>
              <w:rPr/>
              <w:t>投标人的履约能力  (3.0分)</w:t>
            </w:r>
          </w:p>
        </w:tc>
        <w:tc>
          <w:tcPr>
            <w:tcW w:type="dxa" w:w="5076"/>
          </w:tcPr>
          <w:p>
            <w:pPr>
              <w:jc w:val="left"/>
            </w:pPr>
            <w:r>
              <w:rPr/>
              <w:t>根据投标人的履约能力作为评审依据，包括以下内容：①项目测试方案②运输方案③应急维修处理方案。 注：每提供1项内容且表述完整、科学、可行，能体现投标人完全具备本项目履约能力的，得1分，若提供的内容不合理或有瑕疵的每项得0.5分。提供体现投标人履约能力的方案或相关证明材料并加盖公章，不提供方案或相关证明材料的不得分。</w:t>
            </w:r>
          </w:p>
        </w:tc>
      </w:tr>
      <w:tr>
        <w:tc>
          <w:tcPr>
            <w:tcW w:type="dxa" w:w="922"/>
            <w:gridSpan w:val="2"/>
            <w:vMerge/>
          </w:tcPr>
          <w:p/>
        </w:tc>
        <w:tc>
          <w:tcPr>
            <w:tcW w:type="dxa" w:w="2307"/>
          </w:tcPr>
          <w:p>
            <w:pPr>
              <w:jc w:val="left"/>
            </w:pPr>
            <w:r>
              <w:rPr/>
              <w:t>投标人自2020年以来的同类设备的业绩  (4.0分)</w:t>
            </w:r>
          </w:p>
        </w:tc>
        <w:tc>
          <w:tcPr>
            <w:tcW w:type="dxa" w:w="5076"/>
          </w:tcPr>
          <w:p>
            <w:pPr>
              <w:jc w:val="left"/>
            </w:pPr>
            <w:r>
              <w:rPr/>
              <w:t>每提供一项同类项目业绩的合同和中标通知书复印件并加盖公章得1分，最高得4分，不提供不得分。  注：1.要求同时提供合同关键信息（含首页、签字页）证明文件作为得分依据。 2.通过合同关键信息无法判断是否得分的，还须同时提供能证明得分的其它证明资料，如项目报告或合同甲方出具的证明文件等。 3.以上资料均要求提供扫描件。评分中出现无证明资料或专家无法凭所提供资料判断是否得分的情况，一律作不得分处理。</w:t>
            </w:r>
          </w:p>
        </w:tc>
      </w:tr>
      <w:tr>
        <w:tc>
          <w:tcPr>
            <w:tcW w:type="dxa" w:w="922"/>
            <w:gridSpan w:val="2"/>
            <w:vMerge/>
          </w:tcPr>
          <w:p/>
        </w:tc>
        <w:tc>
          <w:tcPr>
            <w:tcW w:type="dxa" w:w="2307"/>
          </w:tcPr>
          <w:p>
            <w:pPr>
              <w:jc w:val="left"/>
            </w:pPr>
            <w:r>
              <w:rPr/>
              <w:t>使用用户评价 (3.0分)</w:t>
            </w:r>
          </w:p>
        </w:tc>
        <w:tc>
          <w:tcPr>
            <w:tcW w:type="dxa" w:w="5076"/>
          </w:tcPr>
          <w:p>
            <w:pPr>
              <w:jc w:val="left"/>
            </w:pPr>
            <w:r>
              <w:rPr/>
              <w:t>提供上述有效投标货物业绩的使用用户评价，每提供一个类似“满意”或“非常满意”或“优”的使用用户评价得1 分，本项最高不超过3分。须提供用户单位的评价证明（格式自拟，须加盖用户单位印章）。其他表达满意度的词语，由评委参照以上评价等级程度认定对应的评价等级。同一法人单位的多份用户评价只计算 1 份。</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采购包2(监护仪):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所投产品对用户需求书中带▲号的重要技术参数的符合性 (35.0分)</w:t>
            </w:r>
          </w:p>
        </w:tc>
        <w:tc>
          <w:tcPr>
            <w:tcW w:type="dxa" w:w="5076"/>
          </w:tcPr>
          <w:p>
            <w:pPr>
              <w:jc w:val="left"/>
            </w:pPr>
            <w:r>
              <w:rPr/>
              <w:t>投标人所投产品每满足一项用户需求书中带“▲”号的重要技术要求（共14项），得2.5分，合计35分； 所有投标人须提供投标产品彩页及相应技术参数的厂家使用说明书作为技术证明文件，否则评标委员会有权视相应技术参数响应不符合招标要求（如厂家的产品使用说明书为英文版，请同时提供中文版）。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所投货物技术参数及性能与技术规格要求的符合性 (12.0分)</w:t>
            </w:r>
          </w:p>
        </w:tc>
        <w:tc>
          <w:tcPr>
            <w:tcW w:type="dxa" w:w="5076"/>
          </w:tcPr>
          <w:p>
            <w:pPr>
              <w:jc w:val="left"/>
            </w:pPr>
            <w:r>
              <w:rPr/>
              <w:t>完全满足用户需求书中不带▲号的一般技术参数，得12分。 有1项不带▲号的一般技术参数负偏离，得11分； 有2项不带▲号的一般技术参数负偏离，得10分； 有3项不带▲号的一般技术参数负偏离，得9分； 有4项不带▲号的一般技术参数负偏离，得8分； 有5项不带▲号的一般技术参数负偏离，得7分； 有6项不带▲号的一般技术参数负偏离，得6分；有7项不带▲号的一般技术参数负偏离，得5分；有8项不带▲号的一般技术参数负偏离，得4分；有9项不带▲号的一般技术参数负偏离，得3分；有10项及以上不带▲号的一般技术参数负偏离，得2分。 所有投标人须提供投标产品彩页及相应技术参数的厂家使用说明书作为技术证明文件，否则评标委员会有权视相应技术参数响应不符合招标要求（如厂家的产品使用说明书为英文版，请同时提供中文版）。</w:t>
            </w:r>
          </w:p>
        </w:tc>
      </w:tr>
      <w:tr>
        <w:tc>
          <w:tcPr>
            <w:tcW w:type="dxa" w:w="922"/>
            <w:gridSpan w:val="2"/>
            <w:vMerge/>
          </w:tcPr>
          <w:p/>
        </w:tc>
        <w:tc>
          <w:tcPr>
            <w:tcW w:type="dxa" w:w="2307"/>
          </w:tcPr>
          <w:p>
            <w:pPr>
              <w:jc w:val="left"/>
            </w:pPr>
            <w:r>
              <w:rPr/>
              <w:t>培训方案 (6.0分)</w:t>
            </w:r>
          </w:p>
        </w:tc>
        <w:tc>
          <w:tcPr>
            <w:tcW w:type="dxa" w:w="5076"/>
          </w:tcPr>
          <w:p>
            <w:pPr>
              <w:jc w:val="left"/>
            </w:pPr>
            <w:r>
              <w:rPr/>
              <w:t>根据投标人针对本项目制定的培训方案进行评审： 根据采购需求中的培训要求内容，投标人提供的培训方案，优于采购需求的，得6分；能满足采购需求的，得3分；不能满足采购需求的，得0分。</w:t>
            </w:r>
          </w:p>
        </w:tc>
      </w:tr>
      <w:tr>
        <w:tc>
          <w:tcPr>
            <w:tcW w:type="dxa" w:w="922"/>
            <w:gridSpan w:val="2"/>
            <w:vMerge/>
          </w:tcPr>
          <w:p/>
        </w:tc>
        <w:tc>
          <w:tcPr>
            <w:tcW w:type="dxa" w:w="2307"/>
          </w:tcPr>
          <w:p>
            <w:pPr>
              <w:jc w:val="left"/>
            </w:pPr>
            <w:r>
              <w:rPr/>
              <w:t>质量保证及售后服务方案 (4.0分)</w:t>
            </w:r>
          </w:p>
        </w:tc>
        <w:tc>
          <w:tcPr>
            <w:tcW w:type="dxa" w:w="5076"/>
          </w:tcPr>
          <w:p>
            <w:pPr>
              <w:jc w:val="left"/>
            </w:pPr>
            <w:r>
              <w:rPr/>
              <w:t>根据投标人针对本项目所提供的售后服务方案，方案内容包括但不限于售后服务人员（专人跟进、服务沟通等）的安排、服务计划安排、响应时间的及时性、提供备品备件服务等内容进行评审： （1）投标人所提供的质量保证及售后服务方案内容详细，有完整合理的部署规划，有安排专人负责响应采购人的维修要求及服务过程中的沟通，有专业的、具有相关资质的售后服务人员，对需维修的设备有完整可行操作的维修处理方法，对日常维修和应急情况响应及时，完全满足项目要求的得4分； （2）投标人所提供的质量保证及售后服务方案内容完整，有基本的部署规划，有安排专人负责响应采购人的维修要求及服务过程中的沟通，有专业的、具有相关资质的售后服务人员，对需维修的设备有基础保底操作的维修处理方法，对日常维修和应急情况响应不够及时，部分满足项目要求的得2分； （3）投标人只提供了简单的质量保证及售后服务方案，维修服务安排无法满足项目要求，对日常维修和应急情况响应慢，不能满足项目要求的得1分； （4）不提供的不得分。</w:t>
            </w:r>
          </w:p>
        </w:tc>
      </w:tr>
      <w:tr>
        <w:tc>
          <w:tcPr>
            <w:tcW w:type="dxa" w:w="922"/>
            <w:gridSpan w:val="2"/>
            <w:vMerge/>
          </w:tcPr>
          <w:p/>
        </w:tc>
        <w:tc>
          <w:tcPr>
            <w:tcW w:type="dxa" w:w="2307"/>
          </w:tcPr>
          <w:p>
            <w:pPr>
              <w:jc w:val="left"/>
            </w:pPr>
            <w:r>
              <w:rPr/>
              <w:t>投标人供货渠道来源  (3.0分)</w:t>
            </w:r>
          </w:p>
        </w:tc>
        <w:tc>
          <w:tcPr>
            <w:tcW w:type="dxa" w:w="5076"/>
          </w:tcPr>
          <w:p>
            <w:pPr>
              <w:jc w:val="left"/>
            </w:pPr>
            <w:r>
              <w:rPr/>
              <w:t>为保证货物渠道来源，如投标人为所响应产品制造商或具有有效授权的代理经销商，得3分，提供有效的制造商资格证明或授权证明材料并加盖公章，如不提供，不得分。</w:t>
            </w:r>
          </w:p>
        </w:tc>
      </w:tr>
      <w:tr>
        <w:tc>
          <w:tcPr>
            <w:tcW w:type="dxa" w:w="922"/>
            <w:gridSpan w:val="2"/>
            <w:vMerge w:val="restart"/>
          </w:tcPr>
          <w:p>
            <w:pPr>
              <w:jc w:val="center"/>
            </w:pPr>
            <w:r>
              <w:rPr/>
              <w:t>商务部分</w:t>
            </w:r>
          </w:p>
        </w:tc>
        <w:tc>
          <w:tcPr>
            <w:tcW w:type="dxa" w:w="2307"/>
          </w:tcPr>
          <w:p>
            <w:pPr>
              <w:jc w:val="left"/>
            </w:pPr>
            <w:r>
              <w:rPr/>
              <w:t>投标人的履约能力  (3.0分)</w:t>
            </w:r>
          </w:p>
        </w:tc>
        <w:tc>
          <w:tcPr>
            <w:tcW w:type="dxa" w:w="5076"/>
          </w:tcPr>
          <w:p>
            <w:pPr>
              <w:jc w:val="left"/>
            </w:pPr>
            <w:r>
              <w:rPr/>
              <w:t>根据投标人的履约能力作为评审依据，包括以下内容：①项目测试方案②运输方案③应急维修处理方案。 注：每提供1项内容且表述完整、科学、可行，能体现投标人完全具备本项目履约能力的，得1分，若提供的内容不合理或有瑕疵的每项得0.5分。提供体现投标人履约能力的方案或相关证明材料并加盖公章，不提供方案或相关证明材料的不得分。</w:t>
            </w:r>
          </w:p>
        </w:tc>
      </w:tr>
      <w:tr>
        <w:tc>
          <w:tcPr>
            <w:tcW w:type="dxa" w:w="922"/>
            <w:gridSpan w:val="2"/>
            <w:vMerge/>
          </w:tcPr>
          <w:p/>
        </w:tc>
        <w:tc>
          <w:tcPr>
            <w:tcW w:type="dxa" w:w="2307"/>
          </w:tcPr>
          <w:p>
            <w:pPr>
              <w:jc w:val="left"/>
            </w:pPr>
            <w:r>
              <w:rPr/>
              <w:t>投标人自2020年以来的同类设备的业绩  (4.0分)</w:t>
            </w:r>
          </w:p>
        </w:tc>
        <w:tc>
          <w:tcPr>
            <w:tcW w:type="dxa" w:w="5076"/>
          </w:tcPr>
          <w:p>
            <w:pPr>
              <w:jc w:val="left"/>
            </w:pPr>
            <w:r>
              <w:rPr/>
              <w:t>每提供一项同类项目业绩的合同和中标通知书复印件并加盖公章得1分，最高得4分，不提供不得分。  注：1.要求同时提供合同关键信息（含首页、签字页）证明文件作为得分依据。 2.通过合同关键信息无法判断是否得分的，还须同时提供能证明得分的其它证明资料，如项目报告或合同甲方出具的证明文件等。 3.以上资料均要求提供扫描件。评分中出现无证明资料或专家无法凭所提供资料判断是否得分的情况，一律作不得分处理。</w:t>
            </w:r>
          </w:p>
        </w:tc>
      </w:tr>
      <w:tr>
        <w:tc>
          <w:tcPr>
            <w:tcW w:type="dxa" w:w="922"/>
            <w:gridSpan w:val="2"/>
            <w:vMerge/>
          </w:tcPr>
          <w:p/>
        </w:tc>
        <w:tc>
          <w:tcPr>
            <w:tcW w:type="dxa" w:w="2307"/>
          </w:tcPr>
          <w:p>
            <w:pPr>
              <w:jc w:val="left"/>
            </w:pPr>
            <w:r>
              <w:rPr/>
              <w:t>使用用户评价 (3.0分)</w:t>
            </w:r>
          </w:p>
        </w:tc>
        <w:tc>
          <w:tcPr>
            <w:tcW w:type="dxa" w:w="5076"/>
          </w:tcPr>
          <w:p>
            <w:pPr>
              <w:jc w:val="left"/>
            </w:pPr>
            <w:r>
              <w:rPr/>
              <w:t>提供上述有效投标货物业绩的使用用户评价，每提供一个类似“满意”或“非常满意”或“优”的使用用户评价得1 分，本项最高不超过3分。须提供用户单位的评价证明（格式自拟，须加盖用户单位印章）。其他表达满意度的词语，由评委参照以上评价等级程度认定对应的评价等级。同一法人单位的多份用户评价只计算 1 份。</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color w:val="222222"/>
          <w:sz w:val="48"/>
          <w:u w:val="single"/>
        </w:rPr>
        <w:t xml:space="preserve">       (</w:t>
      </w:r>
      <w:r>
        <w:rPr>
          <w:b/>
          <w:color w:val="222222"/>
          <w:sz w:val="48"/>
          <w:u w:val="single"/>
        </w:rPr>
        <w:t>项目</w:t>
      </w:r>
      <w:r>
        <w:rPr>
          <w:b/>
          <w:color w:val="222222"/>
          <w:sz w:val="48"/>
          <w:u w:val="single"/>
        </w:rPr>
        <w:t>)</w:t>
      </w:r>
    </w:p>
    <w:p>
      <w:pPr>
        <w:jc w:val="center"/>
      </w:pPr>
      <w:r>
        <w:rPr>
          <w:b/>
          <w:color w:val="222222"/>
          <w:sz w:val="48"/>
        </w:rPr>
        <w:t>合同书</w:t>
      </w:r>
    </w:p>
    <w:p>
      <w:pPr>
        <w:jc w:val="center"/>
      </w:pPr>
      <w:r>
        <w:rPr>
          <w:b/>
          <w:color w:val="222222"/>
          <w:sz w:val="44"/>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shd w:fill="FFFFFF"/>
            <w:vAlign w:val="top"/>
          </w:tcPr>
          <w:p>
            <w:pPr>
              <w:jc w:val="both"/>
            </w:pPr>
            <w:r>
              <w:rPr>
                <w:b/>
                <w:color w:val="222222"/>
                <w:sz w:val="32"/>
              </w:rPr>
              <w:t>项目编号：</w:t>
            </w:r>
          </w:p>
        </w:tc>
      </w:tr>
      <w:tr>
        <w:tc>
          <w:tcPr>
            <w:tcW w:type="dxa" w:w="8306"/>
            <w:tcBorders>
              <w:top w:val="none" w:color="000000" w:sz="4"/>
              <w:left w:val="none" w:color="000000" w:sz="4"/>
              <w:bottom w:val="none" w:color="000000" w:sz="4"/>
              <w:right w:val="none" w:color="000000" w:sz="4"/>
            </w:tcBorders>
            <w:shd w:fill="FFFFFF"/>
            <w:vAlign w:val="top"/>
          </w:tcPr>
          <w:p>
            <w:pPr>
              <w:jc w:val="both"/>
            </w:pPr>
          </w:p>
        </w:tc>
      </w:tr>
      <w:tr>
        <w:tc>
          <w:tcPr>
            <w:tcW w:type="dxa" w:w="8306"/>
            <w:tcBorders>
              <w:top w:val="none" w:color="000000" w:sz="4"/>
              <w:left w:val="none" w:color="000000" w:sz="4"/>
              <w:bottom w:val="none" w:color="000000" w:sz="4"/>
              <w:right w:val="none" w:color="000000" w:sz="4"/>
            </w:tcBorders>
            <w:shd w:fill="FFFFFF"/>
            <w:vAlign w:val="top"/>
          </w:tcPr>
          <w:p>
            <w:pPr>
              <w:jc w:val="both"/>
            </w:pPr>
            <w:r>
              <w:rPr>
                <w:b/>
                <w:color w:val="222222"/>
                <w:sz w:val="32"/>
              </w:rPr>
              <w:t>项目名称：</w:t>
            </w:r>
          </w:p>
        </w:tc>
      </w:tr>
      <w:tr>
        <w:tc>
          <w:tcPr>
            <w:tcW w:type="dxa" w:w="8306"/>
            <w:tcBorders>
              <w:top w:val="none" w:color="000000" w:sz="4"/>
              <w:left w:val="none" w:color="000000" w:sz="4"/>
              <w:bottom w:val="none" w:color="000000" w:sz="4"/>
              <w:right w:val="none" w:color="000000" w:sz="4"/>
            </w:tcBorders>
            <w:shd w:fill="FFFFFF"/>
            <w:vAlign w:val="top"/>
          </w:tcPr>
          <w:p>
            <w:pPr>
              <w:jc w:val="both"/>
            </w:pPr>
          </w:p>
        </w:tc>
      </w:tr>
    </w:tbl>
    <w:p>
      <w:pPr>
        <w:jc w:val="both"/>
      </w:pPr>
      <w:r>
        <w:rPr>
          <w:sz w:val="21"/>
        </w:rPr>
        <w:t xml:space="preserve"> </w:t>
      </w:r>
    </w:p>
    <w:p>
      <w:pPr>
        <w:jc w:val="both"/>
      </w:pPr>
    </w:p>
    <w:p/>
    <w:p>
      <w:r>
        <w:rPr/>
        <w:t xml:space="preserve"> </w:t>
      </w:r>
    </w:p>
    <w:p>
      <w:pPr>
        <w:jc w:val="center"/>
      </w:pPr>
      <w:r>
        <w:rPr>
          <w:b/>
          <w:color w:val="222222"/>
          <w:sz w:val="33"/>
        </w:rPr>
        <w:t>中山大学孙逸仙纪念医院深汕中心医院采购合同</w:t>
      </w:r>
    </w:p>
    <w:p>
      <w:pPr>
        <w:jc w:val="both"/>
      </w:pPr>
      <w:r>
        <w:rPr>
          <w:sz w:val="21"/>
        </w:rPr>
        <w:t xml:space="preserve"> </w:t>
      </w:r>
    </w:p>
    <w:p>
      <w:pPr>
        <w:jc w:val="both"/>
      </w:pPr>
      <w:r>
        <w:rPr>
          <w:b/>
          <w:color w:val="222222"/>
          <w:sz w:val="27"/>
        </w:rPr>
        <w:t>甲方：中山大学孙逸仙纪念医院深汕中心医院</w:t>
      </w:r>
      <w:r>
        <w:br/>
      </w:r>
      <w:r>
        <w:rPr>
          <w:b/>
          <w:color w:val="222222"/>
          <w:sz w:val="27"/>
        </w:rPr>
        <w:t>乙方：</w:t>
      </w:r>
    </w:p>
    <w:p>
      <w:pPr>
        <w:jc w:val="both"/>
      </w:pPr>
      <w:r>
        <w:rPr>
          <w:color w:val="222222"/>
          <w:sz w:val="27"/>
        </w:rPr>
        <w:t>根据中华人民共和国现行法律法规，甲、乙双方经协商确定，甲方向乙方订购医疗设备及其服务，为明确双方责任和权利，特签订本合同，共同遵守。具体条款如下：</w:t>
      </w:r>
    </w:p>
    <w:p>
      <w:pPr>
        <w:jc w:val="both"/>
      </w:pPr>
      <w:r>
        <w:rPr>
          <w:b/>
          <w:color w:val="222222"/>
          <w:sz w:val="27"/>
        </w:rPr>
        <w:t>1</w:t>
      </w:r>
      <w:r>
        <w:rPr>
          <w:b/>
          <w:color w:val="222222"/>
          <w:sz w:val="27"/>
        </w:rPr>
        <w:t>、 合同设备</w:t>
      </w:r>
      <w:r>
        <w:br/>
      </w:r>
      <w:r>
        <w:rPr>
          <w:color w:val="222222"/>
          <w:sz w:val="27"/>
        </w:rPr>
        <w:t>乙方负责向甲方供应下表中所列场地器材配套设备及负责安装调试。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841"/>
        <w:gridCol w:w="948"/>
        <w:gridCol w:w="933"/>
        <w:gridCol w:w="857"/>
        <w:gridCol w:w="535"/>
        <w:gridCol w:w="581"/>
        <w:gridCol w:w="841"/>
        <w:gridCol w:w="902"/>
        <w:gridCol w:w="933"/>
        <w:gridCol w:w="933"/>
      </w:tblGrid>
      <w:tr>
        <w:tc>
          <w:tcPr>
            <w:tcW w:type="dxa" w:w="841"/>
            <w:tcBorders>
              <w:top w:val="single" w:color="000000" w:sz="4"/>
              <w:left w:val="single" w:color="000000" w:sz="4"/>
              <w:bottom w:val="single" w:color="000000" w:sz="4"/>
              <w:right w:val="single" w:color="000000" w:sz="4"/>
            </w:tcBorders>
            <w:shd w:fill="FFFFFF"/>
            <w:vAlign w:val="top"/>
          </w:tcPr>
          <w:p>
            <w:pPr>
              <w:jc w:val="center"/>
            </w:pPr>
            <w:r>
              <w:rPr>
                <w:color w:val="222222"/>
                <w:sz w:val="21"/>
              </w:rPr>
              <w:t>品名</w:t>
            </w:r>
          </w:p>
        </w:tc>
        <w:tc>
          <w:tcPr>
            <w:tcW w:type="dxa" w:w="948"/>
            <w:tcBorders>
              <w:top w:val="single" w:color="000000" w:sz="4"/>
              <w:left w:val="none" w:color="000000" w:sz="4"/>
              <w:bottom w:val="single" w:color="000000" w:sz="4"/>
              <w:right w:val="single" w:color="000000" w:sz="4"/>
            </w:tcBorders>
            <w:shd w:fill="FFFFFF"/>
            <w:vAlign w:val="top"/>
          </w:tcPr>
          <w:p>
            <w:pPr>
              <w:jc w:val="center"/>
            </w:pPr>
            <w:r>
              <w:rPr>
                <w:color w:val="222222"/>
                <w:sz w:val="21"/>
              </w:rPr>
              <w:t>规格型号</w:t>
            </w:r>
          </w:p>
        </w:tc>
        <w:tc>
          <w:tcPr>
            <w:tcW w:type="dxa" w:w="933"/>
            <w:tcBorders>
              <w:top w:val="single" w:color="000000" w:sz="4"/>
              <w:left w:val="none" w:color="000000" w:sz="4"/>
              <w:bottom w:val="single" w:color="000000" w:sz="4"/>
              <w:right w:val="single" w:color="000000" w:sz="4"/>
            </w:tcBorders>
            <w:shd w:fill="FFFFFF"/>
            <w:vAlign w:val="top"/>
          </w:tcPr>
          <w:p>
            <w:pPr>
              <w:jc w:val="center"/>
            </w:pPr>
            <w:r>
              <w:rPr>
                <w:color w:val="222222"/>
                <w:sz w:val="21"/>
              </w:rPr>
              <w:t>品牌</w:t>
            </w:r>
          </w:p>
        </w:tc>
        <w:tc>
          <w:tcPr>
            <w:tcW w:type="dxa" w:w="857"/>
            <w:tcBorders>
              <w:top w:val="single" w:color="000000" w:sz="4"/>
              <w:left w:val="none" w:color="000000" w:sz="4"/>
              <w:bottom w:val="single" w:color="000000" w:sz="4"/>
              <w:right w:val="single" w:color="000000" w:sz="4"/>
            </w:tcBorders>
            <w:shd w:fill="FFFFFF"/>
            <w:vAlign w:val="top"/>
          </w:tcPr>
          <w:p>
            <w:pPr>
              <w:jc w:val="center"/>
            </w:pPr>
            <w:r>
              <w:rPr>
                <w:color w:val="222222"/>
                <w:sz w:val="21"/>
              </w:rPr>
              <w:t>产地</w:t>
            </w:r>
          </w:p>
        </w:tc>
        <w:tc>
          <w:tcPr>
            <w:tcW w:type="dxa" w:w="535"/>
            <w:tcBorders>
              <w:top w:val="single" w:color="000000" w:sz="4"/>
              <w:left w:val="none" w:color="000000" w:sz="4"/>
              <w:bottom w:val="single" w:color="000000" w:sz="4"/>
              <w:right w:val="single" w:color="000000" w:sz="4"/>
            </w:tcBorders>
            <w:shd w:fill="FFFFFF"/>
            <w:vAlign w:val="top"/>
          </w:tcPr>
          <w:p>
            <w:pPr>
              <w:jc w:val="center"/>
            </w:pPr>
            <w:r>
              <w:rPr>
                <w:color w:val="222222"/>
                <w:sz w:val="21"/>
              </w:rPr>
              <w:t>单位</w:t>
            </w:r>
          </w:p>
        </w:tc>
        <w:tc>
          <w:tcPr>
            <w:tcW w:type="dxa" w:w="581"/>
            <w:tcBorders>
              <w:top w:val="single" w:color="000000" w:sz="4"/>
              <w:left w:val="none" w:color="000000" w:sz="4"/>
              <w:bottom w:val="single" w:color="000000" w:sz="4"/>
              <w:right w:val="single" w:color="000000" w:sz="4"/>
            </w:tcBorders>
            <w:shd w:fill="FFFFFF"/>
            <w:vAlign w:val="top"/>
          </w:tcPr>
          <w:p>
            <w:pPr>
              <w:jc w:val="center"/>
            </w:pPr>
            <w:r>
              <w:rPr>
                <w:color w:val="222222"/>
                <w:sz w:val="21"/>
              </w:rPr>
              <w:t>数量</w:t>
            </w:r>
          </w:p>
        </w:tc>
        <w:tc>
          <w:tcPr>
            <w:tcW w:type="dxa" w:w="841"/>
            <w:tcBorders>
              <w:top w:val="single" w:color="000000" w:sz="4"/>
              <w:left w:val="none" w:color="000000" w:sz="4"/>
              <w:bottom w:val="single" w:color="000000" w:sz="4"/>
              <w:right w:val="single" w:color="000000" w:sz="4"/>
            </w:tcBorders>
            <w:shd w:fill="FFFFFF"/>
            <w:vAlign w:val="top"/>
          </w:tcPr>
          <w:p>
            <w:pPr>
              <w:jc w:val="center"/>
            </w:pPr>
            <w:r>
              <w:rPr>
                <w:color w:val="222222"/>
                <w:sz w:val="21"/>
              </w:rPr>
              <w:t>单价</w:t>
            </w:r>
          </w:p>
        </w:tc>
        <w:tc>
          <w:tcPr>
            <w:tcW w:type="dxa" w:w="902"/>
            <w:tcBorders>
              <w:top w:val="single" w:color="000000" w:sz="4"/>
              <w:left w:val="none" w:color="000000" w:sz="4"/>
              <w:bottom w:val="single" w:color="000000" w:sz="4"/>
              <w:right w:val="single" w:color="000000" w:sz="4"/>
            </w:tcBorders>
            <w:shd w:fill="FFFFFF"/>
            <w:vAlign w:val="top"/>
          </w:tcPr>
          <w:p>
            <w:pPr>
              <w:jc w:val="center"/>
            </w:pPr>
            <w:r>
              <w:rPr>
                <w:color w:val="222222"/>
                <w:sz w:val="21"/>
              </w:rPr>
              <w:t>总价</w:t>
            </w:r>
          </w:p>
        </w:tc>
        <w:tc>
          <w:tcPr>
            <w:tcW w:type="dxa" w:w="933"/>
            <w:tcBorders>
              <w:top w:val="single" w:color="000000" w:sz="4"/>
              <w:left w:val="none" w:color="000000" w:sz="4"/>
              <w:bottom w:val="single" w:color="000000" w:sz="4"/>
              <w:right w:val="single" w:color="000000" w:sz="4"/>
            </w:tcBorders>
            <w:shd w:fill="FFFFFF"/>
            <w:vAlign w:val="top"/>
          </w:tcPr>
          <w:p>
            <w:pPr>
              <w:jc w:val="center"/>
            </w:pPr>
            <w:r>
              <w:rPr>
                <w:color w:val="222222"/>
                <w:sz w:val="21"/>
              </w:rPr>
              <w:t>注册证号</w:t>
            </w:r>
          </w:p>
        </w:tc>
        <w:tc>
          <w:tcPr>
            <w:tcW w:type="dxa" w:w="933"/>
            <w:tcBorders>
              <w:top w:val="single" w:color="000000" w:sz="4"/>
              <w:left w:val="none" w:color="000000" w:sz="4"/>
              <w:bottom w:val="single" w:color="000000" w:sz="4"/>
              <w:right w:val="single" w:color="000000" w:sz="4"/>
            </w:tcBorders>
            <w:shd w:fill="FFFFFF"/>
            <w:vAlign w:val="top"/>
          </w:tcPr>
          <w:p>
            <w:pPr>
              <w:jc w:val="center"/>
            </w:pPr>
            <w:r>
              <w:rPr>
                <w:color w:val="222222"/>
                <w:sz w:val="21"/>
              </w:rPr>
              <w:t>随机配件</w:t>
            </w:r>
          </w:p>
        </w:tc>
      </w:tr>
      <w:tr>
        <w:tc>
          <w:tcPr>
            <w:tcW w:type="dxa" w:w="841"/>
            <w:tcBorders>
              <w:top w:val="none" w:color="000000" w:sz="4"/>
              <w:left w:val="single" w:color="000000" w:sz="4"/>
              <w:bottom w:val="single" w:color="000000" w:sz="4"/>
              <w:right w:val="single" w:color="000000" w:sz="4"/>
            </w:tcBorders>
            <w:shd w:fill="FFFFFF"/>
            <w:vAlign w:val="top"/>
          </w:tcPr>
          <w:p>
            <w:pPr>
              <w:jc w:val="both"/>
            </w:pPr>
          </w:p>
        </w:tc>
        <w:tc>
          <w:tcPr>
            <w:tcW w:type="dxa" w:w="948"/>
            <w:tcBorders>
              <w:top w:val="none" w:color="000000" w:sz="4"/>
              <w:left w:val="none" w:color="000000" w:sz="4"/>
              <w:bottom w:val="single" w:color="000000" w:sz="4"/>
              <w:right w:val="single" w:color="000000" w:sz="4"/>
            </w:tcBorders>
            <w:shd w:fill="FFFFFF"/>
            <w:vAlign w:val="top"/>
          </w:tcPr>
          <w:p>
            <w:pPr>
              <w:jc w:val="center"/>
            </w:pPr>
            <w:r>
              <w:rPr>
                <w:sz w:val="21"/>
              </w:rPr>
              <w:t xml:space="preserve"> </w:t>
            </w:r>
          </w:p>
        </w:tc>
        <w:tc>
          <w:tcPr>
            <w:tcW w:type="dxa" w:w="933"/>
            <w:tcBorders>
              <w:top w:val="none" w:color="000000" w:sz="4"/>
              <w:left w:val="none" w:color="000000" w:sz="4"/>
              <w:bottom w:val="single" w:color="000000" w:sz="4"/>
              <w:right w:val="single" w:color="000000" w:sz="4"/>
            </w:tcBorders>
            <w:shd w:fill="FFFFFF"/>
            <w:vAlign w:val="top"/>
          </w:tcPr>
          <w:p>
            <w:pPr>
              <w:jc w:val="both"/>
            </w:pPr>
          </w:p>
        </w:tc>
        <w:tc>
          <w:tcPr>
            <w:tcW w:type="dxa" w:w="857"/>
            <w:tcBorders>
              <w:top w:val="none" w:color="000000" w:sz="4"/>
              <w:left w:val="none" w:color="000000" w:sz="4"/>
              <w:bottom w:val="single" w:color="000000" w:sz="4"/>
              <w:right w:val="single" w:color="000000" w:sz="4"/>
            </w:tcBorders>
            <w:shd w:fill="FFFFFF"/>
            <w:vAlign w:val="top"/>
          </w:tcPr>
          <w:p>
            <w:pPr>
              <w:jc w:val="center"/>
            </w:pPr>
            <w:r>
              <w:rPr>
                <w:sz w:val="21"/>
              </w:rPr>
              <w:t xml:space="preserve"> </w:t>
            </w:r>
          </w:p>
        </w:tc>
        <w:tc>
          <w:tcPr>
            <w:tcW w:type="dxa" w:w="535"/>
            <w:tcBorders>
              <w:top w:val="none" w:color="000000" w:sz="4"/>
              <w:left w:val="none" w:color="000000" w:sz="4"/>
              <w:bottom w:val="single" w:color="000000" w:sz="4"/>
              <w:right w:val="single" w:color="000000" w:sz="4"/>
            </w:tcBorders>
            <w:shd w:fill="FFFFFF"/>
            <w:vAlign w:val="top"/>
          </w:tcPr>
          <w:p>
            <w:pPr>
              <w:jc w:val="center"/>
            </w:pPr>
            <w:r>
              <w:rPr>
                <w:sz w:val="21"/>
              </w:rPr>
              <w:t xml:space="preserve"> </w:t>
            </w:r>
          </w:p>
        </w:tc>
        <w:tc>
          <w:tcPr>
            <w:tcW w:type="dxa" w:w="581"/>
            <w:tcBorders>
              <w:top w:val="none" w:color="000000" w:sz="4"/>
              <w:left w:val="none" w:color="000000" w:sz="4"/>
              <w:bottom w:val="single" w:color="000000" w:sz="4"/>
              <w:right w:val="single" w:color="000000" w:sz="4"/>
            </w:tcBorders>
            <w:shd w:fill="FFFFFF"/>
            <w:vAlign w:val="top"/>
          </w:tcPr>
          <w:p>
            <w:pPr>
              <w:jc w:val="center"/>
            </w:pPr>
            <w:r>
              <w:rPr>
                <w:sz w:val="21"/>
              </w:rPr>
              <w:t xml:space="preserve"> </w:t>
            </w:r>
          </w:p>
        </w:tc>
        <w:tc>
          <w:tcPr>
            <w:tcW w:type="dxa" w:w="841"/>
            <w:tcBorders>
              <w:top w:val="none" w:color="000000" w:sz="4"/>
              <w:left w:val="none" w:color="000000" w:sz="4"/>
              <w:bottom w:val="single" w:color="000000" w:sz="4"/>
              <w:right w:val="single" w:color="000000" w:sz="4"/>
            </w:tcBorders>
            <w:shd w:fill="FFFFFF"/>
            <w:vAlign w:val="top"/>
          </w:tcPr>
          <w:p>
            <w:pPr>
              <w:jc w:val="center"/>
            </w:pPr>
            <w:r>
              <w:rPr>
                <w:sz w:val="21"/>
              </w:rPr>
              <w:t xml:space="preserve"> </w:t>
            </w:r>
          </w:p>
        </w:tc>
        <w:tc>
          <w:tcPr>
            <w:tcW w:type="dxa" w:w="902"/>
            <w:tcBorders>
              <w:top w:val="none" w:color="000000" w:sz="4"/>
              <w:left w:val="none" w:color="000000" w:sz="4"/>
              <w:bottom w:val="single" w:color="000000" w:sz="4"/>
              <w:right w:val="single" w:color="000000" w:sz="4"/>
            </w:tcBorders>
            <w:shd w:fill="FFFFFF"/>
            <w:vAlign w:val="top"/>
          </w:tcPr>
          <w:p>
            <w:pPr>
              <w:jc w:val="center"/>
            </w:pPr>
            <w:r>
              <w:rPr>
                <w:sz w:val="21"/>
              </w:rPr>
              <w:t xml:space="preserve"> </w:t>
            </w:r>
          </w:p>
        </w:tc>
        <w:tc>
          <w:tcPr>
            <w:tcW w:type="dxa" w:w="933"/>
            <w:tcBorders>
              <w:top w:val="none" w:color="000000" w:sz="4"/>
              <w:left w:val="none" w:color="000000" w:sz="4"/>
              <w:bottom w:val="single" w:color="000000" w:sz="4"/>
              <w:right w:val="single" w:color="000000" w:sz="4"/>
            </w:tcBorders>
            <w:shd w:fill="FFFFFF"/>
            <w:vAlign w:val="top"/>
          </w:tcPr>
          <w:p>
            <w:pPr>
              <w:jc w:val="both"/>
            </w:pPr>
          </w:p>
        </w:tc>
        <w:tc>
          <w:tcPr>
            <w:tcW w:type="dxa" w:w="933"/>
            <w:tcBorders>
              <w:top w:val="none" w:color="000000" w:sz="4"/>
              <w:left w:val="none" w:color="000000" w:sz="4"/>
              <w:bottom w:val="single" w:color="000000" w:sz="4"/>
              <w:right w:val="single" w:color="000000" w:sz="4"/>
            </w:tcBorders>
            <w:shd w:fill="FFFFFF"/>
            <w:vAlign w:val="top"/>
          </w:tcPr>
          <w:p>
            <w:pPr>
              <w:jc w:val="both"/>
            </w:pPr>
          </w:p>
        </w:tc>
      </w:tr>
    </w:tbl>
    <w:p>
      <w:pPr>
        <w:jc w:val="both"/>
      </w:pPr>
      <w:r>
        <w:br/>
      </w:r>
      <w:r>
        <w:rPr>
          <w:b/>
          <w:color w:val="222222"/>
          <w:sz w:val="27"/>
        </w:rPr>
        <w:t>2</w:t>
      </w:r>
      <w:r>
        <w:rPr>
          <w:b/>
          <w:color w:val="222222"/>
          <w:sz w:val="27"/>
        </w:rPr>
        <w:t>、合同总价</w:t>
      </w:r>
      <w:r>
        <w:br/>
      </w:r>
      <w:r>
        <w:rPr>
          <w:color w:val="222222"/>
          <w:sz w:val="27"/>
        </w:rPr>
        <w:t>总价为</w:t>
      </w:r>
      <w:r>
        <w:rPr>
          <w:color w:val="222222"/>
          <w:sz w:val="27"/>
        </w:rPr>
        <w:t>(</w:t>
      </w:r>
      <w:r>
        <w:rPr>
          <w:color w:val="222222"/>
          <w:sz w:val="27"/>
        </w:rPr>
        <w:t>大写</w:t>
      </w:r>
      <w:r>
        <w:rPr>
          <w:color w:val="222222"/>
          <w:sz w:val="27"/>
        </w:rPr>
        <w:t>)</w:t>
      </w:r>
      <w:r>
        <w:rPr>
          <w:color w:val="222222"/>
          <w:sz w:val="27"/>
        </w:rPr>
        <w:t>：</w:t>
      </w:r>
      <w:r>
        <w:rPr>
          <w:sz w:val="21"/>
          <w:u w:val="single"/>
        </w:rPr>
        <w:t xml:space="preserve">        </w:t>
      </w:r>
      <w:r>
        <w:rPr>
          <w:color w:val="222222"/>
          <w:sz w:val="27"/>
        </w:rPr>
        <w:t xml:space="preserve"> </w:t>
      </w:r>
      <w:r>
        <w:rPr>
          <w:color w:val="222222"/>
          <w:sz w:val="27"/>
        </w:rPr>
        <w:t>元整，即</w:t>
      </w:r>
      <w:r>
        <w:rPr>
          <w:color w:val="222222"/>
          <w:sz w:val="27"/>
        </w:rPr>
        <w:t>RMB</w:t>
      </w:r>
      <w:r>
        <w:rPr>
          <w:color w:val="222222"/>
          <w:sz w:val="27"/>
        </w:rPr>
        <w:t>￥：</w:t>
      </w:r>
      <w:r>
        <w:rPr>
          <w:sz w:val="21"/>
          <w:u w:val="single"/>
        </w:rPr>
        <w:t xml:space="preserve">        </w:t>
      </w:r>
      <w:r>
        <w:rPr>
          <w:color w:val="222222"/>
          <w:sz w:val="27"/>
        </w:rPr>
        <w:t xml:space="preserve">  </w:t>
      </w:r>
      <w:r>
        <w:rPr>
          <w:color w:val="222222"/>
          <w:sz w:val="27"/>
        </w:rPr>
        <w:t>元，该合同总金额是设计、设备制造、包装、运输、安装、使用培训及验收合格之前及保修期与备品备件发生的所有含税费用。本合同执行期间合同总金额不变。</w:t>
      </w:r>
      <w:r>
        <w:br/>
      </w:r>
      <w:r>
        <w:rPr>
          <w:b/>
          <w:color w:val="222222"/>
          <w:sz w:val="27"/>
        </w:rPr>
        <w:t>3</w:t>
      </w:r>
      <w:r>
        <w:rPr>
          <w:b/>
          <w:color w:val="222222"/>
          <w:sz w:val="27"/>
        </w:rPr>
        <w:t>、合同组成</w:t>
      </w:r>
      <w:r>
        <w:br/>
      </w:r>
      <w:r>
        <w:rPr>
          <w:color w:val="222222"/>
          <w:sz w:val="27"/>
        </w:rPr>
        <w:t>详细价格、技术说明及其它有关合同项目的特定信息由合同附件说明，所有附件及本项目的采购文件、响应文件、中标通知书、会议纪要等均为本合同不可分割之一部分。</w:t>
      </w:r>
    </w:p>
    <w:p>
      <w:pPr>
        <w:jc w:val="both"/>
      </w:pPr>
      <w:r>
        <w:rPr>
          <w:b/>
          <w:color w:val="222222"/>
          <w:sz w:val="27"/>
        </w:rPr>
        <w:t>4</w:t>
      </w:r>
      <w:r>
        <w:rPr>
          <w:b/>
          <w:color w:val="222222"/>
          <w:sz w:val="27"/>
        </w:rPr>
        <w:t>、技术要求</w:t>
      </w:r>
      <w:r>
        <w:br/>
      </w:r>
      <w:r>
        <w:rPr>
          <w:color w:val="222222"/>
          <w:sz w:val="27"/>
        </w:rPr>
        <w:t>乙方所提供设备，必须符合国家有关规范和环保要求及甲方的技术要求，并提供设备的出厂测试报告。</w:t>
      </w:r>
    </w:p>
    <w:p>
      <w:pPr>
        <w:jc w:val="both"/>
      </w:pPr>
      <w:r>
        <w:rPr>
          <w:b/>
          <w:color w:val="222222"/>
          <w:sz w:val="27"/>
        </w:rPr>
        <w:t>5</w:t>
      </w:r>
      <w:r>
        <w:rPr>
          <w:b/>
          <w:color w:val="222222"/>
          <w:sz w:val="27"/>
        </w:rPr>
        <w:t>、合同设备包装、交货、安装及验收</w:t>
      </w:r>
      <w:r>
        <w:br/>
      </w:r>
      <w:r>
        <w:rPr>
          <w:color w:val="222222"/>
          <w:sz w:val="27"/>
        </w:rPr>
        <w:t>（</w:t>
      </w:r>
      <w:r>
        <w:rPr>
          <w:color w:val="222222"/>
          <w:sz w:val="27"/>
        </w:rPr>
        <w:t>1</w:t>
      </w:r>
      <w:r>
        <w:rPr>
          <w:color w:val="222222"/>
          <w:sz w:val="27"/>
        </w:rPr>
        <w:t>）合同设备的包装</w:t>
      </w:r>
      <w:r>
        <w:br/>
      </w:r>
      <w:r>
        <w:rPr>
          <w:color w:val="222222"/>
          <w:sz w:val="27"/>
        </w:rPr>
        <w:t>1</w:t>
      </w:r>
      <w:r>
        <w:rPr>
          <w:color w:val="222222"/>
          <w:sz w:val="27"/>
        </w:rPr>
        <w:t>）</w:t>
      </w:r>
      <w:r>
        <w:rPr>
          <w:color w:val="222222"/>
          <w:sz w:val="27"/>
        </w:rPr>
        <w:t>设备的包装</w:t>
      </w:r>
      <w:r>
        <w:rPr>
          <w:color w:val="222222"/>
          <w:sz w:val="27"/>
        </w:rPr>
        <w:t>符合经济、牢固、美观的要求</w:t>
      </w:r>
      <w:r>
        <w:rPr>
          <w:sz w:val="28"/>
        </w:rPr>
        <w:t>，</w:t>
      </w:r>
      <w:r>
        <w:rPr>
          <w:color w:val="222222"/>
          <w:sz w:val="27"/>
        </w:rPr>
        <w:t>应有良好的防湿、防锈、防潮、防雨、防腐及防碰撞的措施。凡由于包装不良造成的损失和由此产生的费用均由乙方承担。</w:t>
      </w:r>
    </w:p>
    <w:p>
      <w:pPr>
        <w:jc w:val="both"/>
      </w:pPr>
      <w:r>
        <w:rPr>
          <w:color w:val="222222"/>
          <w:sz w:val="27"/>
        </w:rPr>
        <w:t>2</w:t>
      </w:r>
      <w:r>
        <w:rPr>
          <w:color w:val="222222"/>
          <w:sz w:val="27"/>
        </w:rPr>
        <w:t>）包装必须要符合相关法律法规的要求，包括与环境、职业健康和安全有关的法律、法规标准。</w:t>
      </w:r>
    </w:p>
    <w:p>
      <w:pPr>
        <w:jc w:val="both"/>
      </w:pPr>
      <w:r>
        <w:rPr>
          <w:color w:val="222222"/>
          <w:sz w:val="27"/>
        </w:rPr>
        <w:t>3</w:t>
      </w:r>
      <w:r>
        <w:rPr>
          <w:color w:val="222222"/>
          <w:sz w:val="27"/>
        </w:rPr>
        <w:t>）运输包装应根据产品的特点及国家相关标准标注有相应的运输标志。</w:t>
      </w:r>
      <w:r>
        <w:br/>
      </w:r>
      <w:r>
        <w:rPr>
          <w:color w:val="222222"/>
          <w:sz w:val="27"/>
        </w:rPr>
        <w:t>（</w:t>
      </w:r>
      <w:r>
        <w:rPr>
          <w:color w:val="222222"/>
          <w:sz w:val="27"/>
        </w:rPr>
        <w:t>2</w:t>
      </w:r>
      <w:r>
        <w:rPr>
          <w:color w:val="222222"/>
          <w:sz w:val="27"/>
        </w:rPr>
        <w:t>）合同设备的交货</w:t>
      </w:r>
      <w:r>
        <w:br/>
      </w:r>
      <w:r>
        <w:rPr>
          <w:color w:val="222222"/>
          <w:sz w:val="27"/>
        </w:rPr>
        <w:t>1</w:t>
      </w:r>
      <w:r>
        <w:rPr>
          <w:color w:val="222222"/>
          <w:sz w:val="27"/>
        </w:rPr>
        <w:t xml:space="preserve">） 乙方交货时间：   </w:t>
      </w:r>
      <w:r>
        <w:rPr>
          <w:sz w:val="21"/>
          <w:u w:val="single"/>
        </w:rPr>
        <w:t xml:space="preserve">          </w:t>
      </w:r>
      <w:r>
        <w:rPr>
          <w:sz w:val="21"/>
        </w:rPr>
        <w:t xml:space="preserve">     </w:t>
      </w:r>
      <w:r>
        <w:br/>
      </w:r>
      <w:r>
        <w:rPr>
          <w:color w:val="222222"/>
          <w:sz w:val="27"/>
        </w:rPr>
        <w:t>2</w:t>
      </w:r>
      <w:r>
        <w:rPr>
          <w:color w:val="222222"/>
          <w:sz w:val="27"/>
        </w:rPr>
        <w:t>） 乙方交货地点：运输及卸车至甲方指定地点。</w:t>
      </w:r>
      <w:r>
        <w:br/>
      </w:r>
      <w:r>
        <w:rPr>
          <w:color w:val="222222"/>
          <w:sz w:val="27"/>
        </w:rPr>
        <w:t>（</w:t>
      </w:r>
      <w:r>
        <w:rPr>
          <w:color w:val="222222"/>
          <w:sz w:val="27"/>
        </w:rPr>
        <w:t>3</w:t>
      </w:r>
      <w:r>
        <w:rPr>
          <w:color w:val="222222"/>
          <w:sz w:val="27"/>
        </w:rPr>
        <w:t>）合同设备的安装</w:t>
      </w:r>
      <w:r>
        <w:br/>
      </w:r>
      <w:r>
        <w:rPr>
          <w:color w:val="222222"/>
          <w:sz w:val="27"/>
        </w:rPr>
        <w:t>1</w:t>
      </w:r>
      <w:r>
        <w:rPr>
          <w:color w:val="222222"/>
          <w:sz w:val="27"/>
        </w:rPr>
        <w:t>）乙方负责合同项下的安装维修调试，一切费用由乙方负责。</w:t>
      </w:r>
      <w:r>
        <w:br/>
      </w:r>
      <w:r>
        <w:rPr>
          <w:color w:val="222222"/>
          <w:sz w:val="27"/>
        </w:rPr>
        <w:t>2</w:t>
      </w:r>
      <w:r>
        <w:rPr>
          <w:color w:val="222222"/>
          <w:sz w:val="27"/>
        </w:rPr>
        <w:t>）乙方安装时须对各安装场地内的其他设备、设施有良好保护措施。</w:t>
      </w:r>
      <w:r>
        <w:br/>
      </w:r>
      <w:r>
        <w:rPr>
          <w:color w:val="222222"/>
          <w:sz w:val="27"/>
        </w:rPr>
        <w:t>3</w:t>
      </w:r>
      <w:r>
        <w:rPr>
          <w:color w:val="222222"/>
          <w:sz w:val="27"/>
        </w:rPr>
        <w:t>）乙方交货后</w:t>
      </w:r>
      <w:r>
        <w:rPr>
          <w:sz w:val="21"/>
          <w:u w:val="single"/>
        </w:rPr>
        <w:t xml:space="preserve">    </w:t>
      </w:r>
      <w:r>
        <w:rPr>
          <w:color w:val="222222"/>
          <w:sz w:val="27"/>
        </w:rPr>
        <w:t>天完成安装。</w:t>
      </w:r>
      <w:r>
        <w:br/>
      </w:r>
      <w:r>
        <w:rPr>
          <w:color w:val="222222"/>
          <w:sz w:val="27"/>
        </w:rPr>
        <w:t>4</w:t>
      </w:r>
      <w:r>
        <w:rPr>
          <w:color w:val="222222"/>
          <w:sz w:val="27"/>
        </w:rPr>
        <w:t>）电源插头符合使用科室现有的插座，如不符合需要提供相应的插头转换接口。甲方只提供电源到机房总配电箱，机房的天花（含龙骨）、地面机座插座、底座、电线、电缆、线管（槽）及配电分箱等相关费用，由乙方负责。安装现场所涉及到的总承包管理配合费、配套服务费由乙方负责。</w:t>
      </w:r>
    </w:p>
    <w:p>
      <w:pPr>
        <w:jc w:val="both"/>
      </w:pPr>
      <w:r>
        <w:rPr>
          <w:color w:val="222222"/>
          <w:sz w:val="27"/>
        </w:rPr>
        <w:t>5</w:t>
      </w:r>
      <w:r>
        <w:rPr>
          <w:color w:val="222222"/>
          <w:sz w:val="27"/>
        </w:rPr>
        <w:t>）各种设备必须提供装箱清单，按合同清单验收货物。</w:t>
      </w:r>
    </w:p>
    <w:p>
      <w:pPr>
        <w:jc w:val="both"/>
      </w:pPr>
      <w:r>
        <w:br/>
      </w:r>
      <w:r>
        <w:rPr>
          <w:color w:val="222222"/>
          <w:sz w:val="27"/>
        </w:rPr>
        <w:t>（</w:t>
      </w:r>
      <w:r>
        <w:rPr>
          <w:color w:val="222222"/>
          <w:sz w:val="27"/>
        </w:rPr>
        <w:t>4</w:t>
      </w:r>
      <w:r>
        <w:rPr>
          <w:color w:val="222222"/>
          <w:sz w:val="27"/>
        </w:rPr>
        <w:t>）设备的验收</w:t>
      </w:r>
      <w:r>
        <w:br/>
      </w:r>
      <w:r>
        <w:rPr>
          <w:color w:val="222222"/>
          <w:sz w:val="27"/>
        </w:rPr>
        <w:t>1</w:t>
      </w:r>
      <w:r>
        <w:rPr>
          <w:color w:val="222222"/>
          <w:sz w:val="27"/>
        </w:rPr>
        <w:t>）合同设备安装完成后进行验收，验收应在甲乙双方共同参加下进行。</w:t>
      </w:r>
      <w:r>
        <w:br/>
      </w:r>
      <w:r>
        <w:rPr>
          <w:color w:val="222222"/>
          <w:sz w:val="27"/>
        </w:rPr>
        <w:t>2</w:t>
      </w:r>
      <w:r>
        <w:rPr>
          <w:color w:val="222222"/>
          <w:sz w:val="27"/>
        </w:rPr>
        <w:t>）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r>
        <w:br/>
      </w:r>
      <w:r>
        <w:rPr>
          <w:color w:val="222222"/>
          <w:sz w:val="27"/>
        </w:rPr>
        <w:t>3</w:t>
      </w:r>
      <w:r>
        <w:rPr>
          <w:color w:val="222222"/>
          <w:sz w:val="27"/>
        </w:rPr>
        <w:t>）如果合同设备运输和安装过程中因事故造成货物短缺、损坏，乙方应及时安排换装，以保证合同设备安装的成功完成。换货的相关费用由乙方承担。</w:t>
      </w:r>
      <w:r>
        <w:br/>
      </w:r>
      <w:r>
        <w:rPr>
          <w:color w:val="222222"/>
          <w:sz w:val="27"/>
        </w:rPr>
        <w:t>4</w:t>
      </w:r>
      <w:r>
        <w:rPr>
          <w:color w:val="222222"/>
          <w:sz w:val="27"/>
        </w:rPr>
        <w:t>）本项目质量应达到国家质量评定合格标准，通过第三方权威机构的验收，提供有效的验收报告。同时参考相关校准规范的要求出具仪器设备计量校准证书，相关费用由乙方承担。</w:t>
      </w:r>
      <w:r>
        <w:br/>
      </w:r>
      <w:r>
        <w:rPr>
          <w:color w:val="222222"/>
          <w:sz w:val="27"/>
        </w:rPr>
        <w:t>（</w:t>
      </w:r>
      <w:r>
        <w:rPr>
          <w:color w:val="222222"/>
          <w:sz w:val="27"/>
        </w:rPr>
        <w:t>5</w:t>
      </w:r>
      <w:r>
        <w:rPr>
          <w:color w:val="222222"/>
          <w:sz w:val="27"/>
        </w:rPr>
        <w:t>）乙方保证合同项下提供的设备不侵犯任何第三方的专利、商标或版权。否则，乙方须承担对第三方的专利或版权的侵权责任并承担因此而发生的所有费用。</w:t>
      </w:r>
    </w:p>
    <w:p>
      <w:pPr>
        <w:jc w:val="both"/>
      </w:pPr>
      <w:r>
        <w:rPr>
          <w:color w:val="222222"/>
          <w:sz w:val="27"/>
        </w:rPr>
        <w:t>（</w:t>
      </w:r>
      <w:r>
        <w:rPr>
          <w:color w:val="222222"/>
          <w:sz w:val="27"/>
        </w:rPr>
        <w:t>6</w:t>
      </w:r>
      <w:r>
        <w:rPr>
          <w:color w:val="222222"/>
          <w:sz w:val="27"/>
        </w:rPr>
        <w:t>）</w:t>
      </w:r>
      <w:r>
        <w:rPr>
          <w:color w:val="222222"/>
          <w:sz w:val="27"/>
        </w:rPr>
        <w:t>设备到货验收后，必须免费安装调试至能正常使用。乙方响应设备验收合格后，如果由厂家提供免费保修、维护及保养等服务，厂家承诺书应明确具体的项目名称。</w:t>
      </w:r>
    </w:p>
    <w:p>
      <w:pPr>
        <w:jc w:val="both"/>
      </w:pPr>
    </w:p>
    <w:p>
      <w:pPr>
        <w:jc w:val="both"/>
      </w:pPr>
      <w:r>
        <w:rPr>
          <w:color w:val="222222"/>
          <w:sz w:val="27"/>
        </w:rPr>
        <w:t>6</w:t>
      </w:r>
      <w:r>
        <w:rPr>
          <w:color w:val="222222"/>
          <w:sz w:val="27"/>
        </w:rPr>
        <w:t>、</w:t>
      </w:r>
      <w:r>
        <w:rPr>
          <w:b/>
          <w:color w:val="222222"/>
          <w:sz w:val="27"/>
        </w:rPr>
        <w:t>质量保证及</w:t>
      </w:r>
      <w:r>
        <w:rPr>
          <w:b/>
          <w:color w:val="222222"/>
          <w:sz w:val="27"/>
        </w:rPr>
        <w:t>培训、</w:t>
      </w:r>
      <w:r>
        <w:rPr>
          <w:b/>
          <w:color w:val="222222"/>
          <w:sz w:val="27"/>
        </w:rPr>
        <w:t>售后服务</w:t>
      </w:r>
      <w:r>
        <w:br/>
      </w:r>
      <w:r>
        <w:rPr>
          <w:color w:val="222222"/>
          <w:sz w:val="27"/>
        </w:rPr>
        <w:t>（</w:t>
      </w:r>
      <w:r>
        <w:rPr>
          <w:color w:val="222222"/>
          <w:sz w:val="27"/>
        </w:rPr>
        <w:t>1</w:t>
      </w:r>
      <w:r>
        <w:rPr>
          <w:color w:val="222222"/>
          <w:sz w:val="27"/>
        </w:rPr>
        <w:t>）乙方保证合同设备是全新、未曾使用过、符合国家有关法律规定的产品，其质量、规格及技术特征符合合同附件的要求。</w:t>
      </w:r>
      <w:r>
        <w:br/>
      </w:r>
      <w:r>
        <w:rPr>
          <w:color w:val="222222"/>
          <w:sz w:val="27"/>
        </w:rPr>
        <w:t>（</w:t>
      </w:r>
      <w:r>
        <w:rPr>
          <w:color w:val="222222"/>
          <w:sz w:val="27"/>
        </w:rPr>
        <w:t>2</w:t>
      </w:r>
      <w:r>
        <w:rPr>
          <w:color w:val="222222"/>
          <w:sz w:val="27"/>
        </w:rPr>
        <w:t>）合同设备保质保用期，为本项目有关部门验收签字之日起整机免费保修</w:t>
      </w:r>
      <w:r>
        <w:rPr>
          <w:sz w:val="21"/>
          <w:u w:val="single"/>
        </w:rPr>
        <w:t xml:space="preserve">    </w:t>
      </w:r>
      <w:r>
        <w:rPr>
          <w:color w:val="222222"/>
          <w:sz w:val="27"/>
        </w:rPr>
        <w:t>年。每年至少</w:t>
      </w:r>
      <w:r>
        <w:rPr>
          <w:sz w:val="21"/>
          <w:u w:val="single"/>
        </w:rPr>
        <w:t xml:space="preserve">    </w:t>
      </w:r>
      <w:r>
        <w:rPr>
          <w:color w:val="222222"/>
          <w:sz w:val="27"/>
        </w:rPr>
        <w:t>次现场维护，现场维护包括但不限于</w:t>
      </w:r>
      <w:r>
        <w:rPr>
          <w:sz w:val="21"/>
          <w:u w:val="single"/>
        </w:rPr>
        <w:t xml:space="preserve">     </w:t>
      </w:r>
      <w:r>
        <w:rPr>
          <w:color w:val="222222"/>
          <w:sz w:val="27"/>
        </w:rPr>
        <w:t>。保质保用期内非因甲方的人为原因而出现产品质量及安装问题，由乙方负责包修、包换或包退，并承担因此而产生的一切费用。保修承担方为：</w:t>
      </w:r>
      <w:r>
        <w:rPr>
          <w:sz w:val="21"/>
          <w:u w:val="single"/>
        </w:rPr>
        <w:t xml:space="preserve">     </w:t>
      </w:r>
      <w:r>
        <w:rPr>
          <w:color w:val="222222"/>
          <w:sz w:val="27"/>
        </w:rPr>
        <w:t>。（保修承担方与乙方不一致时，需要保修承担方提供具备法律效力的承诺函作为本协议附件，乙方同意与保修方共同无限承担连带责任）</w:t>
      </w:r>
      <w:r>
        <w:br/>
      </w:r>
      <w:r>
        <w:rPr>
          <w:color w:val="222222"/>
          <w:sz w:val="27"/>
        </w:rPr>
        <w:t>（</w:t>
      </w:r>
      <w:r>
        <w:rPr>
          <w:color w:val="222222"/>
          <w:sz w:val="27"/>
        </w:rPr>
        <w:t>3</w:t>
      </w:r>
      <w:r>
        <w:rPr>
          <w:color w:val="222222"/>
          <w:sz w:val="27"/>
        </w:rPr>
        <w:t>）因设备的质量问题而发生争议，由广东省或汕尾市质检部门进行质量鉴定。设备符合质量标准的，鉴定费用由甲方承担，设备不符合质量标准的鉴定费用由乙方承担。</w:t>
      </w:r>
      <w:r>
        <w:br/>
      </w:r>
      <w:r>
        <w:rPr>
          <w:color w:val="222222"/>
          <w:sz w:val="27"/>
        </w:rPr>
        <w:t>（</w:t>
      </w:r>
      <w:r>
        <w:rPr>
          <w:color w:val="222222"/>
          <w:sz w:val="27"/>
        </w:rPr>
        <w:t>4</w:t>
      </w:r>
      <w:r>
        <w:rPr>
          <w:color w:val="222222"/>
          <w:sz w:val="27"/>
        </w:rPr>
        <w:t>）乙方无偿培训甲方维修人员，主要内容为设备的基本结构、性能、主要部件的构造及修理，日常使用保养与管理，常见故障的排除、紧急情况的处理等，培训地点主要在设备安装现场或按甲方安排。</w:t>
      </w:r>
    </w:p>
    <w:p>
      <w:pPr>
        <w:jc w:val="both"/>
      </w:pPr>
      <w:r>
        <w:rPr>
          <w:color w:val="222222"/>
          <w:sz w:val="27"/>
        </w:rPr>
        <w:t>（</w:t>
      </w:r>
      <w:r>
        <w:rPr>
          <w:color w:val="222222"/>
          <w:sz w:val="27"/>
        </w:rPr>
        <w:t>5</w:t>
      </w:r>
      <w:r>
        <w:rPr>
          <w:color w:val="222222"/>
          <w:sz w:val="27"/>
        </w:rPr>
        <w:t>）</w:t>
      </w:r>
      <w:r>
        <w:rPr>
          <w:color w:val="222222"/>
          <w:sz w:val="27"/>
        </w:rPr>
        <w:t>乙方</w:t>
      </w:r>
      <w:r>
        <w:rPr>
          <w:color w:val="222222"/>
          <w:sz w:val="27"/>
        </w:rPr>
        <w:t>需提供详细的培训方案，包括但不限于培训内容和培训计划，保证两名或以上操作人员熟练掌握操作技术为止；如遇设备升级更新，</w:t>
      </w:r>
      <w:r>
        <w:rPr>
          <w:color w:val="222222"/>
          <w:sz w:val="27"/>
        </w:rPr>
        <w:t>乙方</w:t>
      </w:r>
      <w:r>
        <w:rPr>
          <w:color w:val="222222"/>
          <w:sz w:val="27"/>
        </w:rPr>
        <w:t>需及时提供更新操作指导。</w:t>
      </w:r>
    </w:p>
    <w:p>
      <w:pPr>
        <w:jc w:val="both"/>
      </w:pPr>
      <w:r>
        <w:rPr>
          <w:color w:val="222222"/>
          <w:sz w:val="27"/>
        </w:rPr>
        <w:t>（</w:t>
      </w:r>
      <w:r>
        <w:rPr>
          <w:color w:val="222222"/>
          <w:sz w:val="27"/>
        </w:rPr>
        <w:t>6</w:t>
      </w:r>
      <w:r>
        <w:rPr>
          <w:color w:val="222222"/>
          <w:sz w:val="27"/>
        </w:rPr>
        <w:t>）对甲方的服务通知，乙方</w:t>
      </w:r>
      <w:r>
        <w:rPr>
          <w:color w:val="222222"/>
          <w:sz w:val="27"/>
        </w:rPr>
        <w:t>4</w:t>
      </w:r>
      <w:r>
        <w:rPr>
          <w:color w:val="222222"/>
          <w:sz w:val="27"/>
        </w:rPr>
        <w:t>小时内派员到现场维修，在乙方承诺的质量保证期内，如经甲方两次维修或更换，货物仍不能达到合同约定的质量标准，甲方有权退货或要求更换，乙方应赔偿甲方因此遭受的损失。</w:t>
      </w:r>
    </w:p>
    <w:p>
      <w:pPr>
        <w:jc w:val="both"/>
      </w:pPr>
    </w:p>
    <w:p>
      <w:pPr>
        <w:jc w:val="both"/>
      </w:pPr>
      <w:r>
        <w:rPr>
          <w:b/>
          <w:color w:val="222222"/>
          <w:sz w:val="27"/>
        </w:rPr>
        <w:t>7</w:t>
      </w:r>
      <w:r>
        <w:rPr>
          <w:b/>
          <w:color w:val="222222"/>
          <w:sz w:val="27"/>
        </w:rPr>
        <w:t>、付款办法</w:t>
      </w:r>
      <w:r>
        <w:br/>
      </w:r>
      <w:r>
        <w:rPr>
          <w:color w:val="222222"/>
          <w:sz w:val="27"/>
        </w:rPr>
        <w:t>（</w:t>
      </w:r>
      <w:r>
        <w:rPr>
          <w:color w:val="222222"/>
          <w:sz w:val="27"/>
        </w:rPr>
        <w:t>1</w:t>
      </w:r>
      <w:r>
        <w:rPr>
          <w:color w:val="222222"/>
          <w:sz w:val="27"/>
        </w:rPr>
        <w:t>）如</w:t>
      </w:r>
      <w:r>
        <w:rPr>
          <w:color w:val="222222"/>
          <w:sz w:val="27"/>
        </w:rPr>
        <w:t>乙方</w:t>
      </w:r>
      <w:r>
        <w:rPr>
          <w:color w:val="222222"/>
          <w:sz w:val="27"/>
        </w:rPr>
        <w:t>为大型企业（依据《关于印发中小企业划型标准规定的通知》工信部联企业〔</w:t>
      </w:r>
      <w:r>
        <w:rPr>
          <w:color w:val="222222"/>
          <w:sz w:val="27"/>
        </w:rPr>
        <w:t>2011</w:t>
      </w:r>
      <w:r>
        <w:rPr>
          <w:color w:val="222222"/>
          <w:sz w:val="27"/>
        </w:rPr>
        <w:t>〕</w:t>
      </w:r>
      <w:r>
        <w:rPr>
          <w:color w:val="222222"/>
          <w:sz w:val="27"/>
        </w:rPr>
        <w:t>300</w:t>
      </w:r>
      <w:r>
        <w:rPr>
          <w:color w:val="222222"/>
          <w:sz w:val="27"/>
        </w:rPr>
        <w:t>号划分大型企业）</w:t>
      </w:r>
    </w:p>
    <w:p>
      <w:pPr>
        <w:jc w:val="both"/>
      </w:pPr>
      <w:r>
        <w:rPr>
          <w:color w:val="222222"/>
          <w:sz w:val="27"/>
        </w:rPr>
        <w:t>1</w:t>
      </w:r>
      <w:r>
        <w:rPr>
          <w:color w:val="222222"/>
          <w:sz w:val="27"/>
        </w:rPr>
        <w:t>）</w:t>
      </w:r>
      <w:r>
        <w:rPr>
          <w:color w:val="222222"/>
          <w:sz w:val="27"/>
        </w:rPr>
        <w:t>乙方</w:t>
      </w:r>
      <w:r>
        <w:rPr>
          <w:color w:val="222222"/>
          <w:sz w:val="27"/>
        </w:rPr>
        <w:t>与</w:t>
      </w:r>
      <w:r>
        <w:rPr>
          <w:color w:val="222222"/>
          <w:sz w:val="27"/>
        </w:rPr>
        <w:t>甲方</w:t>
      </w:r>
      <w:r>
        <w:rPr>
          <w:color w:val="222222"/>
          <w:sz w:val="27"/>
        </w:rPr>
        <w:t>签订合同后</w:t>
      </w:r>
      <w:r>
        <w:rPr>
          <w:color w:val="222222"/>
          <w:sz w:val="27"/>
        </w:rPr>
        <w:t>5</w:t>
      </w:r>
      <w:r>
        <w:rPr>
          <w:color w:val="222222"/>
          <w:sz w:val="27"/>
        </w:rPr>
        <w:t>个工作日内以支票、汇票、本票、保函等非现金形式提交合同总额</w:t>
      </w:r>
      <w:r>
        <w:rPr>
          <w:color w:val="222222"/>
          <w:sz w:val="27"/>
        </w:rPr>
        <w:t>5%</w:t>
      </w:r>
      <w:r>
        <w:rPr>
          <w:color w:val="222222"/>
          <w:sz w:val="27"/>
        </w:rPr>
        <w:t>的履约保证金给</w:t>
      </w:r>
      <w:r>
        <w:rPr>
          <w:color w:val="222222"/>
          <w:sz w:val="27"/>
        </w:rPr>
        <w:t>甲方</w:t>
      </w:r>
      <w:r>
        <w:rPr>
          <w:color w:val="222222"/>
          <w:sz w:val="27"/>
        </w:rPr>
        <w:t>。</w:t>
      </w:r>
    </w:p>
    <w:p>
      <w:pPr>
        <w:jc w:val="both"/>
      </w:pPr>
      <w:r>
        <w:rPr>
          <w:color w:val="222222"/>
          <w:sz w:val="27"/>
        </w:rPr>
        <w:t>2</w:t>
      </w:r>
      <w:r>
        <w:rPr>
          <w:color w:val="222222"/>
          <w:sz w:val="27"/>
        </w:rPr>
        <w:t>）合同设备全部到工地或指定地点交付并完成安装及验收后，</w:t>
      </w:r>
      <w:r>
        <w:rPr>
          <w:color w:val="222222"/>
          <w:sz w:val="27"/>
        </w:rPr>
        <w:t>乙方</w:t>
      </w:r>
      <w:r>
        <w:rPr>
          <w:color w:val="222222"/>
          <w:sz w:val="27"/>
        </w:rPr>
        <w:t>凭</w:t>
      </w:r>
      <w:r>
        <w:rPr>
          <w:color w:val="222222"/>
          <w:sz w:val="27"/>
        </w:rPr>
        <w:t>甲方</w:t>
      </w:r>
      <w:r>
        <w:rPr>
          <w:color w:val="222222"/>
          <w:sz w:val="27"/>
        </w:rPr>
        <w:t>收货证明、使用部门调试使用意见（加盖</w:t>
      </w:r>
      <w:r>
        <w:rPr>
          <w:color w:val="222222"/>
          <w:sz w:val="27"/>
        </w:rPr>
        <w:t>甲方</w:t>
      </w:r>
      <w:r>
        <w:rPr>
          <w:color w:val="222222"/>
          <w:sz w:val="27"/>
        </w:rPr>
        <w:t>装备科公章）等资料，向</w:t>
      </w:r>
      <w:r>
        <w:rPr>
          <w:color w:val="222222"/>
          <w:sz w:val="27"/>
        </w:rPr>
        <w:t>甲方</w:t>
      </w:r>
      <w:r>
        <w:rPr>
          <w:color w:val="222222"/>
          <w:sz w:val="27"/>
        </w:rPr>
        <w:t>申请付款。</w:t>
      </w:r>
    </w:p>
    <w:p>
      <w:pPr>
        <w:jc w:val="both"/>
      </w:pPr>
      <w:r>
        <w:rPr>
          <w:color w:val="222222"/>
          <w:sz w:val="27"/>
        </w:rPr>
        <w:t>3</w:t>
      </w:r>
      <w:r>
        <w:rPr>
          <w:color w:val="222222"/>
          <w:sz w:val="27"/>
        </w:rPr>
        <w:t>）付款方式经</w:t>
      </w:r>
      <w:r>
        <w:rPr>
          <w:color w:val="222222"/>
          <w:sz w:val="27"/>
        </w:rPr>
        <w:t>甲方</w:t>
      </w:r>
      <w:r>
        <w:rPr>
          <w:color w:val="222222"/>
          <w:sz w:val="27"/>
        </w:rPr>
        <w:t>、</w:t>
      </w:r>
      <w:r>
        <w:rPr>
          <w:color w:val="222222"/>
          <w:sz w:val="27"/>
        </w:rPr>
        <w:t>乙方</w:t>
      </w:r>
      <w:r>
        <w:rPr>
          <w:color w:val="222222"/>
          <w:sz w:val="27"/>
        </w:rPr>
        <w:t>双方共同协议同意于货到验收合格后，</w:t>
      </w:r>
      <w:r>
        <w:rPr>
          <w:color w:val="222222"/>
          <w:sz w:val="27"/>
        </w:rPr>
        <w:t>甲方</w:t>
      </w:r>
      <w:r>
        <w:rPr>
          <w:color w:val="222222"/>
          <w:sz w:val="27"/>
        </w:rPr>
        <w:t>在收到相关申请资料及满足付款支付条件后</w:t>
      </w:r>
      <w:r>
        <w:rPr>
          <w:color w:val="222222"/>
          <w:sz w:val="27"/>
        </w:rPr>
        <w:t>5</w:t>
      </w:r>
      <w:r>
        <w:rPr>
          <w:color w:val="222222"/>
          <w:sz w:val="27"/>
        </w:rPr>
        <w:t>个工作日内以银行转账支付合同金额的</w:t>
      </w:r>
      <w:r>
        <w:rPr>
          <w:color w:val="222222"/>
          <w:sz w:val="27"/>
        </w:rPr>
        <w:t>100%</w:t>
      </w:r>
      <w:r>
        <w:rPr>
          <w:color w:val="222222"/>
          <w:sz w:val="27"/>
        </w:rPr>
        <w:t>，</w:t>
      </w:r>
      <w:r>
        <w:rPr>
          <w:color w:val="222222"/>
          <w:sz w:val="27"/>
        </w:rPr>
        <w:t>待设备安装正常运行后甲方在收到相关申请资料后</w:t>
      </w:r>
      <w:r>
        <w:rPr>
          <w:color w:val="222222"/>
          <w:sz w:val="27"/>
        </w:rPr>
        <w:t>10</w:t>
      </w:r>
      <w:r>
        <w:rPr>
          <w:color w:val="222222"/>
          <w:sz w:val="27"/>
        </w:rPr>
        <w:t>个工作日内退回</w:t>
      </w:r>
      <w:r>
        <w:rPr>
          <w:color w:val="222222"/>
          <w:sz w:val="27"/>
        </w:rPr>
        <w:t>5%</w:t>
      </w:r>
      <w:r>
        <w:rPr>
          <w:color w:val="222222"/>
          <w:sz w:val="27"/>
        </w:rPr>
        <w:t>履约保证金。</w:t>
      </w:r>
    </w:p>
    <w:p>
      <w:pPr>
        <w:jc w:val="both"/>
      </w:pPr>
      <w:r>
        <w:rPr>
          <w:color w:val="222222"/>
          <w:sz w:val="27"/>
        </w:rPr>
        <w:t>4</w:t>
      </w:r>
      <w:r>
        <w:rPr>
          <w:color w:val="222222"/>
          <w:sz w:val="27"/>
        </w:rPr>
        <w:t>）如不是医院自有资金项目，付款方式按相关经费要求支付。</w:t>
      </w:r>
    </w:p>
    <w:p>
      <w:pPr>
        <w:jc w:val="both"/>
      </w:pPr>
      <w:r>
        <w:rPr>
          <w:color w:val="222222"/>
          <w:sz w:val="27"/>
        </w:rPr>
        <w:t>（</w:t>
      </w:r>
      <w:r>
        <w:rPr>
          <w:color w:val="222222"/>
          <w:sz w:val="27"/>
        </w:rPr>
        <w:t>2</w:t>
      </w:r>
      <w:r>
        <w:rPr>
          <w:color w:val="222222"/>
          <w:sz w:val="27"/>
        </w:rPr>
        <w:t>）如</w:t>
      </w:r>
      <w:r>
        <w:rPr>
          <w:color w:val="222222"/>
          <w:sz w:val="27"/>
        </w:rPr>
        <w:t>乙方</w:t>
      </w:r>
      <w:r>
        <w:rPr>
          <w:color w:val="222222"/>
          <w:sz w:val="27"/>
        </w:rPr>
        <w:t>为中小企业（依据《关于印发中小企业划型标准规定的通知》工信部联企业〔</w:t>
      </w:r>
      <w:r>
        <w:rPr>
          <w:color w:val="222222"/>
          <w:sz w:val="27"/>
        </w:rPr>
        <w:t>2011</w:t>
      </w:r>
      <w:r>
        <w:rPr>
          <w:color w:val="222222"/>
          <w:sz w:val="27"/>
        </w:rPr>
        <w:t>〕</w:t>
      </w:r>
      <w:r>
        <w:rPr>
          <w:color w:val="222222"/>
          <w:sz w:val="27"/>
        </w:rPr>
        <w:t>300</w:t>
      </w:r>
      <w:r>
        <w:rPr>
          <w:color w:val="222222"/>
          <w:sz w:val="27"/>
        </w:rPr>
        <w:t>号划分中小企业）</w:t>
      </w:r>
    </w:p>
    <w:p>
      <w:pPr>
        <w:jc w:val="both"/>
      </w:pPr>
      <w:r>
        <w:rPr>
          <w:color w:val="222222"/>
          <w:sz w:val="27"/>
        </w:rPr>
        <w:t>1</w:t>
      </w:r>
      <w:r>
        <w:rPr>
          <w:color w:val="222222"/>
          <w:sz w:val="27"/>
        </w:rPr>
        <w:t>）合同签订后，</w:t>
      </w:r>
      <w:r>
        <w:rPr>
          <w:color w:val="222222"/>
          <w:sz w:val="27"/>
        </w:rPr>
        <w:t>乙方</w:t>
      </w:r>
      <w:r>
        <w:rPr>
          <w:color w:val="222222"/>
          <w:sz w:val="27"/>
        </w:rPr>
        <w:t>向</w:t>
      </w:r>
      <w:r>
        <w:rPr>
          <w:color w:val="222222"/>
          <w:sz w:val="27"/>
        </w:rPr>
        <w:t>甲方</w:t>
      </w:r>
      <w:r>
        <w:rPr>
          <w:color w:val="222222"/>
          <w:sz w:val="27"/>
        </w:rPr>
        <w:t>开具合同总价</w:t>
      </w:r>
      <w:r>
        <w:rPr>
          <w:color w:val="222222"/>
          <w:sz w:val="27"/>
        </w:rPr>
        <w:t>30%</w:t>
      </w:r>
      <w:r>
        <w:rPr>
          <w:color w:val="222222"/>
          <w:sz w:val="27"/>
        </w:rPr>
        <w:t>的发票及等额的预付款保函，满足付款支付条件后</w:t>
      </w:r>
      <w:r>
        <w:rPr>
          <w:color w:val="222222"/>
          <w:sz w:val="27"/>
        </w:rPr>
        <w:t>5</w:t>
      </w:r>
      <w:r>
        <w:rPr>
          <w:color w:val="222222"/>
          <w:sz w:val="27"/>
        </w:rPr>
        <w:t>个工作日内支付合同总金额的</w:t>
      </w:r>
      <w:r>
        <w:rPr>
          <w:color w:val="222222"/>
          <w:sz w:val="27"/>
        </w:rPr>
        <w:t>30%</w:t>
      </w:r>
      <w:r>
        <w:rPr>
          <w:color w:val="222222"/>
          <w:sz w:val="27"/>
        </w:rPr>
        <w:t>；</w:t>
      </w:r>
    </w:p>
    <w:p>
      <w:pPr>
        <w:jc w:val="both"/>
      </w:pPr>
      <w:r>
        <w:rPr>
          <w:color w:val="222222"/>
          <w:sz w:val="27"/>
        </w:rPr>
        <w:t>2</w:t>
      </w:r>
      <w:r>
        <w:rPr>
          <w:color w:val="222222"/>
          <w:sz w:val="27"/>
        </w:rPr>
        <w:t>）货物按照验收合格并通过相关部门的评定验收后，在收到</w:t>
      </w:r>
      <w:r>
        <w:rPr>
          <w:color w:val="222222"/>
          <w:sz w:val="27"/>
        </w:rPr>
        <w:t>乙方</w:t>
      </w:r>
      <w:r>
        <w:rPr>
          <w:color w:val="222222"/>
          <w:sz w:val="27"/>
        </w:rPr>
        <w:t>开具合同总价</w:t>
      </w:r>
      <w:r>
        <w:rPr>
          <w:color w:val="222222"/>
          <w:sz w:val="27"/>
        </w:rPr>
        <w:t>70%</w:t>
      </w:r>
      <w:r>
        <w:rPr>
          <w:color w:val="222222"/>
          <w:sz w:val="27"/>
        </w:rPr>
        <w:t>的发票及满足付款支付条件后</w:t>
      </w:r>
      <w:r>
        <w:rPr>
          <w:color w:val="222222"/>
          <w:sz w:val="27"/>
        </w:rPr>
        <w:t>5</w:t>
      </w:r>
      <w:r>
        <w:rPr>
          <w:color w:val="222222"/>
          <w:sz w:val="27"/>
        </w:rPr>
        <w:t>个工作日内支付合同总金额的</w:t>
      </w:r>
      <w:r>
        <w:rPr>
          <w:color w:val="222222"/>
          <w:sz w:val="27"/>
        </w:rPr>
        <w:t>70%</w:t>
      </w:r>
      <w:r>
        <w:rPr>
          <w:color w:val="222222"/>
          <w:sz w:val="27"/>
        </w:rPr>
        <w:t>，若</w:t>
      </w:r>
      <w:r>
        <w:rPr>
          <w:color w:val="222222"/>
          <w:sz w:val="27"/>
        </w:rPr>
        <w:t>乙方</w:t>
      </w:r>
      <w:r>
        <w:rPr>
          <w:color w:val="222222"/>
          <w:sz w:val="27"/>
        </w:rPr>
        <w:t>没有违约行为，保函在验收合格后当月自动失效；</w:t>
      </w:r>
    </w:p>
    <w:p>
      <w:pPr>
        <w:jc w:val="both"/>
      </w:pPr>
      <w:r>
        <w:rPr>
          <w:color w:val="222222"/>
          <w:sz w:val="27"/>
        </w:rPr>
        <w:t>3</w:t>
      </w:r>
      <w:r>
        <w:rPr>
          <w:color w:val="222222"/>
          <w:sz w:val="27"/>
        </w:rPr>
        <w:t>）如不是</w:t>
      </w:r>
      <w:r>
        <w:rPr>
          <w:color w:val="222222"/>
          <w:sz w:val="27"/>
        </w:rPr>
        <w:t>甲方</w:t>
      </w:r>
      <w:r>
        <w:rPr>
          <w:color w:val="222222"/>
          <w:sz w:val="27"/>
        </w:rPr>
        <w:t>自有资金项目，付款方式按相关经费要求支付。</w:t>
      </w:r>
    </w:p>
    <w:p>
      <w:pPr>
        <w:jc w:val="both"/>
      </w:pPr>
      <w:r>
        <w:br/>
      </w:r>
      <w:r>
        <w:rPr>
          <w:b/>
          <w:color w:val="222222"/>
          <w:sz w:val="27"/>
        </w:rPr>
        <w:t>8</w:t>
      </w:r>
      <w:r>
        <w:rPr>
          <w:b/>
          <w:color w:val="222222"/>
          <w:sz w:val="27"/>
        </w:rPr>
        <w:t>、技术服务</w:t>
      </w:r>
      <w:r>
        <w:br/>
      </w:r>
      <w:r>
        <w:rPr>
          <w:color w:val="222222"/>
          <w:sz w:val="27"/>
        </w:rPr>
        <w:t>乙方应派员到甲方指定地点配合工作，按甲方提供的合同执行进度计划，再配合甲方及有关单位，以此做好合同执行进度上的配合工作。</w:t>
      </w:r>
    </w:p>
    <w:p>
      <w:pPr>
        <w:jc w:val="both"/>
      </w:pPr>
      <w:r>
        <w:rPr>
          <w:b/>
          <w:color w:val="222222"/>
          <w:sz w:val="27"/>
        </w:rPr>
        <w:t>9</w:t>
      </w:r>
      <w:r>
        <w:rPr>
          <w:b/>
          <w:color w:val="222222"/>
          <w:sz w:val="27"/>
        </w:rPr>
        <w:t>、不可抗力</w:t>
      </w:r>
      <w:r>
        <w:br/>
      </w:r>
      <w:r>
        <w:rPr>
          <w:color w:val="222222"/>
          <w:sz w:val="27"/>
        </w:rPr>
        <w:t>（</w:t>
      </w:r>
      <w:r>
        <w:rPr>
          <w:color w:val="222222"/>
          <w:sz w:val="27"/>
        </w:rPr>
        <w:t>1</w:t>
      </w:r>
      <w:r>
        <w:rPr>
          <w:color w:val="222222"/>
          <w:sz w:val="27"/>
        </w:rPr>
        <w:t>）不可抗力指战争、严重火灾、洪水、台风、地震等或其它双方认定的不可抗力事件。</w:t>
      </w:r>
      <w:r>
        <w:br/>
      </w:r>
      <w:r>
        <w:rPr>
          <w:color w:val="222222"/>
          <w:sz w:val="27"/>
        </w:rPr>
        <w:t>（</w:t>
      </w:r>
      <w:r>
        <w:rPr>
          <w:color w:val="222222"/>
          <w:sz w:val="27"/>
        </w:rPr>
        <w:t>2</w:t>
      </w:r>
      <w:r>
        <w:rPr>
          <w:color w:val="222222"/>
          <w:sz w:val="27"/>
        </w:rPr>
        <w:t>）签约双方中任何一方由于不可抗力影响合同执行时，发生不可抗力一方应尽快将事故通知另一方。在此情况下，乙方仍然有责任采取必要的措施加速供货，双方应通过友好协商解决本合同的执行问题。</w:t>
      </w:r>
    </w:p>
    <w:p>
      <w:pPr>
        <w:jc w:val="both"/>
      </w:pPr>
      <w:r>
        <w:rPr>
          <w:b/>
          <w:color w:val="222222"/>
          <w:sz w:val="27"/>
        </w:rPr>
        <w:t>10</w:t>
      </w:r>
      <w:r>
        <w:rPr>
          <w:b/>
          <w:color w:val="222222"/>
          <w:sz w:val="27"/>
        </w:rPr>
        <w:t>、 索赔</w:t>
      </w:r>
      <w:r>
        <w:br/>
      </w:r>
      <w:r>
        <w:rPr>
          <w:color w:val="222222"/>
          <w:sz w:val="27"/>
        </w:rPr>
        <w:t>（</w:t>
      </w:r>
      <w:r>
        <w:rPr>
          <w:color w:val="222222"/>
          <w:sz w:val="27"/>
        </w:rPr>
        <w:t>1</w:t>
      </w:r>
      <w:r>
        <w:rPr>
          <w:color w:val="222222"/>
          <w:sz w:val="27"/>
        </w:rPr>
        <w:t>）如有异议，甲方有权根据有关政府部门的检验结果向乙方提出索赔。</w:t>
      </w:r>
      <w:r>
        <w:br/>
      </w:r>
      <w:r>
        <w:rPr>
          <w:color w:val="222222"/>
          <w:sz w:val="27"/>
        </w:rPr>
        <w:t>（</w:t>
      </w:r>
      <w:r>
        <w:rPr>
          <w:color w:val="222222"/>
          <w:sz w:val="27"/>
        </w:rPr>
        <w:t>2</w:t>
      </w:r>
      <w:r>
        <w:rPr>
          <w:color w:val="222222"/>
          <w:sz w:val="27"/>
        </w:rPr>
        <w:t>）在合同执行期间，如果乙方对甲方提出的索赔和差异负有责任，乙方应按照甲方同意的下列一种或多种方式解决索赔事宜。</w:t>
      </w:r>
      <w:r>
        <w:br/>
      </w:r>
      <w:r>
        <w:rPr>
          <w:color w:val="222222"/>
          <w:sz w:val="27"/>
        </w:rPr>
        <w:t>1</w:t>
      </w:r>
      <w:r>
        <w:rPr>
          <w:color w:val="222222"/>
          <w:sz w:val="27"/>
        </w:rPr>
        <w:t>）乙方同意退货，并按合同规定的同种货币将货款退还给甲方，并承担由此发生的一切损失和费用。</w:t>
      </w:r>
      <w:r>
        <w:br/>
      </w:r>
      <w:r>
        <w:rPr>
          <w:color w:val="222222"/>
          <w:sz w:val="27"/>
        </w:rPr>
        <w:t>2</w:t>
      </w:r>
      <w:r>
        <w:rPr>
          <w:color w:val="222222"/>
          <w:sz w:val="27"/>
        </w:rPr>
        <w:t>）根据货物低劣程度、损坏程度以及甲方所遭受损失的数额，甲乙双方商定降低货物的价格。</w:t>
      </w:r>
      <w:r>
        <w:br/>
      </w:r>
      <w:r>
        <w:rPr>
          <w:color w:val="222222"/>
          <w:sz w:val="27"/>
        </w:rPr>
        <w:t>3</w:t>
      </w:r>
      <w:r>
        <w:rPr>
          <w:color w:val="222222"/>
          <w:sz w:val="27"/>
        </w:rPr>
        <w:t>） 用符合规格、质量和性能要求的新零件、部件或货物来更换有缺陷部分或修补缺陷的部份，乙方应承担一切费用和风险并负担甲方所发生的一切直接费用。同时，相应延长质量保证期。</w:t>
      </w:r>
      <w:r>
        <w:br/>
      </w:r>
      <w:r>
        <w:rPr>
          <w:color w:val="222222"/>
          <w:sz w:val="27"/>
        </w:rPr>
        <w:t>（</w:t>
      </w:r>
      <w:r>
        <w:rPr>
          <w:color w:val="222222"/>
          <w:sz w:val="27"/>
        </w:rPr>
        <w:t>3</w:t>
      </w:r>
      <w:r>
        <w:rPr>
          <w:color w:val="222222"/>
          <w:sz w:val="27"/>
        </w:rPr>
        <w:t>） 如果在甲方发出索赔通知后</w:t>
      </w:r>
      <w:r>
        <w:rPr>
          <w:color w:val="222222"/>
          <w:sz w:val="27"/>
        </w:rPr>
        <w:t>30</w:t>
      </w:r>
      <w:r>
        <w:rPr>
          <w:color w:val="222222"/>
          <w:sz w:val="27"/>
        </w:rPr>
        <w:t>天内，乙方未作答复，上述索赔应视为已被乙方接受。甲方将从合同款项中扣回索赔金额。如果这些金额不足以补偿索赔金额，甲方有权向乙方提出不足部分的补偿。</w:t>
      </w:r>
      <w:r>
        <w:br/>
      </w:r>
      <w:r>
        <w:rPr>
          <w:color w:val="222222"/>
          <w:sz w:val="27"/>
        </w:rPr>
        <w:t>（</w:t>
      </w:r>
      <w:r>
        <w:rPr>
          <w:color w:val="222222"/>
          <w:sz w:val="27"/>
        </w:rPr>
        <w:t>4</w:t>
      </w:r>
      <w:r>
        <w:rPr>
          <w:color w:val="222222"/>
          <w:sz w:val="27"/>
        </w:rPr>
        <w:t>）本合同所称之损失包括直接经济损失和合同履行后可以获得的利益及合理的调查费、评估费、公证费、诉讼费、交通费、律师费等相关法律费用。</w:t>
      </w:r>
      <w:r>
        <w:br/>
      </w:r>
      <w:r>
        <w:rPr>
          <w:b/>
          <w:color w:val="222222"/>
          <w:sz w:val="27"/>
        </w:rPr>
        <w:t>11</w:t>
      </w:r>
      <w:r>
        <w:rPr>
          <w:b/>
          <w:color w:val="222222"/>
          <w:sz w:val="27"/>
        </w:rPr>
        <w:t>、违约与处罚</w:t>
      </w:r>
      <w:r>
        <w:br/>
      </w:r>
      <w:r>
        <w:rPr>
          <w:color w:val="222222"/>
          <w:sz w:val="27"/>
        </w:rPr>
        <w:t>（</w:t>
      </w:r>
      <w:r>
        <w:rPr>
          <w:color w:val="222222"/>
          <w:sz w:val="27"/>
        </w:rPr>
        <w:t>1</w:t>
      </w:r>
      <w:r>
        <w:rPr>
          <w:color w:val="222222"/>
          <w:sz w:val="27"/>
        </w:rPr>
        <w:t>）乙方未能按时交货，每拖延一天，须向甲方支付合同金额的</w:t>
      </w:r>
      <w:r>
        <w:rPr>
          <w:color w:val="222222"/>
          <w:sz w:val="27"/>
        </w:rPr>
        <w:t>5‰</w:t>
      </w:r>
      <w:r>
        <w:rPr>
          <w:color w:val="222222"/>
          <w:sz w:val="27"/>
        </w:rPr>
        <w:t>的违约金。</w:t>
      </w:r>
      <w:r>
        <w:br/>
      </w:r>
      <w:r>
        <w:rPr>
          <w:color w:val="222222"/>
          <w:sz w:val="27"/>
        </w:rPr>
        <w:t>（</w:t>
      </w:r>
      <w:r>
        <w:rPr>
          <w:color w:val="222222"/>
          <w:sz w:val="27"/>
        </w:rPr>
        <w:t>2</w:t>
      </w:r>
      <w:r>
        <w:rPr>
          <w:color w:val="222222"/>
          <w:sz w:val="27"/>
        </w:rPr>
        <w:t>） 乙方交付的货物不符合合同规定的，甲方有权拒收</w:t>
      </w:r>
      <w:r>
        <w:rPr>
          <w:color w:val="222222"/>
          <w:sz w:val="27"/>
        </w:rPr>
        <w:t>并不予退还履约保证金</w:t>
      </w:r>
      <w:r>
        <w:rPr>
          <w:color w:val="222222"/>
          <w:sz w:val="27"/>
        </w:rPr>
        <w:t>。</w:t>
      </w:r>
      <w:r>
        <w:br/>
      </w:r>
      <w:r>
        <w:rPr>
          <w:color w:val="222222"/>
          <w:sz w:val="27"/>
        </w:rPr>
        <w:t>（</w:t>
      </w:r>
      <w:r>
        <w:rPr>
          <w:color w:val="222222"/>
          <w:sz w:val="27"/>
        </w:rPr>
        <w:t>3</w:t>
      </w:r>
      <w:r>
        <w:rPr>
          <w:color w:val="222222"/>
          <w:sz w:val="27"/>
        </w:rPr>
        <w:t>） 乙方未能交付货物，则向甲方支付合同金额的</w:t>
      </w:r>
      <w:r>
        <w:rPr>
          <w:color w:val="222222"/>
          <w:sz w:val="27"/>
        </w:rPr>
        <w:t>7.5%</w:t>
      </w:r>
      <w:r>
        <w:rPr>
          <w:color w:val="222222"/>
          <w:sz w:val="27"/>
        </w:rPr>
        <w:t>的违约金。</w:t>
      </w:r>
      <w:r>
        <w:br/>
      </w:r>
      <w:r>
        <w:rPr>
          <w:color w:val="222222"/>
          <w:sz w:val="27"/>
        </w:rPr>
        <w:t>（</w:t>
      </w:r>
      <w:r>
        <w:rPr>
          <w:color w:val="222222"/>
          <w:sz w:val="27"/>
        </w:rPr>
        <w:t>4</w:t>
      </w:r>
      <w:r>
        <w:rPr>
          <w:color w:val="222222"/>
          <w:sz w:val="27"/>
        </w:rPr>
        <w:t>）甲方无正当理由拒收货物</w:t>
      </w:r>
      <w:r>
        <w:rPr>
          <w:color w:val="222222"/>
          <w:sz w:val="27"/>
        </w:rPr>
        <w:t>/</w:t>
      </w:r>
      <w:r>
        <w:rPr>
          <w:color w:val="222222"/>
          <w:sz w:val="27"/>
        </w:rPr>
        <w:t>接受服务，到期拒付货物</w:t>
      </w:r>
      <w:r>
        <w:rPr>
          <w:color w:val="222222"/>
          <w:sz w:val="27"/>
        </w:rPr>
        <w:t>/</w:t>
      </w:r>
      <w:r>
        <w:rPr>
          <w:color w:val="222222"/>
          <w:sz w:val="27"/>
        </w:rPr>
        <w:t>服务款项的，甲方向乙方偿付本合同总价的</w:t>
      </w:r>
      <w:r>
        <w:rPr>
          <w:color w:val="222222"/>
          <w:sz w:val="27"/>
        </w:rPr>
        <w:t>7.5%</w:t>
      </w:r>
      <w:r>
        <w:rPr>
          <w:color w:val="222222"/>
          <w:sz w:val="27"/>
        </w:rPr>
        <w:t>的违约金。甲方逾期付款</w:t>
      </w:r>
      <w:r>
        <w:rPr>
          <w:color w:val="222222"/>
          <w:sz w:val="27"/>
        </w:rPr>
        <w:t>或逾期退还履约保证金</w:t>
      </w:r>
      <w:r>
        <w:rPr>
          <w:color w:val="222222"/>
          <w:sz w:val="27"/>
        </w:rPr>
        <w:t>，则每日按逾期金额的</w:t>
      </w:r>
      <w:r>
        <w:rPr>
          <w:color w:val="222222"/>
          <w:sz w:val="27"/>
        </w:rPr>
        <w:t>1‰</w:t>
      </w:r>
      <w:r>
        <w:rPr>
          <w:color w:val="222222"/>
          <w:sz w:val="27"/>
        </w:rPr>
        <w:t>向乙方偿付违约金，总金额不超过合同总价的</w:t>
      </w:r>
      <w:r>
        <w:rPr>
          <w:color w:val="222222"/>
          <w:sz w:val="27"/>
        </w:rPr>
        <w:t>3%</w:t>
      </w:r>
      <w:r>
        <w:rPr>
          <w:color w:val="222222"/>
          <w:sz w:val="27"/>
        </w:rPr>
        <w:t>。</w:t>
      </w:r>
    </w:p>
    <w:p>
      <w:pPr>
        <w:jc w:val="both"/>
      </w:pPr>
      <w:r>
        <w:rPr>
          <w:color w:val="222222"/>
          <w:sz w:val="27"/>
        </w:rPr>
        <w:t>（</w:t>
      </w:r>
      <w:r>
        <w:rPr>
          <w:color w:val="222222"/>
          <w:sz w:val="27"/>
        </w:rPr>
        <w:t>5</w:t>
      </w:r>
      <w:r>
        <w:rPr>
          <w:color w:val="222222"/>
          <w:sz w:val="27"/>
        </w:rPr>
        <w:t>）</w:t>
      </w:r>
      <w:r>
        <w:rPr>
          <w:color w:val="222222"/>
          <w:sz w:val="27"/>
        </w:rPr>
        <w:t>若乙方没有违约行为，乙方以</w:t>
      </w:r>
      <w:r>
        <w:rPr>
          <w:color w:val="222222"/>
          <w:sz w:val="27"/>
        </w:rPr>
        <w:t>支票、汇票、本票</w:t>
      </w:r>
      <w:r>
        <w:rPr>
          <w:color w:val="222222"/>
          <w:sz w:val="27"/>
        </w:rPr>
        <w:t>等形式提交履约保证金，</w:t>
      </w:r>
      <w:r>
        <w:rPr>
          <w:color w:val="222222"/>
          <w:sz w:val="27"/>
        </w:rPr>
        <w:t>则待设备安装正常运行后甲方在收到相关申请资料后</w:t>
      </w:r>
      <w:r>
        <w:rPr>
          <w:color w:val="222222"/>
          <w:sz w:val="27"/>
        </w:rPr>
        <w:t>10</w:t>
      </w:r>
      <w:r>
        <w:rPr>
          <w:color w:val="222222"/>
          <w:sz w:val="27"/>
        </w:rPr>
        <w:t>个工作日内原路退还履约保证金；以保函形式提交履约保证金，则待设备安装正常运行后甲方在收到相关申请资料后次月自动失效。</w:t>
      </w:r>
    </w:p>
    <w:p>
      <w:pPr>
        <w:jc w:val="both"/>
      </w:pPr>
      <w:r>
        <w:rPr>
          <w:color w:val="222222"/>
          <w:sz w:val="27"/>
        </w:rPr>
        <w:t>（</w:t>
      </w:r>
      <w:r>
        <w:rPr>
          <w:color w:val="222222"/>
          <w:sz w:val="27"/>
        </w:rPr>
        <w:t>6</w:t>
      </w:r>
      <w:r>
        <w:rPr>
          <w:color w:val="222222"/>
          <w:sz w:val="27"/>
        </w:rPr>
        <w:t>）乙方完全遵守《中华人民共和国劳动合同法》有关规定和《中华人民共和国妇女权益保障法》中关于“劳动和社会保障权益”的有关要求。</w:t>
      </w:r>
      <w:r>
        <w:br/>
      </w:r>
    </w:p>
    <w:p>
      <w:pPr>
        <w:jc w:val="both"/>
      </w:pPr>
      <w:r>
        <w:rPr>
          <w:b/>
          <w:color w:val="222222"/>
          <w:sz w:val="27"/>
        </w:rPr>
        <w:t>12</w:t>
      </w:r>
      <w:r>
        <w:rPr>
          <w:b/>
          <w:color w:val="222222"/>
          <w:sz w:val="27"/>
        </w:rPr>
        <w:t>、合同终止</w:t>
      </w:r>
      <w:r>
        <w:br/>
      </w:r>
      <w:r>
        <w:rPr>
          <w:color w:val="222222"/>
          <w:sz w:val="27"/>
        </w:rPr>
        <w:t>如果一方违反合同，并在收到对方违约通知书后</w:t>
      </w:r>
      <w:r>
        <w:rPr>
          <w:color w:val="222222"/>
          <w:sz w:val="27"/>
        </w:rPr>
        <w:t>30</w:t>
      </w:r>
      <w:r>
        <w:rPr>
          <w:color w:val="222222"/>
          <w:sz w:val="27"/>
        </w:rPr>
        <w:t>天内仍未能改正违约的另一方可立即终止本合同。</w:t>
      </w:r>
      <w:r>
        <w:br/>
      </w:r>
      <w:r>
        <w:rPr>
          <w:b/>
          <w:color w:val="222222"/>
          <w:sz w:val="27"/>
        </w:rPr>
        <w:t>13</w:t>
      </w:r>
      <w:r>
        <w:rPr>
          <w:b/>
          <w:color w:val="222222"/>
          <w:sz w:val="27"/>
        </w:rPr>
        <w:t>、法律诉讼</w:t>
      </w:r>
      <w:r>
        <w:br/>
      </w:r>
      <w:r>
        <w:rPr>
          <w:color w:val="222222"/>
          <w:sz w:val="27"/>
        </w:rPr>
        <w:t>签约双方在履约中发生争执和分歧，双方应通过友好协商解决，若经协商不能达成协议时，则向甲方所在地人民法院提起诉讼。受理期间，双方应继续执行合同其余部份。</w:t>
      </w:r>
      <w:r>
        <w:br/>
      </w:r>
      <w:r>
        <w:rPr>
          <w:b/>
          <w:color w:val="222222"/>
          <w:sz w:val="27"/>
        </w:rPr>
        <w:t>14</w:t>
      </w:r>
      <w:r>
        <w:rPr>
          <w:b/>
          <w:color w:val="222222"/>
          <w:sz w:val="27"/>
        </w:rPr>
        <w:t>、其他</w:t>
      </w:r>
      <w:r>
        <w:br/>
      </w:r>
      <w:r>
        <w:rPr>
          <w:color w:val="222222"/>
          <w:sz w:val="27"/>
        </w:rPr>
        <w:t>（</w:t>
      </w:r>
      <w:r>
        <w:rPr>
          <w:color w:val="222222"/>
          <w:sz w:val="27"/>
        </w:rPr>
        <w:t>1</w:t>
      </w:r>
      <w:r>
        <w:rPr>
          <w:color w:val="222222"/>
          <w:sz w:val="27"/>
        </w:rPr>
        <w:t>）本合同正本肆份，具有同等法律效力，甲方执叁份，乙方执壹份。本合同经双方法定代表人（委托代理人）签字并加盖单位合同印章之日起即时生效。</w:t>
      </w:r>
      <w:r>
        <w:br/>
      </w:r>
      <w:r>
        <w:rPr>
          <w:color w:val="222222"/>
          <w:sz w:val="27"/>
        </w:rPr>
        <w:t>（</w:t>
      </w:r>
      <w:r>
        <w:rPr>
          <w:color w:val="222222"/>
          <w:sz w:val="27"/>
        </w:rPr>
        <w:t>2</w:t>
      </w:r>
      <w:r>
        <w:rPr>
          <w:color w:val="222222"/>
          <w:sz w:val="27"/>
        </w:rPr>
        <w:t>）本合同未尽事宜，由双方协商处理。</w:t>
      </w:r>
    </w:p>
    <w:p>
      <w:pPr>
        <w:jc w:val="both"/>
      </w:pPr>
      <w:r>
        <w:rPr>
          <w:color w:val="222222"/>
          <w:sz w:val="27"/>
        </w:rPr>
        <w:t>甲方：中山大学孙逸仙纪念医院深汕中心医院</w:t>
      </w:r>
      <w:r>
        <w:rPr>
          <w:color w:val="222222"/>
          <w:sz w:val="27"/>
        </w:rPr>
        <w:t xml:space="preserve">    </w:t>
      </w:r>
      <w:r>
        <w:rPr>
          <w:color w:val="222222"/>
          <w:sz w:val="27"/>
        </w:rPr>
        <w:t>乙方：</w:t>
      </w:r>
      <w:r>
        <w:rPr>
          <w:color w:val="222222"/>
          <w:sz w:val="27"/>
        </w:rPr>
        <w:t xml:space="preserve"> </w:t>
      </w:r>
    </w:p>
    <w:p>
      <w:pPr>
        <w:jc w:val="both"/>
      </w:pPr>
      <w:r>
        <w:rPr>
          <w:color w:val="222222"/>
          <w:sz w:val="27"/>
        </w:rPr>
        <w:t>法人代表签名：</w:t>
      </w:r>
      <w:r>
        <w:rPr>
          <w:sz w:val="21"/>
          <w:u w:val="single"/>
        </w:rPr>
        <w:t xml:space="preserve">                  </w:t>
      </w:r>
      <w:r>
        <w:rPr>
          <w:color w:val="222222"/>
          <w:sz w:val="27"/>
        </w:rPr>
        <w:t xml:space="preserve">         </w:t>
      </w:r>
      <w:r>
        <w:rPr>
          <w:color w:val="222222"/>
          <w:sz w:val="27"/>
        </w:rPr>
        <w:t>法人代表签名：</w:t>
      </w:r>
      <w:r>
        <w:rPr>
          <w:sz w:val="21"/>
          <w:u w:val="single"/>
        </w:rPr>
        <w:t xml:space="preserve">               </w:t>
      </w:r>
    </w:p>
    <w:p>
      <w:pPr>
        <w:jc w:val="both"/>
      </w:pPr>
      <w:r>
        <w:rPr>
          <w:color w:val="222222"/>
          <w:sz w:val="27"/>
        </w:rPr>
        <w:t>签约代表：</w:t>
      </w:r>
      <w:r>
        <w:rPr>
          <w:sz w:val="21"/>
          <w:u w:val="single"/>
        </w:rPr>
        <w:t xml:space="preserve">                </w:t>
      </w:r>
      <w:r>
        <w:rPr>
          <w:color w:val="222222"/>
          <w:sz w:val="27"/>
        </w:rPr>
        <w:t xml:space="preserve">               </w:t>
      </w:r>
      <w:r>
        <w:rPr>
          <w:color w:val="222222"/>
          <w:sz w:val="27"/>
        </w:rPr>
        <w:t>签约代表：</w:t>
      </w:r>
      <w:r>
        <w:rPr>
          <w:sz w:val="21"/>
          <w:u w:val="single"/>
        </w:rPr>
        <w:t xml:space="preserve">               </w:t>
      </w:r>
    </w:p>
    <w:p>
      <w:pPr>
        <w:jc w:val="both"/>
      </w:pPr>
      <w:r>
        <w:rPr>
          <w:color w:val="222222"/>
          <w:sz w:val="27"/>
        </w:rPr>
        <w:t>地址：广东省汕尾市城区东涌镇站前</w:t>
      </w:r>
      <w:r>
        <w:rPr>
          <w:color w:val="222222"/>
          <w:sz w:val="27"/>
        </w:rPr>
        <w:t xml:space="preserve">           </w:t>
      </w:r>
      <w:r>
        <w:rPr>
          <w:color w:val="222222"/>
          <w:sz w:val="27"/>
        </w:rPr>
        <w:t>地址：</w:t>
      </w:r>
      <w:r>
        <w:br/>
      </w:r>
      <w:r>
        <w:rPr>
          <w:color w:val="222222"/>
          <w:sz w:val="27"/>
        </w:rPr>
        <w:t>横二路</w:t>
      </w:r>
      <w:r>
        <w:rPr>
          <w:color w:val="222222"/>
          <w:sz w:val="27"/>
        </w:rPr>
        <w:t>1</w:t>
      </w:r>
      <w:r>
        <w:rPr>
          <w:color w:val="222222"/>
          <w:sz w:val="27"/>
        </w:rPr>
        <w:t xml:space="preserve">号                               </w:t>
      </w:r>
      <w:r>
        <w:br/>
      </w:r>
      <w:r>
        <w:rPr>
          <w:color w:val="222222"/>
          <w:sz w:val="27"/>
        </w:rPr>
        <w:t>电话：</w:t>
      </w:r>
      <w:r>
        <w:rPr>
          <w:color w:val="222222"/>
          <w:sz w:val="27"/>
        </w:rPr>
        <w:t xml:space="preserve">                                </w:t>
      </w:r>
      <w:r>
        <w:rPr>
          <w:color w:val="222222"/>
          <w:sz w:val="27"/>
        </w:rPr>
        <w:t>电话：</w:t>
      </w:r>
      <w:r>
        <w:br/>
      </w:r>
      <w:r>
        <w:rPr>
          <w:color w:val="222222"/>
          <w:sz w:val="27"/>
        </w:rPr>
        <w:t>传真：</w:t>
      </w:r>
      <w:r>
        <w:rPr>
          <w:color w:val="222222"/>
          <w:sz w:val="27"/>
        </w:rPr>
        <w:t xml:space="preserve">                                </w:t>
      </w:r>
      <w:r>
        <w:rPr>
          <w:color w:val="222222"/>
          <w:sz w:val="27"/>
        </w:rPr>
        <w:t>传真：</w:t>
      </w:r>
      <w:r>
        <w:br/>
      </w:r>
      <w:r>
        <w:rPr>
          <w:color w:val="222222"/>
          <w:sz w:val="27"/>
        </w:rPr>
        <w:t>签约日期：</w:t>
      </w:r>
      <w:r>
        <w:rPr>
          <w:color w:val="222222"/>
          <w:sz w:val="27"/>
        </w:rPr>
        <w:t xml:space="preserve"> </w:t>
      </w:r>
      <w:r>
        <w:rPr>
          <w:color w:val="222222"/>
          <w:sz w:val="27"/>
        </w:rPr>
        <w:t>年</w:t>
      </w:r>
      <w:r>
        <w:rPr>
          <w:color w:val="222222"/>
          <w:sz w:val="27"/>
        </w:rPr>
        <w:t xml:space="preserve">    </w:t>
      </w:r>
      <w:r>
        <w:rPr>
          <w:color w:val="222222"/>
          <w:sz w:val="27"/>
        </w:rPr>
        <w:t>月</w:t>
      </w:r>
      <w:r>
        <w:rPr>
          <w:color w:val="222222"/>
          <w:sz w:val="27"/>
        </w:rPr>
        <w:t xml:space="preserve">    </w:t>
      </w:r>
      <w:r>
        <w:rPr>
          <w:color w:val="222222"/>
          <w:sz w:val="27"/>
        </w:rPr>
        <w:t>日</w:t>
      </w:r>
      <w:r>
        <w:rPr>
          <w:color w:val="222222"/>
          <w:sz w:val="27"/>
        </w:rPr>
        <w:t xml:space="preserve">                                 </w:t>
      </w:r>
      <w:r>
        <w:rPr>
          <w:color w:val="222222"/>
          <w:sz w:val="27"/>
        </w:rPr>
        <w:t>签约日期：</w:t>
      </w:r>
      <w:r>
        <w:rPr>
          <w:color w:val="222222"/>
          <w:sz w:val="27"/>
        </w:rPr>
        <w:t xml:space="preserve">    </w:t>
      </w:r>
      <w:r>
        <w:rPr>
          <w:color w:val="222222"/>
          <w:sz w:val="27"/>
        </w:rPr>
        <w:t>年</w:t>
      </w:r>
      <w:r>
        <w:rPr>
          <w:color w:val="222222"/>
          <w:sz w:val="27"/>
        </w:rPr>
        <w:t xml:space="preserve">    </w:t>
      </w:r>
      <w:r>
        <w:rPr>
          <w:color w:val="222222"/>
          <w:sz w:val="27"/>
        </w:rPr>
        <w:t>月</w:t>
      </w:r>
      <w:r>
        <w:rPr>
          <w:color w:val="222222"/>
          <w:sz w:val="27"/>
        </w:rPr>
        <w:t xml:space="preserve">    </w:t>
      </w:r>
      <w:r>
        <w:rPr>
          <w:color w:val="222222"/>
          <w:sz w:val="27"/>
        </w:rPr>
        <w:t>日</w:t>
      </w:r>
      <w:r>
        <w:br/>
      </w:r>
      <w:r>
        <w:rPr>
          <w:color w:val="222222"/>
          <w:sz w:val="27"/>
        </w:rPr>
        <w:t>签约地点：中山大学孙逸仙纪念医院深汕中心医院</w:t>
      </w:r>
      <w:r>
        <w:rPr>
          <w:color w:val="222222"/>
          <w:sz w:val="27"/>
        </w:rPr>
        <w:t xml:space="preserve">  </w:t>
      </w:r>
      <w:r>
        <w:rPr>
          <w:color w:val="222222"/>
          <w:sz w:val="27"/>
        </w:rPr>
        <w:t>乙方项目联系人：</w:t>
      </w:r>
      <w:r>
        <w:rPr>
          <w:sz w:val="21"/>
          <w:u w:val="single"/>
        </w:rPr>
        <w:t xml:space="preserve">               </w:t>
      </w:r>
      <w:r>
        <w:rPr>
          <w:color w:val="222222"/>
          <w:sz w:val="27"/>
        </w:rPr>
        <w:t xml:space="preserve">       </w:t>
      </w:r>
      <w:r>
        <w:rPr>
          <w:color w:val="222222"/>
          <w:sz w:val="27"/>
        </w:rPr>
        <w:t>电话：</w:t>
      </w:r>
      <w:r>
        <w:rPr>
          <w:sz w:val="21"/>
          <w:u w:val="single"/>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r>
        <w:rPr>
          <w:b/>
          <w:color w:val="222222"/>
          <w:sz w:val="30"/>
        </w:rPr>
        <w:t>中山大学孙逸仙纪念医院深汕中心医院设备</w:t>
      </w:r>
      <w:r>
        <w:rPr>
          <w:color w:val="222222"/>
          <w:sz w:val="28"/>
        </w:rPr>
        <w:t>配置清单</w:t>
      </w:r>
    </w:p>
    <w:tbl>
      <w:tblPr>
        <w:tblW w:w="0" w:type="auto"/>
        <w:tblBorders>
          <w:top w:val="none" w:color="000000" w:sz="4"/>
          <w:left w:val="none" w:color="000000" w:sz="4"/>
          <w:bottom w:val="none" w:color="000000" w:sz="4"/>
          <w:right w:val="none" w:color="000000" w:sz="4"/>
          <w:insideH w:val="none"/>
          <w:insideV w:val="none"/>
        </w:tblBorders>
      </w:tblPr>
      <w:tblGrid>
        <w:gridCol w:w="938"/>
        <w:gridCol w:w="1074"/>
        <w:gridCol w:w="1059"/>
        <w:gridCol w:w="968"/>
        <w:gridCol w:w="605"/>
        <w:gridCol w:w="666"/>
        <w:gridCol w:w="938"/>
        <w:gridCol w:w="999"/>
        <w:gridCol w:w="1059"/>
      </w:tblGrid>
      <w:tr>
        <w:tc>
          <w:tcPr>
            <w:tcW w:type="dxa" w:w="938"/>
            <w:tcBorders>
              <w:top w:val="single" w:color="000000" w:sz="4"/>
              <w:left w:val="single" w:color="000000" w:sz="4"/>
              <w:bottom w:val="single" w:color="000000" w:sz="4"/>
              <w:right w:val="single" w:color="000000" w:sz="4"/>
            </w:tcBorders>
            <w:shd w:fill="FFFFFF"/>
            <w:vAlign w:val="top"/>
          </w:tcPr>
          <w:p>
            <w:pPr>
              <w:jc w:val="center"/>
            </w:pPr>
            <w:r>
              <w:rPr>
                <w:color w:val="222222"/>
                <w:sz w:val="21"/>
              </w:rPr>
              <w:t>序号</w:t>
            </w:r>
          </w:p>
        </w:tc>
        <w:tc>
          <w:tcPr>
            <w:tcW w:type="dxa" w:w="1074"/>
            <w:tcBorders>
              <w:top w:val="single" w:color="000000" w:sz="4"/>
              <w:left w:val="none" w:color="000000" w:sz="4"/>
              <w:bottom w:val="single" w:color="000000" w:sz="4"/>
              <w:right w:val="single" w:color="000000" w:sz="4"/>
            </w:tcBorders>
            <w:shd w:fill="FFFFFF"/>
            <w:vAlign w:val="top"/>
          </w:tcPr>
          <w:p>
            <w:pPr>
              <w:jc w:val="center"/>
            </w:pPr>
            <w:r>
              <w:rPr>
                <w:color w:val="222222"/>
                <w:sz w:val="21"/>
              </w:rPr>
              <w:t>产品代码</w:t>
            </w:r>
          </w:p>
        </w:tc>
        <w:tc>
          <w:tcPr>
            <w:tcW w:type="dxa" w:w="1059"/>
            <w:tcBorders>
              <w:top w:val="single" w:color="000000" w:sz="4"/>
              <w:left w:val="none" w:color="000000" w:sz="4"/>
              <w:bottom w:val="single" w:color="000000" w:sz="4"/>
              <w:right w:val="single" w:color="000000" w:sz="4"/>
            </w:tcBorders>
            <w:shd w:fill="FFFFFF"/>
            <w:vAlign w:val="top"/>
          </w:tcPr>
          <w:p>
            <w:pPr>
              <w:jc w:val="center"/>
            </w:pPr>
            <w:r>
              <w:rPr>
                <w:color w:val="222222"/>
                <w:sz w:val="21"/>
              </w:rPr>
              <w:t>产品名称</w:t>
            </w:r>
          </w:p>
        </w:tc>
        <w:tc>
          <w:tcPr>
            <w:tcW w:type="dxa" w:w="968"/>
            <w:tcBorders>
              <w:top w:val="single" w:color="000000" w:sz="4"/>
              <w:left w:val="none" w:color="000000" w:sz="4"/>
              <w:bottom w:val="single" w:color="000000" w:sz="4"/>
              <w:right w:val="single" w:color="000000" w:sz="4"/>
            </w:tcBorders>
            <w:shd w:fill="FFFFFF"/>
            <w:vAlign w:val="top"/>
          </w:tcPr>
          <w:p>
            <w:pPr>
              <w:jc w:val="center"/>
            </w:pPr>
            <w:r>
              <w:rPr>
                <w:color w:val="222222"/>
                <w:sz w:val="21"/>
              </w:rPr>
              <w:t>规格型号</w:t>
            </w:r>
          </w:p>
        </w:tc>
        <w:tc>
          <w:tcPr>
            <w:tcW w:type="dxa" w:w="605"/>
            <w:tcBorders>
              <w:top w:val="single" w:color="000000" w:sz="4"/>
              <w:left w:val="none" w:color="000000" w:sz="4"/>
              <w:bottom w:val="single" w:color="000000" w:sz="4"/>
              <w:right w:val="single" w:color="000000" w:sz="4"/>
            </w:tcBorders>
            <w:shd w:fill="FFFFFF"/>
            <w:vAlign w:val="top"/>
          </w:tcPr>
          <w:p>
            <w:pPr>
              <w:jc w:val="center"/>
            </w:pPr>
            <w:r>
              <w:rPr>
                <w:color w:val="222222"/>
                <w:sz w:val="21"/>
              </w:rPr>
              <w:t>数量</w:t>
            </w:r>
          </w:p>
        </w:tc>
        <w:tc>
          <w:tcPr>
            <w:tcW w:type="dxa" w:w="666"/>
            <w:tcBorders>
              <w:top w:val="single" w:color="000000" w:sz="4"/>
              <w:left w:val="none" w:color="000000" w:sz="4"/>
              <w:bottom w:val="single" w:color="000000" w:sz="4"/>
              <w:right w:val="single" w:color="000000" w:sz="4"/>
            </w:tcBorders>
            <w:shd w:fill="FFFFFF"/>
            <w:vAlign w:val="top"/>
          </w:tcPr>
          <w:p>
            <w:pPr>
              <w:jc w:val="center"/>
            </w:pPr>
            <w:r>
              <w:rPr>
                <w:color w:val="222222"/>
                <w:sz w:val="21"/>
              </w:rPr>
              <w:t>单位</w:t>
            </w:r>
          </w:p>
        </w:tc>
        <w:tc>
          <w:tcPr>
            <w:tcW w:type="dxa" w:w="938"/>
            <w:tcBorders>
              <w:top w:val="single" w:color="000000" w:sz="4"/>
              <w:left w:val="none" w:color="000000" w:sz="4"/>
              <w:bottom w:val="single" w:color="000000" w:sz="4"/>
              <w:right w:val="single" w:color="000000" w:sz="4"/>
            </w:tcBorders>
            <w:shd w:fill="FFFFFF"/>
            <w:vAlign w:val="top"/>
          </w:tcPr>
          <w:p>
            <w:pPr>
              <w:jc w:val="center"/>
            </w:pPr>
            <w:r>
              <w:rPr>
                <w:color w:val="222222"/>
                <w:sz w:val="21"/>
              </w:rPr>
              <w:t>产地</w:t>
            </w:r>
          </w:p>
        </w:tc>
        <w:tc>
          <w:tcPr>
            <w:tcW w:type="dxa" w:w="999"/>
            <w:tcBorders>
              <w:top w:val="single" w:color="000000" w:sz="4"/>
              <w:left w:val="none" w:color="000000" w:sz="4"/>
              <w:bottom w:val="single" w:color="000000" w:sz="4"/>
              <w:right w:val="single" w:color="000000" w:sz="4"/>
            </w:tcBorders>
            <w:shd w:fill="FFFFFF"/>
            <w:vAlign w:val="top"/>
          </w:tcPr>
          <w:p>
            <w:pPr>
              <w:jc w:val="center"/>
            </w:pPr>
            <w:r>
              <w:rPr>
                <w:color w:val="222222"/>
                <w:sz w:val="21"/>
              </w:rPr>
              <w:t>品牌</w:t>
            </w:r>
          </w:p>
        </w:tc>
        <w:tc>
          <w:tcPr>
            <w:tcW w:type="dxa" w:w="1059"/>
            <w:tcBorders>
              <w:top w:val="single" w:color="000000" w:sz="4"/>
              <w:left w:val="none" w:color="000000" w:sz="4"/>
              <w:bottom w:val="single" w:color="000000" w:sz="4"/>
              <w:right w:val="single" w:color="000000" w:sz="4"/>
            </w:tcBorders>
            <w:shd w:fill="FFFFFF"/>
            <w:vAlign w:val="top"/>
          </w:tcPr>
          <w:p>
            <w:pPr>
              <w:jc w:val="center"/>
            </w:pPr>
            <w:r>
              <w:rPr>
                <w:color w:val="222222"/>
                <w:sz w:val="21"/>
              </w:rPr>
              <w:t>备注</w:t>
            </w:r>
          </w:p>
        </w:tc>
      </w:tr>
      <w:tr>
        <w:tc>
          <w:tcPr>
            <w:tcW w:type="dxa" w:w="938"/>
            <w:tcBorders>
              <w:top w:val="none" w:color="000000" w:sz="4"/>
              <w:left w:val="single" w:color="000000" w:sz="4"/>
              <w:bottom w:val="single" w:color="000000" w:sz="4"/>
              <w:right w:val="single" w:color="000000" w:sz="4"/>
            </w:tcBorders>
            <w:shd w:fill="FFFFFF"/>
            <w:vAlign w:val="top"/>
          </w:tcPr>
          <w:p>
            <w:pPr>
              <w:jc w:val="both"/>
            </w:pPr>
          </w:p>
        </w:tc>
        <w:tc>
          <w:tcPr>
            <w:tcW w:type="dxa" w:w="1074"/>
            <w:tcBorders>
              <w:top w:val="none" w:color="000000" w:sz="4"/>
              <w:left w:val="none" w:color="000000" w:sz="4"/>
              <w:bottom w:val="single" w:color="000000" w:sz="4"/>
              <w:right w:val="single" w:color="000000" w:sz="4"/>
            </w:tcBorders>
            <w:shd w:fill="FFFFFF"/>
            <w:vAlign w:val="top"/>
          </w:tcPr>
          <w:p>
            <w:pPr>
              <w:jc w:val="center"/>
            </w:pPr>
            <w:r>
              <w:rPr>
                <w:sz w:val="21"/>
              </w:rPr>
              <w:t xml:space="preserve"> </w:t>
            </w:r>
          </w:p>
        </w:tc>
        <w:tc>
          <w:tcPr>
            <w:tcW w:type="dxa" w:w="1059"/>
            <w:tcBorders>
              <w:top w:val="none" w:color="000000" w:sz="4"/>
              <w:left w:val="none" w:color="000000" w:sz="4"/>
              <w:bottom w:val="single" w:color="000000" w:sz="4"/>
              <w:right w:val="single" w:color="000000" w:sz="4"/>
            </w:tcBorders>
            <w:shd w:fill="FFFFFF"/>
            <w:vAlign w:val="top"/>
          </w:tcPr>
          <w:p>
            <w:pPr>
              <w:jc w:val="both"/>
            </w:pPr>
          </w:p>
        </w:tc>
        <w:tc>
          <w:tcPr>
            <w:tcW w:type="dxa" w:w="968"/>
            <w:tcBorders>
              <w:top w:val="none" w:color="000000" w:sz="4"/>
              <w:left w:val="none" w:color="000000" w:sz="4"/>
              <w:bottom w:val="single" w:color="000000" w:sz="4"/>
              <w:right w:val="single" w:color="000000" w:sz="4"/>
            </w:tcBorders>
            <w:shd w:fill="FFFFFF"/>
            <w:vAlign w:val="top"/>
          </w:tcPr>
          <w:p>
            <w:pPr>
              <w:jc w:val="center"/>
            </w:pPr>
            <w:r>
              <w:rPr>
                <w:sz w:val="21"/>
              </w:rPr>
              <w:t xml:space="preserve"> </w:t>
            </w:r>
          </w:p>
        </w:tc>
        <w:tc>
          <w:tcPr>
            <w:tcW w:type="dxa" w:w="605"/>
            <w:tcBorders>
              <w:top w:val="none" w:color="000000" w:sz="4"/>
              <w:left w:val="none" w:color="000000" w:sz="4"/>
              <w:bottom w:val="single" w:color="000000" w:sz="4"/>
              <w:right w:val="single" w:color="000000" w:sz="4"/>
            </w:tcBorders>
            <w:shd w:fill="FFFFFF"/>
            <w:vAlign w:val="top"/>
          </w:tcPr>
          <w:p>
            <w:pPr>
              <w:jc w:val="center"/>
            </w:pPr>
            <w:r>
              <w:rPr>
                <w:sz w:val="21"/>
              </w:rPr>
              <w:t xml:space="preserve"> </w:t>
            </w:r>
          </w:p>
        </w:tc>
        <w:tc>
          <w:tcPr>
            <w:tcW w:type="dxa" w:w="666"/>
            <w:tcBorders>
              <w:top w:val="none" w:color="000000" w:sz="4"/>
              <w:left w:val="none" w:color="000000" w:sz="4"/>
              <w:bottom w:val="single" w:color="000000" w:sz="4"/>
              <w:right w:val="single" w:color="000000" w:sz="4"/>
            </w:tcBorders>
            <w:shd w:fill="FFFFFF"/>
            <w:vAlign w:val="top"/>
          </w:tcPr>
          <w:p>
            <w:pPr>
              <w:jc w:val="center"/>
            </w:pPr>
            <w:r>
              <w:rPr>
                <w:sz w:val="21"/>
              </w:rPr>
              <w:t xml:space="preserve"> </w:t>
            </w:r>
          </w:p>
        </w:tc>
        <w:tc>
          <w:tcPr>
            <w:tcW w:type="dxa" w:w="938"/>
            <w:tcBorders>
              <w:top w:val="none" w:color="000000" w:sz="4"/>
              <w:left w:val="none" w:color="000000" w:sz="4"/>
              <w:bottom w:val="single" w:color="000000" w:sz="4"/>
              <w:right w:val="single" w:color="000000" w:sz="4"/>
            </w:tcBorders>
            <w:shd w:fill="FFFFFF"/>
            <w:vAlign w:val="top"/>
          </w:tcPr>
          <w:p>
            <w:pPr>
              <w:jc w:val="center"/>
            </w:pPr>
            <w:r>
              <w:rPr>
                <w:sz w:val="21"/>
              </w:rPr>
              <w:t xml:space="preserve"> </w:t>
            </w:r>
          </w:p>
        </w:tc>
        <w:tc>
          <w:tcPr>
            <w:tcW w:type="dxa" w:w="999"/>
            <w:tcBorders>
              <w:top w:val="none" w:color="000000" w:sz="4"/>
              <w:left w:val="none" w:color="000000" w:sz="4"/>
              <w:bottom w:val="single" w:color="000000" w:sz="4"/>
              <w:right w:val="single" w:color="000000" w:sz="4"/>
            </w:tcBorders>
            <w:shd w:fill="FFFFFF"/>
            <w:vAlign w:val="top"/>
          </w:tcPr>
          <w:p>
            <w:pPr>
              <w:jc w:val="center"/>
            </w:pPr>
            <w:r>
              <w:rPr>
                <w:sz w:val="21"/>
              </w:rPr>
              <w:t xml:space="preserve"> </w:t>
            </w:r>
          </w:p>
        </w:tc>
        <w:tc>
          <w:tcPr>
            <w:tcW w:type="dxa" w:w="1059"/>
            <w:tcBorders>
              <w:top w:val="none" w:color="000000" w:sz="4"/>
              <w:left w:val="none" w:color="000000" w:sz="4"/>
              <w:bottom w:val="single" w:color="000000" w:sz="4"/>
              <w:right w:val="single" w:color="000000" w:sz="4"/>
            </w:tcBorders>
            <w:shd w:fill="FFFFFF"/>
            <w:vAlign w:val="top"/>
          </w:tcPr>
          <w:p>
            <w:pPr>
              <w:jc w:val="both"/>
            </w:pPr>
          </w:p>
        </w:tc>
      </w:tr>
      <w:tr>
        <w:tc>
          <w:tcPr>
            <w:tcW w:type="dxa" w:w="938"/>
            <w:tcBorders>
              <w:top w:val="none" w:color="000000" w:sz="4"/>
              <w:left w:val="single" w:color="000000" w:sz="4"/>
              <w:bottom w:val="single" w:color="000000" w:sz="4"/>
              <w:right w:val="single" w:color="000000" w:sz="4"/>
            </w:tcBorders>
            <w:shd w:fill="FFFFFF"/>
            <w:vAlign w:val="top"/>
          </w:tcPr>
          <w:p>
            <w:pPr>
              <w:jc w:val="both"/>
            </w:pPr>
          </w:p>
        </w:tc>
        <w:tc>
          <w:tcPr>
            <w:tcW w:type="dxa" w:w="1074"/>
            <w:tcBorders>
              <w:top w:val="none" w:color="000000" w:sz="4"/>
              <w:left w:val="none" w:color="000000" w:sz="4"/>
              <w:bottom w:val="single" w:color="000000" w:sz="4"/>
              <w:right w:val="single" w:color="000000" w:sz="4"/>
            </w:tcBorders>
            <w:shd w:fill="FFFFFF"/>
            <w:vAlign w:val="top"/>
          </w:tcPr>
          <w:p>
            <w:pPr>
              <w:jc w:val="both"/>
            </w:pPr>
          </w:p>
        </w:tc>
        <w:tc>
          <w:tcPr>
            <w:tcW w:type="dxa" w:w="1059"/>
            <w:tcBorders>
              <w:top w:val="none" w:color="000000" w:sz="4"/>
              <w:left w:val="none" w:color="000000" w:sz="4"/>
              <w:bottom w:val="single" w:color="000000" w:sz="4"/>
              <w:right w:val="single" w:color="000000" w:sz="4"/>
            </w:tcBorders>
            <w:shd w:fill="FFFFFF"/>
            <w:vAlign w:val="top"/>
          </w:tcPr>
          <w:p>
            <w:pPr>
              <w:jc w:val="both"/>
            </w:pPr>
          </w:p>
        </w:tc>
        <w:tc>
          <w:tcPr>
            <w:tcW w:type="dxa" w:w="968"/>
            <w:tcBorders>
              <w:top w:val="none" w:color="000000" w:sz="4"/>
              <w:left w:val="none" w:color="000000" w:sz="4"/>
              <w:bottom w:val="single" w:color="000000" w:sz="4"/>
              <w:right w:val="single" w:color="000000" w:sz="4"/>
            </w:tcBorders>
            <w:shd w:fill="FFFFFF"/>
            <w:vAlign w:val="top"/>
          </w:tcPr>
          <w:p>
            <w:pPr>
              <w:jc w:val="both"/>
            </w:pPr>
          </w:p>
        </w:tc>
        <w:tc>
          <w:tcPr>
            <w:tcW w:type="dxa" w:w="605"/>
            <w:tcBorders>
              <w:top w:val="none" w:color="000000" w:sz="4"/>
              <w:left w:val="none" w:color="000000" w:sz="4"/>
              <w:bottom w:val="single" w:color="000000" w:sz="4"/>
              <w:right w:val="single" w:color="000000" w:sz="4"/>
            </w:tcBorders>
            <w:shd w:fill="FFFFFF"/>
            <w:vAlign w:val="top"/>
          </w:tcPr>
          <w:p>
            <w:pPr>
              <w:jc w:val="both"/>
            </w:pPr>
          </w:p>
        </w:tc>
        <w:tc>
          <w:tcPr>
            <w:tcW w:type="dxa" w:w="666"/>
            <w:tcBorders>
              <w:top w:val="none" w:color="000000" w:sz="4"/>
              <w:left w:val="none" w:color="000000" w:sz="4"/>
              <w:bottom w:val="single" w:color="000000" w:sz="4"/>
              <w:right w:val="single" w:color="000000" w:sz="4"/>
            </w:tcBorders>
            <w:shd w:fill="FFFFFF"/>
            <w:vAlign w:val="top"/>
          </w:tcPr>
          <w:p>
            <w:pPr>
              <w:jc w:val="both"/>
            </w:pPr>
          </w:p>
        </w:tc>
        <w:tc>
          <w:tcPr>
            <w:tcW w:type="dxa" w:w="938"/>
            <w:tcBorders>
              <w:top w:val="none" w:color="000000" w:sz="4"/>
              <w:left w:val="none" w:color="000000" w:sz="4"/>
              <w:bottom w:val="single" w:color="000000" w:sz="4"/>
              <w:right w:val="single" w:color="000000" w:sz="4"/>
            </w:tcBorders>
            <w:shd w:fill="FFFFFF"/>
            <w:vAlign w:val="top"/>
          </w:tcPr>
          <w:p>
            <w:pPr>
              <w:jc w:val="both"/>
            </w:pPr>
          </w:p>
        </w:tc>
        <w:tc>
          <w:tcPr>
            <w:tcW w:type="dxa" w:w="999"/>
            <w:tcBorders>
              <w:top w:val="none" w:color="000000" w:sz="4"/>
              <w:left w:val="none" w:color="000000" w:sz="4"/>
              <w:bottom w:val="single" w:color="000000" w:sz="4"/>
              <w:right w:val="single" w:color="000000" w:sz="4"/>
            </w:tcBorders>
            <w:shd w:fill="FFFFFF"/>
            <w:vAlign w:val="top"/>
          </w:tcPr>
          <w:p>
            <w:pPr>
              <w:jc w:val="both"/>
            </w:pPr>
          </w:p>
        </w:tc>
        <w:tc>
          <w:tcPr>
            <w:tcW w:type="dxa" w:w="1059"/>
            <w:tcBorders>
              <w:top w:val="none" w:color="000000" w:sz="4"/>
              <w:left w:val="none" w:color="000000" w:sz="4"/>
              <w:bottom w:val="single" w:color="000000" w:sz="4"/>
              <w:right w:val="single" w:color="000000" w:sz="4"/>
            </w:tcBorders>
            <w:shd w:fill="FFFFFF"/>
            <w:vAlign w:val="top"/>
          </w:tcPr>
          <w:p>
            <w:pPr>
              <w:jc w:val="both"/>
            </w:pPr>
          </w:p>
        </w:tc>
      </w:tr>
      <w:tr>
        <w:tc>
          <w:tcPr>
            <w:tcW w:type="dxa" w:w="938"/>
            <w:tcBorders>
              <w:top w:val="none" w:color="000000" w:sz="4"/>
              <w:left w:val="single" w:color="000000" w:sz="4"/>
              <w:bottom w:val="single" w:color="000000" w:sz="4"/>
              <w:right w:val="single" w:color="000000" w:sz="4"/>
            </w:tcBorders>
            <w:shd w:fill="FFFFFF"/>
            <w:vAlign w:val="top"/>
          </w:tcPr>
          <w:p>
            <w:pPr>
              <w:jc w:val="both"/>
            </w:pPr>
          </w:p>
        </w:tc>
        <w:tc>
          <w:tcPr>
            <w:tcW w:type="dxa" w:w="1074"/>
            <w:tcBorders>
              <w:top w:val="none" w:color="000000" w:sz="4"/>
              <w:left w:val="none" w:color="000000" w:sz="4"/>
              <w:bottom w:val="single" w:color="000000" w:sz="4"/>
              <w:right w:val="single" w:color="000000" w:sz="4"/>
            </w:tcBorders>
            <w:shd w:fill="FFFFFF"/>
            <w:vAlign w:val="top"/>
          </w:tcPr>
          <w:p>
            <w:pPr>
              <w:jc w:val="both"/>
            </w:pPr>
          </w:p>
        </w:tc>
        <w:tc>
          <w:tcPr>
            <w:tcW w:type="dxa" w:w="1059"/>
            <w:tcBorders>
              <w:top w:val="none" w:color="000000" w:sz="4"/>
              <w:left w:val="none" w:color="000000" w:sz="4"/>
              <w:bottom w:val="single" w:color="000000" w:sz="4"/>
              <w:right w:val="single" w:color="000000" w:sz="4"/>
            </w:tcBorders>
            <w:shd w:fill="FFFFFF"/>
            <w:vAlign w:val="top"/>
          </w:tcPr>
          <w:p>
            <w:pPr>
              <w:jc w:val="both"/>
            </w:pPr>
          </w:p>
        </w:tc>
        <w:tc>
          <w:tcPr>
            <w:tcW w:type="dxa" w:w="968"/>
            <w:tcBorders>
              <w:top w:val="none" w:color="000000" w:sz="4"/>
              <w:left w:val="none" w:color="000000" w:sz="4"/>
              <w:bottom w:val="single" w:color="000000" w:sz="4"/>
              <w:right w:val="single" w:color="000000" w:sz="4"/>
            </w:tcBorders>
            <w:shd w:fill="FFFFFF"/>
            <w:vAlign w:val="top"/>
          </w:tcPr>
          <w:p>
            <w:pPr>
              <w:jc w:val="both"/>
            </w:pPr>
          </w:p>
        </w:tc>
        <w:tc>
          <w:tcPr>
            <w:tcW w:type="dxa" w:w="605"/>
            <w:tcBorders>
              <w:top w:val="none" w:color="000000" w:sz="4"/>
              <w:left w:val="none" w:color="000000" w:sz="4"/>
              <w:bottom w:val="single" w:color="000000" w:sz="4"/>
              <w:right w:val="single" w:color="000000" w:sz="4"/>
            </w:tcBorders>
            <w:shd w:fill="FFFFFF"/>
            <w:vAlign w:val="top"/>
          </w:tcPr>
          <w:p>
            <w:pPr>
              <w:jc w:val="both"/>
            </w:pPr>
          </w:p>
        </w:tc>
        <w:tc>
          <w:tcPr>
            <w:tcW w:type="dxa" w:w="666"/>
            <w:tcBorders>
              <w:top w:val="none" w:color="000000" w:sz="4"/>
              <w:left w:val="none" w:color="000000" w:sz="4"/>
              <w:bottom w:val="single" w:color="000000" w:sz="4"/>
              <w:right w:val="single" w:color="000000" w:sz="4"/>
            </w:tcBorders>
            <w:shd w:fill="FFFFFF"/>
            <w:vAlign w:val="top"/>
          </w:tcPr>
          <w:p>
            <w:pPr>
              <w:jc w:val="both"/>
            </w:pPr>
          </w:p>
        </w:tc>
        <w:tc>
          <w:tcPr>
            <w:tcW w:type="dxa" w:w="938"/>
            <w:tcBorders>
              <w:top w:val="none" w:color="000000" w:sz="4"/>
              <w:left w:val="none" w:color="000000" w:sz="4"/>
              <w:bottom w:val="single" w:color="000000" w:sz="4"/>
              <w:right w:val="single" w:color="000000" w:sz="4"/>
            </w:tcBorders>
            <w:shd w:fill="FFFFFF"/>
            <w:vAlign w:val="top"/>
          </w:tcPr>
          <w:p>
            <w:pPr>
              <w:jc w:val="both"/>
            </w:pPr>
          </w:p>
        </w:tc>
        <w:tc>
          <w:tcPr>
            <w:tcW w:type="dxa" w:w="999"/>
            <w:tcBorders>
              <w:top w:val="none" w:color="000000" w:sz="4"/>
              <w:left w:val="none" w:color="000000" w:sz="4"/>
              <w:bottom w:val="single" w:color="000000" w:sz="4"/>
              <w:right w:val="single" w:color="000000" w:sz="4"/>
            </w:tcBorders>
            <w:shd w:fill="FFFFFF"/>
            <w:vAlign w:val="top"/>
          </w:tcPr>
          <w:p>
            <w:pPr>
              <w:jc w:val="both"/>
            </w:pPr>
          </w:p>
        </w:tc>
        <w:tc>
          <w:tcPr>
            <w:tcW w:type="dxa" w:w="1059"/>
            <w:tcBorders>
              <w:top w:val="none" w:color="000000" w:sz="4"/>
              <w:left w:val="none" w:color="000000" w:sz="4"/>
              <w:bottom w:val="single" w:color="000000" w:sz="4"/>
              <w:right w:val="single" w:color="000000" w:sz="4"/>
            </w:tcBorders>
            <w:shd w:fill="FFFFFF"/>
            <w:vAlign w:val="top"/>
          </w:tcPr>
          <w:p>
            <w:pPr>
              <w:jc w:val="both"/>
            </w:pPr>
          </w:p>
        </w:tc>
      </w:tr>
      <w:tr>
        <w:tc>
          <w:tcPr>
            <w:tcW w:type="dxa" w:w="938"/>
            <w:tcBorders>
              <w:top w:val="none" w:color="000000" w:sz="4"/>
              <w:left w:val="single" w:color="000000" w:sz="4"/>
              <w:bottom w:val="single" w:color="000000" w:sz="4"/>
              <w:right w:val="single" w:color="000000" w:sz="4"/>
            </w:tcBorders>
            <w:shd w:fill="FFFFFF"/>
            <w:vAlign w:val="top"/>
          </w:tcPr>
          <w:p>
            <w:pPr>
              <w:jc w:val="both"/>
            </w:pPr>
          </w:p>
        </w:tc>
        <w:tc>
          <w:tcPr>
            <w:tcW w:type="dxa" w:w="1074"/>
            <w:tcBorders>
              <w:top w:val="none" w:color="000000" w:sz="4"/>
              <w:left w:val="none" w:color="000000" w:sz="4"/>
              <w:bottom w:val="single" w:color="000000" w:sz="4"/>
              <w:right w:val="single" w:color="000000" w:sz="4"/>
            </w:tcBorders>
            <w:shd w:fill="FFFFFF"/>
            <w:vAlign w:val="top"/>
          </w:tcPr>
          <w:p>
            <w:pPr>
              <w:jc w:val="both"/>
            </w:pPr>
          </w:p>
        </w:tc>
        <w:tc>
          <w:tcPr>
            <w:tcW w:type="dxa" w:w="1059"/>
            <w:tcBorders>
              <w:top w:val="none" w:color="000000" w:sz="4"/>
              <w:left w:val="none" w:color="000000" w:sz="4"/>
              <w:bottom w:val="single" w:color="000000" w:sz="4"/>
              <w:right w:val="single" w:color="000000" w:sz="4"/>
            </w:tcBorders>
            <w:shd w:fill="FFFFFF"/>
            <w:vAlign w:val="top"/>
          </w:tcPr>
          <w:p>
            <w:pPr>
              <w:jc w:val="both"/>
            </w:pPr>
          </w:p>
        </w:tc>
        <w:tc>
          <w:tcPr>
            <w:tcW w:type="dxa" w:w="968"/>
            <w:tcBorders>
              <w:top w:val="none" w:color="000000" w:sz="4"/>
              <w:left w:val="none" w:color="000000" w:sz="4"/>
              <w:bottom w:val="single" w:color="000000" w:sz="4"/>
              <w:right w:val="single" w:color="000000" w:sz="4"/>
            </w:tcBorders>
            <w:shd w:fill="FFFFFF"/>
            <w:vAlign w:val="top"/>
          </w:tcPr>
          <w:p>
            <w:pPr>
              <w:jc w:val="both"/>
            </w:pPr>
          </w:p>
        </w:tc>
        <w:tc>
          <w:tcPr>
            <w:tcW w:type="dxa" w:w="605"/>
            <w:tcBorders>
              <w:top w:val="none" w:color="000000" w:sz="4"/>
              <w:left w:val="none" w:color="000000" w:sz="4"/>
              <w:bottom w:val="single" w:color="000000" w:sz="4"/>
              <w:right w:val="single" w:color="000000" w:sz="4"/>
            </w:tcBorders>
            <w:shd w:fill="FFFFFF"/>
            <w:vAlign w:val="top"/>
          </w:tcPr>
          <w:p>
            <w:pPr>
              <w:jc w:val="both"/>
            </w:pPr>
          </w:p>
        </w:tc>
        <w:tc>
          <w:tcPr>
            <w:tcW w:type="dxa" w:w="666"/>
            <w:tcBorders>
              <w:top w:val="none" w:color="000000" w:sz="4"/>
              <w:left w:val="none" w:color="000000" w:sz="4"/>
              <w:bottom w:val="single" w:color="000000" w:sz="4"/>
              <w:right w:val="single" w:color="000000" w:sz="4"/>
            </w:tcBorders>
            <w:shd w:fill="FFFFFF"/>
            <w:vAlign w:val="top"/>
          </w:tcPr>
          <w:p>
            <w:pPr>
              <w:jc w:val="both"/>
            </w:pPr>
          </w:p>
        </w:tc>
        <w:tc>
          <w:tcPr>
            <w:tcW w:type="dxa" w:w="938"/>
            <w:tcBorders>
              <w:top w:val="none" w:color="000000" w:sz="4"/>
              <w:left w:val="none" w:color="000000" w:sz="4"/>
              <w:bottom w:val="single" w:color="000000" w:sz="4"/>
              <w:right w:val="single" w:color="000000" w:sz="4"/>
            </w:tcBorders>
            <w:shd w:fill="FFFFFF"/>
            <w:vAlign w:val="top"/>
          </w:tcPr>
          <w:p>
            <w:pPr>
              <w:jc w:val="both"/>
            </w:pPr>
          </w:p>
        </w:tc>
        <w:tc>
          <w:tcPr>
            <w:tcW w:type="dxa" w:w="999"/>
            <w:tcBorders>
              <w:top w:val="none" w:color="000000" w:sz="4"/>
              <w:left w:val="none" w:color="000000" w:sz="4"/>
              <w:bottom w:val="single" w:color="000000" w:sz="4"/>
              <w:right w:val="single" w:color="000000" w:sz="4"/>
            </w:tcBorders>
            <w:shd w:fill="FFFFFF"/>
            <w:vAlign w:val="top"/>
          </w:tcPr>
          <w:p>
            <w:pPr>
              <w:jc w:val="both"/>
            </w:pPr>
          </w:p>
        </w:tc>
        <w:tc>
          <w:tcPr>
            <w:tcW w:type="dxa" w:w="1059"/>
            <w:tcBorders>
              <w:top w:val="none" w:color="000000" w:sz="4"/>
              <w:left w:val="none" w:color="000000" w:sz="4"/>
              <w:bottom w:val="single" w:color="000000" w:sz="4"/>
              <w:right w:val="single" w:color="000000" w:sz="4"/>
            </w:tcBorders>
            <w:shd w:fill="FFFFFF"/>
            <w:vAlign w:val="top"/>
          </w:tcPr>
          <w:p>
            <w:pPr>
              <w:jc w:val="both"/>
            </w:pPr>
          </w:p>
        </w:tc>
      </w:tr>
      <w:tr>
        <w:tc>
          <w:tcPr>
            <w:tcW w:type="dxa" w:w="938"/>
            <w:tcBorders>
              <w:top w:val="none" w:color="000000" w:sz="4"/>
              <w:left w:val="single" w:color="000000" w:sz="4"/>
              <w:bottom w:val="single" w:color="000000" w:sz="4"/>
              <w:right w:val="single" w:color="000000" w:sz="4"/>
            </w:tcBorders>
            <w:shd w:fill="FFFFFF"/>
            <w:vAlign w:val="top"/>
          </w:tcPr>
          <w:p>
            <w:pPr>
              <w:jc w:val="both"/>
            </w:pPr>
          </w:p>
        </w:tc>
        <w:tc>
          <w:tcPr>
            <w:tcW w:type="dxa" w:w="1074"/>
            <w:tcBorders>
              <w:top w:val="none" w:color="000000" w:sz="4"/>
              <w:left w:val="none" w:color="000000" w:sz="4"/>
              <w:bottom w:val="single" w:color="000000" w:sz="4"/>
              <w:right w:val="single" w:color="000000" w:sz="4"/>
            </w:tcBorders>
            <w:shd w:fill="FFFFFF"/>
            <w:vAlign w:val="top"/>
          </w:tcPr>
          <w:p>
            <w:pPr>
              <w:jc w:val="both"/>
            </w:pPr>
          </w:p>
        </w:tc>
        <w:tc>
          <w:tcPr>
            <w:tcW w:type="dxa" w:w="1059"/>
            <w:tcBorders>
              <w:top w:val="none" w:color="000000" w:sz="4"/>
              <w:left w:val="none" w:color="000000" w:sz="4"/>
              <w:bottom w:val="single" w:color="000000" w:sz="4"/>
              <w:right w:val="single" w:color="000000" w:sz="4"/>
            </w:tcBorders>
            <w:shd w:fill="FFFFFF"/>
            <w:vAlign w:val="top"/>
          </w:tcPr>
          <w:p>
            <w:pPr>
              <w:jc w:val="both"/>
            </w:pPr>
          </w:p>
        </w:tc>
        <w:tc>
          <w:tcPr>
            <w:tcW w:type="dxa" w:w="968"/>
            <w:tcBorders>
              <w:top w:val="none" w:color="000000" w:sz="4"/>
              <w:left w:val="none" w:color="000000" w:sz="4"/>
              <w:bottom w:val="single" w:color="000000" w:sz="4"/>
              <w:right w:val="single" w:color="000000" w:sz="4"/>
            </w:tcBorders>
            <w:shd w:fill="FFFFFF"/>
            <w:vAlign w:val="top"/>
          </w:tcPr>
          <w:p>
            <w:pPr>
              <w:jc w:val="both"/>
            </w:pPr>
          </w:p>
        </w:tc>
        <w:tc>
          <w:tcPr>
            <w:tcW w:type="dxa" w:w="605"/>
            <w:tcBorders>
              <w:top w:val="none" w:color="000000" w:sz="4"/>
              <w:left w:val="none" w:color="000000" w:sz="4"/>
              <w:bottom w:val="single" w:color="000000" w:sz="4"/>
              <w:right w:val="single" w:color="000000" w:sz="4"/>
            </w:tcBorders>
            <w:shd w:fill="FFFFFF"/>
            <w:vAlign w:val="top"/>
          </w:tcPr>
          <w:p>
            <w:pPr>
              <w:jc w:val="both"/>
            </w:pPr>
          </w:p>
        </w:tc>
        <w:tc>
          <w:tcPr>
            <w:tcW w:type="dxa" w:w="666"/>
            <w:tcBorders>
              <w:top w:val="none" w:color="000000" w:sz="4"/>
              <w:left w:val="none" w:color="000000" w:sz="4"/>
              <w:bottom w:val="single" w:color="000000" w:sz="4"/>
              <w:right w:val="single" w:color="000000" w:sz="4"/>
            </w:tcBorders>
            <w:shd w:fill="FFFFFF"/>
            <w:vAlign w:val="top"/>
          </w:tcPr>
          <w:p>
            <w:pPr>
              <w:jc w:val="both"/>
            </w:pPr>
          </w:p>
        </w:tc>
        <w:tc>
          <w:tcPr>
            <w:tcW w:type="dxa" w:w="938"/>
            <w:tcBorders>
              <w:top w:val="none" w:color="000000" w:sz="4"/>
              <w:left w:val="none" w:color="000000" w:sz="4"/>
              <w:bottom w:val="single" w:color="000000" w:sz="4"/>
              <w:right w:val="single" w:color="000000" w:sz="4"/>
            </w:tcBorders>
            <w:shd w:fill="FFFFFF"/>
            <w:vAlign w:val="top"/>
          </w:tcPr>
          <w:p>
            <w:pPr>
              <w:jc w:val="both"/>
            </w:pPr>
          </w:p>
        </w:tc>
        <w:tc>
          <w:tcPr>
            <w:tcW w:type="dxa" w:w="999"/>
            <w:tcBorders>
              <w:top w:val="none" w:color="000000" w:sz="4"/>
              <w:left w:val="none" w:color="000000" w:sz="4"/>
              <w:bottom w:val="single" w:color="000000" w:sz="4"/>
              <w:right w:val="single" w:color="000000" w:sz="4"/>
            </w:tcBorders>
            <w:shd w:fill="FFFFFF"/>
            <w:vAlign w:val="top"/>
          </w:tcPr>
          <w:p>
            <w:pPr>
              <w:jc w:val="both"/>
            </w:pPr>
          </w:p>
        </w:tc>
        <w:tc>
          <w:tcPr>
            <w:tcW w:type="dxa" w:w="1059"/>
            <w:tcBorders>
              <w:top w:val="none" w:color="000000" w:sz="4"/>
              <w:left w:val="none" w:color="000000" w:sz="4"/>
              <w:bottom w:val="single" w:color="000000" w:sz="4"/>
              <w:right w:val="single" w:color="000000" w:sz="4"/>
            </w:tcBorders>
            <w:shd w:fill="FFFFFF"/>
            <w:vAlign w:val="top"/>
          </w:tcPr>
          <w:p>
            <w:pPr>
              <w:jc w:val="both"/>
            </w:pPr>
          </w:p>
        </w:tc>
      </w:tr>
    </w:tbl>
    <w:p>
      <w:pPr>
        <w:jc w:val="both"/>
      </w:pPr>
      <w:r>
        <w:rPr>
          <w:sz w:val="21"/>
        </w:rPr>
        <w:t xml:space="preserve"> </w:t>
      </w:r>
    </w:p>
    <w:p>
      <w:pPr>
        <w:jc w:val="both"/>
      </w:pPr>
      <w:r>
        <w:rPr>
          <w:sz w:val="21"/>
        </w:rPr>
        <w:t xml:space="preserve"> </w:t>
      </w:r>
    </w:p>
    <w:p>
      <w:pPr>
        <w:jc w:val="both"/>
      </w:pPr>
      <w:r>
        <w:rPr>
          <w:sz w:val="21"/>
        </w:rPr>
        <w:t xml:space="preserve"> </w:t>
      </w:r>
    </w:p>
    <w:p>
      <w:pPr>
        <w:jc w:val="center"/>
      </w:pPr>
      <w:r>
        <w:rPr>
          <w:b/>
          <w:color w:val="FF0000"/>
          <w:sz w:val="72"/>
        </w:rPr>
        <w:t>中山大学孙逸仙纪念医院</w:t>
      </w:r>
    </w:p>
    <w:p>
      <w:pPr>
        <w:jc w:val="center"/>
      </w:pPr>
      <w:r>
        <w:rPr>
          <w:b/>
          <w:color w:val="FF0000"/>
          <w:sz w:val="72"/>
        </w:rPr>
        <w:t>深汕中心医院</w:t>
      </w:r>
    </w:p>
    <w:p>
      <w:pPr>
        <w:jc w:val="center"/>
      </w:pPr>
      <w:r>
        <w:rPr>
          <w:b/>
          <w:color w:val="222222"/>
          <w:sz w:val="36"/>
        </w:rPr>
        <w:t>廉洁守约承诺书</w:t>
      </w:r>
    </w:p>
    <w:p>
      <w:pPr>
        <w:jc w:val="both"/>
      </w:pPr>
      <w:r>
        <w:rPr>
          <w:color w:val="222222"/>
          <w:sz w:val="28"/>
        </w:rPr>
        <w:t>项目名称：</w:t>
      </w:r>
    </w:p>
    <w:p>
      <w:pPr>
        <w:jc w:val="both"/>
      </w:pPr>
      <w:r>
        <w:rPr>
          <w:sz w:val="21"/>
        </w:rPr>
        <w:t xml:space="preserve"> </w:t>
      </w:r>
    </w:p>
    <w:p>
      <w:pPr>
        <w:jc w:val="both"/>
      </w:pPr>
      <w:r>
        <w:rPr>
          <w:color w:val="222222"/>
          <w:sz w:val="27"/>
        </w:rPr>
        <w:t>为加强医疗卫生行业作风建设，切实纠正损害人民群众利益的不正之风，保障合同双方的权利与义务，根据《中华人民共和国药品管理法》、《中华人民共和国执业医师法》、《中华人民共和国政府采购法》、《中华人民共和国招标投标法》等有关规定，结合中山大学孙逸仙纪念医院深汕中心医院（下称医院）的规章制度，我公司特作出以下廉洁守约承诺：</w:t>
      </w:r>
    </w:p>
    <w:p>
      <w:pPr>
        <w:jc w:val="both"/>
      </w:pPr>
      <w:r>
        <w:rPr>
          <w:color w:val="222222"/>
          <w:sz w:val="27"/>
        </w:rPr>
        <w:t>一、我司及工作人员严格遵守医院的有关规定，不通过给予医院工作人员</w:t>
      </w:r>
      <w:r>
        <w:rPr>
          <w:color w:val="222222"/>
          <w:sz w:val="27"/>
        </w:rPr>
        <w:t>“</w:t>
      </w:r>
      <w:r>
        <w:rPr>
          <w:color w:val="222222"/>
          <w:sz w:val="27"/>
        </w:rPr>
        <w:t>红包</w:t>
      </w:r>
      <w:r>
        <w:rPr>
          <w:color w:val="222222"/>
          <w:sz w:val="27"/>
        </w:rPr>
        <w:t>”</w:t>
      </w:r>
      <w:r>
        <w:rPr>
          <w:color w:val="222222"/>
          <w:sz w:val="27"/>
        </w:rPr>
        <w:t>（含礼品、礼金、消费卡和有价证券、股权、其他金融产品等财物，公司及工作人员安排、组织或者支付费用的宴请或者旅游、健身、娱乐等活动安排，下同）、贿赂、提成、物品及以其它不正当利益等手段进行促销；不以任何名义、形式给予医院工作人员及其特殊关系人</w:t>
      </w:r>
      <w:r>
        <w:rPr>
          <w:color w:val="222222"/>
          <w:sz w:val="27"/>
        </w:rPr>
        <w:t>“</w:t>
      </w:r>
      <w:r>
        <w:rPr>
          <w:color w:val="222222"/>
          <w:sz w:val="27"/>
        </w:rPr>
        <w:t>红包</w:t>
      </w:r>
      <w:r>
        <w:rPr>
          <w:color w:val="222222"/>
          <w:sz w:val="27"/>
        </w:rPr>
        <w:t>”</w:t>
      </w:r>
      <w:r>
        <w:rPr>
          <w:color w:val="222222"/>
          <w:sz w:val="27"/>
        </w:rPr>
        <w:t>、贿赂、提成、物品以及其他不正当利益，或邀请医院工作人员及其特殊关系人参加涉及商业利益的活动等。</w:t>
      </w:r>
    </w:p>
    <w:p>
      <w:pPr>
        <w:jc w:val="both"/>
      </w:pPr>
      <w:r>
        <w:rPr>
          <w:color w:val="222222"/>
          <w:sz w:val="27"/>
        </w:rPr>
        <w:t>前款所称</w:t>
      </w:r>
      <w:r>
        <w:rPr>
          <w:color w:val="222222"/>
          <w:sz w:val="27"/>
        </w:rPr>
        <w:t>“</w:t>
      </w:r>
      <w:r>
        <w:rPr>
          <w:color w:val="222222"/>
          <w:sz w:val="27"/>
        </w:rPr>
        <w:t>特殊关系人</w:t>
      </w:r>
      <w:r>
        <w:rPr>
          <w:color w:val="222222"/>
          <w:sz w:val="27"/>
        </w:rPr>
        <w:t>”</w:t>
      </w:r>
      <w:r>
        <w:rPr>
          <w:color w:val="222222"/>
          <w:sz w:val="27"/>
        </w:rPr>
        <w:t>，是指医院工作人员的近亲属、特殊利害关系人等 。</w:t>
      </w:r>
    </w:p>
    <w:p>
      <w:pPr>
        <w:jc w:val="both"/>
      </w:pPr>
      <w:r>
        <w:rPr>
          <w:color w:val="222222"/>
          <w:sz w:val="27"/>
        </w:rPr>
        <w:t>二、我司及销售人员不在医院诊疗时间、诊疗区域进入各医疗科室进行产品推介活动，不干扰医务人员的医疗活动；未经医院批准，不在院内召开任何形式的产品宣传、推广活动；不在院内张贴、派发涉及产品的宣传资料和赠品。</w:t>
      </w:r>
    </w:p>
    <w:p>
      <w:pPr>
        <w:jc w:val="both"/>
      </w:pPr>
      <w:r>
        <w:rPr>
          <w:color w:val="222222"/>
          <w:sz w:val="27"/>
        </w:rPr>
        <w:t>三、我司承诺需要在医院进行产品宣传、推广工作时，一定向医院相关职能部门提出书面申请。经审批后，由医院有组织、有计划地予以安排。</w:t>
      </w:r>
    </w:p>
    <w:p>
      <w:pPr>
        <w:jc w:val="both"/>
      </w:pPr>
      <w:r>
        <w:rPr>
          <w:color w:val="222222"/>
          <w:sz w:val="27"/>
        </w:rPr>
        <w:t>四、我司承诺遵守国家有关招标采购法律法规规章，在参加医院招标采购活动时，保证诚信投标、不串标、不陪标，严格按照有关规定及合同执行。</w:t>
      </w:r>
    </w:p>
    <w:p>
      <w:pPr>
        <w:jc w:val="both"/>
      </w:pPr>
      <w:r>
        <w:rPr>
          <w:color w:val="222222"/>
          <w:sz w:val="27"/>
        </w:rPr>
        <w:t>五、我司承诺</w:t>
      </w:r>
    </w:p>
    <w:p>
      <w:pPr>
        <w:jc w:val="both"/>
      </w:pPr>
      <w:r>
        <w:rPr>
          <w:color w:val="222222"/>
          <w:sz w:val="27"/>
        </w:rPr>
        <w:t>□</w:t>
      </w:r>
      <w:r>
        <w:rPr>
          <w:color w:val="222222"/>
          <w:sz w:val="27"/>
        </w:rPr>
        <w:t>不销售、不使用假冒伪劣以及无生产批准文号或无相关经营许可证、经营注册证的药品、试剂、医疗设备、医疗器械、医用耗材及其它产品。（药品、医疗设备、医用耗材及其他货物的生产和经营企业勾选此项）</w:t>
      </w:r>
    </w:p>
    <w:p>
      <w:pPr>
        <w:jc w:val="both"/>
      </w:pPr>
      <w:r>
        <w:rPr>
          <w:color w:val="222222"/>
          <w:sz w:val="27"/>
        </w:rPr>
        <w:t>□</w:t>
      </w:r>
      <w:r>
        <w:rPr>
          <w:color w:val="222222"/>
          <w:sz w:val="27"/>
        </w:rPr>
        <w:t>严格遵守国家关于市场准入、项目招标投标、工程建设、施工安装和市场活动等有关法律、法规、相关政策，不违反工程建设管理、施工安装和监理的规章制度。按照有关法律法规和程序开展业务工作，严格执行工程建设和监理的有关方针、政策，尤其是有关建筑施工安装和监理的强制性标准和规范。（工程建设项目勾选此项）</w:t>
      </w:r>
    </w:p>
    <w:p>
      <w:pPr>
        <w:jc w:val="both"/>
      </w:pPr>
      <w:r>
        <w:rPr>
          <w:color w:val="222222"/>
          <w:sz w:val="27"/>
        </w:rPr>
        <w:t>六、我司承诺遵守《中华人民共和国政府采购法》第四十六条、《中华人民共和国招标投标法》第四十六条及医院招标采购相关规章制度的规定，在医院中标、成交通知书发出之日起二十日内，按照招标采购文件和中标人的投标文件或其他响应文件签订书面合同。</w:t>
      </w:r>
    </w:p>
    <w:p>
      <w:pPr>
        <w:jc w:val="both"/>
      </w:pPr>
      <w:r>
        <w:rPr>
          <w:color w:val="222222"/>
          <w:sz w:val="27"/>
        </w:rPr>
        <w:t>若违反上述承诺，我司自愿接受中山大学孙逸仙纪念医院深汕中心医院以下处理：医院将我司违规行为予以曝光；医院取消我司中标资格并不予退还履约保证金；医院有权解除双方签订的买卖合同、技术服务合同及建筑工程施工合同等合同，停用相关产品，并断绝与我司业务往来，且不承担我司因此造成的任何损失；取消我司参加医院招标采购投标资格两年；报请上级主管部门，依据有关规定在系统内通报、公布药品、医疗设备、医用耗材违法违规情况及其它处理。</w:t>
      </w:r>
    </w:p>
    <w:p>
      <w:pPr>
        <w:jc w:val="both"/>
      </w:pPr>
      <w:r>
        <w:rPr>
          <w:color w:val="222222"/>
          <w:sz w:val="27"/>
        </w:rPr>
        <w:t>双方订立买卖合同、技术服务合同、建筑工程施工合同等合同以后，本承诺书同时作为双方合同的构成部分。</w:t>
      </w:r>
    </w:p>
    <w:p>
      <w:pPr>
        <w:jc w:val="both"/>
      </w:pPr>
      <w:r>
        <w:rPr>
          <w:color w:val="222222"/>
          <w:sz w:val="27"/>
        </w:rPr>
        <w:t>本承诺书一式两份，一份由医院相关职能部门保存，一份由经营单位保存。</w:t>
      </w:r>
    </w:p>
    <w:p>
      <w:pPr>
        <w:jc w:val="both"/>
      </w:pPr>
      <w:r>
        <w:rPr>
          <w:sz w:val="21"/>
        </w:rPr>
        <w:t xml:space="preserve">                       </w:t>
      </w:r>
    </w:p>
    <w:p>
      <w:pPr>
        <w:jc w:val="both"/>
      </w:pPr>
      <w:r>
        <w:rPr>
          <w:color w:val="222222"/>
          <w:sz w:val="27"/>
        </w:rPr>
        <w:t xml:space="preserve">                         </w:t>
      </w:r>
      <w:r>
        <w:rPr>
          <w:color w:val="222222"/>
          <w:sz w:val="27"/>
        </w:rPr>
        <w:t>医药生产、经销单位名称：</w:t>
      </w:r>
    </w:p>
    <w:p>
      <w:pPr>
        <w:jc w:val="both"/>
      </w:pPr>
      <w:r>
        <w:rPr>
          <w:color w:val="222222"/>
          <w:sz w:val="27"/>
        </w:rPr>
        <w:t xml:space="preserve">                                      </w:t>
      </w:r>
      <w:r>
        <w:rPr>
          <w:color w:val="222222"/>
          <w:sz w:val="27"/>
        </w:rPr>
        <w:t>（盖章）</w:t>
      </w:r>
    </w:p>
    <w:p>
      <w:pPr>
        <w:jc w:val="both"/>
      </w:pPr>
      <w:r>
        <w:rPr>
          <w:color w:val="222222"/>
          <w:sz w:val="27"/>
        </w:rPr>
        <w:t xml:space="preserve">                        </w:t>
      </w:r>
      <w:r>
        <w:rPr>
          <w:color w:val="222222"/>
          <w:sz w:val="27"/>
        </w:rPr>
        <w:t>单位负责人：</w:t>
      </w:r>
    </w:p>
    <w:p>
      <w:pPr>
        <w:jc w:val="both"/>
      </w:pPr>
      <w:r>
        <w:rPr>
          <w:color w:val="222222"/>
          <w:sz w:val="27"/>
        </w:rPr>
        <w:t xml:space="preserve">                            </w:t>
      </w:r>
      <w:r>
        <w:rPr>
          <w:color w:val="222222"/>
          <w:sz w:val="27"/>
        </w:rPr>
        <w:t>（签名）</w:t>
      </w:r>
    </w:p>
    <w:p>
      <w:pPr>
        <w:jc w:val="both"/>
      </w:pPr>
      <w:r>
        <w:rPr>
          <w:color w:val="222222"/>
          <w:sz w:val="27"/>
        </w:rPr>
        <w:t xml:space="preserve">              </w:t>
      </w:r>
      <w:r>
        <w:rPr>
          <w:color w:val="222222"/>
          <w:sz w:val="27"/>
        </w:rPr>
        <w:t>日期：</w:t>
      </w:r>
      <w:r>
        <w:rPr>
          <w:color w:val="222222"/>
          <w:sz w:val="27"/>
        </w:rPr>
        <w:t xml:space="preserve">          </w:t>
      </w:r>
      <w:r>
        <w:rPr>
          <w:color w:val="222222"/>
          <w:sz w:val="27"/>
        </w:rPr>
        <w:t>年</w:t>
      </w:r>
      <w:r>
        <w:rPr>
          <w:color w:val="222222"/>
          <w:sz w:val="27"/>
        </w:rPr>
        <w:t xml:space="preserve">   </w:t>
      </w:r>
      <w:r>
        <w:rPr>
          <w:color w:val="222222"/>
          <w:sz w:val="27"/>
        </w:rPr>
        <w:t>月</w:t>
      </w:r>
      <w:r>
        <w:rPr>
          <w:color w:val="222222"/>
          <w:sz w:val="27"/>
        </w:rPr>
        <w:t xml:space="preserve">   </w:t>
      </w:r>
      <w:r>
        <w:rPr>
          <w:color w:val="222222"/>
          <w:sz w:val="27"/>
        </w:rPr>
        <w:t>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441501-2023-02618</w:t>
      </w:r>
    </w:p>
    <w:p>
      <w:pPr>
        <w:jc w:val="center"/>
      </w:pPr>
      <w:r>
        <w:rPr>
          <w:b/>
          <w:sz w:val="24"/>
        </w:rPr>
        <w:t>采购项目编号：</w:t>
      </w:r>
      <w:r>
        <w:rPr>
          <w:b/>
          <w:sz w:val="24"/>
        </w:rPr>
        <w:t>0724-2331SW906131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国义招标股份有限公司</w:t>
      </w:r>
    </w:p>
    <w:p>
      <w:pPr>
        <w:ind w:firstLine="480"/>
      </w:pPr>
      <w:r>
        <w:rPr/>
        <w:t>你方组织的</w:t>
      </w:r>
      <w:r>
        <w:rPr>
          <w:u w:val="single"/>
        </w:rPr>
        <w:t>“</w:t>
      </w:r>
      <w:r>
        <w:rPr>
          <w:u w:val="single"/>
        </w:rPr>
        <w:t>中山大学孙逸仙纪念医院深汕中心医院 麻醉机监护仪采购项目</w:t>
      </w:r>
      <w:r>
        <w:rPr>
          <w:u w:val="single"/>
        </w:rPr>
        <w:t>”</w:t>
      </w:r>
      <w:r>
        <w:rPr/>
        <w:t>项目的招标[采购项目编号为：</w:t>
      </w:r>
      <w:r>
        <w:rPr>
          <w:u w:val="single"/>
        </w:rPr>
        <w:t>0724-2331SW906131</w:t>
      </w:r>
      <w:r>
        <w:rPr/>
        <w:t>]，我方愿参与投标。</w:t>
      </w:r>
    </w:p>
    <w:p>
      <w:pPr>
        <w:ind w:firstLine="480"/>
      </w:pPr>
      <w:r>
        <w:rPr/>
        <w:t>我方确认收到贵方提供的</w:t>
      </w:r>
      <w:r>
        <w:rPr>
          <w:u w:val="single"/>
        </w:rPr>
        <w:t>“</w:t>
      </w:r>
      <w:r>
        <w:rPr>
          <w:u w:val="single"/>
        </w:rPr>
        <w:t>中山大学孙逸仙纪念医院深汕中心医院 麻醉机监护仪采购项目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国义招标股份有限公司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中山大学孙逸仙纪念医院深汕中心医院 麻醉机监护仪采购项目</w:t>
      </w:r>
      <w:r>
        <w:rPr/>
        <w:t>”项目采购[采购项目编号为</w:t>
      </w:r>
      <w:r>
        <w:rPr/>
        <w:t>0724-2331SW906131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中山大学孙逸仙纪念医院深汕中心医院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国义招标股份有限公司</w:t>
      </w:r>
    </w:p>
    <w:p>
      <w:pPr>
        <w:ind w:firstLine="480"/>
      </w:pPr>
      <w:r>
        <w:rPr/>
        <w:t>如果我方在贵采购代理机构组织的</w:t>
      </w:r>
      <w:r>
        <w:rPr/>
        <w:t>中山大学孙逸仙纪念医院深汕中心医院 麻醉机监护仪采购项目</w:t>
      </w:r>
      <w:r>
        <w:rPr/>
        <w:t>招标中获中标（采购项目编号：</w:t>
      </w:r>
      <w:r>
        <w:rPr/>
        <w:t>0724-2331SW906131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国义招标股份有限公司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国义招标股份有限公司</w:t>
      </w:r>
    </w:p>
    <w:p>
      <w:pPr>
        <w:ind w:firstLine="480"/>
      </w:pPr>
      <w:r>
        <w:rPr/>
        <w:t>我单位已登记并准备参与“</w:t>
      </w:r>
      <w:r>
        <w:rPr/>
        <w:t>中山大学孙逸仙纪念医院深汕中心医院 麻醉机监护仪采购项目</w:t>
      </w:r>
      <w:r>
        <w:rPr/>
        <w:t>”项目（采购项目编号：</w:t>
      </w:r>
      <w:r>
        <w:rPr/>
        <w:t>0724-2331SW906131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