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441421-2023-02251</w:t>
      </w:r>
    </w:p>
    <w:p>
      <w:pPr>
        <w:jc w:val="center"/>
      </w:pPr>
      <w:r>
        <w:rPr>
          <w:b/>
          <w:sz w:val="24"/>
        </w:rPr>
        <w:t>采购项目编号：</w:t>
      </w:r>
      <w:r>
        <w:rPr>
          <w:b/>
          <w:sz w:val="24"/>
        </w:rPr>
        <w:t>0835-230ZC3200491</w:t>
      </w:r>
    </w:p>
    <w:p>
      <w:pPr>
        <w:jc w:val="center"/>
      </w:pPr>
      <w:r>
        <w:rPr>
          <w:b/>
          <w:sz w:val="24"/>
        </w:rPr>
        <w:t>项目名称：</w:t>
      </w:r>
      <w:r>
        <w:rPr>
          <w:b/>
          <w:sz w:val="24"/>
        </w:rPr>
        <w:t>中山大学附属第三医院粤东医院感染性疾病救治中心地下室潜污泵和生活水泵房设备采购项目</w:t>
      </w:r>
    </w:p>
    <w:p>
      <w:pPr>
        <w:jc w:val="center"/>
      </w:pPr>
      <w:r>
        <w:rPr>
          <w:b/>
          <w:sz w:val="24"/>
        </w:rPr>
        <w:t>采购人：</w:t>
      </w:r>
      <w:r>
        <w:rPr>
          <w:b/>
          <w:sz w:val="24"/>
        </w:rPr>
        <w:t>中山大学附属第三医院粤东医院</w:t>
      </w:r>
    </w:p>
    <w:p>
      <w:pPr>
        <w:jc w:val="center"/>
      </w:pPr>
      <w:r>
        <w:rPr>
          <w:b/>
          <w:sz w:val="24"/>
        </w:rPr>
        <w:t>采购代理机构：</w:t>
      </w:r>
      <w:r>
        <w:rPr>
          <w:b/>
          <w:sz w:val="24"/>
        </w:rPr>
        <w:t>广东元正招标采购有限公司</w:t>
      </w:r>
    </w:p>
    <w:p>
      <w:pPr>
        <w:ind w:firstLine="480"/>
      </w:pPr>
    </w:p>
    <w:p>
      <w:r>
        <w:rPr/>
        <w:t xml:space="preserve"> </w:t>
      </w:r>
    </w:p>
    <w:p/>
    <w:p>
      <w:pPr>
        <w:jc w:val="center"/>
      </w:pPr>
      <w:r>
        <w:rPr>
          <w:b/>
          <w:sz w:val="36"/>
        </w:rPr>
        <w:t>第一章投标邀请</w:t>
      </w:r>
    </w:p>
    <w:p>
      <w:pPr>
        <w:ind w:firstLine="480"/>
      </w:pPr>
      <w:r>
        <w:rPr/>
        <w:t>广东元正招标采购有限公司</w:t>
      </w:r>
      <w:r>
        <w:rPr/>
        <w:t>受</w:t>
      </w:r>
      <w:r>
        <w:rPr/>
        <w:t>中山大学附属第三医院粤东医院</w:t>
      </w:r>
      <w:r>
        <w:rPr/>
        <w:t>的委托，采用</w:t>
      </w:r>
      <w:r>
        <w:rPr/>
        <w:t>公开招标</w:t>
      </w:r>
      <w:r>
        <w:rPr/>
        <w:t>方式组织采购</w:t>
      </w:r>
      <w:r>
        <w:rPr/>
        <w:t>中山大学附属第三医院粤东医院感染性疾病救治中心地下室潜污泵和生活水泵房设备采购项目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中山大学附属第三医院粤东医院感染性疾病救治中心地下室潜污泵和生活水泵房设备采购项目</w:t>
      </w:r>
    </w:p>
    <w:p>
      <w:pPr>
        <w:ind w:firstLine="480"/>
      </w:pPr>
      <w:r>
        <w:rPr/>
        <w:t>采购计划编号：</w:t>
      </w:r>
      <w:r>
        <w:rPr/>
        <w:t>441421-2023-02251</w:t>
      </w:r>
    </w:p>
    <w:p>
      <w:pPr>
        <w:ind w:firstLine="480"/>
      </w:pPr>
      <w:r>
        <w:rPr/>
        <w:t>采购项目编号：</w:t>
      </w:r>
      <w:r>
        <w:rPr/>
        <w:t>0835-230ZC3200491</w:t>
      </w:r>
    </w:p>
    <w:p>
      <w:pPr>
        <w:ind w:firstLine="480"/>
      </w:pPr>
      <w:r>
        <w:rPr/>
        <w:t>采购方式：</w:t>
      </w:r>
      <w:r>
        <w:rPr/>
        <w:t>公开招标</w:t>
      </w:r>
    </w:p>
    <w:p>
      <w:pPr>
        <w:ind w:firstLine="480"/>
      </w:pPr>
      <w:r>
        <w:rPr/>
        <w:t>预算金额：</w:t>
      </w:r>
      <w:r>
        <w:rPr/>
        <w:t>1,832,500.00</w:t>
      </w:r>
      <w:r>
        <w:rPr/>
        <w:t>元</w:t>
      </w:r>
    </w:p>
    <w:p>
      <w:r>
        <w:rPr>
          <w:b/>
          <w:sz w:val="24"/>
        </w:rPr>
        <w:t>2.项目内容及需求情况（采购项目技术规格、参数及要求）</w:t>
      </w:r>
    </w:p>
    <w:p>
      <w:pPr>
        <w:ind w:firstLine="480"/>
      </w:pPr>
    </w:p>
    <w:p/>
    <w:p>
      <w:r>
        <w:rPr/>
        <w:t>采购包1(中山大学附属第三医院粤东医院感染性疾病救治中心地下室潜污泵和生活水泵房设备采购项目):</w:t>
      </w:r>
    </w:p>
    <w:p>
      <w:r>
        <w:rPr/>
        <w:t>采购包预算金额：1,832,500.00元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其他泵</w:t>
            </w:r>
          </w:p>
        </w:tc>
        <w:tc>
          <w:tcPr>
            <w:tcW w:type="dxa" w:w="2136"/>
          </w:tcPr>
          <w:p>
            <w:r>
              <w:rPr/>
              <w:t>中山大学附属第三医院粤东医院感染性疾病救治中心地下室潜污泵和生活水泵房设备</w:t>
            </w:r>
          </w:p>
        </w:tc>
        <w:tc>
          <w:tcPr>
            <w:tcW w:type="dxa" w:w="1187"/>
          </w:tcPr>
          <w:p>
            <w:r>
              <w:rPr/>
              <w:t>1.00(批)</w:t>
            </w:r>
          </w:p>
        </w:tc>
        <w:tc>
          <w:tcPr>
            <w:tcW w:type="dxa" w:w="1187"/>
          </w:tcPr>
          <w:p>
            <w:r>
              <w:rPr/>
              <w:t>详见第二章</w:t>
            </w:r>
          </w:p>
        </w:tc>
        <w:tc>
          <w:tcPr>
            <w:tcW w:type="dxa" w:w="1187"/>
          </w:tcPr>
          <w:p>
            <w:r>
              <w:rPr/>
              <w:t>否</w:t>
            </w:r>
          </w:p>
        </w:tc>
      </w:tr>
    </w:tbl>
    <w:p/>
    <w:p>
      <w:r>
        <w:rPr/>
        <w:t>本采购包不接受联合体投标</w:t>
      </w:r>
    </w:p>
    <w:p/>
    <w:p>
      <w:r>
        <w:rPr/>
        <w:t>合同履行期限：自合同生效之日起至合同全部权利义务履行完毕之日止。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为自然人的提供自然人身份证复印件；如国家另有规定的，则从其规定。分支机构投标的，须取得具有法人资格的总公司出具给分支机构的授权书，并提供总公司和分公司的营业执照复印件。</w:t>
      </w:r>
    </w:p>
    <w:p/>
    <w:p>
      <w:r>
        <w:rPr/>
        <w:t>2）有依法缴纳税收和社会保障资金的良好记录：①提供投标截止时间前6个月内任意1个月的缴纳税收凭证（复印件）；②提供投标截止时间前6个月内任意1个月的社会保障资金缴纳凭证（复印件）。如依法免税或不需要缴纳社会保障资金的，应提供相应文件证明（复印件）。</w:t>
      </w:r>
    </w:p>
    <w:p/>
    <w:p>
      <w:r>
        <w:rPr/>
        <w:t>3）具有良好的商业信誉和健全的财务会计制度：提供2022年度财务报告（表）或2023年以来任意一个月财务报表或基本开户银行出具的银行资信证明。</w:t>
      </w:r>
    </w:p>
    <w:p/>
    <w:p>
      <w:r>
        <w:rPr/>
        <w:t>4）履行合同所必需的设备和专业技术能力：按投标（响应）文件格式填报设备及专业技术能力情况。</w:t>
      </w:r>
    </w:p>
    <w:p/>
    <w:p>
      <w:r>
        <w:rPr/>
        <w:t>5）参加采购活动前3年内，在经营活动中没有重大违法记录：参照投标函相关承诺格式内容。 重大违法记录，是指投标人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采购包1（中山大学附属第三医院粤东医院感染性疾病救治中心地下室潜污泵和生活水泵房设备采购项目）：</w:t>
      </w:r>
      <w:r>
        <w:rPr/>
        <w:t>本项目不属于专门面向中小企业采购的项目</w:t>
      </w:r>
    </w:p>
    <w:p/>
    <w:p>
      <w:r>
        <w:rPr>
          <w:b/>
          <w:sz w:val="24"/>
        </w:rPr>
        <w:t>3.本项目特定的资格要求：</w:t>
      </w:r>
    </w:p>
    <w:p>
      <w:pPr>
        <w:ind w:firstLine="480"/>
      </w:pPr>
    </w:p>
    <w:p/>
    <w:p>
      <w:r>
        <w:rPr/>
        <w:t>采购包1（中山大学附属第三医院粤东医院感染性疾病救治中心地下室潜污泵和生活水泵房设备采购项目）：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3)本合同包不接受联合体投标。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中山大学附属第三医院粤东医院</w:t>
      </w:r>
    </w:p>
    <w:p>
      <w:pPr>
        <w:ind w:firstLine="480"/>
      </w:pPr>
      <w:r>
        <w:rPr/>
        <w:t>地址：</w:t>
      </w:r>
      <w:r>
        <w:rPr/>
        <w:t>梅州市梅县区公园北路124号</w:t>
      </w:r>
    </w:p>
    <w:p>
      <w:pPr>
        <w:ind w:firstLine="480"/>
      </w:pPr>
      <w:r>
        <w:rPr/>
        <w:t>联系方式：</w:t>
      </w:r>
      <w:r>
        <w:rPr/>
        <w:t>0753-2829111</w:t>
      </w:r>
    </w:p>
    <w:p>
      <w:r>
        <w:rPr>
          <w:b/>
          <w:sz w:val="24"/>
        </w:rPr>
        <w:t>2.采购代理机构信息</w:t>
      </w:r>
    </w:p>
    <w:p>
      <w:pPr>
        <w:ind w:firstLine="480"/>
      </w:pPr>
      <w:r>
        <w:rPr/>
        <w:t>名称：</w:t>
      </w:r>
      <w:r>
        <w:rPr/>
        <w:t>广东元正招标采购有限公司</w:t>
      </w:r>
    </w:p>
    <w:p>
      <w:pPr>
        <w:ind w:firstLine="480"/>
      </w:pPr>
      <w:r>
        <w:rPr/>
        <w:t>地址：</w:t>
      </w:r>
      <w:r>
        <w:rPr/>
        <w:t>梅州市梅江区彬芳大道中段门牌51-6号三楼</w:t>
      </w:r>
    </w:p>
    <w:p>
      <w:pPr>
        <w:ind w:firstLine="480"/>
      </w:pPr>
      <w:r>
        <w:rPr/>
        <w:t>联系方式：</w:t>
      </w:r>
      <w:r>
        <w:rPr/>
        <w:t>0753-2398938</w:t>
      </w:r>
    </w:p>
    <w:p>
      <w:r>
        <w:rPr>
          <w:b/>
          <w:sz w:val="24"/>
        </w:rPr>
        <w:t>3.项目联系方式</w:t>
      </w:r>
    </w:p>
    <w:p>
      <w:pPr>
        <w:ind w:firstLine="480"/>
      </w:pPr>
      <w:r>
        <w:rPr/>
        <w:t>项目联系人：</w:t>
      </w:r>
      <w:r>
        <w:rPr/>
        <w:t>姚工</w:t>
      </w:r>
    </w:p>
    <w:p>
      <w:pPr>
        <w:ind w:firstLine="480"/>
      </w:pPr>
      <w:r>
        <w:rPr/>
        <w:t>电话：</w:t>
      </w:r>
      <w:r>
        <w:rPr/>
        <w:t>0753-2398938</w:t>
      </w:r>
    </w:p>
    <w:p>
      <w:r>
        <w:rPr>
          <w:b/>
          <w:sz w:val="24"/>
        </w:rPr>
        <w:t>4.技术支持联系方式</w:t>
      </w:r>
    </w:p>
    <w:p>
      <w:pPr>
        <w:ind w:firstLine="480"/>
      </w:pPr>
      <w:r>
        <w:rPr/>
        <w:t>云平台联系方式：020-88696588</w:t>
      </w:r>
    </w:p>
    <w:p>
      <w:r>
        <w:rPr/>
        <w:t>采购代理机构：</w:t>
      </w:r>
      <w:r>
        <w:rPr/>
        <w:t>广东元正招标采购有限公司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504"/>
      </w:pPr>
      <w:r>
        <w:rPr>
          <w:sz w:val="24"/>
        </w:rPr>
        <w:t>1、投标人必须对本项目的全部内容进行投标报价，如有缺漏或超出最高限价，将导致投标无效。本项目的核心产品为</w:t>
      </w:r>
      <w:r>
        <w:rPr>
          <w:sz w:val="24"/>
        </w:rPr>
        <w:t>“变频泵”。</w:t>
      </w:r>
    </w:p>
    <w:p>
      <w:pPr>
        <w:ind w:firstLine="504"/>
      </w:pPr>
      <w:r>
        <w:rPr>
          <w:sz w:val="24"/>
        </w:rPr>
        <w:t>2、技术参数要求中的参数仅为方便描述而没有限制性，投标人提供货物的技术参数可相当于或优于技术参数要求中的要求。</w:t>
      </w:r>
    </w:p>
    <w:p>
      <w:r>
        <w:rPr>
          <w:b/>
          <w:sz w:val="15"/>
        </w:rPr>
        <w:t xml:space="preserve"> </w:t>
      </w:r>
    </w:p>
    <w:p/>
    <w:p>
      <w:pPr>
        <w:ind w:firstLine="480"/>
      </w:pPr>
    </w:p>
    <w:p/>
    <w:p>
      <w:r>
        <w:rPr/>
        <w:t>采购包1（中山大学附属第三医院粤东医院感染性疾病救治中心地下室潜污泵和生活水泵房设备采购项目）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自合同签订之日起180个日历日内安装调试完成</w:t>
            </w:r>
          </w:p>
        </w:tc>
      </w:tr>
      <w:tr>
        <w:tc>
          <w:tcPr>
            <w:tcW w:type="dxa" w:w="4153"/>
          </w:tcPr>
          <w:p>
            <w:r>
              <w:rPr/>
              <w:t>标的提供的地点</w:t>
            </w:r>
          </w:p>
        </w:tc>
        <w:tc>
          <w:tcPr>
            <w:tcW w:type="dxa" w:w="4153"/>
          </w:tcPr>
          <w:p/>
          <w:p>
            <w:r>
              <w:rPr/>
              <w:t>中山大学附属第三医院粤东医院感染性疾病救治中心</w:t>
            </w:r>
          </w:p>
        </w:tc>
      </w:tr>
      <w:tr>
        <w:tc>
          <w:tcPr>
            <w:tcW w:type="dxa" w:w="4153"/>
          </w:tcPr>
          <w:p>
            <w:r>
              <w:rPr/>
              <w:t>付款方式</w:t>
            </w:r>
          </w:p>
        </w:tc>
        <w:tc>
          <w:tcPr>
            <w:tcW w:type="dxa" w:w="4153"/>
          </w:tcPr>
          <w:p/>
          <w:p/>
          <w:p>
            <w:r>
              <w:rPr/>
              <w:t>1期：支付比例30%,合同签订后15日内，采购人向中标人支付合同总金额30%的预付款；</w:t>
            </w:r>
          </w:p>
          <w:p/>
          <w:p>
            <w:r>
              <w:rPr/>
              <w:t>2期：支付比例50%,在采购人发出排产通知单后，由中标人提出付款申请，采购人凭等额有效付款凭证于15日内支付中标人该批次设备对应合同总价的50%作为提货款；</w:t>
            </w:r>
          </w:p>
          <w:p/>
          <w:p>
            <w:r>
              <w:rPr/>
              <w:t>3期：支付比例20%,设备设施安装完毕验收合格后15日内支付合同总金额20%。 注：如采购人使用的是财政资金，在合同规定支付时间内采购人已向政府支付部门提出办理财政支付申请手续（不含政府财政支付部门审核的时间），即视为采购人已按期支付。</w:t>
            </w:r>
          </w:p>
        </w:tc>
      </w:tr>
      <w:tr>
        <w:tc>
          <w:tcPr>
            <w:tcW w:type="dxa" w:w="4153"/>
          </w:tcPr>
          <w:p>
            <w:r>
              <w:rPr/>
              <w:t>验收要求</w:t>
            </w:r>
          </w:p>
        </w:tc>
        <w:tc>
          <w:tcPr>
            <w:tcW w:type="dxa" w:w="4153"/>
          </w:tcPr>
          <w:p/>
          <w:p/>
          <w:p/>
          <w:p>
            <w:r>
              <w:rPr/>
              <w:t>1期：设备设施安装、调试工作完成后，中标人应根据国家安装验收规范和质量标准进行竣工检验、初步验收、最终验收。交付验收标准依次序对照适用标准为： （1）中标人包工、包料、包质量、包安全、包文明服务，所用的材料需是原厂、原装、全新产品； （2）符合中华人民共和国国家安全质量标准、节能环保标准或行业标准； （3）符合采购文件和响应承诺中采购方认可的合理最佳配置、参数及各项要求。</w:t>
            </w:r>
          </w:p>
          <w:p/>
          <w:p>
            <w:r>
              <w:rPr/>
              <w:t>2期：关键主机设备的用户手册、保修手册、有关单证资料及配备件、随机工具等要有移交手续，使用操作及安全须知等重要资料应附有中文说明。</w:t>
            </w:r>
          </w:p>
          <w:p/>
          <w:p>
            <w:r>
              <w:rPr/>
              <w:t>3期：采购人组织验收小组按国家有关规定、规范进行验收，必要时邀请相关的专业人员或机构参与验收。因货物质量问题发生争议时，由本地质量技术监督部门鉴定。货物符合质量技术标准的，鉴定费由采购人承担；否则鉴定费由中标人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其他</w:t>
            </w:r>
          </w:p>
        </w:tc>
        <w:tc>
          <w:tcPr>
            <w:tcW w:type="dxa" w:w="2076"/>
          </w:tcPr>
          <w:p>
            <w:pPr>
              <w:jc w:val="left"/>
            </w:pPr>
            <w:r>
              <w:rPr/>
              <w:t>一、供货要求：  1.货物为原制造商制造的全新产品，整机无污染，无侵权行为、表面无划损、无任何缺陷隐患，在中国境内可依常规安全合法使用。货物为原厂商未启封全新包装，具有出厂合格证，序列号、包装箱号与出厂批号一致，并可追索查阅。应附关键设备的用户手册、保修手册、有关单证资料及配备件等，设备使用操作及安全须知等重要资料应附有中文说明。 2.供应商需送货上门至采购人指定地点，并将设备设施安装、调试到最佳状态。 二、安装、调试要求： （一）深化设计、安装、调试 1.本项目生活水泵房深化设计、安装、调试均由中标人负责，为交钥匙工程（含必要的土建配合费）。 2.中标人在开始安装前应提供深化设计方案、安装、调试工艺流程，质量控制程序和检验方法，处理关键、难点的对策、方案和手段供采购人审批。 3.深化设计、安装、调试，包括以下内容： （1）深化设计、安装、调试按照国家标准和行业规范进行。 （2）生活水泵房设备设施。 （二）工期要求和规定 1.工程合同工期总日历天数：180天。 2.供应商根据企业自身实际能力，在施工组织和施工方法合理、可行的前提下，对本工程的工期进行优化，提出缩短工期的招标文件；其中雨天、节假日及因中标人的施工质量不合格或施工程序颠倒造成的返工所耽误的工期也并记在内，不能顺延。如遇不可抗拒因素影响，工期可以顺延，要求本工程按期完成，按期完成不奖不罚。 3.本项目中标人须按工期要求竣工并通过验收，对未能按期完工并通过验收的，中标人需支付采购人违约金。每日历天应赔付额度为合同价格的1%。（超出30天，采购人有权终止合同，成交人需退回采购人前期支付的所有款项并向采购人赔偿合同总额7.5%的违约金）。 （三）安全文明施工 1.中标人在施工期间应严格遵守国家、省、市有关防火、防爆和施工安全以及文明施工、深夜施工、环卫、治安与城管等规定，应建立规章制度和防护、防范措施，并承担由于自身措施不力造成事故责任和发生的费用。 2.施工期间，建立施工安全用电制度，确保施工用电设备的完好无损，并设置漏电保护装置。 3.中标人应按安全施工的要求，采取严格科学的安全措施，确保施工安全和第三者的安全，承担由于自身安全措施不力造成的事故责任、法律责任和经济责任。 4.建筑垃圾及时清运干净，施工过程中应采取必要的有效措施减少对施工区域内进出人员的工作造成的影响，并确保各方人员的安全，施工区域内由于中标人的责任造成的一切人员的伤亡，均由中标人承担由此产生的一切赔偿等后果。 5.应按国家相关法律法规、安全规范等组织实施。 6.中标人在采购人现场内进行施工时遵循医院的规章制度，做到安全文明施工。 （四）风险管理 中标人要做好日常风险预防工程和应急响应：若发生房屋墙体脱落、水电设施破坏、地面破坏等危及行人、车辆安全的紧急情况，或发生水管爆漏、火灾隐患等严重影响办公条件的情况，中标人在接报后30分钟内到达现场并快速有效地进行处理；服务合约期内中标人因交通违章、交通肇事、发生安全生产事故、造成火灾等，导致人员伤亡或财产损失的，均由中标人依法负全责，不得以任何理由向采购人追偿。 三、质保期（服务期）及售后服务： 1.在正常使用情况下，设备保质期≥24个月，质保期应从验收合格之日起开始计算。 2.质保期内报价人为设备提供缺陷保修及免费维护保修。 3.保质期满后，买卖双方可另行签订《维护保养合同》。 4.质保期内中标人免费提供软件升级，并保证软件为最新合法版本。 5.质保期内出现产品质量及安装质量问题，由供货方负责包修、包换或包退，并承担因此而产生的一切费用。 6.中标人提供24小时全方位维修服务。普通情况接到报修通知后，1小时内赶到现场并排除故障，直至设备完全恢复正常为止。紧急情况下保证提供全天候紧急故障处理或意外事故的技术性服务，接到客户紧急电话后15－30分钟内赶到现场。 7.有指定的质保负责人，质保负责人和维修人员要有常联系的电话，且电话号码不能频繁更换。其通信工具应24小时保持畅通。 8.在保修期内，货物或零部件因非人为因素出现故障而造成短期停用时，则质保期和免费维修期相应顺延，如停用时间累计超过60天则质保期重新计算。在质保期内，由于设备本身质量原因造成的任何损伤或损坏，中标人免费负责修理或更换。 9.质保期结束前，由中标人专业工程师和采购人代表对设备进行一次全面检查。任何缺陷由中标人负责修理，并得到采购人代表认可。在修理之后，中标人应将缺陷成因、修理内容、完成修理及恢复正常的时间和日期等报告给采购人。 10.中标人应为采购人提供免费培训服务。主要培训内容为货物的基本结构、主要部件的构造，日常使用操作与管理、日常保养、常见故障的排除、紧急情况的处理等，如采购人未使用过同类型货物，中标人还需就货物的功能对采购人进行相应的技术培训，培训地点主要在货物安装现场或由采购人安排。 11.质保期后的服务要求：免费质保期满后，中标人应提供终身维护服务、技术咨询服务。 12.根据安全技术规范以及安装使用维护说明，制定日常维护保养方案。 13.建立设备日常维护保养档案。 14.配备易损件服务：以优惠的价格长期保证给水排水设备易损件的供应，且保证供应之易损件为最低价格。 四、报价要求： 1.报价应包括但不限于供货、安装、零配件、标配工具、运输保险、调试、培训、质保期服务、各项税费、土建配合费、合同实施过程中不可预见费用等。 ★2.须在投标文件中说明所投设备（配置）的品牌、产地、型号规格、详细的技术指标等，并提供生活水泵房设备设施深化设计资料。 ★3.在投标文件中提供投标人及所投品牌制造商完善的维修服务中心和售后服务网络。</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其他泵</w:t>
            </w:r>
          </w:p>
        </w:tc>
        <w:tc>
          <w:tcPr>
            <w:tcW w:type="dxa" w:w="831"/>
          </w:tcPr>
          <w:p>
            <w:pPr>
              <w:jc w:val="left"/>
            </w:pPr>
            <w:r>
              <w:rPr/>
              <w:t>中山大学附属第三医院粤东医院感染性疾病救治中心地下室潜污泵和生活水泵房设备</w:t>
            </w:r>
          </w:p>
        </w:tc>
        <w:tc>
          <w:tcPr>
            <w:tcW w:type="dxa" w:w="831"/>
          </w:tcPr>
          <w:p>
            <w:pPr>
              <w:jc w:val="left"/>
            </w:pPr>
            <w:r>
              <w:rPr/>
              <w:t>批</w:t>
            </w:r>
          </w:p>
        </w:tc>
        <w:tc>
          <w:tcPr>
            <w:tcW w:type="dxa" w:w="831"/>
          </w:tcPr>
          <w:p>
            <w:pPr>
              <w:jc w:val="right"/>
            </w:pPr>
            <w:r>
              <w:rPr/>
              <w:t>1.00</w:t>
            </w:r>
          </w:p>
        </w:tc>
        <w:tc>
          <w:tcPr>
            <w:tcW w:type="dxa" w:w="831"/>
          </w:tcPr>
          <w:p>
            <w:pPr>
              <w:jc w:val="right"/>
            </w:pPr>
            <w:r>
              <w:rPr/>
              <w:t>1,832,500.00</w:t>
            </w:r>
          </w:p>
        </w:tc>
        <w:tc>
          <w:tcPr>
            <w:tcW w:type="dxa" w:w="831"/>
          </w:tcPr>
          <w:p>
            <w:pPr>
              <w:jc w:val="right"/>
            </w:pPr>
            <w:r>
              <w:rPr/>
              <w:t>1,832,500.00</w:t>
            </w:r>
          </w:p>
        </w:tc>
        <w:tc>
          <w:tcPr>
            <w:tcW w:type="dxa" w:w="831"/>
          </w:tcPr>
          <w:p>
            <w:r>
              <w:rPr/>
              <w:t>工业</w:t>
            </w:r>
          </w:p>
        </w:tc>
        <w:tc>
          <w:tcPr>
            <w:tcW w:type="dxa" w:w="831"/>
          </w:tcPr>
          <w:p>
            <w:r>
              <w:rPr/>
              <w:t>详见附表一</w:t>
            </w:r>
          </w:p>
        </w:tc>
      </w:tr>
    </w:tbl>
    <w:p/>
    <w:p>
      <w:r>
        <w:rPr>
          <w:b/>
        </w:rPr>
        <w:t>附表</w:t>
      </w:r>
      <w:r>
        <w:rPr>
          <w:b/>
        </w:rPr>
        <w:t>一</w:t>
      </w:r>
      <w:r>
        <w:rPr>
          <w:b/>
        </w:rPr>
        <w:t>：</w:t>
      </w:r>
      <w:r>
        <w:rPr>
          <w:b/>
        </w:rPr>
        <w:t>中山大学附属第三医院粤东医院感染性疾病救治中心地下室潜污泵和生活水泵房设备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2"/>
              </w:rPr>
              <w:t>一、生活水泵房主要材料性能要求</w:t>
            </w:r>
          </w:p>
          <w:tbl>
            <w:tblPr>
              <w:tblInd w:type="dxa" w:w="120"/>
              <w:tblBorders>
                <w:top w:val="none" w:color="000000" w:sz="4"/>
                <w:left w:val="none" w:color="000000" w:sz="4"/>
                <w:bottom w:val="none" w:color="000000" w:sz="4"/>
                <w:right w:val="none" w:color="000000" w:sz="4"/>
                <w:insideH w:val="none"/>
                <w:insideV w:val="none"/>
              </w:tblBorders>
            </w:tblPr>
            <w:tblGrid>
              <w:gridCol w:w="521"/>
              <w:gridCol w:w="1019"/>
              <w:gridCol w:w="2039"/>
              <w:gridCol w:w="637"/>
              <w:gridCol w:w="1356"/>
            </w:tblGrid>
            <w:tr>
              <w:tc>
                <w:tcPr>
                  <w:tcW w:type="dxa" w:w="521"/>
                  <w:tcBorders>
                    <w:top w:val="single" w:color="000000" w:sz="4"/>
                    <w:left w:val="single" w:color="000000" w:sz="4"/>
                    <w:bottom w:val="single" w:color="000000" w:sz="4"/>
                    <w:right w:val="single" w:color="000000" w:sz="4"/>
                  </w:tcBorders>
                  <w:vAlign w:val="top"/>
                </w:tcPr>
                <w:p>
                  <w:pPr>
                    <w:jc w:val="center"/>
                  </w:pPr>
                  <w:r>
                    <w:rPr>
                      <w:sz w:val="22"/>
                    </w:rPr>
                    <w:t>序号</w:t>
                  </w:r>
                </w:p>
              </w:tc>
              <w:tc>
                <w:tcPr>
                  <w:tcW w:type="dxa" w:w="1019"/>
                  <w:tcBorders>
                    <w:top w:val="single" w:color="000000" w:sz="4"/>
                    <w:left w:val="single" w:color="000000" w:sz="4"/>
                    <w:bottom w:val="single" w:color="000000" w:sz="4"/>
                    <w:right w:val="single" w:color="000000" w:sz="4"/>
                  </w:tcBorders>
                  <w:vAlign w:val="top"/>
                </w:tcPr>
                <w:p>
                  <w:pPr>
                    <w:jc w:val="center"/>
                  </w:pPr>
                  <w:r>
                    <w:rPr>
                      <w:sz w:val="22"/>
                    </w:rPr>
                    <w:t>设备名称</w:t>
                  </w:r>
                </w:p>
              </w:tc>
              <w:tc>
                <w:tcPr>
                  <w:tcW w:type="dxa" w:w="2039"/>
                  <w:tcBorders>
                    <w:top w:val="single" w:color="000000" w:sz="4"/>
                    <w:left w:val="single" w:color="000000" w:sz="4"/>
                    <w:bottom w:val="single" w:color="000000" w:sz="4"/>
                    <w:right w:val="single" w:color="000000" w:sz="4"/>
                  </w:tcBorders>
                  <w:vAlign w:val="top"/>
                </w:tcPr>
                <w:p>
                  <w:pPr>
                    <w:jc w:val="center"/>
                  </w:pPr>
                  <w:r>
                    <w:rPr>
                      <w:sz w:val="22"/>
                    </w:rPr>
                    <w:t>参数内容</w:t>
                  </w:r>
                </w:p>
              </w:tc>
              <w:tc>
                <w:tcPr>
                  <w:tcW w:type="dxa" w:w="637"/>
                  <w:tcBorders>
                    <w:top w:val="single" w:color="000000" w:sz="4"/>
                    <w:left w:val="single" w:color="000000" w:sz="4"/>
                    <w:bottom w:val="single" w:color="000000" w:sz="4"/>
                    <w:right w:val="single" w:color="000000" w:sz="4"/>
                  </w:tcBorders>
                  <w:vAlign w:val="top"/>
                </w:tcPr>
                <w:p>
                  <w:pPr>
                    <w:jc w:val="center"/>
                  </w:pPr>
                  <w:r>
                    <w:rPr>
                      <w:sz w:val="22"/>
                    </w:rPr>
                    <w:t>数量</w:t>
                  </w:r>
                  <w:r>
                    <w:rPr>
                      <w:sz w:val="22"/>
                    </w:rPr>
                    <w:t>/单位</w:t>
                  </w:r>
                </w:p>
              </w:tc>
              <w:tc>
                <w:tcPr>
                  <w:tcW w:type="dxa" w:w="1356"/>
                  <w:tcBorders>
                    <w:top w:val="single" w:color="000000" w:sz="4"/>
                    <w:left w:val="single" w:color="000000" w:sz="4"/>
                    <w:bottom w:val="single" w:color="000000" w:sz="4"/>
                    <w:right w:val="single" w:color="000000" w:sz="4"/>
                  </w:tcBorders>
                  <w:vAlign w:val="top"/>
                </w:tcPr>
                <w:p>
                  <w:pPr>
                    <w:jc w:val="center"/>
                  </w:pPr>
                  <w:r>
                    <w:rPr>
                      <w:sz w:val="22"/>
                    </w:rPr>
                    <w:t>备注</w:t>
                  </w:r>
                </w:p>
              </w:tc>
            </w:tr>
            <w:tr>
              <w:tc>
                <w:tcPr>
                  <w:tcW w:type="dxa" w:w="521"/>
                  <w:vMerge w:val="restart"/>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019"/>
                  <w:vMerge w:val="restart"/>
                  <w:tcBorders>
                    <w:top w:val="none" w:color="000000" w:sz="4"/>
                    <w:left w:val="single" w:color="000000" w:sz="4"/>
                    <w:bottom w:val="single" w:color="000000" w:sz="4"/>
                    <w:right w:val="single" w:color="000000" w:sz="4"/>
                  </w:tcBorders>
                  <w:vAlign w:val="top"/>
                </w:tcPr>
                <w:p>
                  <w:pPr>
                    <w:jc w:val="center"/>
                  </w:pPr>
                  <w:r>
                    <w:rPr>
                      <w:sz w:val="22"/>
                    </w:rPr>
                    <w:t>给水变频泵组（低区</w:t>
                  </w:r>
                  <w:r>
                    <w:rPr>
                      <w:sz w:val="22"/>
                    </w:rPr>
                    <w:t>1F-5F）</w:t>
                  </w:r>
                </w:p>
              </w:tc>
              <w:tc>
                <w:tcPr>
                  <w:tcW w:type="dxa" w:w="2039"/>
                  <w:tcBorders>
                    <w:top w:val="none" w:color="000000" w:sz="4"/>
                    <w:left w:val="single" w:color="000000" w:sz="4"/>
                    <w:bottom w:val="single" w:color="000000" w:sz="4"/>
                    <w:right w:val="single" w:color="000000" w:sz="4"/>
                  </w:tcBorders>
                  <w:vAlign w:val="top"/>
                </w:tcPr>
                <w:p>
                  <w:r>
                    <w:rPr>
                      <w:sz w:val="22"/>
                    </w:rPr>
                    <w:t>泵组：</w:t>
                  </w:r>
                  <w:r>
                    <w:rPr>
                      <w:sz w:val="22"/>
                    </w:rPr>
                    <w:t>Q=56m³/h,H=56m</w:t>
                  </w:r>
                </w:p>
              </w:tc>
              <w:tc>
                <w:tcPr>
                  <w:tcW w:type="dxa" w:w="637"/>
                  <w:tcBorders>
                    <w:top w:val="none" w:color="000000" w:sz="4"/>
                    <w:left w:val="single" w:color="000000" w:sz="4"/>
                    <w:bottom w:val="single" w:color="000000" w:sz="4"/>
                    <w:right w:val="single" w:color="000000" w:sz="4"/>
                  </w:tcBorders>
                  <w:vAlign w:val="top"/>
                </w:tcPr>
                <w:p>
                  <w:pPr>
                    <w:jc w:val="center"/>
                  </w:pPr>
                  <w:r>
                    <w:rPr>
                      <w:sz w:val="22"/>
                    </w:rPr>
                    <w:t>1组</w:t>
                  </w:r>
                </w:p>
              </w:tc>
              <w:tc>
                <w:tcPr>
                  <w:tcW w:type="dxa" w:w="1356"/>
                  <w:tcBorders>
                    <w:top w:val="none" w:color="000000" w:sz="4"/>
                    <w:left w:val="single" w:color="000000" w:sz="4"/>
                    <w:bottom w:val="single" w:color="000000" w:sz="4"/>
                    <w:right w:val="single" w:color="000000" w:sz="4"/>
                  </w:tcBorders>
                  <w:vAlign w:val="top"/>
                </w:tcPr>
                <w:p>
                  <w:r>
                    <w:rPr>
                      <w:sz w:val="22"/>
                    </w:rPr>
                    <w:t>配套变频柜，一拖一变频，采用</w:t>
                  </w:r>
                  <w:r>
                    <w:rPr>
                      <w:sz w:val="22"/>
                    </w:rPr>
                    <w:t>高质量</w:t>
                  </w:r>
                  <w:r>
                    <w:rPr>
                      <w:sz w:val="22"/>
                    </w:rPr>
                    <w:t>变频器、</w:t>
                  </w:r>
                  <w:r>
                    <w:rPr>
                      <w:sz w:val="22"/>
                    </w:rPr>
                    <w:t>PLC、电气元器件</w:t>
                  </w:r>
                  <w:r>
                    <w:rPr>
                      <w:sz w:val="22"/>
                    </w:rPr>
                    <w:t>产品。</w:t>
                  </w:r>
                </w:p>
              </w:tc>
            </w:tr>
            <w:tr>
              <w:tc>
                <w:tcPr>
                  <w:tcW w:type="dxa" w:w="521"/>
                  <w:vMerge/>
                  <w:tcBorders>
                    <w:top w:val="none" w:color="000000" w:sz="4"/>
                    <w:left w:val="single" w:color="000000" w:sz="4"/>
                    <w:bottom w:val="single" w:color="000000" w:sz="4"/>
                    <w:right w:val="single" w:color="000000" w:sz="4"/>
                  </w:tcBorders>
                </w:tcPr>
                <w:p/>
              </w:tc>
              <w:tc>
                <w:tcPr>
                  <w:tcW w:type="dxa" w:w="1019"/>
                  <w:vMerge/>
                  <w:tcBorders>
                    <w:top w:val="none" w:color="000000" w:sz="4"/>
                    <w:left w:val="single" w:color="000000" w:sz="4"/>
                    <w:bottom w:val="single" w:color="000000" w:sz="4"/>
                    <w:right w:val="single" w:color="000000" w:sz="4"/>
                  </w:tcBorders>
                </w:tcPr>
                <w:p/>
              </w:tc>
              <w:tc>
                <w:tcPr>
                  <w:tcW w:type="dxa" w:w="2039"/>
                  <w:tcBorders>
                    <w:top w:val="none" w:color="000000" w:sz="4"/>
                    <w:left w:val="single" w:color="000000" w:sz="4"/>
                    <w:bottom w:val="single" w:color="000000" w:sz="4"/>
                    <w:right w:val="single" w:color="000000" w:sz="4"/>
                  </w:tcBorders>
                  <w:vAlign w:val="top"/>
                </w:tcPr>
                <w:p>
                  <w:r>
                    <w:rPr>
                      <w:sz w:val="22"/>
                    </w:rPr>
                    <w:t>主泵：</w:t>
                  </w:r>
                  <w:r>
                    <w:rPr>
                      <w:sz w:val="22"/>
                    </w:rPr>
                    <w:t>Q=28m³/h，H=56m，N=7.5kW/台</w:t>
                  </w:r>
                </w:p>
              </w:tc>
              <w:tc>
                <w:tcPr>
                  <w:tcW w:type="dxa" w:w="637"/>
                  <w:tcBorders>
                    <w:top w:val="none" w:color="000000" w:sz="4"/>
                    <w:left w:val="single" w:color="000000" w:sz="4"/>
                    <w:bottom w:val="single" w:color="000000" w:sz="4"/>
                    <w:right w:val="single" w:color="000000" w:sz="4"/>
                  </w:tcBorders>
                  <w:vAlign w:val="top"/>
                </w:tcPr>
                <w:p>
                  <w:pPr>
                    <w:jc w:val="center"/>
                  </w:pPr>
                  <w:r>
                    <w:rPr>
                      <w:sz w:val="22"/>
                    </w:rPr>
                    <w:t>3台</w:t>
                  </w:r>
                </w:p>
              </w:tc>
              <w:tc>
                <w:tcPr>
                  <w:tcW w:type="dxa" w:w="1356"/>
                  <w:tcBorders>
                    <w:top w:val="none" w:color="000000" w:sz="4"/>
                    <w:left w:val="single" w:color="000000" w:sz="4"/>
                    <w:bottom w:val="single" w:color="000000" w:sz="4"/>
                    <w:right w:val="single" w:color="000000" w:sz="4"/>
                  </w:tcBorders>
                  <w:vAlign w:val="top"/>
                </w:tcPr>
                <w:p>
                  <w:pPr>
                    <w:jc w:val="center"/>
                  </w:pPr>
                  <w:r>
                    <w:rPr>
                      <w:sz w:val="22"/>
                    </w:rPr>
                    <w:t>2用1备</w:t>
                  </w:r>
                  <w:r>
                    <w:rPr>
                      <w:b/>
                      <w:sz w:val="22"/>
                    </w:rPr>
                    <w:t>（核心</w:t>
                  </w:r>
                </w:p>
                <w:p>
                  <w:r>
                    <w:rPr>
                      <w:b/>
                      <w:sz w:val="22"/>
                    </w:rPr>
                    <w:t>产品）</w:t>
                  </w:r>
                </w:p>
              </w:tc>
            </w:tr>
            <w:tr>
              <w:tc>
                <w:tcPr>
                  <w:tcW w:type="dxa" w:w="521"/>
                  <w:vMerge/>
                  <w:tcBorders>
                    <w:top w:val="none" w:color="000000" w:sz="4"/>
                    <w:left w:val="single" w:color="000000" w:sz="4"/>
                    <w:bottom w:val="single" w:color="000000" w:sz="4"/>
                    <w:right w:val="single" w:color="000000" w:sz="4"/>
                  </w:tcBorders>
                </w:tcPr>
                <w:p/>
              </w:tc>
              <w:tc>
                <w:tcPr>
                  <w:tcW w:type="dxa" w:w="1019"/>
                  <w:vMerge/>
                  <w:tcBorders>
                    <w:top w:val="none" w:color="000000" w:sz="4"/>
                    <w:left w:val="single" w:color="000000" w:sz="4"/>
                    <w:bottom w:val="single" w:color="000000" w:sz="4"/>
                    <w:right w:val="single" w:color="000000" w:sz="4"/>
                  </w:tcBorders>
                </w:tcPr>
                <w:p/>
              </w:tc>
              <w:tc>
                <w:tcPr>
                  <w:tcW w:type="dxa" w:w="2039"/>
                  <w:tcBorders>
                    <w:top w:val="none" w:color="000000" w:sz="4"/>
                    <w:left w:val="single" w:color="000000" w:sz="4"/>
                    <w:bottom w:val="single" w:color="000000" w:sz="4"/>
                    <w:right w:val="single" w:color="000000" w:sz="4"/>
                  </w:tcBorders>
                  <w:vAlign w:val="top"/>
                </w:tcPr>
                <w:p>
                  <w:r>
                    <w:rPr>
                      <w:sz w:val="22"/>
                    </w:rPr>
                    <w:t>辅泵：</w:t>
                  </w:r>
                  <w:r>
                    <w:rPr>
                      <w:sz w:val="22"/>
                    </w:rPr>
                    <w:t>Q=10m³/h，H=56m，N=4kW/台</w:t>
                  </w:r>
                </w:p>
              </w:tc>
              <w:tc>
                <w:tcPr>
                  <w:tcW w:type="dxa" w:w="637"/>
                  <w:tcBorders>
                    <w:top w:val="none" w:color="000000" w:sz="4"/>
                    <w:left w:val="single" w:color="000000" w:sz="4"/>
                    <w:bottom w:val="single" w:color="000000" w:sz="4"/>
                    <w:right w:val="single" w:color="000000" w:sz="4"/>
                  </w:tcBorders>
                  <w:vAlign w:val="top"/>
                </w:tcPr>
                <w:p>
                  <w:pPr>
                    <w:jc w:val="center"/>
                  </w:pPr>
                  <w:r>
                    <w:rPr>
                      <w:sz w:val="22"/>
                    </w:rPr>
                    <w:t>1台</w:t>
                  </w:r>
                </w:p>
              </w:tc>
              <w:tc>
                <w:tcPr>
                  <w:tcW w:type="dxa" w:w="1356"/>
                  <w:tcBorders>
                    <w:top w:val="none" w:color="000000" w:sz="4"/>
                    <w:left w:val="single" w:color="000000" w:sz="4"/>
                    <w:bottom w:val="single" w:color="000000" w:sz="4"/>
                    <w:right w:val="single" w:color="000000" w:sz="4"/>
                  </w:tcBorders>
                  <w:vAlign w:val="top"/>
                </w:tcPr>
                <w:p>
                  <w:r>
                    <w:rPr>
                      <w:sz w:val="22"/>
                    </w:rPr>
                    <w:t>1用</w:t>
                  </w:r>
                </w:p>
              </w:tc>
            </w:tr>
            <w:tr>
              <w:tc>
                <w:tcPr>
                  <w:tcW w:type="dxa" w:w="521"/>
                  <w:vMerge/>
                  <w:tcBorders>
                    <w:top w:val="none" w:color="000000" w:sz="4"/>
                    <w:left w:val="single" w:color="000000" w:sz="4"/>
                    <w:bottom w:val="single" w:color="000000" w:sz="4"/>
                    <w:right w:val="single" w:color="000000" w:sz="4"/>
                  </w:tcBorders>
                </w:tcPr>
                <w:p/>
              </w:tc>
              <w:tc>
                <w:tcPr>
                  <w:tcW w:type="dxa" w:w="1019"/>
                  <w:vMerge/>
                  <w:tcBorders>
                    <w:top w:val="none" w:color="000000" w:sz="4"/>
                    <w:left w:val="single" w:color="000000" w:sz="4"/>
                    <w:bottom w:val="single" w:color="000000" w:sz="4"/>
                    <w:right w:val="single" w:color="000000" w:sz="4"/>
                  </w:tcBorders>
                </w:tcPr>
                <w:p/>
              </w:tc>
              <w:tc>
                <w:tcPr>
                  <w:tcW w:type="dxa" w:w="2039"/>
                  <w:tcBorders>
                    <w:top w:val="none" w:color="000000" w:sz="4"/>
                    <w:left w:val="single" w:color="000000" w:sz="4"/>
                    <w:bottom w:val="single" w:color="000000" w:sz="4"/>
                    <w:right w:val="single" w:color="000000" w:sz="4"/>
                  </w:tcBorders>
                  <w:vAlign w:val="top"/>
                </w:tcPr>
                <w:p>
                  <w:r>
                    <w:rPr>
                      <w:sz w:val="22"/>
                    </w:rPr>
                    <w:t>气压罐：</w:t>
                  </w:r>
                  <w:r>
                    <w:rPr>
                      <w:sz w:val="22"/>
                    </w:rPr>
                    <w:t>800*1.6MPA</w:t>
                  </w:r>
                </w:p>
              </w:tc>
              <w:tc>
                <w:tcPr>
                  <w:tcW w:type="dxa" w:w="637"/>
                  <w:tcBorders>
                    <w:top w:val="none" w:color="000000" w:sz="4"/>
                    <w:left w:val="single" w:color="000000" w:sz="4"/>
                    <w:bottom w:val="single" w:color="000000" w:sz="4"/>
                    <w:right w:val="single" w:color="000000" w:sz="4"/>
                  </w:tcBorders>
                  <w:vAlign w:val="top"/>
                </w:tcPr>
                <w:p>
                  <w:pPr>
                    <w:jc w:val="center"/>
                  </w:pPr>
                  <w:r>
                    <w:rPr>
                      <w:sz w:val="22"/>
                    </w:rPr>
                    <w:t>1个</w:t>
                  </w:r>
                </w:p>
              </w:tc>
              <w:tc>
                <w:tcPr>
                  <w:tcW w:type="dxa" w:w="1356"/>
                  <w:tcBorders>
                    <w:top w:val="none" w:color="000000" w:sz="4"/>
                    <w:left w:val="single" w:color="000000" w:sz="4"/>
                    <w:bottom w:val="single" w:color="000000" w:sz="4"/>
                    <w:right w:val="single" w:color="000000" w:sz="4"/>
                  </w:tcBorders>
                  <w:vAlign w:val="top"/>
                </w:tcPr>
                <w:p>
                  <w:r>
                    <w:rPr>
                      <w:sz w:val="22"/>
                    </w:rPr>
                    <w:t>配套隔膜气压罐</w:t>
                  </w:r>
                </w:p>
              </w:tc>
            </w:tr>
            <w:tr>
              <w:tc>
                <w:tcPr>
                  <w:tcW w:type="dxa" w:w="521"/>
                  <w:vMerge w:val="restart"/>
                  <w:tcBorders>
                    <w:top w:val="none" w:color="000000" w:sz="4"/>
                    <w:left w:val="single" w:color="000000" w:sz="4"/>
                    <w:bottom w:val="single" w:color="000000" w:sz="4"/>
                    <w:right w:val="single" w:color="000000" w:sz="4"/>
                  </w:tcBorders>
                  <w:vAlign w:val="top"/>
                </w:tcPr>
                <w:p>
                  <w:pPr>
                    <w:jc w:val="center"/>
                  </w:pPr>
                  <w:r>
                    <w:rPr>
                      <w:sz w:val="22"/>
                    </w:rPr>
                    <w:t>2</w:t>
                  </w:r>
                </w:p>
              </w:tc>
              <w:tc>
                <w:tcPr>
                  <w:tcW w:type="dxa" w:w="1019"/>
                  <w:vMerge w:val="restart"/>
                  <w:tcBorders>
                    <w:top w:val="none" w:color="000000" w:sz="4"/>
                    <w:left w:val="single" w:color="000000" w:sz="4"/>
                    <w:bottom w:val="single" w:color="000000" w:sz="4"/>
                    <w:right w:val="single" w:color="000000" w:sz="4"/>
                  </w:tcBorders>
                  <w:vAlign w:val="top"/>
                </w:tcPr>
                <w:p>
                  <w:pPr>
                    <w:jc w:val="center"/>
                  </w:pPr>
                  <w:r>
                    <w:rPr>
                      <w:sz w:val="22"/>
                    </w:rPr>
                    <w:t>给水变频泵组（高区</w:t>
                  </w:r>
                  <w:r>
                    <w:rPr>
                      <w:sz w:val="22"/>
                    </w:rPr>
                    <w:t>6F-12F）</w:t>
                  </w:r>
                </w:p>
              </w:tc>
              <w:tc>
                <w:tcPr>
                  <w:tcW w:type="dxa" w:w="2039"/>
                  <w:tcBorders>
                    <w:top w:val="none" w:color="000000" w:sz="4"/>
                    <w:left w:val="single" w:color="000000" w:sz="4"/>
                    <w:bottom w:val="single" w:color="000000" w:sz="4"/>
                    <w:right w:val="single" w:color="000000" w:sz="4"/>
                  </w:tcBorders>
                  <w:vAlign w:val="top"/>
                </w:tcPr>
                <w:p>
                  <w:r>
                    <w:rPr>
                      <w:sz w:val="22"/>
                    </w:rPr>
                    <w:t>泵组：</w:t>
                  </w:r>
                  <w:r>
                    <w:rPr>
                      <w:sz w:val="22"/>
                    </w:rPr>
                    <w:t>Q=44m³/h，H=85m</w:t>
                  </w:r>
                </w:p>
              </w:tc>
              <w:tc>
                <w:tcPr>
                  <w:tcW w:type="dxa" w:w="637"/>
                  <w:tcBorders>
                    <w:top w:val="none" w:color="000000" w:sz="4"/>
                    <w:left w:val="single" w:color="000000" w:sz="4"/>
                    <w:bottom w:val="single" w:color="000000" w:sz="4"/>
                    <w:right w:val="single" w:color="000000" w:sz="4"/>
                  </w:tcBorders>
                  <w:vAlign w:val="top"/>
                </w:tcPr>
                <w:p>
                  <w:pPr>
                    <w:jc w:val="center"/>
                  </w:pPr>
                  <w:r>
                    <w:rPr>
                      <w:sz w:val="22"/>
                    </w:rPr>
                    <w:t>1组</w:t>
                  </w:r>
                </w:p>
              </w:tc>
              <w:tc>
                <w:tcPr>
                  <w:tcW w:type="dxa" w:w="1356"/>
                  <w:tcBorders>
                    <w:top w:val="none" w:color="000000" w:sz="4"/>
                    <w:left w:val="single" w:color="000000" w:sz="4"/>
                    <w:bottom w:val="single" w:color="000000" w:sz="4"/>
                    <w:right w:val="single" w:color="000000" w:sz="4"/>
                  </w:tcBorders>
                  <w:vAlign w:val="top"/>
                </w:tcPr>
                <w:p>
                  <w:r>
                    <w:rPr>
                      <w:sz w:val="22"/>
                    </w:rPr>
                    <w:t>配套变频柜，一拖一变频，采用</w:t>
                  </w:r>
                  <w:r>
                    <w:rPr>
                      <w:sz w:val="22"/>
                    </w:rPr>
                    <w:t>高质量</w:t>
                  </w:r>
                  <w:r>
                    <w:rPr>
                      <w:sz w:val="22"/>
                    </w:rPr>
                    <w:t>变频器、</w:t>
                  </w:r>
                  <w:r>
                    <w:rPr>
                      <w:sz w:val="22"/>
                    </w:rPr>
                    <w:t>PLC、电气元器件</w:t>
                  </w:r>
                  <w:r>
                    <w:rPr>
                      <w:sz w:val="22"/>
                    </w:rPr>
                    <w:t>产品。</w:t>
                  </w:r>
                </w:p>
              </w:tc>
            </w:tr>
            <w:tr>
              <w:tc>
                <w:tcPr>
                  <w:tcW w:type="dxa" w:w="521"/>
                  <w:vMerge/>
                  <w:tcBorders>
                    <w:top w:val="none" w:color="000000" w:sz="4"/>
                    <w:left w:val="single" w:color="000000" w:sz="4"/>
                    <w:bottom w:val="single" w:color="000000" w:sz="4"/>
                    <w:right w:val="single" w:color="000000" w:sz="4"/>
                  </w:tcBorders>
                </w:tcPr>
                <w:p/>
              </w:tc>
              <w:tc>
                <w:tcPr>
                  <w:tcW w:type="dxa" w:w="1019"/>
                  <w:vMerge/>
                  <w:tcBorders>
                    <w:top w:val="none" w:color="000000" w:sz="4"/>
                    <w:left w:val="single" w:color="000000" w:sz="4"/>
                    <w:bottom w:val="single" w:color="000000" w:sz="4"/>
                    <w:right w:val="single" w:color="000000" w:sz="4"/>
                  </w:tcBorders>
                </w:tcPr>
                <w:p/>
              </w:tc>
              <w:tc>
                <w:tcPr>
                  <w:tcW w:type="dxa" w:w="2039"/>
                  <w:tcBorders>
                    <w:top w:val="none" w:color="000000" w:sz="4"/>
                    <w:left w:val="single" w:color="000000" w:sz="4"/>
                    <w:bottom w:val="single" w:color="000000" w:sz="4"/>
                    <w:right w:val="single" w:color="000000" w:sz="4"/>
                  </w:tcBorders>
                  <w:vAlign w:val="top"/>
                </w:tcPr>
                <w:p>
                  <w:r>
                    <w:rPr>
                      <w:sz w:val="22"/>
                    </w:rPr>
                    <w:t>主泵：</w:t>
                  </w:r>
                  <w:r>
                    <w:rPr>
                      <w:sz w:val="22"/>
                    </w:rPr>
                    <w:t>Q=22m³/h，H=85m，N=11kW台</w:t>
                  </w:r>
                </w:p>
              </w:tc>
              <w:tc>
                <w:tcPr>
                  <w:tcW w:type="dxa" w:w="637"/>
                  <w:tcBorders>
                    <w:top w:val="none" w:color="000000" w:sz="4"/>
                    <w:left w:val="single" w:color="000000" w:sz="4"/>
                    <w:bottom w:val="single" w:color="000000" w:sz="4"/>
                    <w:right w:val="single" w:color="000000" w:sz="4"/>
                  </w:tcBorders>
                  <w:vAlign w:val="top"/>
                </w:tcPr>
                <w:p>
                  <w:pPr>
                    <w:jc w:val="center"/>
                  </w:pPr>
                  <w:r>
                    <w:rPr>
                      <w:sz w:val="22"/>
                    </w:rPr>
                    <w:t>3台</w:t>
                  </w:r>
                </w:p>
              </w:tc>
              <w:tc>
                <w:tcPr>
                  <w:tcW w:type="dxa" w:w="1356"/>
                  <w:tcBorders>
                    <w:top w:val="none" w:color="000000" w:sz="4"/>
                    <w:left w:val="single" w:color="000000" w:sz="4"/>
                    <w:bottom w:val="single" w:color="000000" w:sz="4"/>
                    <w:right w:val="single" w:color="000000" w:sz="4"/>
                  </w:tcBorders>
                  <w:vAlign w:val="top"/>
                </w:tcPr>
                <w:p>
                  <w:r>
                    <w:rPr>
                      <w:sz w:val="22"/>
                    </w:rPr>
                    <w:t>2用1备</w:t>
                  </w:r>
                </w:p>
              </w:tc>
            </w:tr>
            <w:tr>
              <w:tc>
                <w:tcPr>
                  <w:tcW w:type="dxa" w:w="521"/>
                  <w:vMerge/>
                  <w:tcBorders>
                    <w:top w:val="none" w:color="000000" w:sz="4"/>
                    <w:left w:val="single" w:color="000000" w:sz="4"/>
                    <w:bottom w:val="single" w:color="000000" w:sz="4"/>
                    <w:right w:val="single" w:color="000000" w:sz="4"/>
                  </w:tcBorders>
                </w:tcPr>
                <w:p/>
              </w:tc>
              <w:tc>
                <w:tcPr>
                  <w:tcW w:type="dxa" w:w="1019"/>
                  <w:vMerge/>
                  <w:tcBorders>
                    <w:top w:val="none" w:color="000000" w:sz="4"/>
                    <w:left w:val="single" w:color="000000" w:sz="4"/>
                    <w:bottom w:val="single" w:color="000000" w:sz="4"/>
                    <w:right w:val="single" w:color="000000" w:sz="4"/>
                  </w:tcBorders>
                </w:tcPr>
                <w:p/>
              </w:tc>
              <w:tc>
                <w:tcPr>
                  <w:tcW w:type="dxa" w:w="2039"/>
                  <w:tcBorders>
                    <w:top w:val="none" w:color="000000" w:sz="4"/>
                    <w:left w:val="single" w:color="000000" w:sz="4"/>
                    <w:bottom w:val="single" w:color="000000" w:sz="4"/>
                    <w:right w:val="single" w:color="000000" w:sz="4"/>
                  </w:tcBorders>
                  <w:vAlign w:val="top"/>
                </w:tcPr>
                <w:p>
                  <w:r>
                    <w:rPr>
                      <w:sz w:val="22"/>
                    </w:rPr>
                    <w:t>辅泵：</w:t>
                  </w:r>
                  <w:r>
                    <w:rPr>
                      <w:sz w:val="22"/>
                    </w:rPr>
                    <w:t>Q=8m³/h，H=85m，N=5.5kW台</w:t>
                  </w:r>
                </w:p>
              </w:tc>
              <w:tc>
                <w:tcPr>
                  <w:tcW w:type="dxa" w:w="637"/>
                  <w:tcBorders>
                    <w:top w:val="none" w:color="000000" w:sz="4"/>
                    <w:left w:val="single" w:color="000000" w:sz="4"/>
                    <w:bottom w:val="single" w:color="000000" w:sz="4"/>
                    <w:right w:val="single" w:color="000000" w:sz="4"/>
                  </w:tcBorders>
                  <w:vAlign w:val="top"/>
                </w:tcPr>
                <w:p>
                  <w:pPr>
                    <w:jc w:val="center"/>
                  </w:pPr>
                  <w:r>
                    <w:rPr>
                      <w:sz w:val="22"/>
                    </w:rPr>
                    <w:t>1台</w:t>
                  </w:r>
                </w:p>
              </w:tc>
              <w:tc>
                <w:tcPr>
                  <w:tcW w:type="dxa" w:w="1356"/>
                  <w:tcBorders>
                    <w:top w:val="none" w:color="000000" w:sz="4"/>
                    <w:left w:val="single" w:color="000000" w:sz="4"/>
                    <w:bottom w:val="single" w:color="000000" w:sz="4"/>
                    <w:right w:val="single" w:color="000000" w:sz="4"/>
                  </w:tcBorders>
                  <w:vAlign w:val="top"/>
                </w:tcPr>
                <w:p>
                  <w:r>
                    <w:rPr>
                      <w:sz w:val="22"/>
                    </w:rPr>
                    <w:t>1用</w:t>
                  </w:r>
                </w:p>
              </w:tc>
            </w:tr>
            <w:tr>
              <w:tc>
                <w:tcPr>
                  <w:tcW w:type="dxa" w:w="521"/>
                  <w:vMerge/>
                  <w:tcBorders>
                    <w:top w:val="none" w:color="000000" w:sz="4"/>
                    <w:left w:val="single" w:color="000000" w:sz="4"/>
                    <w:bottom w:val="single" w:color="000000" w:sz="4"/>
                    <w:right w:val="single" w:color="000000" w:sz="4"/>
                  </w:tcBorders>
                </w:tcPr>
                <w:p/>
              </w:tc>
              <w:tc>
                <w:tcPr>
                  <w:tcW w:type="dxa" w:w="1019"/>
                  <w:vMerge/>
                  <w:tcBorders>
                    <w:top w:val="none" w:color="000000" w:sz="4"/>
                    <w:left w:val="single" w:color="000000" w:sz="4"/>
                    <w:bottom w:val="single" w:color="000000" w:sz="4"/>
                    <w:right w:val="single" w:color="000000" w:sz="4"/>
                  </w:tcBorders>
                </w:tcPr>
                <w:p/>
              </w:tc>
              <w:tc>
                <w:tcPr>
                  <w:tcW w:type="dxa" w:w="2039"/>
                  <w:tcBorders>
                    <w:top w:val="none" w:color="000000" w:sz="4"/>
                    <w:left w:val="single" w:color="000000" w:sz="4"/>
                    <w:bottom w:val="single" w:color="000000" w:sz="4"/>
                    <w:right w:val="single" w:color="000000" w:sz="4"/>
                  </w:tcBorders>
                  <w:vAlign w:val="top"/>
                </w:tcPr>
                <w:p>
                  <w:r>
                    <w:rPr>
                      <w:sz w:val="22"/>
                    </w:rPr>
                    <w:t>气压罐：</w:t>
                  </w:r>
                  <w:r>
                    <w:rPr>
                      <w:sz w:val="22"/>
                    </w:rPr>
                    <w:t>800*1.6MPA</w:t>
                  </w:r>
                </w:p>
              </w:tc>
              <w:tc>
                <w:tcPr>
                  <w:tcW w:type="dxa" w:w="637"/>
                  <w:tcBorders>
                    <w:top w:val="none" w:color="000000" w:sz="4"/>
                    <w:left w:val="single" w:color="000000" w:sz="4"/>
                    <w:bottom w:val="single" w:color="000000" w:sz="4"/>
                    <w:right w:val="single" w:color="000000" w:sz="4"/>
                  </w:tcBorders>
                  <w:vAlign w:val="top"/>
                </w:tcPr>
                <w:p>
                  <w:pPr>
                    <w:jc w:val="center"/>
                  </w:pPr>
                  <w:r>
                    <w:rPr>
                      <w:sz w:val="22"/>
                    </w:rPr>
                    <w:t>1个</w:t>
                  </w:r>
                </w:p>
              </w:tc>
              <w:tc>
                <w:tcPr>
                  <w:tcW w:type="dxa" w:w="1356"/>
                  <w:tcBorders>
                    <w:top w:val="none" w:color="000000" w:sz="4"/>
                    <w:left w:val="single" w:color="000000" w:sz="4"/>
                    <w:bottom w:val="single" w:color="000000" w:sz="4"/>
                    <w:right w:val="single" w:color="000000" w:sz="4"/>
                  </w:tcBorders>
                  <w:vAlign w:val="top"/>
                </w:tcPr>
                <w:p>
                  <w:r>
                    <w:rPr>
                      <w:sz w:val="22"/>
                    </w:rPr>
                    <w:t>配套隔膜气压罐</w:t>
                  </w:r>
                </w:p>
              </w:tc>
            </w:tr>
            <w:tr>
              <w:tc>
                <w:tcPr>
                  <w:tcW w:type="dxa" w:w="521"/>
                  <w:vMerge w:val="restart"/>
                  <w:tcBorders>
                    <w:top w:val="none" w:color="000000" w:sz="4"/>
                    <w:left w:val="single" w:color="000000" w:sz="4"/>
                    <w:bottom w:val="single" w:color="000000" w:sz="4"/>
                    <w:right w:val="single" w:color="000000" w:sz="4"/>
                  </w:tcBorders>
                  <w:vAlign w:val="top"/>
                </w:tcPr>
                <w:p>
                  <w:pPr>
                    <w:jc w:val="center"/>
                  </w:pPr>
                  <w:r>
                    <w:rPr>
                      <w:sz w:val="22"/>
                    </w:rPr>
                    <w:t>3</w:t>
                  </w:r>
                </w:p>
              </w:tc>
              <w:tc>
                <w:tcPr>
                  <w:tcW w:type="dxa" w:w="1019"/>
                  <w:vMerge w:val="restart"/>
                  <w:tcBorders>
                    <w:top w:val="none" w:color="000000" w:sz="4"/>
                    <w:left w:val="single" w:color="000000" w:sz="4"/>
                    <w:bottom w:val="single" w:color="000000" w:sz="4"/>
                    <w:right w:val="single" w:color="000000" w:sz="4"/>
                  </w:tcBorders>
                  <w:vAlign w:val="top"/>
                </w:tcPr>
                <w:p>
                  <w:pPr>
                    <w:jc w:val="center"/>
                  </w:pPr>
                  <w:r>
                    <w:rPr>
                      <w:sz w:val="22"/>
                    </w:rPr>
                    <w:t>生活给水水箱</w:t>
                  </w:r>
                </w:p>
              </w:tc>
              <w:tc>
                <w:tcPr>
                  <w:tcW w:type="dxa" w:w="2039"/>
                  <w:tcBorders>
                    <w:top w:val="none" w:color="000000" w:sz="4"/>
                    <w:left w:val="single" w:color="000000" w:sz="4"/>
                    <w:bottom w:val="single" w:color="000000" w:sz="4"/>
                    <w:right w:val="single" w:color="000000" w:sz="4"/>
                  </w:tcBorders>
                  <w:vAlign w:val="top"/>
                </w:tcPr>
                <w:p>
                  <w:r>
                    <w:rPr>
                      <w:sz w:val="22"/>
                    </w:rPr>
                    <w:t>有效容积</w:t>
                  </w:r>
                  <w:r>
                    <w:rPr>
                      <w:sz w:val="22"/>
                    </w:rPr>
                    <w:t>60立方米，SUS304不锈钢或以上材质，尺寸约：8.0m（长）*5.0m（宽）*2.5m（高），底板3mm，侧一2.5mm，侧二2.0mm，侧三2.0mm，顶板1.5mm及人孔1.5mm</w:t>
                  </w:r>
                </w:p>
              </w:tc>
              <w:tc>
                <w:tcPr>
                  <w:tcW w:type="dxa" w:w="637"/>
                  <w:tcBorders>
                    <w:top w:val="none" w:color="000000" w:sz="4"/>
                    <w:left w:val="single" w:color="000000" w:sz="4"/>
                    <w:bottom w:val="single" w:color="000000" w:sz="4"/>
                    <w:right w:val="single" w:color="000000" w:sz="4"/>
                  </w:tcBorders>
                  <w:vAlign w:val="top"/>
                </w:tcPr>
                <w:p>
                  <w:pPr>
                    <w:jc w:val="center"/>
                  </w:pPr>
                  <w:r>
                    <w:rPr>
                      <w:sz w:val="22"/>
                    </w:rPr>
                    <w:t>1个</w:t>
                  </w:r>
                </w:p>
              </w:tc>
              <w:tc>
                <w:tcPr>
                  <w:tcW w:type="dxa" w:w="1356"/>
                  <w:tcBorders>
                    <w:top w:val="none" w:color="000000" w:sz="4"/>
                    <w:left w:val="single" w:color="000000" w:sz="4"/>
                    <w:bottom w:val="single" w:color="000000" w:sz="4"/>
                    <w:right w:val="single" w:color="000000" w:sz="4"/>
                  </w:tcBorders>
                  <w:vAlign w:val="top"/>
                </w:tcPr>
                <w:p>
                  <w:r>
                    <w:rPr>
                      <w:sz w:val="22"/>
                    </w:rPr>
                    <w:t>有效水深</w:t>
                  </w:r>
                  <w:r>
                    <w:rPr>
                      <w:sz w:val="22"/>
                    </w:rPr>
                    <w:t>1.6M</w:t>
                  </w:r>
                </w:p>
              </w:tc>
            </w:tr>
            <w:tr>
              <w:tc>
                <w:tcPr>
                  <w:tcW w:type="dxa" w:w="521"/>
                  <w:vMerge/>
                  <w:tcBorders>
                    <w:top w:val="none" w:color="000000" w:sz="4"/>
                    <w:left w:val="single" w:color="000000" w:sz="4"/>
                    <w:bottom w:val="single" w:color="000000" w:sz="4"/>
                    <w:right w:val="single" w:color="000000" w:sz="4"/>
                  </w:tcBorders>
                </w:tcPr>
                <w:p/>
              </w:tc>
              <w:tc>
                <w:tcPr>
                  <w:tcW w:type="dxa" w:w="1019"/>
                  <w:vMerge/>
                  <w:tcBorders>
                    <w:top w:val="none" w:color="000000" w:sz="4"/>
                    <w:left w:val="single" w:color="000000" w:sz="4"/>
                    <w:bottom w:val="single" w:color="000000" w:sz="4"/>
                    <w:right w:val="single" w:color="000000" w:sz="4"/>
                  </w:tcBorders>
                </w:tcPr>
                <w:p/>
              </w:tc>
              <w:tc>
                <w:tcPr>
                  <w:tcW w:type="dxa" w:w="2039"/>
                  <w:tcBorders>
                    <w:top w:val="none" w:color="000000" w:sz="4"/>
                    <w:left w:val="single" w:color="000000" w:sz="4"/>
                    <w:bottom w:val="single" w:color="000000" w:sz="4"/>
                    <w:right w:val="single" w:color="000000" w:sz="4"/>
                  </w:tcBorders>
                  <w:vAlign w:val="top"/>
                </w:tcPr>
                <w:p>
                  <w:r>
                    <w:rPr>
                      <w:sz w:val="22"/>
                    </w:rPr>
                    <w:t>有效容积</w:t>
                  </w:r>
                  <w:r>
                    <w:rPr>
                      <w:sz w:val="22"/>
                    </w:rPr>
                    <w:t>60立方米，SUS304不锈钢或以上材质，尺寸约：8.0m（长）*5.0m（宽）*2.5m（高），底板3mm，侧一2.5mm，侧二2.0mm，侧三2.0mm，顶板1.5mm及人孔1.5mm</w:t>
                  </w:r>
                </w:p>
              </w:tc>
              <w:tc>
                <w:tcPr>
                  <w:tcW w:type="dxa" w:w="637"/>
                  <w:tcBorders>
                    <w:top w:val="none" w:color="000000" w:sz="4"/>
                    <w:left w:val="single" w:color="000000" w:sz="4"/>
                    <w:bottom w:val="single" w:color="000000" w:sz="4"/>
                    <w:right w:val="single" w:color="000000" w:sz="4"/>
                  </w:tcBorders>
                  <w:vAlign w:val="top"/>
                </w:tcPr>
                <w:p>
                  <w:pPr>
                    <w:jc w:val="center"/>
                  </w:pPr>
                  <w:r>
                    <w:rPr>
                      <w:sz w:val="22"/>
                    </w:rPr>
                    <w:t>1个</w:t>
                  </w:r>
                </w:p>
              </w:tc>
              <w:tc>
                <w:tcPr>
                  <w:tcW w:type="dxa" w:w="1356"/>
                  <w:tcBorders>
                    <w:top w:val="none" w:color="000000" w:sz="4"/>
                    <w:left w:val="single" w:color="000000" w:sz="4"/>
                    <w:bottom w:val="single" w:color="000000" w:sz="4"/>
                    <w:right w:val="single" w:color="000000" w:sz="4"/>
                  </w:tcBorders>
                  <w:vAlign w:val="top"/>
                </w:tcPr>
                <w:p>
                  <w:r>
                    <w:rPr>
                      <w:sz w:val="22"/>
                    </w:rPr>
                    <w:t>有效水深</w:t>
                  </w:r>
                  <w:r>
                    <w:rPr>
                      <w:sz w:val="22"/>
                    </w:rPr>
                    <w:t>1.6M</w:t>
                  </w:r>
                </w:p>
              </w:tc>
            </w:tr>
            <w:tr>
              <w:tc>
                <w:tcPr>
                  <w:tcW w:type="dxa" w:w="521"/>
                  <w:tcBorders>
                    <w:top w:val="none" w:color="000000" w:sz="4"/>
                    <w:left w:val="single" w:color="000000" w:sz="4"/>
                    <w:bottom w:val="single" w:color="000000" w:sz="4"/>
                    <w:right w:val="single" w:color="000000" w:sz="4"/>
                  </w:tcBorders>
                  <w:vAlign w:val="top"/>
                </w:tcPr>
                <w:p>
                  <w:pPr>
                    <w:jc w:val="center"/>
                  </w:pPr>
                  <w:r>
                    <w:rPr>
                      <w:sz w:val="22"/>
                    </w:rPr>
                    <w:t>4</w:t>
                  </w:r>
                </w:p>
              </w:tc>
              <w:tc>
                <w:tcPr>
                  <w:tcW w:type="dxa" w:w="1019"/>
                  <w:tcBorders>
                    <w:top w:val="none" w:color="000000" w:sz="4"/>
                    <w:left w:val="single" w:color="000000" w:sz="4"/>
                    <w:bottom w:val="single" w:color="000000" w:sz="4"/>
                    <w:right w:val="single" w:color="000000" w:sz="4"/>
                  </w:tcBorders>
                  <w:vAlign w:val="top"/>
                </w:tcPr>
                <w:p>
                  <w:pPr>
                    <w:jc w:val="center"/>
                  </w:pPr>
                  <w:r>
                    <w:rPr>
                      <w:sz w:val="22"/>
                    </w:rPr>
                    <w:t>配套的管道阀门及管件</w:t>
                  </w:r>
                </w:p>
              </w:tc>
              <w:tc>
                <w:tcPr>
                  <w:tcW w:type="dxa" w:w="2039"/>
                  <w:tcBorders>
                    <w:top w:val="none" w:color="000000" w:sz="4"/>
                    <w:left w:val="single" w:color="000000" w:sz="4"/>
                    <w:bottom w:val="single" w:color="000000" w:sz="4"/>
                    <w:right w:val="single" w:color="000000" w:sz="4"/>
                  </w:tcBorders>
                  <w:vAlign w:val="top"/>
                </w:tcPr>
                <w:p>
                  <w:r>
                    <w:rPr>
                      <w:sz w:val="22"/>
                    </w:rPr>
                    <w:t>配套供水设备和水箱关联的管道、阀门、管件、水锤吸纳器等</w:t>
                  </w:r>
                </w:p>
              </w:tc>
              <w:tc>
                <w:tcPr>
                  <w:tcW w:type="dxa" w:w="637"/>
                  <w:tcBorders>
                    <w:top w:val="none" w:color="000000" w:sz="4"/>
                    <w:left w:val="single" w:color="000000" w:sz="4"/>
                    <w:bottom w:val="single" w:color="000000" w:sz="4"/>
                    <w:right w:val="single" w:color="000000" w:sz="4"/>
                  </w:tcBorders>
                  <w:vAlign w:val="top"/>
                </w:tcPr>
                <w:p>
                  <w:pPr>
                    <w:jc w:val="center"/>
                  </w:pPr>
                  <w:r>
                    <w:rPr>
                      <w:sz w:val="22"/>
                    </w:rPr>
                    <w:t>1批</w:t>
                  </w:r>
                </w:p>
              </w:tc>
              <w:tc>
                <w:tcPr>
                  <w:tcW w:type="dxa" w:w="1356"/>
                  <w:tcBorders>
                    <w:top w:val="none" w:color="000000" w:sz="4"/>
                    <w:left w:val="single" w:color="000000" w:sz="4"/>
                    <w:bottom w:val="single" w:color="000000" w:sz="4"/>
                    <w:right w:val="single" w:color="000000" w:sz="4"/>
                  </w:tcBorders>
                  <w:vAlign w:val="top"/>
                </w:tcPr>
                <w:p>
                  <w:r>
                    <w:rPr>
                      <w:sz w:val="22"/>
                    </w:rPr>
                    <w:t>自生活泵房市政进水管的水表组（不包含水表组）起，至二次加压泵组出水管在泵房外的法兰预留接口止。</w:t>
                  </w:r>
                </w:p>
              </w:tc>
            </w:tr>
            <w:tr>
              <w:tc>
                <w:tcPr>
                  <w:tcW w:type="dxa" w:w="521"/>
                  <w:tcBorders>
                    <w:top w:val="none" w:color="000000" w:sz="4"/>
                    <w:left w:val="single" w:color="000000" w:sz="4"/>
                    <w:bottom w:val="single" w:color="000000" w:sz="4"/>
                    <w:right w:val="single" w:color="000000" w:sz="4"/>
                  </w:tcBorders>
                  <w:vAlign w:val="top"/>
                </w:tcPr>
                <w:p>
                  <w:pPr>
                    <w:jc w:val="center"/>
                  </w:pPr>
                  <w:r>
                    <w:rPr>
                      <w:sz w:val="22"/>
                    </w:rPr>
                    <w:t>5</w:t>
                  </w:r>
                </w:p>
              </w:tc>
              <w:tc>
                <w:tcPr>
                  <w:tcW w:type="dxa" w:w="1019"/>
                  <w:tcBorders>
                    <w:top w:val="none" w:color="000000" w:sz="4"/>
                    <w:left w:val="single" w:color="000000" w:sz="4"/>
                    <w:bottom w:val="single" w:color="000000" w:sz="4"/>
                    <w:right w:val="single" w:color="000000" w:sz="4"/>
                  </w:tcBorders>
                  <w:vAlign w:val="top"/>
                </w:tcPr>
                <w:p>
                  <w:pPr>
                    <w:jc w:val="center"/>
                  </w:pPr>
                  <w:r>
                    <w:rPr>
                      <w:sz w:val="22"/>
                    </w:rPr>
                    <w:t>智慧水务系统</w:t>
                  </w:r>
                </w:p>
              </w:tc>
              <w:tc>
                <w:tcPr>
                  <w:tcW w:type="dxa" w:w="2039"/>
                  <w:tcBorders>
                    <w:top w:val="none" w:color="000000" w:sz="4"/>
                    <w:left w:val="single" w:color="000000" w:sz="4"/>
                    <w:bottom w:val="single" w:color="000000" w:sz="4"/>
                    <w:right w:val="single" w:color="000000" w:sz="4"/>
                  </w:tcBorders>
                  <w:vAlign w:val="top"/>
                </w:tcPr>
                <w:p>
                  <w:r>
                    <w:rPr>
                      <w:sz w:val="22"/>
                    </w:rPr>
                    <w:t>1.远程监控系统</w:t>
                  </w:r>
                </w:p>
                <w:p>
                  <w:r>
                    <w:rPr>
                      <w:sz w:val="22"/>
                    </w:rPr>
                    <w:t>2.视频监控系统</w:t>
                  </w:r>
                </w:p>
                <w:p>
                  <w:r>
                    <w:rPr>
                      <w:sz w:val="22"/>
                    </w:rPr>
                    <w:t>3.安防门禁系统</w:t>
                  </w:r>
                </w:p>
                <w:p>
                  <w:r>
                    <w:rPr>
                      <w:sz w:val="22"/>
                    </w:rPr>
                    <w:t>4.火灾报警系统</w:t>
                  </w:r>
                </w:p>
                <w:p>
                  <w:r>
                    <w:rPr>
                      <w:sz w:val="22"/>
                    </w:rPr>
                    <w:t>5.水质监测系统</w:t>
                  </w:r>
                </w:p>
                <w:p>
                  <w:r>
                    <w:rPr>
                      <w:sz w:val="22"/>
                    </w:rPr>
                    <w:t>6.通风除湿系统</w:t>
                  </w:r>
                </w:p>
              </w:tc>
              <w:tc>
                <w:tcPr>
                  <w:tcW w:type="dxa" w:w="637"/>
                  <w:tcBorders>
                    <w:top w:val="none" w:color="000000" w:sz="4"/>
                    <w:left w:val="single" w:color="000000" w:sz="4"/>
                    <w:bottom w:val="single" w:color="000000" w:sz="4"/>
                    <w:right w:val="single" w:color="000000" w:sz="4"/>
                  </w:tcBorders>
                  <w:vAlign w:val="top"/>
                </w:tcPr>
                <w:p>
                  <w:pPr>
                    <w:jc w:val="center"/>
                  </w:pPr>
                  <w:r>
                    <w:rPr>
                      <w:sz w:val="22"/>
                    </w:rPr>
                    <w:t>1套</w:t>
                  </w:r>
                </w:p>
              </w:tc>
              <w:tc>
                <w:tcPr>
                  <w:tcW w:type="dxa" w:w="1356"/>
                  <w:tcBorders>
                    <w:top w:val="none" w:color="000000" w:sz="4"/>
                    <w:left w:val="single" w:color="000000" w:sz="4"/>
                    <w:bottom w:val="single" w:color="000000" w:sz="4"/>
                    <w:right w:val="single" w:color="000000" w:sz="4"/>
                  </w:tcBorders>
                  <w:vAlign w:val="top"/>
                </w:tcPr>
                <w:p>
                  <w:r>
                    <w:rPr>
                      <w:sz w:val="22"/>
                    </w:rPr>
                    <w:t>含一套控制柜，实现数据采集与远传控制，数据可以无缝对接医院监控中心平台，实现快速响应和优化决策。</w:t>
                  </w:r>
                </w:p>
              </w:tc>
            </w:tr>
            <w:tr>
              <w:tc>
                <w:tcPr>
                  <w:tcW w:type="dxa" w:w="521"/>
                  <w:tcBorders>
                    <w:top w:val="none" w:color="000000" w:sz="4"/>
                    <w:left w:val="single" w:color="000000" w:sz="4"/>
                    <w:bottom w:val="single" w:color="000000" w:sz="4"/>
                    <w:right w:val="single" w:color="000000" w:sz="4"/>
                  </w:tcBorders>
                  <w:vAlign w:val="top"/>
                </w:tcPr>
                <w:p>
                  <w:pPr>
                    <w:jc w:val="center"/>
                  </w:pPr>
                  <w:r>
                    <w:rPr>
                      <w:sz w:val="22"/>
                    </w:rPr>
                    <w:t>6</w:t>
                  </w:r>
                </w:p>
              </w:tc>
              <w:tc>
                <w:tcPr>
                  <w:tcW w:type="dxa" w:w="1019"/>
                  <w:tcBorders>
                    <w:top w:val="none" w:color="000000" w:sz="4"/>
                    <w:left w:val="single" w:color="000000" w:sz="4"/>
                    <w:bottom w:val="single" w:color="000000" w:sz="4"/>
                    <w:right w:val="single" w:color="000000" w:sz="4"/>
                  </w:tcBorders>
                  <w:vAlign w:val="top"/>
                </w:tcPr>
                <w:p>
                  <w:pPr>
                    <w:jc w:val="center"/>
                  </w:pPr>
                  <w:r>
                    <w:rPr>
                      <w:sz w:val="22"/>
                    </w:rPr>
                    <w:t>紫外线消毒器</w:t>
                  </w:r>
                </w:p>
              </w:tc>
              <w:tc>
                <w:tcPr>
                  <w:tcW w:type="dxa" w:w="2039"/>
                  <w:tcBorders>
                    <w:top w:val="none" w:color="000000" w:sz="4"/>
                    <w:left w:val="single" w:color="000000" w:sz="4"/>
                    <w:bottom w:val="single" w:color="000000" w:sz="4"/>
                    <w:right w:val="single" w:color="000000" w:sz="4"/>
                  </w:tcBorders>
                  <w:vAlign w:val="top"/>
                </w:tcPr>
                <w:p>
                  <w:r>
                    <w:rPr>
                      <w:sz w:val="22"/>
                    </w:rPr>
                    <w:t>DN100,0.6MPA，0.5KW</w:t>
                  </w:r>
                </w:p>
              </w:tc>
              <w:tc>
                <w:tcPr>
                  <w:tcW w:type="dxa" w:w="637"/>
                  <w:tcBorders>
                    <w:top w:val="none" w:color="000000" w:sz="4"/>
                    <w:left w:val="single" w:color="000000" w:sz="4"/>
                    <w:bottom w:val="single" w:color="000000" w:sz="4"/>
                    <w:right w:val="single" w:color="000000" w:sz="4"/>
                  </w:tcBorders>
                  <w:vAlign w:val="top"/>
                </w:tcPr>
                <w:p>
                  <w:pPr>
                    <w:jc w:val="center"/>
                  </w:pPr>
                  <w:r>
                    <w:rPr>
                      <w:sz w:val="22"/>
                    </w:rPr>
                    <w:t>2个</w:t>
                  </w:r>
                </w:p>
              </w:tc>
              <w:tc>
                <w:tcPr>
                  <w:tcW w:type="dxa" w:w="1356"/>
                  <w:tcBorders>
                    <w:top w:val="none" w:color="000000" w:sz="4"/>
                    <w:left w:val="single" w:color="000000" w:sz="4"/>
                    <w:bottom w:val="single" w:color="000000" w:sz="4"/>
                    <w:right w:val="single" w:color="000000" w:sz="4"/>
                  </w:tcBorders>
                  <w:vAlign w:val="top"/>
                </w:tcPr>
                <w:p/>
              </w:tc>
            </w:tr>
            <w:tr>
              <w:tc>
                <w:tcPr>
                  <w:tcW w:type="dxa" w:w="521"/>
                  <w:tcBorders>
                    <w:top w:val="none" w:color="000000" w:sz="4"/>
                    <w:left w:val="single" w:color="000000" w:sz="4"/>
                    <w:bottom w:val="single" w:color="000000" w:sz="4"/>
                    <w:right w:val="single" w:color="000000" w:sz="4"/>
                  </w:tcBorders>
                  <w:vAlign w:val="top"/>
                </w:tcPr>
                <w:p>
                  <w:pPr>
                    <w:jc w:val="center"/>
                  </w:pPr>
                  <w:r>
                    <w:rPr>
                      <w:sz w:val="22"/>
                    </w:rPr>
                    <w:t>7</w:t>
                  </w:r>
                </w:p>
              </w:tc>
              <w:tc>
                <w:tcPr>
                  <w:tcW w:type="dxa" w:w="1019"/>
                  <w:tcBorders>
                    <w:top w:val="none" w:color="000000" w:sz="4"/>
                    <w:left w:val="single" w:color="000000" w:sz="4"/>
                    <w:bottom w:val="single" w:color="000000" w:sz="4"/>
                    <w:right w:val="single" w:color="000000" w:sz="4"/>
                  </w:tcBorders>
                  <w:vAlign w:val="top"/>
                </w:tcPr>
                <w:p>
                  <w:pPr>
                    <w:jc w:val="center"/>
                  </w:pPr>
                  <w:r>
                    <w:rPr>
                      <w:sz w:val="22"/>
                    </w:rPr>
                    <w:t>水箱臭氧自洁器</w:t>
                  </w:r>
                </w:p>
              </w:tc>
              <w:tc>
                <w:tcPr>
                  <w:tcW w:type="dxa" w:w="2039"/>
                  <w:tcBorders>
                    <w:top w:val="none" w:color="000000" w:sz="4"/>
                    <w:left w:val="single" w:color="000000" w:sz="4"/>
                    <w:bottom w:val="single" w:color="000000" w:sz="4"/>
                    <w:right w:val="single" w:color="000000" w:sz="4"/>
                  </w:tcBorders>
                  <w:vAlign w:val="top"/>
                </w:tcPr>
                <w:p>
                  <w:r>
                    <w:rPr>
                      <w:sz w:val="22"/>
                    </w:rPr>
                    <w:t>0.405KW</w:t>
                  </w:r>
                </w:p>
              </w:tc>
              <w:tc>
                <w:tcPr>
                  <w:tcW w:type="dxa" w:w="637"/>
                  <w:tcBorders>
                    <w:top w:val="none" w:color="000000" w:sz="4"/>
                    <w:left w:val="single" w:color="000000" w:sz="4"/>
                    <w:bottom w:val="single" w:color="000000" w:sz="4"/>
                    <w:right w:val="single" w:color="000000" w:sz="4"/>
                  </w:tcBorders>
                  <w:vAlign w:val="top"/>
                </w:tcPr>
                <w:p>
                  <w:pPr>
                    <w:jc w:val="center"/>
                  </w:pPr>
                  <w:r>
                    <w:rPr>
                      <w:sz w:val="22"/>
                    </w:rPr>
                    <w:t>4个</w:t>
                  </w:r>
                </w:p>
              </w:tc>
              <w:tc>
                <w:tcPr>
                  <w:tcW w:type="dxa" w:w="1356"/>
                  <w:tcBorders>
                    <w:top w:val="none" w:color="000000" w:sz="4"/>
                    <w:left w:val="single" w:color="000000" w:sz="4"/>
                    <w:bottom w:val="single" w:color="000000" w:sz="4"/>
                    <w:right w:val="single" w:color="000000" w:sz="4"/>
                  </w:tcBorders>
                  <w:vAlign w:val="top"/>
                </w:tcPr>
                <w:p>
                  <w:r>
                    <w:rPr>
                      <w:sz w:val="22"/>
                    </w:rPr>
                    <w:t>内置式</w:t>
                  </w:r>
                </w:p>
              </w:tc>
            </w:tr>
          </w:tbl>
          <w:p>
            <w:pPr>
              <w:jc w:val="both"/>
            </w:pPr>
            <w:r>
              <w:rPr>
                <w:sz w:val="22"/>
              </w:rPr>
              <w:t>二、地下室潜污泵（排水系统）主要材料性能要求</w:t>
            </w:r>
          </w:p>
          <w:tbl>
            <w:tblPr>
              <w:tblInd w:type="dxa" w:w="120"/>
              <w:tblBorders>
                <w:top w:val="none" w:color="000000" w:sz="4"/>
                <w:left w:val="none" w:color="000000" w:sz="4"/>
                <w:bottom w:val="none" w:color="000000" w:sz="4"/>
                <w:right w:val="none" w:color="000000" w:sz="4"/>
                <w:insideH w:val="none"/>
                <w:insideV w:val="none"/>
              </w:tblBorders>
            </w:tblPr>
            <w:tblGrid>
              <w:gridCol w:w="444"/>
              <w:gridCol w:w="1355"/>
              <w:gridCol w:w="1834"/>
              <w:gridCol w:w="712"/>
              <w:gridCol w:w="1227"/>
            </w:tblGrid>
            <w:tr>
              <w:tc>
                <w:tcPr>
                  <w:tcW w:type="dxa" w:w="44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355"/>
                  <w:tcBorders>
                    <w:top w:val="single" w:color="000000" w:sz="4"/>
                    <w:left w:val="single" w:color="000000" w:sz="4"/>
                    <w:bottom w:val="single" w:color="000000" w:sz="4"/>
                    <w:right w:val="single" w:color="000000" w:sz="4"/>
                  </w:tcBorders>
                  <w:vAlign w:val="top"/>
                </w:tcPr>
                <w:p>
                  <w:pPr>
                    <w:jc w:val="center"/>
                  </w:pPr>
                  <w:r>
                    <w:rPr>
                      <w:sz w:val="22"/>
                    </w:rPr>
                    <w:t>设备名称</w:t>
                  </w:r>
                </w:p>
              </w:tc>
              <w:tc>
                <w:tcPr>
                  <w:tcW w:type="dxa" w:w="1834"/>
                  <w:tcBorders>
                    <w:top w:val="single" w:color="000000" w:sz="4"/>
                    <w:left w:val="single" w:color="000000" w:sz="4"/>
                    <w:bottom w:val="single" w:color="000000" w:sz="4"/>
                    <w:right w:val="single" w:color="000000" w:sz="4"/>
                  </w:tcBorders>
                  <w:vAlign w:val="top"/>
                </w:tcPr>
                <w:p>
                  <w:pPr>
                    <w:jc w:val="center"/>
                  </w:pPr>
                  <w:r>
                    <w:rPr>
                      <w:sz w:val="22"/>
                    </w:rPr>
                    <w:t>规格型号</w:t>
                  </w:r>
                </w:p>
              </w:tc>
              <w:tc>
                <w:tcPr>
                  <w:tcW w:type="dxa" w:w="712"/>
                  <w:tcBorders>
                    <w:top w:val="single" w:color="000000" w:sz="4"/>
                    <w:left w:val="single" w:color="000000" w:sz="4"/>
                    <w:bottom w:val="single" w:color="000000" w:sz="4"/>
                    <w:right w:val="single" w:color="000000" w:sz="4"/>
                  </w:tcBorders>
                  <w:vAlign w:val="top"/>
                </w:tcPr>
                <w:p>
                  <w:pPr>
                    <w:jc w:val="center"/>
                  </w:pPr>
                  <w:r>
                    <w:rPr>
                      <w:sz w:val="22"/>
                    </w:rPr>
                    <w:t>数量</w:t>
                  </w:r>
                  <w:r>
                    <w:rPr>
                      <w:sz w:val="22"/>
                    </w:rPr>
                    <w:t>/单位</w:t>
                  </w:r>
                </w:p>
              </w:tc>
              <w:tc>
                <w:tcPr>
                  <w:tcW w:type="dxa" w:w="1227"/>
                  <w:tcBorders>
                    <w:top w:val="single" w:color="000000" w:sz="4"/>
                    <w:left w:val="single" w:color="000000" w:sz="4"/>
                    <w:bottom w:val="single" w:color="000000" w:sz="4"/>
                    <w:right w:val="single" w:color="000000" w:sz="4"/>
                  </w:tcBorders>
                  <w:vAlign w:val="top"/>
                </w:tcPr>
                <w:p>
                  <w:pPr>
                    <w:jc w:val="center"/>
                  </w:pPr>
                  <w:r>
                    <w:rPr>
                      <w:sz w:val="22"/>
                    </w:rPr>
                    <w:t>备注</w:t>
                  </w:r>
                </w:p>
              </w:tc>
            </w:tr>
            <w:tr>
              <w:tc>
                <w:tcPr>
                  <w:tcW w:type="dxa" w:w="444"/>
                  <w:vMerge w:val="restart"/>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355"/>
                  <w:tcBorders>
                    <w:top w:val="none" w:color="000000" w:sz="4"/>
                    <w:left w:val="single" w:color="000000" w:sz="4"/>
                    <w:bottom w:val="single" w:color="000000" w:sz="4"/>
                    <w:right w:val="single" w:color="000000" w:sz="4"/>
                  </w:tcBorders>
                  <w:vAlign w:val="top"/>
                </w:tcPr>
                <w:p>
                  <w:pPr>
                    <w:jc w:val="center"/>
                  </w:pPr>
                  <w:r>
                    <w:rPr>
                      <w:sz w:val="22"/>
                    </w:rPr>
                    <w:t>普通车库集水井排水泵（负一层）</w:t>
                  </w:r>
                </w:p>
              </w:tc>
              <w:tc>
                <w:tcPr>
                  <w:tcW w:type="dxa" w:w="1834"/>
                  <w:tcBorders>
                    <w:top w:val="none" w:color="000000" w:sz="4"/>
                    <w:left w:val="single" w:color="000000" w:sz="4"/>
                    <w:bottom w:val="single" w:color="000000" w:sz="4"/>
                    <w:right w:val="single" w:color="000000" w:sz="4"/>
                  </w:tcBorders>
                  <w:vAlign w:val="top"/>
                </w:tcPr>
                <w:p>
                  <w:r>
                    <w:rPr>
                      <w:sz w:val="22"/>
                    </w:rPr>
                    <w:t>流量：</w:t>
                  </w:r>
                  <w:r>
                    <w:rPr>
                      <w:sz w:val="22"/>
                    </w:rPr>
                    <w:t>Q=25m³/h；扬程：H=13m；功率：N=2.2kW</w:t>
                  </w:r>
                </w:p>
              </w:tc>
              <w:tc>
                <w:tcPr>
                  <w:tcW w:type="dxa" w:w="712"/>
                  <w:tcBorders>
                    <w:top w:val="none" w:color="000000" w:sz="4"/>
                    <w:left w:val="single" w:color="000000" w:sz="4"/>
                    <w:bottom w:val="single" w:color="000000" w:sz="4"/>
                    <w:right w:val="single" w:color="000000" w:sz="4"/>
                  </w:tcBorders>
                  <w:vAlign w:val="top"/>
                </w:tcPr>
                <w:p>
                  <w:pPr>
                    <w:jc w:val="center"/>
                  </w:pPr>
                  <w:r>
                    <w:rPr>
                      <w:sz w:val="22"/>
                    </w:rPr>
                    <w:t>1组</w:t>
                  </w:r>
                </w:p>
              </w:tc>
              <w:tc>
                <w:tcPr>
                  <w:tcW w:type="dxa" w:w="1227"/>
                  <w:tcBorders>
                    <w:top w:val="none" w:color="000000" w:sz="4"/>
                    <w:left w:val="single" w:color="000000" w:sz="4"/>
                    <w:bottom w:val="single" w:color="000000" w:sz="4"/>
                    <w:right w:val="single" w:color="000000" w:sz="4"/>
                  </w:tcBorders>
                  <w:vAlign w:val="top"/>
                </w:tcPr>
                <w:p>
                  <w:r>
                    <w:rPr>
                      <w:sz w:val="22"/>
                    </w:rPr>
                    <w:t>每</w:t>
                  </w:r>
                  <w:r>
                    <w:rPr>
                      <w:sz w:val="22"/>
                    </w:rPr>
                    <w:t>2台一组，互为备用，高水位双泵同启</w:t>
                  </w:r>
                </w:p>
              </w:tc>
            </w:tr>
            <w:tr>
              <w:tc>
                <w:tcPr>
                  <w:tcW w:type="dxa" w:w="444"/>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vAlign w:val="top"/>
                </w:tcPr>
                <w:p>
                  <w:pPr>
                    <w:jc w:val="center"/>
                  </w:pPr>
                  <w:r>
                    <w:rPr>
                      <w:sz w:val="22"/>
                    </w:rPr>
                    <w:t>潜污泵控制柜</w:t>
                  </w:r>
                </w:p>
              </w:tc>
              <w:tc>
                <w:tcPr>
                  <w:tcW w:type="dxa" w:w="1834"/>
                  <w:tcBorders>
                    <w:top w:val="none" w:color="000000" w:sz="4"/>
                    <w:left w:val="single" w:color="000000" w:sz="4"/>
                    <w:bottom w:val="single" w:color="000000" w:sz="4"/>
                    <w:right w:val="single" w:color="000000" w:sz="4"/>
                  </w:tcBorders>
                  <w:vAlign w:val="top"/>
                </w:tcPr>
                <w:p>
                  <w:r>
                    <w:rPr>
                      <w:sz w:val="22"/>
                    </w:rPr>
                    <w:t>控制方式：一控二，互备，高水位双泵同启，主备泵故障切换，交替运行，过载及超高水位报警</w:t>
                  </w:r>
                </w:p>
              </w:tc>
              <w:tc>
                <w:tcPr>
                  <w:tcW w:type="dxa" w:w="712"/>
                  <w:tcBorders>
                    <w:top w:val="none" w:color="000000" w:sz="4"/>
                    <w:left w:val="single" w:color="000000" w:sz="4"/>
                    <w:bottom w:val="single" w:color="000000" w:sz="4"/>
                    <w:right w:val="single" w:color="000000" w:sz="4"/>
                  </w:tcBorders>
                  <w:vAlign w:val="top"/>
                </w:tcPr>
                <w:p>
                  <w:pPr>
                    <w:jc w:val="center"/>
                  </w:pPr>
                  <w:r>
                    <w:rPr>
                      <w:sz w:val="22"/>
                    </w:rPr>
                    <w:t>3台</w:t>
                  </w:r>
                </w:p>
              </w:tc>
              <w:tc>
                <w:tcPr>
                  <w:tcW w:type="dxa" w:w="1227"/>
                  <w:tcBorders>
                    <w:top w:val="none" w:color="000000" w:sz="4"/>
                    <w:left w:val="single" w:color="000000" w:sz="4"/>
                    <w:bottom w:val="single" w:color="000000" w:sz="4"/>
                    <w:right w:val="single" w:color="000000" w:sz="4"/>
                  </w:tcBorders>
                  <w:vAlign w:val="top"/>
                </w:tcPr>
                <w:p>
                  <w:r>
                    <w:rPr>
                      <w:sz w:val="22"/>
                    </w:rPr>
                    <w:t>含两个浮球开关，采用高质量电气元器产品，带</w:t>
                  </w:r>
                  <w:r>
                    <w:rPr>
                      <w:sz w:val="22"/>
                    </w:rPr>
                    <w:t>BA接口</w:t>
                  </w:r>
                </w:p>
              </w:tc>
            </w:tr>
            <w:tr>
              <w:tc>
                <w:tcPr>
                  <w:tcW w:type="dxa" w:w="444"/>
                  <w:vMerge w:val="restart"/>
                  <w:tcBorders>
                    <w:top w:val="none" w:color="000000" w:sz="4"/>
                    <w:left w:val="single" w:color="000000" w:sz="4"/>
                    <w:bottom w:val="single" w:color="000000" w:sz="4"/>
                    <w:right w:val="single" w:color="000000" w:sz="4"/>
                  </w:tcBorders>
                  <w:vAlign w:val="top"/>
                </w:tcPr>
                <w:p>
                  <w:pPr>
                    <w:jc w:val="center"/>
                  </w:pPr>
                  <w:r>
                    <w:rPr>
                      <w:sz w:val="22"/>
                    </w:rPr>
                    <w:t>2</w:t>
                  </w:r>
                </w:p>
              </w:tc>
              <w:tc>
                <w:tcPr>
                  <w:tcW w:type="dxa" w:w="1355"/>
                  <w:tcBorders>
                    <w:top w:val="none" w:color="000000" w:sz="4"/>
                    <w:left w:val="single" w:color="000000" w:sz="4"/>
                    <w:bottom w:val="single" w:color="000000" w:sz="4"/>
                    <w:right w:val="single" w:color="000000" w:sz="4"/>
                  </w:tcBorders>
                  <w:vAlign w:val="top"/>
                </w:tcPr>
                <w:p>
                  <w:pPr>
                    <w:jc w:val="center"/>
                  </w:pPr>
                  <w:r>
                    <w:rPr>
                      <w:sz w:val="22"/>
                    </w:rPr>
                    <w:t>普通车库集水井排水泵（负二层）</w:t>
                  </w:r>
                </w:p>
              </w:tc>
              <w:tc>
                <w:tcPr>
                  <w:tcW w:type="dxa" w:w="1834"/>
                  <w:tcBorders>
                    <w:top w:val="none" w:color="000000" w:sz="4"/>
                    <w:left w:val="single" w:color="000000" w:sz="4"/>
                    <w:bottom w:val="single" w:color="000000" w:sz="4"/>
                    <w:right w:val="single" w:color="000000" w:sz="4"/>
                  </w:tcBorders>
                  <w:vAlign w:val="top"/>
                </w:tcPr>
                <w:p>
                  <w:r>
                    <w:rPr>
                      <w:sz w:val="22"/>
                    </w:rPr>
                    <w:t>流量：</w:t>
                  </w:r>
                  <w:r>
                    <w:rPr>
                      <w:sz w:val="22"/>
                    </w:rPr>
                    <w:t>Q=25m³/h；扬程：H=20m；功率：N=3.0kW</w:t>
                  </w:r>
                </w:p>
              </w:tc>
              <w:tc>
                <w:tcPr>
                  <w:tcW w:type="dxa" w:w="712"/>
                  <w:tcBorders>
                    <w:top w:val="none" w:color="000000" w:sz="4"/>
                    <w:left w:val="single" w:color="000000" w:sz="4"/>
                    <w:bottom w:val="single" w:color="000000" w:sz="4"/>
                    <w:right w:val="single" w:color="000000" w:sz="4"/>
                  </w:tcBorders>
                  <w:vAlign w:val="top"/>
                </w:tcPr>
                <w:p>
                  <w:pPr>
                    <w:jc w:val="center"/>
                  </w:pPr>
                  <w:r>
                    <w:rPr>
                      <w:sz w:val="22"/>
                    </w:rPr>
                    <w:t>1台</w:t>
                  </w:r>
                </w:p>
              </w:tc>
              <w:tc>
                <w:tcPr>
                  <w:tcW w:type="dxa" w:w="1227"/>
                  <w:tcBorders>
                    <w:top w:val="none" w:color="000000" w:sz="4"/>
                    <w:left w:val="single" w:color="000000" w:sz="4"/>
                    <w:bottom w:val="single" w:color="000000" w:sz="4"/>
                    <w:right w:val="single" w:color="000000" w:sz="4"/>
                  </w:tcBorders>
                  <w:vAlign w:val="top"/>
                </w:tcPr>
                <w:p>
                  <w:r>
                    <w:rPr>
                      <w:sz w:val="22"/>
                    </w:rPr>
                    <w:t>互为备用，高水位双泵同启</w:t>
                  </w:r>
                </w:p>
              </w:tc>
            </w:tr>
            <w:tr>
              <w:tc>
                <w:tcPr>
                  <w:tcW w:type="dxa" w:w="444"/>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vAlign w:val="top"/>
                </w:tcPr>
                <w:p>
                  <w:pPr>
                    <w:jc w:val="center"/>
                  </w:pPr>
                  <w:r>
                    <w:rPr>
                      <w:sz w:val="22"/>
                    </w:rPr>
                    <w:t>潜污泵控制柜</w:t>
                  </w:r>
                </w:p>
              </w:tc>
              <w:tc>
                <w:tcPr>
                  <w:tcW w:type="dxa" w:w="1834"/>
                  <w:tcBorders>
                    <w:top w:val="none" w:color="000000" w:sz="4"/>
                    <w:left w:val="single" w:color="000000" w:sz="4"/>
                    <w:bottom w:val="single" w:color="000000" w:sz="4"/>
                    <w:right w:val="single" w:color="000000" w:sz="4"/>
                  </w:tcBorders>
                  <w:vAlign w:val="top"/>
                </w:tcPr>
                <w:p>
                  <w:r>
                    <w:rPr>
                      <w:sz w:val="22"/>
                    </w:rPr>
                    <w:t>控制方式：一控二，互备，高水位双泵同启，主备泵故障切换，交替运行，过载及超高水位报警</w:t>
                  </w:r>
                </w:p>
              </w:tc>
              <w:tc>
                <w:tcPr>
                  <w:tcW w:type="dxa" w:w="712"/>
                  <w:tcBorders>
                    <w:top w:val="none" w:color="000000" w:sz="4"/>
                    <w:left w:val="single" w:color="000000" w:sz="4"/>
                    <w:bottom w:val="single" w:color="000000" w:sz="4"/>
                    <w:right w:val="single" w:color="000000" w:sz="4"/>
                  </w:tcBorders>
                  <w:vAlign w:val="top"/>
                </w:tcPr>
                <w:p>
                  <w:pPr>
                    <w:jc w:val="center"/>
                  </w:pPr>
                  <w:r>
                    <w:rPr>
                      <w:sz w:val="22"/>
                    </w:rPr>
                    <w:t>1个</w:t>
                  </w:r>
                </w:p>
              </w:tc>
              <w:tc>
                <w:tcPr>
                  <w:tcW w:type="dxa" w:w="1227"/>
                  <w:tcBorders>
                    <w:top w:val="none" w:color="000000" w:sz="4"/>
                    <w:left w:val="single" w:color="000000" w:sz="4"/>
                    <w:bottom w:val="single" w:color="000000" w:sz="4"/>
                    <w:right w:val="single" w:color="000000" w:sz="4"/>
                  </w:tcBorders>
                  <w:vAlign w:val="top"/>
                </w:tcPr>
                <w:p>
                  <w:r>
                    <w:rPr>
                      <w:sz w:val="22"/>
                    </w:rPr>
                    <w:t>含两个浮球开关，采用高质量电气元器产品，带</w:t>
                  </w:r>
                  <w:r>
                    <w:rPr>
                      <w:sz w:val="22"/>
                    </w:rPr>
                    <w:t>BA接口</w:t>
                  </w:r>
                </w:p>
              </w:tc>
            </w:tr>
            <w:tr>
              <w:tc>
                <w:tcPr>
                  <w:tcW w:type="dxa" w:w="444"/>
                  <w:vMerge w:val="restart"/>
                  <w:tcBorders>
                    <w:top w:val="none" w:color="000000" w:sz="4"/>
                    <w:left w:val="single" w:color="000000" w:sz="4"/>
                    <w:bottom w:val="single" w:color="000000" w:sz="4"/>
                    <w:right w:val="single" w:color="000000" w:sz="4"/>
                  </w:tcBorders>
                  <w:vAlign w:val="top"/>
                </w:tcPr>
                <w:p>
                  <w:pPr>
                    <w:jc w:val="center"/>
                  </w:pPr>
                  <w:r>
                    <w:rPr>
                      <w:sz w:val="22"/>
                    </w:rPr>
                    <w:t>3</w:t>
                  </w:r>
                </w:p>
              </w:tc>
              <w:tc>
                <w:tcPr>
                  <w:tcW w:type="dxa" w:w="1355"/>
                  <w:tcBorders>
                    <w:top w:val="none" w:color="000000" w:sz="4"/>
                    <w:left w:val="single" w:color="000000" w:sz="4"/>
                    <w:bottom w:val="single" w:color="000000" w:sz="4"/>
                    <w:right w:val="single" w:color="000000" w:sz="4"/>
                  </w:tcBorders>
                  <w:vAlign w:val="top"/>
                </w:tcPr>
                <w:p>
                  <w:pPr>
                    <w:jc w:val="center"/>
                  </w:pPr>
                  <w:r>
                    <w:rPr>
                      <w:sz w:val="22"/>
                    </w:rPr>
                    <w:t>汽车坡道集水井排水泵（负一层）</w:t>
                  </w:r>
                </w:p>
              </w:tc>
              <w:tc>
                <w:tcPr>
                  <w:tcW w:type="dxa" w:w="1834"/>
                  <w:tcBorders>
                    <w:top w:val="none" w:color="000000" w:sz="4"/>
                    <w:left w:val="single" w:color="000000" w:sz="4"/>
                    <w:bottom w:val="single" w:color="000000" w:sz="4"/>
                    <w:right w:val="single" w:color="000000" w:sz="4"/>
                  </w:tcBorders>
                  <w:vAlign w:val="top"/>
                </w:tcPr>
                <w:p>
                  <w:r>
                    <w:rPr>
                      <w:sz w:val="22"/>
                    </w:rPr>
                    <w:t>流量：</w:t>
                  </w:r>
                  <w:r>
                    <w:rPr>
                      <w:sz w:val="22"/>
                    </w:rPr>
                    <w:t>Q=40m³/h；扬程：H=12m；功率：N=3.0kW</w:t>
                  </w:r>
                </w:p>
              </w:tc>
              <w:tc>
                <w:tcPr>
                  <w:tcW w:type="dxa" w:w="712"/>
                  <w:tcBorders>
                    <w:top w:val="none" w:color="000000" w:sz="4"/>
                    <w:left w:val="single" w:color="000000" w:sz="4"/>
                    <w:bottom w:val="single" w:color="000000" w:sz="4"/>
                    <w:right w:val="single" w:color="000000" w:sz="4"/>
                  </w:tcBorders>
                  <w:vAlign w:val="top"/>
                </w:tcPr>
                <w:p>
                  <w:pPr>
                    <w:jc w:val="center"/>
                  </w:pPr>
                  <w:r>
                    <w:rPr>
                      <w:sz w:val="22"/>
                    </w:rPr>
                    <w:t>1</w:t>
                  </w:r>
                  <w:r>
                    <w:rPr>
                      <w:sz w:val="22"/>
                    </w:rPr>
                    <w:t>组</w:t>
                  </w:r>
                </w:p>
              </w:tc>
              <w:tc>
                <w:tcPr>
                  <w:tcW w:type="dxa" w:w="1227"/>
                  <w:tcBorders>
                    <w:top w:val="none" w:color="000000" w:sz="4"/>
                    <w:left w:val="single" w:color="000000" w:sz="4"/>
                    <w:bottom w:val="single" w:color="000000" w:sz="4"/>
                    <w:right w:val="single" w:color="000000" w:sz="4"/>
                  </w:tcBorders>
                  <w:vAlign w:val="top"/>
                </w:tcPr>
                <w:p>
                  <w:r>
                    <w:rPr>
                      <w:sz w:val="22"/>
                    </w:rPr>
                    <w:t>每</w:t>
                  </w:r>
                  <w:r>
                    <w:rPr>
                      <w:sz w:val="22"/>
                    </w:rPr>
                    <w:t>2台一组，互为备用，高水位双泵同启</w:t>
                  </w:r>
                </w:p>
              </w:tc>
            </w:tr>
            <w:tr>
              <w:tc>
                <w:tcPr>
                  <w:tcW w:type="dxa" w:w="444"/>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vAlign w:val="top"/>
                </w:tcPr>
                <w:p>
                  <w:pPr>
                    <w:jc w:val="center"/>
                  </w:pPr>
                  <w:r>
                    <w:rPr>
                      <w:sz w:val="22"/>
                    </w:rPr>
                    <w:t>潜污泵控制柜</w:t>
                  </w:r>
                </w:p>
              </w:tc>
              <w:tc>
                <w:tcPr>
                  <w:tcW w:type="dxa" w:w="1834"/>
                  <w:tcBorders>
                    <w:top w:val="none" w:color="000000" w:sz="4"/>
                    <w:left w:val="single" w:color="000000" w:sz="4"/>
                    <w:bottom w:val="single" w:color="000000" w:sz="4"/>
                    <w:right w:val="single" w:color="000000" w:sz="4"/>
                  </w:tcBorders>
                  <w:vAlign w:val="top"/>
                </w:tcPr>
                <w:p>
                  <w:r>
                    <w:rPr>
                      <w:sz w:val="22"/>
                    </w:rPr>
                    <w:t>控制方式：一控二，互备，高水位双泵同启，主备泵故障切换，交替运行，过载及超高水位报警</w:t>
                  </w:r>
                </w:p>
              </w:tc>
              <w:tc>
                <w:tcPr>
                  <w:tcW w:type="dxa" w:w="712"/>
                  <w:tcBorders>
                    <w:top w:val="none" w:color="000000" w:sz="4"/>
                    <w:left w:val="single" w:color="000000" w:sz="4"/>
                    <w:bottom w:val="single" w:color="000000" w:sz="4"/>
                    <w:right w:val="single" w:color="000000" w:sz="4"/>
                  </w:tcBorders>
                  <w:vAlign w:val="top"/>
                </w:tcPr>
                <w:p>
                  <w:pPr>
                    <w:jc w:val="center"/>
                  </w:pPr>
                  <w:r>
                    <w:rPr>
                      <w:sz w:val="22"/>
                    </w:rPr>
                    <w:t>3</w:t>
                  </w:r>
                  <w:r>
                    <w:rPr>
                      <w:sz w:val="22"/>
                    </w:rPr>
                    <w:t>台</w:t>
                  </w:r>
                </w:p>
              </w:tc>
              <w:tc>
                <w:tcPr>
                  <w:tcW w:type="dxa" w:w="1227"/>
                  <w:tcBorders>
                    <w:top w:val="none" w:color="000000" w:sz="4"/>
                    <w:left w:val="single" w:color="000000" w:sz="4"/>
                    <w:bottom w:val="single" w:color="000000" w:sz="4"/>
                    <w:right w:val="single" w:color="000000" w:sz="4"/>
                  </w:tcBorders>
                  <w:vAlign w:val="top"/>
                </w:tcPr>
                <w:p>
                  <w:r>
                    <w:rPr>
                      <w:sz w:val="22"/>
                    </w:rPr>
                    <w:t>含两个浮球开关，采用高质量电气元器产品，，带</w:t>
                  </w:r>
                  <w:r>
                    <w:rPr>
                      <w:sz w:val="22"/>
                    </w:rPr>
                    <w:t>BA接口</w:t>
                  </w:r>
                </w:p>
              </w:tc>
            </w:tr>
            <w:tr>
              <w:tc>
                <w:tcPr>
                  <w:tcW w:type="dxa" w:w="444"/>
                  <w:vMerge w:val="restart"/>
                  <w:tcBorders>
                    <w:top w:val="none" w:color="000000" w:sz="4"/>
                    <w:left w:val="single" w:color="000000" w:sz="4"/>
                    <w:bottom w:val="single" w:color="000000" w:sz="4"/>
                    <w:right w:val="single" w:color="000000" w:sz="4"/>
                  </w:tcBorders>
                  <w:vAlign w:val="top"/>
                </w:tcPr>
                <w:p>
                  <w:pPr>
                    <w:jc w:val="center"/>
                  </w:pPr>
                  <w:r>
                    <w:rPr>
                      <w:sz w:val="22"/>
                    </w:rPr>
                    <w:t>4</w:t>
                  </w:r>
                </w:p>
              </w:tc>
              <w:tc>
                <w:tcPr>
                  <w:tcW w:type="dxa" w:w="1355"/>
                  <w:tcBorders>
                    <w:top w:val="none" w:color="000000" w:sz="4"/>
                    <w:left w:val="single" w:color="000000" w:sz="4"/>
                    <w:bottom w:val="single" w:color="000000" w:sz="4"/>
                    <w:right w:val="single" w:color="000000" w:sz="4"/>
                  </w:tcBorders>
                  <w:vAlign w:val="top"/>
                </w:tcPr>
                <w:p>
                  <w:pPr>
                    <w:jc w:val="center"/>
                  </w:pPr>
                  <w:r>
                    <w:rPr>
                      <w:sz w:val="22"/>
                    </w:rPr>
                    <w:t>汽车坡道集水井排水泵（负二层）</w:t>
                  </w:r>
                </w:p>
              </w:tc>
              <w:tc>
                <w:tcPr>
                  <w:tcW w:type="dxa" w:w="1834"/>
                  <w:tcBorders>
                    <w:top w:val="none" w:color="000000" w:sz="4"/>
                    <w:left w:val="single" w:color="000000" w:sz="4"/>
                    <w:bottom w:val="single" w:color="000000" w:sz="4"/>
                    <w:right w:val="single" w:color="000000" w:sz="4"/>
                  </w:tcBorders>
                  <w:vAlign w:val="top"/>
                </w:tcPr>
                <w:p>
                  <w:r>
                    <w:rPr>
                      <w:sz w:val="22"/>
                    </w:rPr>
                    <w:t>流量：</w:t>
                  </w:r>
                  <w:r>
                    <w:rPr>
                      <w:sz w:val="22"/>
                    </w:rPr>
                    <w:t>Q=40m³/h；扬程：H=20m；功率：N=5.5kW</w:t>
                  </w:r>
                </w:p>
              </w:tc>
              <w:tc>
                <w:tcPr>
                  <w:tcW w:type="dxa" w:w="712"/>
                  <w:tcBorders>
                    <w:top w:val="none" w:color="000000" w:sz="4"/>
                    <w:left w:val="single" w:color="000000" w:sz="4"/>
                    <w:bottom w:val="single" w:color="000000" w:sz="4"/>
                    <w:right w:val="single" w:color="000000" w:sz="4"/>
                  </w:tcBorders>
                  <w:vAlign w:val="top"/>
                </w:tcPr>
                <w:p>
                  <w:pPr>
                    <w:jc w:val="center"/>
                  </w:pPr>
                  <w:r>
                    <w:rPr>
                      <w:sz w:val="22"/>
                    </w:rPr>
                    <w:t>1</w:t>
                  </w:r>
                  <w:r>
                    <w:rPr>
                      <w:sz w:val="22"/>
                    </w:rPr>
                    <w:t>台</w:t>
                  </w:r>
                </w:p>
              </w:tc>
              <w:tc>
                <w:tcPr>
                  <w:tcW w:type="dxa" w:w="1227"/>
                  <w:tcBorders>
                    <w:top w:val="none" w:color="000000" w:sz="4"/>
                    <w:left w:val="single" w:color="000000" w:sz="4"/>
                    <w:bottom w:val="single" w:color="000000" w:sz="4"/>
                    <w:right w:val="single" w:color="000000" w:sz="4"/>
                  </w:tcBorders>
                  <w:vAlign w:val="top"/>
                </w:tcPr>
                <w:p>
                  <w:r>
                    <w:rPr>
                      <w:sz w:val="22"/>
                    </w:rPr>
                    <w:t>每</w:t>
                  </w:r>
                  <w:r>
                    <w:rPr>
                      <w:sz w:val="22"/>
                    </w:rPr>
                    <w:t>2台一组，互为备用，高水位双泵同启</w:t>
                  </w:r>
                </w:p>
              </w:tc>
            </w:tr>
            <w:tr>
              <w:tc>
                <w:tcPr>
                  <w:tcW w:type="dxa" w:w="444"/>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vAlign w:val="top"/>
                </w:tcPr>
                <w:p>
                  <w:pPr>
                    <w:jc w:val="center"/>
                  </w:pPr>
                  <w:r>
                    <w:rPr>
                      <w:sz w:val="22"/>
                    </w:rPr>
                    <w:t>潜污泵控制柜</w:t>
                  </w:r>
                </w:p>
              </w:tc>
              <w:tc>
                <w:tcPr>
                  <w:tcW w:type="dxa" w:w="1834"/>
                  <w:tcBorders>
                    <w:top w:val="none" w:color="000000" w:sz="4"/>
                    <w:left w:val="single" w:color="000000" w:sz="4"/>
                    <w:bottom w:val="single" w:color="000000" w:sz="4"/>
                    <w:right w:val="single" w:color="000000" w:sz="4"/>
                  </w:tcBorders>
                  <w:vAlign w:val="top"/>
                </w:tcPr>
                <w:p>
                  <w:r>
                    <w:rPr>
                      <w:sz w:val="22"/>
                    </w:rPr>
                    <w:t>控制方式：一控二，互备，高水位双泵同启，主备泵故障切换，交替运行，过载及超高水位报警</w:t>
                  </w:r>
                </w:p>
              </w:tc>
              <w:tc>
                <w:tcPr>
                  <w:tcW w:type="dxa" w:w="712"/>
                  <w:tcBorders>
                    <w:top w:val="none" w:color="000000" w:sz="4"/>
                    <w:left w:val="single" w:color="000000" w:sz="4"/>
                    <w:bottom w:val="single" w:color="000000" w:sz="4"/>
                    <w:right w:val="single" w:color="000000" w:sz="4"/>
                  </w:tcBorders>
                  <w:vAlign w:val="top"/>
                </w:tcPr>
                <w:p>
                  <w:pPr>
                    <w:jc w:val="center"/>
                  </w:pPr>
                  <w:r>
                    <w:rPr>
                      <w:sz w:val="22"/>
                    </w:rPr>
                    <w:t>1</w:t>
                  </w:r>
                  <w:r>
                    <w:rPr>
                      <w:sz w:val="22"/>
                    </w:rPr>
                    <w:t>个</w:t>
                  </w:r>
                </w:p>
              </w:tc>
              <w:tc>
                <w:tcPr>
                  <w:tcW w:type="dxa" w:w="1227"/>
                  <w:tcBorders>
                    <w:top w:val="none" w:color="000000" w:sz="4"/>
                    <w:left w:val="single" w:color="000000" w:sz="4"/>
                    <w:bottom w:val="single" w:color="000000" w:sz="4"/>
                    <w:right w:val="single" w:color="000000" w:sz="4"/>
                  </w:tcBorders>
                  <w:vAlign w:val="top"/>
                </w:tcPr>
                <w:p>
                  <w:r>
                    <w:rPr>
                      <w:sz w:val="22"/>
                    </w:rPr>
                    <w:t>含两个浮球开关，采用高质量电气元器产品，带</w:t>
                  </w:r>
                  <w:r>
                    <w:rPr>
                      <w:sz w:val="22"/>
                    </w:rPr>
                    <w:t>BA接口</w:t>
                  </w:r>
                </w:p>
              </w:tc>
            </w:tr>
            <w:tr>
              <w:tc>
                <w:tcPr>
                  <w:tcW w:type="dxa" w:w="444"/>
                  <w:vMerge w:val="restart"/>
                  <w:tcBorders>
                    <w:top w:val="none" w:color="000000" w:sz="4"/>
                    <w:left w:val="single" w:color="000000" w:sz="4"/>
                    <w:bottom w:val="single" w:color="000000" w:sz="4"/>
                    <w:right w:val="single" w:color="000000" w:sz="4"/>
                  </w:tcBorders>
                  <w:vAlign w:val="top"/>
                </w:tcPr>
                <w:p>
                  <w:pPr>
                    <w:jc w:val="center"/>
                  </w:pPr>
                  <w:r>
                    <w:rPr>
                      <w:sz w:val="22"/>
                    </w:rPr>
                    <w:t>5</w:t>
                  </w:r>
                </w:p>
              </w:tc>
              <w:tc>
                <w:tcPr>
                  <w:tcW w:type="dxa" w:w="1355"/>
                  <w:tcBorders>
                    <w:top w:val="none" w:color="000000" w:sz="4"/>
                    <w:left w:val="single" w:color="000000" w:sz="4"/>
                    <w:bottom w:val="single" w:color="000000" w:sz="4"/>
                    <w:right w:val="single" w:color="000000" w:sz="4"/>
                  </w:tcBorders>
                  <w:vAlign w:val="top"/>
                </w:tcPr>
                <w:p>
                  <w:pPr>
                    <w:jc w:val="center"/>
                  </w:pPr>
                  <w:r>
                    <w:rPr>
                      <w:sz w:val="22"/>
                    </w:rPr>
                    <w:t>生活消防泵房集水井排水泵（负一层）</w:t>
                  </w:r>
                </w:p>
              </w:tc>
              <w:tc>
                <w:tcPr>
                  <w:tcW w:type="dxa" w:w="1834"/>
                  <w:tcBorders>
                    <w:top w:val="none" w:color="000000" w:sz="4"/>
                    <w:left w:val="single" w:color="000000" w:sz="4"/>
                    <w:bottom w:val="single" w:color="000000" w:sz="4"/>
                    <w:right w:val="single" w:color="000000" w:sz="4"/>
                  </w:tcBorders>
                  <w:vAlign w:val="top"/>
                </w:tcPr>
                <w:p>
                  <w:r>
                    <w:rPr>
                      <w:sz w:val="22"/>
                    </w:rPr>
                    <w:t>流量：</w:t>
                  </w:r>
                  <w:r>
                    <w:rPr>
                      <w:sz w:val="22"/>
                    </w:rPr>
                    <w:t>Q=40m³/h；扬程：H=12m；功率：N=3.0kW</w:t>
                  </w:r>
                </w:p>
              </w:tc>
              <w:tc>
                <w:tcPr>
                  <w:tcW w:type="dxa" w:w="712"/>
                  <w:tcBorders>
                    <w:top w:val="none" w:color="000000" w:sz="4"/>
                    <w:left w:val="single" w:color="000000" w:sz="4"/>
                    <w:bottom w:val="single" w:color="000000" w:sz="4"/>
                    <w:right w:val="single" w:color="000000" w:sz="4"/>
                  </w:tcBorders>
                  <w:vAlign w:val="top"/>
                </w:tcPr>
                <w:p>
                  <w:pPr>
                    <w:jc w:val="center"/>
                  </w:pPr>
                  <w:r>
                    <w:rPr>
                      <w:sz w:val="22"/>
                    </w:rPr>
                    <w:t>1个</w:t>
                  </w:r>
                </w:p>
              </w:tc>
              <w:tc>
                <w:tcPr>
                  <w:tcW w:type="dxa" w:w="1227"/>
                  <w:tcBorders>
                    <w:top w:val="none" w:color="000000" w:sz="4"/>
                    <w:left w:val="single" w:color="000000" w:sz="4"/>
                    <w:bottom w:val="single" w:color="000000" w:sz="4"/>
                    <w:right w:val="single" w:color="000000" w:sz="4"/>
                  </w:tcBorders>
                  <w:vAlign w:val="top"/>
                </w:tcPr>
                <w:p>
                  <w:r>
                    <w:rPr>
                      <w:sz w:val="22"/>
                    </w:rPr>
                    <w:t>互为备用，高水位双泵同启</w:t>
                  </w:r>
                </w:p>
              </w:tc>
            </w:tr>
            <w:tr>
              <w:tc>
                <w:tcPr>
                  <w:tcW w:type="dxa" w:w="444"/>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vAlign w:val="top"/>
                </w:tcPr>
                <w:p>
                  <w:pPr>
                    <w:jc w:val="center"/>
                  </w:pPr>
                  <w:r>
                    <w:rPr>
                      <w:sz w:val="22"/>
                    </w:rPr>
                    <w:t>潜污泵控制柜</w:t>
                  </w:r>
                </w:p>
              </w:tc>
              <w:tc>
                <w:tcPr>
                  <w:tcW w:type="dxa" w:w="1834"/>
                  <w:tcBorders>
                    <w:top w:val="none" w:color="000000" w:sz="4"/>
                    <w:left w:val="single" w:color="000000" w:sz="4"/>
                    <w:bottom w:val="single" w:color="000000" w:sz="4"/>
                    <w:right w:val="single" w:color="000000" w:sz="4"/>
                  </w:tcBorders>
                  <w:vAlign w:val="top"/>
                </w:tcPr>
                <w:p>
                  <w:r>
                    <w:rPr>
                      <w:sz w:val="22"/>
                    </w:rPr>
                    <w:t>控制方式：一控二，互备，高水位双泵同启，主备泵故障切换，交替运行，过载及超高水位报警</w:t>
                  </w:r>
                </w:p>
              </w:tc>
              <w:tc>
                <w:tcPr>
                  <w:tcW w:type="dxa" w:w="712"/>
                  <w:tcBorders>
                    <w:top w:val="none" w:color="000000" w:sz="4"/>
                    <w:left w:val="single" w:color="000000" w:sz="4"/>
                    <w:bottom w:val="single" w:color="000000" w:sz="4"/>
                    <w:right w:val="single" w:color="000000" w:sz="4"/>
                  </w:tcBorders>
                  <w:vAlign w:val="top"/>
                </w:tcPr>
                <w:p>
                  <w:pPr>
                    <w:jc w:val="center"/>
                  </w:pPr>
                  <w:r>
                    <w:rPr>
                      <w:sz w:val="22"/>
                    </w:rPr>
                    <w:t>1个</w:t>
                  </w:r>
                </w:p>
              </w:tc>
              <w:tc>
                <w:tcPr>
                  <w:tcW w:type="dxa" w:w="1227"/>
                  <w:tcBorders>
                    <w:top w:val="none" w:color="000000" w:sz="4"/>
                    <w:left w:val="single" w:color="000000" w:sz="4"/>
                    <w:bottom w:val="single" w:color="000000" w:sz="4"/>
                    <w:right w:val="single" w:color="000000" w:sz="4"/>
                  </w:tcBorders>
                  <w:vAlign w:val="top"/>
                </w:tcPr>
                <w:p>
                  <w:r>
                    <w:rPr>
                      <w:sz w:val="22"/>
                    </w:rPr>
                    <w:t>含两个浮球开关，采用高质量电气元器产品，带</w:t>
                  </w:r>
                  <w:r>
                    <w:rPr>
                      <w:sz w:val="22"/>
                    </w:rPr>
                    <w:t>BA接口</w:t>
                  </w:r>
                </w:p>
              </w:tc>
            </w:tr>
            <w:tr>
              <w:tc>
                <w:tcPr>
                  <w:tcW w:type="dxa" w:w="444"/>
                  <w:vMerge w:val="restart"/>
                  <w:tcBorders>
                    <w:top w:val="none" w:color="000000" w:sz="4"/>
                    <w:left w:val="single" w:color="000000" w:sz="4"/>
                    <w:bottom w:val="single" w:color="000000" w:sz="4"/>
                    <w:right w:val="single" w:color="000000" w:sz="4"/>
                  </w:tcBorders>
                  <w:vAlign w:val="top"/>
                </w:tcPr>
                <w:p>
                  <w:pPr>
                    <w:jc w:val="center"/>
                  </w:pPr>
                  <w:r>
                    <w:rPr>
                      <w:sz w:val="22"/>
                    </w:rPr>
                    <w:t>6</w:t>
                  </w:r>
                </w:p>
              </w:tc>
              <w:tc>
                <w:tcPr>
                  <w:tcW w:type="dxa" w:w="1355"/>
                  <w:tcBorders>
                    <w:top w:val="none" w:color="000000" w:sz="4"/>
                    <w:left w:val="single" w:color="000000" w:sz="4"/>
                    <w:bottom w:val="single" w:color="000000" w:sz="4"/>
                    <w:right w:val="single" w:color="000000" w:sz="4"/>
                  </w:tcBorders>
                  <w:vAlign w:val="top"/>
                </w:tcPr>
                <w:p>
                  <w:pPr>
                    <w:jc w:val="center"/>
                  </w:pPr>
                  <w:r>
                    <w:rPr>
                      <w:sz w:val="22"/>
                    </w:rPr>
                    <w:t>生活消防泵房集水井排水泵（负二层）</w:t>
                  </w:r>
                </w:p>
              </w:tc>
              <w:tc>
                <w:tcPr>
                  <w:tcW w:type="dxa" w:w="1834"/>
                  <w:tcBorders>
                    <w:top w:val="none" w:color="000000" w:sz="4"/>
                    <w:left w:val="single" w:color="000000" w:sz="4"/>
                    <w:bottom w:val="single" w:color="000000" w:sz="4"/>
                    <w:right w:val="single" w:color="000000" w:sz="4"/>
                  </w:tcBorders>
                  <w:vAlign w:val="top"/>
                </w:tcPr>
                <w:p>
                  <w:r>
                    <w:rPr>
                      <w:sz w:val="22"/>
                    </w:rPr>
                    <w:t>流量：</w:t>
                  </w:r>
                  <w:r>
                    <w:rPr>
                      <w:sz w:val="22"/>
                    </w:rPr>
                    <w:t>Q=40m³/h；扬程：H=20m；功率：N=5.5kW</w:t>
                  </w:r>
                </w:p>
              </w:tc>
              <w:tc>
                <w:tcPr>
                  <w:tcW w:type="dxa" w:w="712"/>
                  <w:tcBorders>
                    <w:top w:val="none" w:color="000000" w:sz="4"/>
                    <w:left w:val="single" w:color="000000" w:sz="4"/>
                    <w:bottom w:val="single" w:color="000000" w:sz="4"/>
                    <w:right w:val="single" w:color="000000" w:sz="4"/>
                  </w:tcBorders>
                  <w:vAlign w:val="top"/>
                </w:tcPr>
                <w:p>
                  <w:pPr>
                    <w:jc w:val="center"/>
                  </w:pPr>
                  <w:r>
                    <w:rPr>
                      <w:sz w:val="22"/>
                    </w:rPr>
                    <w:t>1批</w:t>
                  </w:r>
                </w:p>
              </w:tc>
              <w:tc>
                <w:tcPr>
                  <w:tcW w:type="dxa" w:w="1227"/>
                  <w:tcBorders>
                    <w:top w:val="none" w:color="000000" w:sz="4"/>
                    <w:left w:val="single" w:color="000000" w:sz="4"/>
                    <w:bottom w:val="single" w:color="000000" w:sz="4"/>
                    <w:right w:val="single" w:color="000000" w:sz="4"/>
                  </w:tcBorders>
                  <w:vAlign w:val="top"/>
                </w:tcPr>
                <w:p>
                  <w:r>
                    <w:rPr>
                      <w:sz w:val="22"/>
                    </w:rPr>
                    <w:t>每</w:t>
                  </w:r>
                  <w:r>
                    <w:rPr>
                      <w:sz w:val="22"/>
                    </w:rPr>
                    <w:t>2台一组，互为备用，高水位双泵同启</w:t>
                  </w:r>
                </w:p>
              </w:tc>
            </w:tr>
            <w:tr>
              <w:tc>
                <w:tcPr>
                  <w:tcW w:type="dxa" w:w="444"/>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vAlign w:val="top"/>
                </w:tcPr>
                <w:p>
                  <w:pPr>
                    <w:jc w:val="center"/>
                  </w:pPr>
                  <w:r>
                    <w:rPr>
                      <w:sz w:val="22"/>
                    </w:rPr>
                    <w:t>潜污泵控制柜</w:t>
                  </w:r>
                </w:p>
              </w:tc>
              <w:tc>
                <w:tcPr>
                  <w:tcW w:type="dxa" w:w="1834"/>
                  <w:tcBorders>
                    <w:top w:val="none" w:color="000000" w:sz="4"/>
                    <w:left w:val="single" w:color="000000" w:sz="4"/>
                    <w:bottom w:val="single" w:color="000000" w:sz="4"/>
                    <w:right w:val="single" w:color="000000" w:sz="4"/>
                  </w:tcBorders>
                  <w:vAlign w:val="top"/>
                </w:tcPr>
                <w:p>
                  <w:r>
                    <w:rPr>
                      <w:sz w:val="22"/>
                    </w:rPr>
                    <w:t>控制方式：一控二，互备，高水位双泵同启，主备泵故障切换，交替运行，过载及超高水位报警</w:t>
                  </w:r>
                </w:p>
              </w:tc>
              <w:tc>
                <w:tcPr>
                  <w:tcW w:type="dxa" w:w="712"/>
                  <w:tcBorders>
                    <w:top w:val="none" w:color="000000" w:sz="4"/>
                    <w:left w:val="single" w:color="000000" w:sz="4"/>
                    <w:bottom w:val="single" w:color="000000" w:sz="4"/>
                    <w:right w:val="single" w:color="000000" w:sz="4"/>
                  </w:tcBorders>
                  <w:vAlign w:val="top"/>
                </w:tcPr>
                <w:p>
                  <w:pPr>
                    <w:jc w:val="center"/>
                  </w:pPr>
                  <w:r>
                    <w:rPr>
                      <w:sz w:val="22"/>
                    </w:rPr>
                    <w:t>1套</w:t>
                  </w:r>
                </w:p>
              </w:tc>
              <w:tc>
                <w:tcPr>
                  <w:tcW w:type="dxa" w:w="1227"/>
                  <w:tcBorders>
                    <w:top w:val="none" w:color="000000" w:sz="4"/>
                    <w:left w:val="single" w:color="000000" w:sz="4"/>
                    <w:bottom w:val="single" w:color="000000" w:sz="4"/>
                    <w:right w:val="single" w:color="000000" w:sz="4"/>
                  </w:tcBorders>
                  <w:vAlign w:val="top"/>
                </w:tcPr>
                <w:p>
                  <w:r>
                    <w:rPr>
                      <w:sz w:val="22"/>
                    </w:rPr>
                    <w:t>含两个浮球开关，采用高质量电气元器产品，带</w:t>
                  </w:r>
                  <w:r>
                    <w:rPr>
                      <w:sz w:val="22"/>
                    </w:rPr>
                    <w:t>BA接口</w:t>
                  </w:r>
                </w:p>
              </w:tc>
            </w:tr>
            <w:tr>
              <w:tc>
                <w:tcPr>
                  <w:tcW w:type="dxa" w:w="444"/>
                  <w:vMerge w:val="restart"/>
                  <w:tcBorders>
                    <w:top w:val="none" w:color="000000" w:sz="4"/>
                    <w:left w:val="single" w:color="000000" w:sz="4"/>
                    <w:bottom w:val="single" w:color="000000" w:sz="4"/>
                    <w:right w:val="single" w:color="000000" w:sz="4"/>
                  </w:tcBorders>
                  <w:vAlign w:val="top"/>
                </w:tcPr>
                <w:p>
                  <w:pPr>
                    <w:jc w:val="center"/>
                  </w:pPr>
                  <w:r>
                    <w:rPr>
                      <w:sz w:val="22"/>
                    </w:rPr>
                    <w:t>7</w:t>
                  </w:r>
                </w:p>
              </w:tc>
              <w:tc>
                <w:tcPr>
                  <w:tcW w:type="dxa" w:w="1355"/>
                  <w:tcBorders>
                    <w:top w:val="none" w:color="000000" w:sz="4"/>
                    <w:left w:val="single" w:color="000000" w:sz="4"/>
                    <w:bottom w:val="single" w:color="000000" w:sz="4"/>
                    <w:right w:val="single" w:color="000000" w:sz="4"/>
                  </w:tcBorders>
                  <w:vAlign w:val="top"/>
                </w:tcPr>
                <w:p>
                  <w:pPr>
                    <w:jc w:val="center"/>
                  </w:pPr>
                  <w:r>
                    <w:rPr>
                      <w:sz w:val="22"/>
                    </w:rPr>
                    <w:t>消防电梯基坑集水井排水泵（负二层）</w:t>
                  </w:r>
                </w:p>
              </w:tc>
              <w:tc>
                <w:tcPr>
                  <w:tcW w:type="dxa" w:w="1834"/>
                  <w:tcBorders>
                    <w:top w:val="none" w:color="000000" w:sz="4"/>
                    <w:left w:val="single" w:color="000000" w:sz="4"/>
                    <w:bottom w:val="single" w:color="000000" w:sz="4"/>
                    <w:right w:val="single" w:color="000000" w:sz="4"/>
                  </w:tcBorders>
                  <w:vAlign w:val="top"/>
                </w:tcPr>
                <w:p>
                  <w:r>
                    <w:rPr>
                      <w:sz w:val="22"/>
                    </w:rPr>
                    <w:t>流量：</w:t>
                  </w:r>
                  <w:r>
                    <w:rPr>
                      <w:sz w:val="22"/>
                    </w:rPr>
                    <w:t>Q=40m³/h；扬程：H=20m；功率：N=5.5kW</w:t>
                  </w:r>
                </w:p>
              </w:tc>
              <w:tc>
                <w:tcPr>
                  <w:tcW w:type="dxa" w:w="712"/>
                  <w:tcBorders>
                    <w:top w:val="none" w:color="000000" w:sz="4"/>
                    <w:left w:val="single" w:color="000000" w:sz="4"/>
                    <w:bottom w:val="single" w:color="000000" w:sz="4"/>
                    <w:right w:val="single" w:color="000000" w:sz="4"/>
                  </w:tcBorders>
                  <w:vAlign w:val="top"/>
                </w:tcPr>
                <w:p>
                  <w:pPr>
                    <w:jc w:val="center"/>
                  </w:pPr>
                  <w:r>
                    <w:rPr>
                      <w:sz w:val="22"/>
                    </w:rPr>
                    <w:t>2个</w:t>
                  </w:r>
                </w:p>
              </w:tc>
              <w:tc>
                <w:tcPr>
                  <w:tcW w:type="dxa" w:w="1227"/>
                  <w:tcBorders>
                    <w:top w:val="none" w:color="000000" w:sz="4"/>
                    <w:left w:val="single" w:color="000000" w:sz="4"/>
                    <w:bottom w:val="single" w:color="000000" w:sz="4"/>
                    <w:right w:val="single" w:color="000000" w:sz="4"/>
                  </w:tcBorders>
                  <w:vAlign w:val="top"/>
                </w:tcPr>
                <w:p>
                  <w:r>
                    <w:rPr>
                      <w:sz w:val="22"/>
                    </w:rPr>
                    <w:t>每</w:t>
                  </w:r>
                  <w:r>
                    <w:rPr>
                      <w:sz w:val="22"/>
                    </w:rPr>
                    <w:t>2台一组，互为备用，高水位双泵同启</w:t>
                  </w:r>
                </w:p>
              </w:tc>
            </w:tr>
            <w:tr>
              <w:tc>
                <w:tcPr>
                  <w:tcW w:type="dxa" w:w="444"/>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vAlign w:val="top"/>
                </w:tcPr>
                <w:p>
                  <w:pPr>
                    <w:jc w:val="center"/>
                  </w:pPr>
                  <w:r>
                    <w:rPr>
                      <w:sz w:val="22"/>
                    </w:rPr>
                    <w:t>潜污泵控制柜</w:t>
                  </w:r>
                </w:p>
              </w:tc>
              <w:tc>
                <w:tcPr>
                  <w:tcW w:type="dxa" w:w="1834"/>
                  <w:tcBorders>
                    <w:top w:val="none" w:color="000000" w:sz="4"/>
                    <w:left w:val="single" w:color="000000" w:sz="4"/>
                    <w:bottom w:val="single" w:color="000000" w:sz="4"/>
                    <w:right w:val="single" w:color="000000" w:sz="4"/>
                  </w:tcBorders>
                  <w:vAlign w:val="top"/>
                </w:tcPr>
                <w:p>
                  <w:r>
                    <w:rPr>
                      <w:sz w:val="22"/>
                    </w:rPr>
                    <w:t>控制方式：一控二，互备，高水位双泵同启，主备泵故障切换，交替运行，过载及超高水位报警</w:t>
                  </w:r>
                </w:p>
              </w:tc>
              <w:tc>
                <w:tcPr>
                  <w:tcW w:type="dxa" w:w="712"/>
                  <w:tcBorders>
                    <w:top w:val="none" w:color="000000" w:sz="4"/>
                    <w:left w:val="single" w:color="000000" w:sz="4"/>
                    <w:bottom w:val="single" w:color="000000" w:sz="4"/>
                    <w:right w:val="single" w:color="000000" w:sz="4"/>
                  </w:tcBorders>
                  <w:vAlign w:val="top"/>
                </w:tcPr>
                <w:p>
                  <w:pPr>
                    <w:jc w:val="center"/>
                  </w:pPr>
                  <w:r>
                    <w:rPr>
                      <w:sz w:val="22"/>
                    </w:rPr>
                    <w:t>4个</w:t>
                  </w:r>
                </w:p>
              </w:tc>
              <w:tc>
                <w:tcPr>
                  <w:tcW w:type="dxa" w:w="1227"/>
                  <w:tcBorders>
                    <w:top w:val="none" w:color="000000" w:sz="4"/>
                    <w:left w:val="single" w:color="000000" w:sz="4"/>
                    <w:bottom w:val="single" w:color="000000" w:sz="4"/>
                    <w:right w:val="single" w:color="000000" w:sz="4"/>
                  </w:tcBorders>
                  <w:vAlign w:val="top"/>
                </w:tcPr>
                <w:p>
                  <w:r>
                    <w:rPr>
                      <w:sz w:val="22"/>
                    </w:rPr>
                    <w:t>含两个浮球开关，采用高质量电气元器产品，带</w:t>
                  </w:r>
                  <w:r>
                    <w:rPr>
                      <w:sz w:val="22"/>
                    </w:rPr>
                    <w:t>BA接口</w:t>
                  </w:r>
                </w:p>
              </w:tc>
            </w:tr>
            <w:tr>
              <w:tc>
                <w:tcPr>
                  <w:tcW w:type="dxa" w:w="444"/>
                  <w:vMerge w:val="restart"/>
                  <w:tcBorders>
                    <w:top w:val="none" w:color="000000" w:sz="4"/>
                    <w:left w:val="single" w:color="000000" w:sz="4"/>
                    <w:bottom w:val="single" w:color="000000" w:sz="4"/>
                    <w:right w:val="single" w:color="000000" w:sz="4"/>
                  </w:tcBorders>
                  <w:vAlign w:val="top"/>
                </w:tcPr>
                <w:p>
                  <w:pPr>
                    <w:jc w:val="center"/>
                  </w:pPr>
                  <w:r>
                    <w:rPr>
                      <w:sz w:val="22"/>
                    </w:rPr>
                    <w:t>8</w:t>
                  </w:r>
                </w:p>
              </w:tc>
              <w:tc>
                <w:tcPr>
                  <w:tcW w:type="dxa" w:w="1355"/>
                  <w:tcBorders>
                    <w:top w:val="none" w:color="000000" w:sz="4"/>
                    <w:left w:val="single" w:color="000000" w:sz="4"/>
                    <w:bottom w:val="single" w:color="000000" w:sz="4"/>
                    <w:right w:val="single" w:color="000000" w:sz="4"/>
                  </w:tcBorders>
                  <w:vAlign w:val="top"/>
                </w:tcPr>
                <w:p>
                  <w:pPr>
                    <w:jc w:val="center"/>
                  </w:pPr>
                  <w:r>
                    <w:rPr>
                      <w:sz w:val="22"/>
                    </w:rPr>
                    <w:t>发电机房集水井排水泵（负一层）</w:t>
                  </w:r>
                </w:p>
              </w:tc>
              <w:tc>
                <w:tcPr>
                  <w:tcW w:type="dxa" w:w="1834"/>
                  <w:tcBorders>
                    <w:top w:val="none" w:color="000000" w:sz="4"/>
                    <w:left w:val="single" w:color="000000" w:sz="4"/>
                    <w:bottom w:val="single" w:color="000000" w:sz="4"/>
                    <w:right w:val="single" w:color="000000" w:sz="4"/>
                  </w:tcBorders>
                  <w:vAlign w:val="top"/>
                </w:tcPr>
                <w:p>
                  <w:r>
                    <w:rPr>
                      <w:sz w:val="22"/>
                    </w:rPr>
                    <w:t>流量：</w:t>
                  </w:r>
                  <w:r>
                    <w:rPr>
                      <w:sz w:val="22"/>
                    </w:rPr>
                    <w:t>Q=25m³/h；扬程：H=13m；功率：N=2.2kW</w:t>
                  </w:r>
                </w:p>
              </w:tc>
              <w:tc>
                <w:tcPr>
                  <w:tcW w:type="dxa" w:w="712"/>
                  <w:tcBorders>
                    <w:top w:val="none" w:color="000000" w:sz="4"/>
                    <w:left w:val="single" w:color="000000" w:sz="4"/>
                    <w:bottom w:val="single" w:color="000000" w:sz="4"/>
                    <w:right w:val="single" w:color="000000" w:sz="4"/>
                  </w:tcBorders>
                  <w:vAlign w:val="top"/>
                </w:tcPr>
                <w:p>
                  <w:pPr>
                    <w:jc w:val="center"/>
                  </w:pPr>
                  <w:r>
                    <w:rPr>
                      <w:sz w:val="22"/>
                    </w:rPr>
                    <w:t>1组</w:t>
                  </w:r>
                </w:p>
              </w:tc>
              <w:tc>
                <w:tcPr>
                  <w:tcW w:type="dxa" w:w="1227"/>
                  <w:tcBorders>
                    <w:top w:val="none" w:color="000000" w:sz="4"/>
                    <w:left w:val="single" w:color="000000" w:sz="4"/>
                    <w:bottom w:val="single" w:color="000000" w:sz="4"/>
                    <w:right w:val="single" w:color="000000" w:sz="4"/>
                  </w:tcBorders>
                  <w:vAlign w:val="top"/>
                </w:tcPr>
                <w:p>
                  <w:r>
                    <w:rPr>
                      <w:sz w:val="22"/>
                    </w:rPr>
                    <w:t>每</w:t>
                  </w:r>
                  <w:r>
                    <w:rPr>
                      <w:sz w:val="22"/>
                    </w:rPr>
                    <w:t>2台一组，互为备用，高水位双泵同启</w:t>
                  </w:r>
                </w:p>
              </w:tc>
            </w:tr>
            <w:tr>
              <w:tc>
                <w:tcPr>
                  <w:tcW w:type="dxa" w:w="444"/>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vAlign w:val="top"/>
                </w:tcPr>
                <w:p>
                  <w:pPr>
                    <w:jc w:val="center"/>
                  </w:pPr>
                  <w:r>
                    <w:rPr>
                      <w:sz w:val="22"/>
                    </w:rPr>
                    <w:t>潜污泵控制柜</w:t>
                  </w:r>
                </w:p>
              </w:tc>
              <w:tc>
                <w:tcPr>
                  <w:tcW w:type="dxa" w:w="1834"/>
                  <w:tcBorders>
                    <w:top w:val="none" w:color="000000" w:sz="4"/>
                    <w:left w:val="single" w:color="000000" w:sz="4"/>
                    <w:bottom w:val="single" w:color="000000" w:sz="4"/>
                    <w:right w:val="single" w:color="000000" w:sz="4"/>
                  </w:tcBorders>
                  <w:vAlign w:val="top"/>
                </w:tcPr>
                <w:p>
                  <w:r>
                    <w:rPr>
                      <w:sz w:val="22"/>
                    </w:rPr>
                    <w:t>控制方式：一控二，互备，高水位双泵同启，主备泵故障切换，交替运行，过载及超高水位报警</w:t>
                  </w:r>
                </w:p>
              </w:tc>
              <w:tc>
                <w:tcPr>
                  <w:tcW w:type="dxa" w:w="712"/>
                  <w:tcBorders>
                    <w:top w:val="none" w:color="000000" w:sz="4"/>
                    <w:left w:val="single" w:color="000000" w:sz="4"/>
                    <w:bottom w:val="single" w:color="000000" w:sz="4"/>
                    <w:right w:val="single" w:color="000000" w:sz="4"/>
                  </w:tcBorders>
                  <w:vAlign w:val="top"/>
                </w:tcPr>
                <w:p>
                  <w:pPr>
                    <w:jc w:val="center"/>
                  </w:pPr>
                  <w:r>
                    <w:rPr>
                      <w:sz w:val="22"/>
                    </w:rPr>
                    <w:t>3台</w:t>
                  </w:r>
                </w:p>
              </w:tc>
              <w:tc>
                <w:tcPr>
                  <w:tcW w:type="dxa" w:w="1227"/>
                  <w:tcBorders>
                    <w:top w:val="none" w:color="000000" w:sz="4"/>
                    <w:left w:val="single" w:color="000000" w:sz="4"/>
                    <w:bottom w:val="single" w:color="000000" w:sz="4"/>
                    <w:right w:val="single" w:color="000000" w:sz="4"/>
                  </w:tcBorders>
                  <w:vAlign w:val="top"/>
                </w:tcPr>
                <w:p>
                  <w:r>
                    <w:rPr>
                      <w:sz w:val="22"/>
                    </w:rPr>
                    <w:t>含两个浮球开关，采用高质量电气元器产品，带</w:t>
                  </w:r>
                  <w:r>
                    <w:rPr>
                      <w:sz w:val="22"/>
                    </w:rPr>
                    <w:t>BA接口</w:t>
                  </w:r>
                </w:p>
              </w:tc>
            </w:tr>
            <w:tr>
              <w:tc>
                <w:tcPr>
                  <w:tcW w:type="dxa" w:w="444"/>
                  <w:vMerge w:val="restart"/>
                  <w:tcBorders>
                    <w:top w:val="none" w:color="000000" w:sz="4"/>
                    <w:left w:val="single" w:color="000000" w:sz="4"/>
                    <w:bottom w:val="single" w:color="000000" w:sz="4"/>
                    <w:right w:val="single" w:color="000000" w:sz="4"/>
                  </w:tcBorders>
                  <w:vAlign w:val="top"/>
                </w:tcPr>
                <w:p>
                  <w:pPr>
                    <w:jc w:val="center"/>
                  </w:pPr>
                  <w:r>
                    <w:rPr>
                      <w:sz w:val="22"/>
                    </w:rPr>
                    <w:t>9</w:t>
                  </w:r>
                </w:p>
              </w:tc>
              <w:tc>
                <w:tcPr>
                  <w:tcW w:type="dxa" w:w="1355"/>
                  <w:tcBorders>
                    <w:top w:val="none" w:color="000000" w:sz="4"/>
                    <w:left w:val="single" w:color="000000" w:sz="4"/>
                    <w:bottom w:val="single" w:color="000000" w:sz="4"/>
                    <w:right w:val="single" w:color="000000" w:sz="4"/>
                  </w:tcBorders>
                  <w:vAlign w:val="top"/>
                </w:tcPr>
                <w:p>
                  <w:pPr>
                    <w:jc w:val="center"/>
                  </w:pPr>
                  <w:r>
                    <w:rPr>
                      <w:sz w:val="22"/>
                    </w:rPr>
                    <w:t>污水机房内集水井排水泵</w:t>
                  </w:r>
                  <w:r>
                    <w:rPr>
                      <w:sz w:val="22"/>
                    </w:rPr>
                    <w:t>（负二层）</w:t>
                  </w:r>
                </w:p>
              </w:tc>
              <w:tc>
                <w:tcPr>
                  <w:tcW w:type="dxa" w:w="1834"/>
                  <w:tcBorders>
                    <w:top w:val="none" w:color="000000" w:sz="4"/>
                    <w:left w:val="single" w:color="000000" w:sz="4"/>
                    <w:bottom w:val="single" w:color="000000" w:sz="4"/>
                    <w:right w:val="single" w:color="000000" w:sz="4"/>
                  </w:tcBorders>
                  <w:vAlign w:val="top"/>
                </w:tcPr>
                <w:p>
                  <w:r>
                    <w:rPr>
                      <w:sz w:val="22"/>
                    </w:rPr>
                    <w:t>流量：</w:t>
                  </w:r>
                  <w:r>
                    <w:rPr>
                      <w:sz w:val="22"/>
                    </w:rPr>
                    <w:t>Q=50m³/h；扬程：H=20m；功率：N=5.5kW</w:t>
                  </w:r>
                </w:p>
              </w:tc>
              <w:tc>
                <w:tcPr>
                  <w:tcW w:type="dxa" w:w="712"/>
                  <w:tcBorders>
                    <w:top w:val="none" w:color="000000" w:sz="4"/>
                    <w:left w:val="single" w:color="000000" w:sz="4"/>
                    <w:bottom w:val="single" w:color="000000" w:sz="4"/>
                    <w:right w:val="single" w:color="000000" w:sz="4"/>
                  </w:tcBorders>
                  <w:vAlign w:val="top"/>
                </w:tcPr>
                <w:p>
                  <w:pPr>
                    <w:jc w:val="center"/>
                  </w:pPr>
                  <w:r>
                    <w:rPr>
                      <w:sz w:val="22"/>
                    </w:rPr>
                    <w:t>1台</w:t>
                  </w:r>
                </w:p>
              </w:tc>
              <w:tc>
                <w:tcPr>
                  <w:tcW w:type="dxa" w:w="1227"/>
                  <w:tcBorders>
                    <w:top w:val="none" w:color="000000" w:sz="4"/>
                    <w:left w:val="single" w:color="000000" w:sz="4"/>
                    <w:bottom w:val="single" w:color="000000" w:sz="4"/>
                    <w:right w:val="single" w:color="000000" w:sz="4"/>
                  </w:tcBorders>
                  <w:vAlign w:val="top"/>
                </w:tcPr>
                <w:p>
                  <w:r>
                    <w:rPr>
                      <w:sz w:val="22"/>
                    </w:rPr>
                    <w:t>每</w:t>
                  </w:r>
                  <w:r>
                    <w:rPr>
                      <w:sz w:val="22"/>
                    </w:rPr>
                    <w:t>2台一组，互为备用，高水位双泵同启</w:t>
                  </w:r>
                </w:p>
              </w:tc>
            </w:tr>
            <w:tr>
              <w:tc>
                <w:tcPr>
                  <w:tcW w:type="dxa" w:w="444"/>
                  <w:vMerge/>
                  <w:tcBorders>
                    <w:top w:val="none" w:color="000000" w:sz="4"/>
                    <w:left w:val="single" w:color="000000" w:sz="4"/>
                    <w:bottom w:val="single" w:color="000000" w:sz="4"/>
                    <w:right w:val="single" w:color="000000" w:sz="4"/>
                  </w:tcBorders>
                </w:tcPr>
                <w:p/>
              </w:tc>
              <w:tc>
                <w:tcPr>
                  <w:tcW w:type="dxa" w:w="1355"/>
                  <w:tcBorders>
                    <w:top w:val="none" w:color="000000" w:sz="4"/>
                    <w:left w:val="single" w:color="000000" w:sz="4"/>
                    <w:bottom w:val="single" w:color="000000" w:sz="4"/>
                    <w:right w:val="single" w:color="000000" w:sz="4"/>
                  </w:tcBorders>
                  <w:vAlign w:val="top"/>
                </w:tcPr>
                <w:p>
                  <w:pPr>
                    <w:jc w:val="center"/>
                  </w:pPr>
                  <w:r>
                    <w:rPr>
                      <w:sz w:val="22"/>
                    </w:rPr>
                    <w:t>潜污泵控制柜</w:t>
                  </w:r>
                </w:p>
              </w:tc>
              <w:tc>
                <w:tcPr>
                  <w:tcW w:type="dxa" w:w="1834"/>
                  <w:tcBorders>
                    <w:top w:val="none" w:color="000000" w:sz="4"/>
                    <w:left w:val="single" w:color="000000" w:sz="4"/>
                    <w:bottom w:val="single" w:color="000000" w:sz="4"/>
                    <w:right w:val="single" w:color="000000" w:sz="4"/>
                  </w:tcBorders>
                  <w:vAlign w:val="top"/>
                </w:tcPr>
                <w:p>
                  <w:r>
                    <w:rPr>
                      <w:sz w:val="22"/>
                    </w:rPr>
                    <w:t>控制方式：一控二，互备，高水位双泵同启，主备泵故障切换，交替运行，过载及超高水位报警</w:t>
                  </w:r>
                </w:p>
              </w:tc>
              <w:tc>
                <w:tcPr>
                  <w:tcW w:type="dxa" w:w="712"/>
                  <w:tcBorders>
                    <w:top w:val="none" w:color="000000" w:sz="4"/>
                    <w:left w:val="single" w:color="000000" w:sz="4"/>
                    <w:bottom w:val="single" w:color="000000" w:sz="4"/>
                    <w:right w:val="single" w:color="000000" w:sz="4"/>
                  </w:tcBorders>
                  <w:vAlign w:val="top"/>
                </w:tcPr>
                <w:p>
                  <w:pPr>
                    <w:jc w:val="center"/>
                  </w:pPr>
                  <w:r>
                    <w:rPr>
                      <w:sz w:val="22"/>
                    </w:rPr>
                    <w:t>1个</w:t>
                  </w:r>
                </w:p>
              </w:tc>
              <w:tc>
                <w:tcPr>
                  <w:tcW w:type="dxa" w:w="1227"/>
                  <w:tcBorders>
                    <w:top w:val="none" w:color="000000" w:sz="4"/>
                    <w:left w:val="single" w:color="000000" w:sz="4"/>
                    <w:bottom w:val="single" w:color="000000" w:sz="4"/>
                    <w:right w:val="single" w:color="000000" w:sz="4"/>
                  </w:tcBorders>
                  <w:vAlign w:val="top"/>
                </w:tcPr>
                <w:p>
                  <w:r>
                    <w:rPr>
                      <w:sz w:val="22"/>
                    </w:rPr>
                    <w:t>含两个浮球开关，采用高质量电气元器产品，带</w:t>
                  </w:r>
                  <w:r>
                    <w:rPr>
                      <w:sz w:val="22"/>
                    </w:rPr>
                    <w:t>BA接口</w:t>
                  </w:r>
                </w:p>
              </w:tc>
            </w:tr>
          </w:tbl>
          <w:p>
            <w:pPr>
              <w:jc w:val="both"/>
            </w:pPr>
          </w:p>
          <w:p>
            <w:pPr>
              <w:jc w:val="both"/>
            </w:pPr>
            <w:r>
              <w:rPr>
                <w:sz w:val="22"/>
              </w:rPr>
              <w:t>三、技术标准及规范</w:t>
            </w:r>
          </w:p>
          <w:p>
            <w:pPr>
              <w:jc w:val="both"/>
            </w:pPr>
            <w:r>
              <w:rPr>
                <w:sz w:val="22"/>
              </w:rPr>
              <w:t>1.产品采用的标准和设计规范</w:t>
            </w:r>
          </w:p>
          <w:p>
            <w:pPr>
              <w:jc w:val="left"/>
            </w:pPr>
            <w:r>
              <w:rPr>
                <w:sz w:val="22"/>
              </w:rPr>
              <w:t>CJ/T 254-2014     管网叠压供水设备</w:t>
            </w:r>
          </w:p>
          <w:p>
            <w:pPr>
              <w:jc w:val="left"/>
            </w:pPr>
            <w:r>
              <w:rPr>
                <w:sz w:val="22"/>
              </w:rPr>
              <w:t>CJ/T 444-2014     静音管网叠压给水设备</w:t>
            </w:r>
          </w:p>
          <w:p>
            <w:pPr>
              <w:jc w:val="left"/>
            </w:pPr>
            <w:r>
              <w:rPr>
                <w:sz w:val="22"/>
              </w:rPr>
              <w:t>CJ/T 352-2010     微机控制变频调速给水设备标准</w:t>
            </w:r>
          </w:p>
          <w:p>
            <w:pPr>
              <w:jc w:val="left"/>
            </w:pPr>
            <w:r>
              <w:rPr>
                <w:sz w:val="22"/>
              </w:rPr>
              <w:t>CJ/T 303-2008     稳压补偿式无负压供水设备</w:t>
            </w:r>
          </w:p>
          <w:p>
            <w:pPr>
              <w:jc w:val="left"/>
            </w:pPr>
            <w:r>
              <w:rPr>
                <w:sz w:val="22"/>
              </w:rPr>
              <w:t>CJ/T 265-2016     无负压给水设备</w:t>
            </w:r>
          </w:p>
          <w:p>
            <w:pPr>
              <w:jc w:val="left"/>
            </w:pPr>
            <w:r>
              <w:rPr>
                <w:sz w:val="22"/>
              </w:rPr>
              <w:t>CJ/T 351-2010     高位调蓄叠压供水设备</w:t>
            </w:r>
          </w:p>
          <w:p>
            <w:pPr>
              <w:jc w:val="left"/>
            </w:pPr>
            <w:r>
              <w:rPr>
                <w:sz w:val="22"/>
              </w:rPr>
              <w:t>CECS 221-2012     叠压供水技术规程</w:t>
            </w:r>
          </w:p>
          <w:p>
            <w:pPr>
              <w:jc w:val="left"/>
            </w:pPr>
            <w:r>
              <w:rPr>
                <w:sz w:val="22"/>
              </w:rPr>
              <w:t>GB 50015-2003     建筑给水设计规范</w:t>
            </w:r>
          </w:p>
          <w:p>
            <w:pPr>
              <w:jc w:val="left"/>
            </w:pPr>
            <w:r>
              <w:rPr>
                <w:sz w:val="22"/>
              </w:rPr>
              <w:t>GB 50242-2002     建筑给水排水及采暖工程施工质量验收规范</w:t>
            </w:r>
          </w:p>
          <w:p>
            <w:pPr>
              <w:jc w:val="left"/>
            </w:pPr>
            <w:r>
              <w:rPr>
                <w:sz w:val="22"/>
              </w:rPr>
              <w:t>GB 50555-2010     民用建筑节水设计标准</w:t>
            </w:r>
          </w:p>
          <w:p>
            <w:pPr>
              <w:jc w:val="left"/>
            </w:pPr>
            <w:r>
              <w:rPr>
                <w:sz w:val="22"/>
              </w:rPr>
              <w:t>GB/T 10233-2005   低压成套开关设备和电控设备基本试验方法</w:t>
            </w:r>
          </w:p>
          <w:p>
            <w:pPr>
              <w:jc w:val="left"/>
            </w:pPr>
            <w:r>
              <w:rPr>
                <w:sz w:val="22"/>
              </w:rPr>
              <w:t>GB/T3797-2005     电气控制设备</w:t>
            </w:r>
          </w:p>
          <w:p>
            <w:pPr>
              <w:jc w:val="left"/>
            </w:pPr>
            <w:r>
              <w:rPr>
                <w:sz w:val="22"/>
              </w:rPr>
              <w:t>GB 7251.1-2013    低压开关设备和控制设备 第1部分:总则</w:t>
            </w:r>
          </w:p>
          <w:p>
            <w:pPr>
              <w:jc w:val="left"/>
            </w:pPr>
            <w:r>
              <w:rPr>
                <w:sz w:val="22"/>
              </w:rPr>
              <w:t>GB/T 7251.8-2005  低压成套开关设备和控制设备 智能型成套设备通用技术要求</w:t>
            </w:r>
          </w:p>
          <w:p>
            <w:pPr>
              <w:jc w:val="left"/>
            </w:pPr>
            <w:r>
              <w:rPr>
                <w:sz w:val="22"/>
              </w:rPr>
              <w:t>GB4208-2008        外壳防护等级（IP代码）</w:t>
            </w:r>
          </w:p>
          <w:p>
            <w:pPr>
              <w:jc w:val="left"/>
            </w:pPr>
            <w:r>
              <w:rPr>
                <w:sz w:val="22"/>
              </w:rPr>
              <w:t>GB/T 12668.2-2002  调速电气传动系统 第2部份：一般要求低压交流变频电气传动系统额定值的规定</w:t>
            </w:r>
          </w:p>
          <w:p>
            <w:pPr>
              <w:jc w:val="left"/>
            </w:pPr>
            <w:r>
              <w:rPr>
                <w:sz w:val="22"/>
              </w:rPr>
              <w:t>GB/Z 17625.6-2003  电磁兼容 限制 对额定电流大于16A的设备在低压供电系统中产生的谐波电流的限制</w:t>
            </w:r>
          </w:p>
          <w:p>
            <w:pPr>
              <w:jc w:val="left"/>
            </w:pPr>
            <w:r>
              <w:rPr>
                <w:sz w:val="22"/>
              </w:rPr>
              <w:t>2.设备的设计、制造、检验和安装技术标准</w:t>
            </w:r>
          </w:p>
          <w:p>
            <w:pPr>
              <w:jc w:val="left"/>
            </w:pPr>
            <w:r>
              <w:rPr>
                <w:sz w:val="22"/>
              </w:rPr>
              <w:t>GB/T 2423.3-2016   电工电子产品环境试验 第2部分：试验方法 试验Cab:恒定湿热试验</w:t>
            </w:r>
          </w:p>
          <w:p>
            <w:pPr>
              <w:jc w:val="left"/>
            </w:pPr>
            <w:r>
              <w:rPr>
                <w:sz w:val="22"/>
              </w:rPr>
              <w:t>GB/T 2423.1-2008   电工电子产品环境试验 第2部分：试验方法 试验A：低温</w:t>
            </w:r>
          </w:p>
          <w:p>
            <w:pPr>
              <w:jc w:val="left"/>
            </w:pPr>
            <w:r>
              <w:rPr>
                <w:sz w:val="22"/>
              </w:rPr>
              <w:t>GB/T 2423.2-2008   电工电子产品环境试验 第2部分：试验方法 试验B：高温</w:t>
            </w:r>
          </w:p>
          <w:p>
            <w:pPr>
              <w:jc w:val="left"/>
            </w:pPr>
            <w:r>
              <w:rPr>
                <w:sz w:val="22"/>
              </w:rPr>
              <w:t>GB 50217-2007      电力工程电缆设计规范</w:t>
            </w:r>
          </w:p>
          <w:p>
            <w:pPr>
              <w:jc w:val="left"/>
            </w:pPr>
            <w:r>
              <w:rPr>
                <w:sz w:val="22"/>
              </w:rPr>
              <w:t>GB/T14976-2012     流体输送用不锈钢无缝纲管</w:t>
            </w:r>
          </w:p>
          <w:p>
            <w:pPr>
              <w:jc w:val="left"/>
            </w:pPr>
            <w:r>
              <w:rPr>
                <w:sz w:val="22"/>
              </w:rPr>
              <w:t>GB/T 3098.6-2014   紧固件机械性能不锈钢螺栓、螺钉和螺柱</w:t>
            </w:r>
          </w:p>
          <w:p>
            <w:pPr>
              <w:jc w:val="left"/>
            </w:pPr>
            <w:r>
              <w:rPr>
                <w:sz w:val="22"/>
              </w:rPr>
              <w:t>GB/T 3098.6-2014   六角头螺栓</w:t>
            </w:r>
          </w:p>
          <w:p>
            <w:pPr>
              <w:jc w:val="left"/>
            </w:pPr>
            <w:r>
              <w:rPr>
                <w:sz w:val="22"/>
              </w:rPr>
              <w:t>JB/T 81-2015       板式平焊钢制管法兰</w:t>
            </w:r>
          </w:p>
          <w:p>
            <w:pPr>
              <w:jc w:val="left"/>
            </w:pPr>
            <w:r>
              <w:rPr>
                <w:sz w:val="22"/>
              </w:rPr>
              <w:t>GB/T 699-2015      优质碳素结构钢</w:t>
            </w:r>
          </w:p>
          <w:p>
            <w:pPr>
              <w:jc w:val="left"/>
            </w:pPr>
            <w:r>
              <w:rPr>
                <w:sz w:val="22"/>
              </w:rPr>
              <w:t>GB/T 20878-2007    不锈钢和耐热钢牌号及化学成分</w:t>
            </w:r>
          </w:p>
          <w:p>
            <w:pPr>
              <w:jc w:val="left"/>
            </w:pPr>
            <w:r>
              <w:rPr>
                <w:sz w:val="22"/>
              </w:rPr>
              <w:t>GB/T12230-2005     通用阀门不锈钢铸造技术条件</w:t>
            </w:r>
          </w:p>
          <w:p>
            <w:pPr>
              <w:jc w:val="left"/>
            </w:pPr>
            <w:r>
              <w:rPr>
                <w:sz w:val="22"/>
              </w:rPr>
              <w:t>GB/T825-1988       吊环螺钉</w:t>
            </w:r>
          </w:p>
          <w:p>
            <w:pPr>
              <w:jc w:val="left"/>
            </w:pPr>
            <w:r>
              <w:rPr>
                <w:sz w:val="22"/>
              </w:rPr>
              <w:t>GB/T12221-2005     金属阀门结构长度</w:t>
            </w:r>
          </w:p>
          <w:p>
            <w:pPr>
              <w:jc w:val="left"/>
            </w:pPr>
            <w:r>
              <w:rPr>
                <w:sz w:val="22"/>
              </w:rPr>
              <w:t>JB/T6804-2006      抗震压力表</w:t>
            </w:r>
          </w:p>
          <w:p>
            <w:pPr>
              <w:jc w:val="left"/>
            </w:pPr>
            <w:r>
              <w:rPr>
                <w:sz w:val="22"/>
              </w:rPr>
              <w:t>JB/T 6172-2005     压力传感器系列型谱</w:t>
            </w:r>
          </w:p>
          <w:p>
            <w:pPr>
              <w:jc w:val="left"/>
            </w:pPr>
            <w:r>
              <w:rPr>
                <w:sz w:val="22"/>
              </w:rPr>
              <w:t>GB/T 706-2016</w:t>
            </w:r>
            <w:r>
              <w:rPr>
                <w:sz w:val="22"/>
              </w:rPr>
              <w:t xml:space="preserve">      </w:t>
            </w:r>
            <w:r>
              <w:rPr>
                <w:sz w:val="22"/>
              </w:rPr>
              <w:t>热轧槽钢尺寸、外形、重量及允许偏差</w:t>
            </w:r>
          </w:p>
          <w:p>
            <w:pPr>
              <w:jc w:val="left"/>
            </w:pPr>
            <w:r>
              <w:rPr>
                <w:sz w:val="22"/>
              </w:rPr>
              <w:t>GB/T 9126-2008</w:t>
            </w:r>
            <w:r>
              <w:rPr>
                <w:sz w:val="22"/>
              </w:rPr>
              <w:t xml:space="preserve">     </w:t>
            </w:r>
            <w:r>
              <w:rPr>
                <w:sz w:val="22"/>
              </w:rPr>
              <w:t>管法兰用非金属平垫片</w:t>
            </w:r>
            <w:r>
              <w:rPr>
                <w:sz w:val="22"/>
              </w:rPr>
              <w:t>尺寸</w:t>
            </w:r>
          </w:p>
          <w:p>
            <w:pPr>
              <w:ind w:firstLine="440"/>
              <w:jc w:val="left"/>
            </w:pPr>
            <w:r>
              <w:rPr>
                <w:sz w:val="22"/>
              </w:rPr>
              <w:t>所采用的标准均应为项目执行时的最新有效版本。若投标人采用除上述之外的其它被承认的相关国内、国际标准，应明确提出并提供相应标准复印件，经招标人批准后方可采用。</w:t>
            </w:r>
          </w:p>
          <w:p>
            <w:pPr>
              <w:jc w:val="left"/>
            </w:pPr>
            <w:r>
              <w:rPr>
                <w:sz w:val="22"/>
              </w:rPr>
              <w:t>3.项目附图：</w:t>
            </w:r>
          </w:p>
          <w:p>
            <w:pPr>
              <w:jc w:val="both"/>
            </w:pPr>
            <w:r>
              <w:rPr>
                <w:sz w:val="22"/>
              </w:rPr>
              <w:t>（</w:t>
            </w:r>
            <w:r>
              <w:rPr>
                <w:sz w:val="22"/>
              </w:rPr>
              <w:t>1）粤东医院感染性疾病救治中心给排水设计说明及图例；</w:t>
            </w:r>
          </w:p>
          <w:p>
            <w:pPr>
              <w:jc w:val="both"/>
            </w:pPr>
            <w:r>
              <w:rPr>
                <w:sz w:val="22"/>
              </w:rPr>
              <w:t>（</w:t>
            </w:r>
            <w:r>
              <w:rPr>
                <w:sz w:val="22"/>
              </w:rPr>
              <w:t>2）粤东医院感染性疾病救治中心地下室给排水平面图；</w:t>
            </w:r>
          </w:p>
          <w:p>
            <w:pPr>
              <w:jc w:val="both"/>
            </w:pPr>
            <w:r>
              <w:rPr>
                <w:sz w:val="22"/>
              </w:rPr>
              <w:t>（</w:t>
            </w:r>
            <w:r>
              <w:rPr>
                <w:sz w:val="22"/>
              </w:rPr>
              <w:t>3）粤东医院感染性疾病救治中心生活给水泵房大样图</w:t>
            </w:r>
            <w:r>
              <w:rPr>
                <w:sz w:val="24"/>
              </w:rPr>
              <w:t>。</w:t>
            </w:r>
          </w:p>
          <w:p>
            <w:pPr>
              <w:jc w:val="both"/>
            </w:pPr>
            <w:r>
              <w:rPr>
                <w:sz w:val="22"/>
              </w:rPr>
              <w:t>四、技术要求</w:t>
            </w:r>
          </w:p>
          <w:p>
            <w:pPr>
              <w:jc w:val="both"/>
            </w:pPr>
            <w:r>
              <w:rPr>
                <w:sz w:val="22"/>
              </w:rPr>
              <w:t>（一）生活给水系统</w:t>
            </w:r>
          </w:p>
          <w:p>
            <w:pPr>
              <w:jc w:val="both"/>
            </w:pPr>
            <w:r>
              <w:rPr>
                <w:sz w:val="22"/>
              </w:rPr>
              <w:t>1.水源</w:t>
            </w:r>
          </w:p>
          <w:p>
            <w:pPr>
              <w:jc w:val="both"/>
            </w:pPr>
            <w:r>
              <w:rPr>
                <w:sz w:val="22"/>
              </w:rPr>
              <w:t>（</w:t>
            </w:r>
            <w:r>
              <w:rPr>
                <w:sz w:val="22"/>
              </w:rPr>
              <w:t>1）从市政给水管引入1根管，水压按照0.14MPa设计，接入管径为DN150,供生活及消防用水，供水引入主管上均设计量水表及倒流防止器。</w:t>
            </w:r>
          </w:p>
          <w:p>
            <w:pPr>
              <w:jc w:val="both"/>
            </w:pPr>
            <w:r>
              <w:rPr>
                <w:sz w:val="22"/>
              </w:rPr>
              <w:t>（</w:t>
            </w:r>
            <w:r>
              <w:rPr>
                <w:sz w:val="22"/>
              </w:rPr>
              <w:t>2）生活给水系统的水质，应符合现行的《生活饮用水卫生标准》GB 5749-2022的要求。</w:t>
            </w:r>
          </w:p>
          <w:p>
            <w:pPr>
              <w:jc w:val="both"/>
            </w:pPr>
            <w:r>
              <w:rPr>
                <w:sz w:val="22"/>
              </w:rPr>
              <w:t>2.计量</w:t>
            </w:r>
          </w:p>
          <w:p>
            <w:pPr>
              <w:jc w:val="both"/>
            </w:pPr>
            <w:r>
              <w:rPr>
                <w:sz w:val="22"/>
              </w:rPr>
              <w:t>（</w:t>
            </w:r>
            <w:r>
              <w:rPr>
                <w:sz w:val="22"/>
              </w:rPr>
              <w:t>1）市政给水引入管DN150，设一组生活用水水表DN150,一组消防用水水表DN100。</w:t>
            </w:r>
          </w:p>
          <w:p>
            <w:pPr>
              <w:jc w:val="both"/>
            </w:pPr>
            <w:r>
              <w:rPr>
                <w:sz w:val="22"/>
              </w:rPr>
              <w:t>（</w:t>
            </w:r>
            <w:r>
              <w:rPr>
                <w:sz w:val="22"/>
              </w:rPr>
              <w:t>2）根据管理要求，室内各功能分区及卫生间分别设置计量水表。</w:t>
            </w:r>
          </w:p>
          <w:p>
            <w:pPr>
              <w:jc w:val="both"/>
            </w:pPr>
            <w:r>
              <w:rPr>
                <w:sz w:val="22"/>
              </w:rPr>
              <w:t>（</w:t>
            </w:r>
            <w:r>
              <w:rPr>
                <w:sz w:val="22"/>
              </w:rPr>
              <w:t>3）设置用水量远程计量系统（采用远传水表），能分类、分级记录，统计分析各种用水情况；水表应根据水平衡测试的要求分级安装，分级计量水表安装率达到100%，不得出现无计量支路。</w:t>
            </w:r>
          </w:p>
          <w:p>
            <w:pPr>
              <w:jc w:val="both"/>
            </w:pPr>
            <w:r>
              <w:rPr>
                <w:sz w:val="22"/>
              </w:rPr>
              <w:t>3.系统竖向分区</w:t>
            </w:r>
          </w:p>
          <w:p>
            <w:pPr>
              <w:ind w:firstLine="440"/>
              <w:jc w:val="both"/>
            </w:pPr>
            <w:r>
              <w:rPr>
                <w:sz w:val="22"/>
              </w:rPr>
              <w:t>系统竖向划分为</w:t>
            </w:r>
            <w:r>
              <w:rPr>
                <w:sz w:val="22"/>
              </w:rPr>
              <w:t>3个分区，第一个分区负责地下室、首层公共卫生间。第二个分区负责首层（集中供热水点）至五层，由低区变频恒压系统供水。第三个分区负责六层至十二层，由高区变频恒压系统供水。</w:t>
            </w:r>
          </w:p>
          <w:p>
            <w:pPr>
              <w:jc w:val="both"/>
            </w:pPr>
            <w:r>
              <w:rPr>
                <w:sz w:val="22"/>
              </w:rPr>
              <w:t>4.恒压变频供水设备参数</w:t>
            </w:r>
          </w:p>
          <w:p>
            <w:pPr>
              <w:jc w:val="both"/>
            </w:pPr>
            <w:r>
              <w:rPr>
                <w:sz w:val="22"/>
              </w:rPr>
              <w:t>生活泵房内共设两套恒压变频供水设备系统</w:t>
            </w:r>
          </w:p>
          <w:p>
            <w:pPr>
              <w:jc w:val="both"/>
            </w:pPr>
            <w:r>
              <w:rPr>
                <w:sz w:val="22"/>
              </w:rPr>
              <w:t>（</w:t>
            </w:r>
            <w:r>
              <w:rPr>
                <w:sz w:val="22"/>
              </w:rPr>
              <w:t>1）低区：Q=28m³/h，H=56m,N=7.5kW,主泵两用一备，配气压罐；</w:t>
            </w:r>
          </w:p>
          <w:p>
            <w:pPr>
              <w:ind w:firstLine="1100"/>
              <w:jc w:val="both"/>
            </w:pPr>
            <w:r>
              <w:rPr>
                <w:sz w:val="22"/>
              </w:rPr>
              <w:t>Q=10m³/h，H=56m,N=4kW,副泵一台一用。</w:t>
            </w:r>
          </w:p>
          <w:p>
            <w:pPr>
              <w:jc w:val="both"/>
            </w:pPr>
            <w:r>
              <w:rPr>
                <w:sz w:val="22"/>
              </w:rPr>
              <w:t>（</w:t>
            </w:r>
            <w:r>
              <w:rPr>
                <w:sz w:val="22"/>
              </w:rPr>
              <w:t>2）高区：Q=22m³/h，H=85m,N=11kW,主泵两用一备，配气压罐；</w:t>
            </w:r>
          </w:p>
          <w:p>
            <w:pPr>
              <w:ind w:firstLine="1100"/>
              <w:jc w:val="both"/>
            </w:pPr>
            <w:r>
              <w:rPr>
                <w:sz w:val="22"/>
              </w:rPr>
              <w:t>Q=8m³/h，H=85m,N=5.5kW,副泵一台一用。</w:t>
            </w:r>
          </w:p>
          <w:p>
            <w:pPr>
              <w:jc w:val="both"/>
            </w:pPr>
            <w:r>
              <w:rPr>
                <w:sz w:val="22"/>
              </w:rPr>
              <w:t>5.水泵技术要求</w:t>
            </w:r>
          </w:p>
          <w:p>
            <w:pPr>
              <w:jc w:val="both"/>
            </w:pPr>
            <w:r>
              <w:rPr>
                <w:sz w:val="22"/>
              </w:rPr>
              <w:t>▲（1）水泵作为设备主要核心部件，应选用不锈钢轻型立式多级离心泵，水泵效率符合GB19762-2007《清水离心泵能效限定值及节能评价值》标准节能评价值，并获得中国节能产品认证证书。</w:t>
            </w:r>
          </w:p>
          <w:p>
            <w:pPr>
              <w:jc w:val="both"/>
            </w:pPr>
            <w:r>
              <w:rPr>
                <w:sz w:val="22"/>
              </w:rPr>
              <w:t>▲（2）水泵获得国家工信部证明文件。</w:t>
            </w:r>
          </w:p>
          <w:p>
            <w:pPr>
              <w:jc w:val="both"/>
            </w:pPr>
            <w:r>
              <w:rPr>
                <w:sz w:val="22"/>
              </w:rPr>
              <w:t>▲（3）叶轮、导叶</w:t>
            </w:r>
          </w:p>
          <w:p>
            <w:pPr>
              <w:ind w:firstLine="440"/>
              <w:jc w:val="both"/>
            </w:pPr>
            <w:r>
              <w:rPr>
                <w:sz w:val="22"/>
              </w:rPr>
              <w:t>水泵叶轮、导叶采用冲压机器人自动激光焊接成型，满焊工艺，所有过流部件需选用不锈钢</w:t>
            </w:r>
            <w:r>
              <w:rPr>
                <w:sz w:val="22"/>
              </w:rPr>
              <w:t>SUS304或以上材质，材质中有害物质不得超标，需提供由权威检测机构出具的检测报告。</w:t>
            </w:r>
          </w:p>
          <w:p>
            <w:pPr>
              <w:jc w:val="both"/>
            </w:pPr>
            <w:r>
              <w:rPr>
                <w:sz w:val="22"/>
              </w:rPr>
              <w:t>▲（4）泵轴及轴封</w:t>
            </w:r>
          </w:p>
          <w:p>
            <w:pPr>
              <w:ind w:firstLine="440"/>
              <w:jc w:val="both"/>
            </w:pPr>
            <w:r>
              <w:rPr>
                <w:sz w:val="22"/>
              </w:rPr>
              <w:t>泵轴采用不锈钢</w:t>
            </w:r>
            <w:r>
              <w:rPr>
                <w:sz w:val="22"/>
              </w:rPr>
              <w:t>SUS316或以上材质，需提供材质检测报告。主轴应采用圆轴或扁轴设计，不允许采用梅花键型的设计。轴封采用集装式机械密封，结构设计上需满足电机功率≥5.5KW维修更换机封时无需拆卸电机。</w:t>
            </w:r>
          </w:p>
          <w:p>
            <w:pPr>
              <w:jc w:val="both"/>
            </w:pPr>
            <w:r>
              <w:rPr>
                <w:sz w:val="22"/>
              </w:rPr>
              <w:t>（</w:t>
            </w:r>
            <w:r>
              <w:rPr>
                <w:sz w:val="22"/>
              </w:rPr>
              <w:t>5）轴承</w:t>
            </w:r>
          </w:p>
          <w:p>
            <w:pPr>
              <w:ind w:firstLine="440"/>
              <w:jc w:val="both"/>
            </w:pPr>
            <w:r>
              <w:rPr>
                <w:sz w:val="22"/>
              </w:rPr>
              <w:t>电机轴承应采用油润滑或脂润滑，采购优质轴承产品。</w:t>
            </w:r>
          </w:p>
          <w:p>
            <w:pPr>
              <w:jc w:val="both"/>
            </w:pPr>
            <w:r>
              <w:rPr>
                <w:sz w:val="22"/>
              </w:rPr>
              <w:t>（</w:t>
            </w:r>
            <w:r>
              <w:rPr>
                <w:sz w:val="22"/>
              </w:rPr>
              <w:t>6）联轴器和护罩</w:t>
            </w:r>
            <w:r>
              <w:rPr>
                <w:sz w:val="22"/>
              </w:rPr>
              <w:t>：泵与驱动机之间应采用联轴器连接传动，应采用刚性联轴器，联轴器宜设计成便拆式。应安装工程塑料或不锈钢材质的可拆式联轴器护罩。且不与转动件接触或者导致永久变形。</w:t>
            </w:r>
          </w:p>
          <w:p>
            <w:pPr>
              <w:jc w:val="both"/>
            </w:pPr>
            <w:r>
              <w:rPr>
                <w:sz w:val="22"/>
              </w:rPr>
              <w:t>（</w:t>
            </w:r>
            <w:r>
              <w:rPr>
                <w:sz w:val="22"/>
              </w:rPr>
              <w:t>7）水泵设备的噪音应符合GB/T29529-2013 《泵的噪声测量与评价方法》，且运行噪音不超过80dB（A）。</w:t>
            </w:r>
          </w:p>
          <w:p>
            <w:pPr>
              <w:jc w:val="both"/>
            </w:pPr>
            <w:r>
              <w:rPr>
                <w:sz w:val="22"/>
              </w:rPr>
              <w:t>（</w:t>
            </w:r>
            <w:r>
              <w:rPr>
                <w:sz w:val="22"/>
              </w:rPr>
              <w:t>8）水泵材质要求</w:t>
            </w:r>
          </w:p>
          <w:tbl>
            <w:tblPr>
              <w:tblBorders>
                <w:top w:val="none" w:color="000000" w:sz="4"/>
                <w:left w:val="none" w:color="000000" w:sz="4"/>
                <w:bottom w:val="none" w:color="000000" w:sz="4"/>
                <w:right w:val="none" w:color="000000" w:sz="4"/>
                <w:insideH w:val="none"/>
                <w:insideV w:val="none"/>
              </w:tblBorders>
            </w:tblPr>
            <w:tblGrid>
              <w:gridCol w:w="1177"/>
              <w:gridCol w:w="4409"/>
            </w:tblGrid>
            <w:tr>
              <w:tc>
                <w:tcPr>
                  <w:tcW w:type="dxa" w:w="1177"/>
                  <w:tcBorders>
                    <w:top w:val="single" w:color="000000" w:sz="4"/>
                    <w:left w:val="single" w:color="000000" w:sz="4"/>
                    <w:bottom w:val="single" w:color="000000" w:sz="4"/>
                    <w:right w:val="single" w:color="000000" w:sz="4"/>
                  </w:tcBorders>
                  <w:vAlign w:val="top"/>
                </w:tcPr>
                <w:p>
                  <w:pPr>
                    <w:jc w:val="center"/>
                  </w:pPr>
                  <w:r>
                    <w:rPr>
                      <w:sz w:val="22"/>
                    </w:rPr>
                    <w:t>部件名称</w:t>
                  </w:r>
                </w:p>
              </w:tc>
              <w:tc>
                <w:tcPr>
                  <w:tcW w:type="dxa" w:w="4409"/>
                  <w:tcBorders>
                    <w:top w:val="single" w:color="000000" w:sz="4"/>
                    <w:left w:val="single" w:color="000000" w:sz="4"/>
                    <w:bottom w:val="single" w:color="000000" w:sz="4"/>
                    <w:right w:val="single" w:color="000000" w:sz="4"/>
                  </w:tcBorders>
                  <w:vAlign w:val="top"/>
                </w:tcPr>
                <w:p>
                  <w:pPr>
                    <w:jc w:val="center"/>
                  </w:pPr>
                  <w:r>
                    <w:rPr>
                      <w:sz w:val="22"/>
                    </w:rPr>
                    <w:t>材质要求</w:t>
                  </w:r>
                </w:p>
              </w:tc>
            </w:tr>
            <w:tr>
              <w:tc>
                <w:tcPr>
                  <w:tcW w:type="dxa" w:w="1177"/>
                  <w:tcBorders>
                    <w:top w:val="none" w:color="000000" w:sz="4"/>
                    <w:left w:val="single" w:color="000000" w:sz="4"/>
                    <w:bottom w:val="single" w:color="000000" w:sz="4"/>
                    <w:right w:val="single" w:color="000000" w:sz="4"/>
                  </w:tcBorders>
                  <w:vAlign w:val="top"/>
                </w:tcPr>
                <w:p>
                  <w:pPr>
                    <w:jc w:val="center"/>
                  </w:pPr>
                  <w:r>
                    <w:rPr>
                      <w:sz w:val="22"/>
                    </w:rPr>
                    <w:t>泵头</w:t>
                  </w:r>
                </w:p>
              </w:tc>
              <w:tc>
                <w:tcPr>
                  <w:tcW w:type="dxa" w:w="4409"/>
                  <w:tcBorders>
                    <w:top w:val="none" w:color="000000" w:sz="4"/>
                    <w:left w:val="single" w:color="000000" w:sz="4"/>
                    <w:bottom w:val="single" w:color="000000" w:sz="4"/>
                    <w:right w:val="single" w:color="000000" w:sz="4"/>
                  </w:tcBorders>
                  <w:vAlign w:val="top"/>
                </w:tcPr>
                <w:p>
                  <w:pPr>
                    <w:jc w:val="center"/>
                  </w:pPr>
                  <w:r>
                    <w:rPr>
                      <w:sz w:val="22"/>
                    </w:rPr>
                    <w:t>铸铁</w:t>
                  </w:r>
                  <w:r>
                    <w:rPr>
                      <w:sz w:val="22"/>
                    </w:rPr>
                    <w:t>HT200及以上材质</w:t>
                  </w:r>
                </w:p>
              </w:tc>
            </w:tr>
            <w:tr>
              <w:tc>
                <w:tcPr>
                  <w:tcW w:type="dxa" w:w="1177"/>
                  <w:tcBorders>
                    <w:top w:val="none" w:color="000000" w:sz="4"/>
                    <w:left w:val="single" w:color="000000" w:sz="4"/>
                    <w:bottom w:val="single" w:color="000000" w:sz="4"/>
                    <w:right w:val="single" w:color="000000" w:sz="4"/>
                  </w:tcBorders>
                  <w:vAlign w:val="top"/>
                </w:tcPr>
                <w:p>
                  <w:pPr>
                    <w:jc w:val="center"/>
                  </w:pPr>
                  <w:r>
                    <w:rPr>
                      <w:sz w:val="22"/>
                    </w:rPr>
                    <w:t>叶轮、导叶</w:t>
                  </w:r>
                </w:p>
              </w:tc>
              <w:tc>
                <w:tcPr>
                  <w:tcW w:type="dxa" w:w="4409"/>
                  <w:tcBorders>
                    <w:top w:val="none" w:color="000000" w:sz="4"/>
                    <w:left w:val="single" w:color="000000" w:sz="4"/>
                    <w:bottom w:val="single" w:color="000000" w:sz="4"/>
                    <w:right w:val="single" w:color="000000" w:sz="4"/>
                  </w:tcBorders>
                  <w:vAlign w:val="top"/>
                </w:tcPr>
                <w:p>
                  <w:pPr>
                    <w:jc w:val="center"/>
                  </w:pPr>
                  <w:r>
                    <w:rPr>
                      <w:sz w:val="22"/>
                    </w:rPr>
                    <w:t>SUS304不锈钢</w:t>
                  </w:r>
                </w:p>
              </w:tc>
            </w:tr>
            <w:tr>
              <w:tc>
                <w:tcPr>
                  <w:tcW w:type="dxa" w:w="1177"/>
                  <w:tcBorders>
                    <w:top w:val="none" w:color="000000" w:sz="4"/>
                    <w:left w:val="single" w:color="000000" w:sz="4"/>
                    <w:bottom w:val="single" w:color="000000" w:sz="4"/>
                    <w:right w:val="single" w:color="000000" w:sz="4"/>
                  </w:tcBorders>
                  <w:vAlign w:val="top"/>
                </w:tcPr>
                <w:p>
                  <w:pPr>
                    <w:jc w:val="center"/>
                  </w:pPr>
                  <w:r>
                    <w:rPr>
                      <w:sz w:val="22"/>
                    </w:rPr>
                    <w:t>进出水段</w:t>
                  </w:r>
                </w:p>
              </w:tc>
              <w:tc>
                <w:tcPr>
                  <w:tcW w:type="dxa" w:w="4409"/>
                  <w:tcBorders>
                    <w:top w:val="none" w:color="000000" w:sz="4"/>
                    <w:left w:val="single" w:color="000000" w:sz="4"/>
                    <w:bottom w:val="single" w:color="000000" w:sz="4"/>
                    <w:right w:val="single" w:color="000000" w:sz="4"/>
                  </w:tcBorders>
                  <w:vAlign w:val="top"/>
                </w:tcPr>
                <w:p>
                  <w:pPr>
                    <w:jc w:val="center"/>
                  </w:pPr>
                  <w:r>
                    <w:rPr>
                      <w:sz w:val="22"/>
                    </w:rPr>
                    <w:t>SUS304不锈钢</w:t>
                  </w:r>
                </w:p>
              </w:tc>
            </w:tr>
            <w:tr>
              <w:tc>
                <w:tcPr>
                  <w:tcW w:type="dxa" w:w="1177"/>
                  <w:tcBorders>
                    <w:top w:val="none" w:color="000000" w:sz="4"/>
                    <w:left w:val="single" w:color="000000" w:sz="4"/>
                    <w:bottom w:val="single" w:color="000000" w:sz="4"/>
                    <w:right w:val="single" w:color="000000" w:sz="4"/>
                  </w:tcBorders>
                  <w:vAlign w:val="top"/>
                </w:tcPr>
                <w:p>
                  <w:pPr>
                    <w:jc w:val="center"/>
                  </w:pPr>
                  <w:r>
                    <w:rPr>
                      <w:sz w:val="22"/>
                    </w:rPr>
                    <w:t>泵轴</w:t>
                  </w:r>
                </w:p>
              </w:tc>
              <w:tc>
                <w:tcPr>
                  <w:tcW w:type="dxa" w:w="4409"/>
                  <w:tcBorders>
                    <w:top w:val="none" w:color="000000" w:sz="4"/>
                    <w:left w:val="single" w:color="000000" w:sz="4"/>
                    <w:bottom w:val="single" w:color="000000" w:sz="4"/>
                    <w:right w:val="single" w:color="000000" w:sz="4"/>
                  </w:tcBorders>
                  <w:vAlign w:val="top"/>
                </w:tcPr>
                <w:p>
                  <w:pPr>
                    <w:jc w:val="center"/>
                  </w:pPr>
                  <w:r>
                    <w:rPr>
                      <w:sz w:val="22"/>
                    </w:rPr>
                    <w:t>SUS316不锈钢</w:t>
                  </w:r>
                </w:p>
              </w:tc>
            </w:tr>
            <w:tr>
              <w:tc>
                <w:tcPr>
                  <w:tcW w:type="dxa" w:w="1177"/>
                  <w:tcBorders>
                    <w:top w:val="none" w:color="000000" w:sz="4"/>
                    <w:left w:val="single" w:color="000000" w:sz="4"/>
                    <w:bottom w:val="single" w:color="000000" w:sz="4"/>
                    <w:right w:val="single" w:color="000000" w:sz="4"/>
                  </w:tcBorders>
                  <w:vAlign w:val="top"/>
                </w:tcPr>
                <w:p>
                  <w:pPr>
                    <w:jc w:val="center"/>
                  </w:pPr>
                  <w:r>
                    <w:rPr>
                      <w:sz w:val="22"/>
                    </w:rPr>
                    <w:t>底座</w:t>
                  </w:r>
                </w:p>
              </w:tc>
              <w:tc>
                <w:tcPr>
                  <w:tcW w:type="dxa" w:w="4409"/>
                  <w:tcBorders>
                    <w:top w:val="none" w:color="000000" w:sz="4"/>
                    <w:left w:val="single" w:color="000000" w:sz="4"/>
                    <w:bottom w:val="single" w:color="000000" w:sz="4"/>
                    <w:right w:val="single" w:color="000000" w:sz="4"/>
                  </w:tcBorders>
                  <w:vAlign w:val="top"/>
                </w:tcPr>
                <w:p>
                  <w:pPr>
                    <w:jc w:val="center"/>
                  </w:pPr>
                  <w:r>
                    <w:rPr>
                      <w:sz w:val="22"/>
                    </w:rPr>
                    <w:t>铸铁</w:t>
                  </w:r>
                  <w:r>
                    <w:rPr>
                      <w:sz w:val="22"/>
                    </w:rPr>
                    <w:t>HT200或铸铝</w:t>
                  </w:r>
                </w:p>
              </w:tc>
            </w:tr>
            <w:tr>
              <w:tc>
                <w:tcPr>
                  <w:tcW w:type="dxa" w:w="1177"/>
                  <w:tcBorders>
                    <w:top w:val="none" w:color="000000" w:sz="4"/>
                    <w:left w:val="single" w:color="000000" w:sz="4"/>
                    <w:bottom w:val="single" w:color="000000" w:sz="4"/>
                    <w:right w:val="single" w:color="000000" w:sz="4"/>
                  </w:tcBorders>
                  <w:vAlign w:val="top"/>
                </w:tcPr>
                <w:p>
                  <w:pPr>
                    <w:jc w:val="center"/>
                  </w:pPr>
                  <w:r>
                    <w:rPr>
                      <w:sz w:val="22"/>
                    </w:rPr>
                    <w:t>导轴承</w:t>
                  </w:r>
                </w:p>
              </w:tc>
              <w:tc>
                <w:tcPr>
                  <w:tcW w:type="dxa" w:w="4409"/>
                  <w:tcBorders>
                    <w:top w:val="none" w:color="000000" w:sz="4"/>
                    <w:left w:val="single" w:color="000000" w:sz="4"/>
                    <w:bottom w:val="single" w:color="000000" w:sz="4"/>
                    <w:right w:val="single" w:color="000000" w:sz="4"/>
                  </w:tcBorders>
                  <w:vAlign w:val="top"/>
                </w:tcPr>
                <w:p>
                  <w:pPr>
                    <w:jc w:val="center"/>
                  </w:pPr>
                  <w:r>
                    <w:rPr>
                      <w:sz w:val="22"/>
                    </w:rPr>
                    <w:t>碳化钨合金</w:t>
                  </w:r>
                </w:p>
              </w:tc>
            </w:tr>
            <w:tr>
              <w:tc>
                <w:tcPr>
                  <w:tcW w:type="dxa" w:w="1177"/>
                  <w:tcBorders>
                    <w:top w:val="none" w:color="000000" w:sz="4"/>
                    <w:left w:val="single" w:color="000000" w:sz="4"/>
                    <w:bottom w:val="single" w:color="000000" w:sz="4"/>
                    <w:right w:val="single" w:color="000000" w:sz="4"/>
                  </w:tcBorders>
                  <w:vAlign w:val="top"/>
                </w:tcPr>
                <w:p>
                  <w:pPr>
                    <w:jc w:val="center"/>
                  </w:pPr>
                  <w:r>
                    <w:rPr>
                      <w:sz w:val="22"/>
                    </w:rPr>
                    <w:t>螺栓、螺母</w:t>
                  </w:r>
                </w:p>
              </w:tc>
              <w:tc>
                <w:tcPr>
                  <w:tcW w:type="dxa" w:w="4409"/>
                  <w:tcBorders>
                    <w:top w:val="none" w:color="000000" w:sz="4"/>
                    <w:left w:val="single" w:color="000000" w:sz="4"/>
                    <w:bottom w:val="single" w:color="000000" w:sz="4"/>
                    <w:right w:val="single" w:color="000000" w:sz="4"/>
                  </w:tcBorders>
                  <w:vAlign w:val="top"/>
                </w:tcPr>
                <w:p>
                  <w:pPr>
                    <w:jc w:val="center"/>
                  </w:pPr>
                  <w:r>
                    <w:rPr>
                      <w:sz w:val="22"/>
                    </w:rPr>
                    <w:t>SUS304不锈钢</w:t>
                  </w:r>
                </w:p>
              </w:tc>
            </w:tr>
            <w:tr>
              <w:tc>
                <w:tcPr>
                  <w:tcW w:type="dxa" w:w="1177"/>
                  <w:tcBorders>
                    <w:top w:val="none" w:color="000000" w:sz="4"/>
                    <w:left w:val="single" w:color="000000" w:sz="4"/>
                    <w:bottom w:val="single" w:color="000000" w:sz="4"/>
                    <w:right w:val="single" w:color="000000" w:sz="4"/>
                  </w:tcBorders>
                  <w:vAlign w:val="top"/>
                </w:tcPr>
                <w:p>
                  <w:pPr>
                    <w:jc w:val="center"/>
                  </w:pPr>
                  <w:r>
                    <w:rPr>
                      <w:sz w:val="22"/>
                    </w:rPr>
                    <w:t>轴承</w:t>
                  </w:r>
                </w:p>
              </w:tc>
              <w:tc>
                <w:tcPr>
                  <w:tcW w:type="dxa" w:w="4409"/>
                  <w:tcBorders>
                    <w:top w:val="none" w:color="000000" w:sz="4"/>
                    <w:left w:val="single" w:color="000000" w:sz="4"/>
                    <w:bottom w:val="single" w:color="000000" w:sz="4"/>
                    <w:right w:val="single" w:color="000000" w:sz="4"/>
                  </w:tcBorders>
                  <w:vAlign w:val="top"/>
                </w:tcPr>
                <w:p>
                  <w:pPr>
                    <w:jc w:val="center"/>
                  </w:pPr>
                  <w:r>
                    <w:rPr>
                      <w:sz w:val="22"/>
                    </w:rPr>
                    <w:t>高碳钢</w:t>
                  </w:r>
                </w:p>
              </w:tc>
            </w:tr>
            <w:tr>
              <w:tc>
                <w:tcPr>
                  <w:tcW w:type="dxa" w:w="1177"/>
                  <w:tcBorders>
                    <w:top w:val="none" w:color="000000" w:sz="4"/>
                    <w:left w:val="single" w:color="000000" w:sz="4"/>
                    <w:bottom w:val="single" w:color="000000" w:sz="4"/>
                    <w:right w:val="single" w:color="000000" w:sz="4"/>
                  </w:tcBorders>
                  <w:vAlign w:val="top"/>
                </w:tcPr>
                <w:p>
                  <w:pPr>
                    <w:jc w:val="center"/>
                  </w:pPr>
                  <w:r>
                    <w:rPr>
                      <w:sz w:val="22"/>
                    </w:rPr>
                    <w:t>机械密封</w:t>
                  </w:r>
                </w:p>
              </w:tc>
              <w:tc>
                <w:tcPr>
                  <w:tcW w:type="dxa" w:w="4409"/>
                  <w:tcBorders>
                    <w:top w:val="none" w:color="000000" w:sz="4"/>
                    <w:left w:val="single" w:color="000000" w:sz="4"/>
                    <w:bottom w:val="single" w:color="000000" w:sz="4"/>
                    <w:right w:val="single" w:color="000000" w:sz="4"/>
                  </w:tcBorders>
                  <w:vAlign w:val="top"/>
                </w:tcPr>
                <w:p>
                  <w:pPr>
                    <w:jc w:val="center"/>
                  </w:pPr>
                  <w:r>
                    <w:rPr>
                      <w:sz w:val="22"/>
                    </w:rPr>
                    <w:t>本体采用</w:t>
                  </w:r>
                  <w:r>
                    <w:rPr>
                      <w:sz w:val="22"/>
                    </w:rPr>
                    <w:t>SUS304及以上，动静环采用高性能碳化钨/石墨，O形圈采用氟橡胶材料</w:t>
                  </w:r>
                </w:p>
              </w:tc>
            </w:tr>
          </w:tbl>
          <w:p>
            <w:pPr>
              <w:jc w:val="both"/>
            </w:pPr>
            <w:r>
              <w:rPr>
                <w:sz w:val="22"/>
              </w:rPr>
              <w:t>6.配套电机技术要求</w:t>
            </w:r>
          </w:p>
          <w:p>
            <w:pPr>
              <w:jc w:val="both"/>
            </w:pPr>
            <w:r>
              <w:rPr>
                <w:sz w:val="22"/>
              </w:rPr>
              <w:t>（</w:t>
            </w:r>
            <w:r>
              <w:rPr>
                <w:sz w:val="22"/>
              </w:rPr>
              <w:t>1）采用三相异步鼠笼型全封闭式电机，电机能效等级符合GB18613-2020国家标准的IE3高效三相异步电动机。</w:t>
            </w:r>
          </w:p>
          <w:p>
            <w:pPr>
              <w:jc w:val="both"/>
            </w:pPr>
            <w:r>
              <w:rPr>
                <w:sz w:val="22"/>
              </w:rPr>
              <w:t>（</w:t>
            </w:r>
            <w:r>
              <w:rPr>
                <w:sz w:val="22"/>
              </w:rPr>
              <w:t>2）电机外壳及端盖：18.5KW以上的电机采用的铸铁材料，采用电泳漆防腐处理，形成致密的油漆保护膜，防止被氧化、防止生锈，保证使用寿命20年以上。</w:t>
            </w:r>
          </w:p>
          <w:p>
            <w:pPr>
              <w:jc w:val="both"/>
            </w:pPr>
            <w:r>
              <w:rPr>
                <w:sz w:val="22"/>
              </w:rPr>
              <w:t>（</w:t>
            </w:r>
            <w:r>
              <w:rPr>
                <w:sz w:val="22"/>
              </w:rPr>
              <w:t>3）电机与动力线连接的连接片：采用优质H65黄铜材质，并应采用导电性能和抗氧化性能均高于黄铜的金属处理工艺，防止铜件在空气中氧化。</w:t>
            </w:r>
          </w:p>
          <w:p>
            <w:pPr>
              <w:jc w:val="both"/>
            </w:pPr>
            <w:r>
              <w:rPr>
                <w:sz w:val="22"/>
              </w:rPr>
              <w:t>（</w:t>
            </w:r>
            <w:r>
              <w:rPr>
                <w:sz w:val="22"/>
              </w:rPr>
              <w:t>4）电机定子、转子、电机外壳需精密加工，装配必须三心同一，一次装配成功。</w:t>
            </w:r>
          </w:p>
          <w:p>
            <w:pPr>
              <w:jc w:val="both"/>
            </w:pPr>
            <w:r>
              <w:rPr>
                <w:sz w:val="22"/>
              </w:rPr>
              <w:t>（</w:t>
            </w:r>
            <w:r>
              <w:rPr>
                <w:sz w:val="22"/>
              </w:rPr>
              <w:t>5）电动机防护等级要求为IP55，绝缘等级不低于F级，电机冷却方式为风冷，电机运行方式为S1（工作状态24小时连续运行）。</w:t>
            </w:r>
          </w:p>
          <w:p>
            <w:pPr>
              <w:jc w:val="both"/>
            </w:pPr>
            <w:r>
              <w:rPr>
                <w:sz w:val="22"/>
              </w:rPr>
              <w:t>（</w:t>
            </w:r>
            <w:r>
              <w:rPr>
                <w:sz w:val="22"/>
              </w:rPr>
              <w:t>6）电机所用绝缘纸、绝缘套管的绝缘等级必须达到H级及以上；电磁线采用耐温200度及以上的铜漆包线。</w:t>
            </w:r>
          </w:p>
          <w:p>
            <w:pPr>
              <w:jc w:val="both"/>
            </w:pPr>
            <w:r>
              <w:rPr>
                <w:sz w:val="22"/>
              </w:rPr>
              <w:t>（</w:t>
            </w:r>
            <w:r>
              <w:rPr>
                <w:sz w:val="22"/>
              </w:rPr>
              <w:t>7）电机转子必须进行动平衡试验，动平衡精度不低于ISO940 G1.0级要求。</w:t>
            </w:r>
          </w:p>
          <w:p>
            <w:pPr>
              <w:jc w:val="both"/>
            </w:pPr>
            <w:r>
              <w:rPr>
                <w:sz w:val="22"/>
              </w:rPr>
              <w:t>（</w:t>
            </w:r>
            <w:r>
              <w:rPr>
                <w:sz w:val="22"/>
              </w:rPr>
              <w:t>8）电机6个出线端子全部引到出线盒，并提供改变电机接法所必须的铜连接片或电缆。</w:t>
            </w:r>
          </w:p>
          <w:p>
            <w:pPr>
              <w:jc w:val="both"/>
            </w:pPr>
            <w:r>
              <w:rPr>
                <w:sz w:val="22"/>
              </w:rPr>
              <w:t>（</w:t>
            </w:r>
            <w:r>
              <w:rPr>
                <w:sz w:val="22"/>
              </w:rPr>
              <w:t>9）电机应能在正常额定电压下波动+5%～-10%的变化中连续运转。</w:t>
            </w:r>
          </w:p>
          <w:p>
            <w:pPr>
              <w:jc w:val="both"/>
            </w:pPr>
            <w:r>
              <w:rPr>
                <w:sz w:val="22"/>
              </w:rPr>
              <w:t>（</w:t>
            </w:r>
            <w:r>
              <w:rPr>
                <w:sz w:val="22"/>
              </w:rPr>
              <w:t>10）当频率正常而电压为0.8Ue时，电机能继续运行5分钟而不产生有害过热，且能在相间电压产生2%的不平衡电压情况下继续运行。</w:t>
            </w:r>
          </w:p>
          <w:p>
            <w:pPr>
              <w:jc w:val="both"/>
            </w:pPr>
            <w:r>
              <w:rPr>
                <w:sz w:val="22"/>
              </w:rPr>
              <w:t>（</w:t>
            </w:r>
            <w:r>
              <w:rPr>
                <w:sz w:val="22"/>
              </w:rPr>
              <w:t>11）电机都要根据要求对外壳进行接地，接地线和接地端子由卖方随每台电机设备一起提供。</w:t>
            </w:r>
          </w:p>
          <w:p>
            <w:pPr>
              <w:jc w:val="both"/>
            </w:pPr>
            <w:r>
              <w:rPr>
                <w:sz w:val="22"/>
              </w:rPr>
              <w:t>（</w:t>
            </w:r>
            <w:r>
              <w:rPr>
                <w:sz w:val="22"/>
              </w:rPr>
              <w:t>12）电机的设计、制造、安装、测试必须服从IEC和最新版中国国家标准或等同的其它标准。每台电机须安装一永久性、不会腐蚀的铭牌，该铭牌应安装在明显位置，所有的电机参数均应以中文（或附带英文）记载在铭牌上。</w:t>
            </w:r>
          </w:p>
          <w:p>
            <w:pPr>
              <w:jc w:val="both"/>
            </w:pPr>
            <w:r>
              <w:rPr>
                <w:sz w:val="22"/>
              </w:rPr>
              <w:t>7.成套设备控制功能要求</w:t>
            </w:r>
          </w:p>
          <w:p>
            <w:pPr>
              <w:jc w:val="both"/>
            </w:pPr>
            <w:r>
              <w:rPr>
                <w:sz w:val="22"/>
              </w:rPr>
              <w:t>（</w:t>
            </w:r>
            <w:r>
              <w:rPr>
                <w:sz w:val="22"/>
              </w:rPr>
              <w:t>1）变频给水泵组均采用末端定压控制，保证末端供水压力不小于0.10MPa，并不大于0.20MPa，整套变频加压设备应包括立式不锈钢水泵、气压罐、电机、基座、管路及变频控制柜等全套配置。成套供应的变频供水设备应符合产品标准《微机控制变频调速给水设备》JC/TC3009的要求，并应具有以下功能：</w:t>
            </w:r>
          </w:p>
          <w:p>
            <w:pPr>
              <w:jc w:val="both"/>
            </w:pPr>
            <w:r>
              <w:rPr>
                <w:sz w:val="22"/>
              </w:rPr>
              <w:t>A.设备应具有远程监视和控制功能，包括设备的启停、各泵的运行状态、进水及出水压力、故障报警、参数的设置。全自动运行，无人值守，无水停机，来水自动开机，停电后复电再启动，变频器报警自动复位和再自动启动，具有变频调节、自动和远程控制启停功能，可实现设备的自动、变频调节、远程启停功能。</w:t>
            </w:r>
          </w:p>
          <w:p>
            <w:pPr>
              <w:jc w:val="both"/>
            </w:pPr>
            <w:r>
              <w:rPr>
                <w:sz w:val="22"/>
              </w:rPr>
              <w:t>B.常规自动保护功能：具有对过压、欠压、过流、过载、缺相等故障进行报警及自动保护，对可恢复的故障应能自动、手工或远程控制消除，恢复正常运行。具备报警记忆功能，故障报警应及时准确。</w:t>
            </w:r>
          </w:p>
          <w:p>
            <w:pPr>
              <w:jc w:val="both"/>
            </w:pPr>
            <w:r>
              <w:rPr>
                <w:sz w:val="22"/>
              </w:rPr>
              <w:t>C.设备配备有UPS电源，UPS电源至少保证弱电系统正常运行1个小时以上。</w:t>
            </w:r>
          </w:p>
          <w:p>
            <w:pPr>
              <w:jc w:val="both"/>
            </w:pPr>
            <w:r>
              <w:rPr>
                <w:sz w:val="22"/>
              </w:rPr>
              <w:t>D.设备泵组轮换功能：设备运行时，工作泵与备用泵应能够自动交替轮换运行。当任一台工作水泵发生故障时，备用水泵应能自动投入运行。工作泵与备用泵能定时轮换运行，自动切换、自动巡检。水泵切换时间与设定时间的偏差不应超过±30s，能够做到先启先停。为避免先启先停导致水泵运行累计时间的不均衡，设备还必须具备强制切换运行时间较少的水泵自动投入运行功能，是每台水泵均匀磨损，延长使用寿命。</w:t>
            </w:r>
          </w:p>
          <w:p>
            <w:pPr>
              <w:jc w:val="both"/>
            </w:pPr>
            <w:r>
              <w:rPr>
                <w:sz w:val="22"/>
              </w:rPr>
              <w:t>E.采用全变频控制设备时：设备启动，第一台水泵变频启动达到额定的频率，但设备出水口压力仍未稳定达到设置定时，变频器启动第二台水泵，以此类推；当压力稳定后，用水需求降低，全部工作水泵将降速变频运行，满足系统水量水压需求，压力稳定后自动进行能耗判别选择合适的水泵运行台数。当系统需求降低到最小极限之时，及现在供水流量非常小时，系统将激活小流量停机功能。此时，当用户有少量用水需求，将由气压罐优先补偿，气压罐不能满足需求时，水泵再次启动。每台水泵采用一台独立的变频器拖动与控制，每台变频器具备工业通讯接口。</w:t>
            </w:r>
          </w:p>
          <w:p>
            <w:pPr>
              <w:jc w:val="both"/>
            </w:pPr>
            <w:r>
              <w:rPr>
                <w:sz w:val="22"/>
              </w:rPr>
              <w:t>F.夜间小流量时，自动切换至小水泵或者气压罐运行。</w:t>
            </w:r>
          </w:p>
          <w:p>
            <w:pPr>
              <w:jc w:val="both"/>
            </w:pPr>
            <w:r>
              <w:rPr>
                <w:sz w:val="22"/>
              </w:rPr>
              <w:t>G.管路水流方向有指示，阀门功能及启闭标识，机泵贴牌标注水泵型号及标识，控制柜和设备机组注明供水区域范围指示牌、危险警示标识。</w:t>
            </w:r>
          </w:p>
          <w:p>
            <w:pPr>
              <w:jc w:val="both"/>
            </w:pPr>
            <w:r>
              <w:rPr>
                <w:sz w:val="22"/>
              </w:rPr>
              <w:t>（</w:t>
            </w:r>
            <w:r>
              <w:rPr>
                <w:sz w:val="22"/>
              </w:rPr>
              <w:t>2）成套供水设备应提供空闲的232/485串口转网口方式，远传数据支持MODBUS RTU和MODBUS TCP/IP通讯方式，可利用扩展模块通过支持IPSec VPN技术的移动数据通信网络实现远程监控功能，将泵房现场水压情况、机泵运行数据、变频器参数、故障报警等信息上传到值班室。</w:t>
            </w:r>
          </w:p>
          <w:p>
            <w:pPr>
              <w:jc w:val="both"/>
            </w:pPr>
            <w:r>
              <w:rPr>
                <w:sz w:val="22"/>
              </w:rPr>
              <w:t>（</w:t>
            </w:r>
            <w:r>
              <w:rPr>
                <w:sz w:val="22"/>
              </w:rPr>
              <w:t>3）控制柜</w:t>
            </w:r>
          </w:p>
          <w:p>
            <w:pPr>
              <w:jc w:val="both"/>
            </w:pPr>
            <w:r>
              <w:rPr>
                <w:sz w:val="22"/>
              </w:rPr>
              <w:t>A.供电电源采用三相五线制，380V/50Hz；柜体宜采用冷轧钢板,安装时宜高出地面50mm以上。底座周围应采取封闭措施，并应能防止鼠、蛇等小动物进入箱内。控制柜应装有吊环。控制柜内接线应整齐、线标清晰。控制柜面板设置三相进线电流表（数字式）、三相进线电压表（数字式）、水泵工作状态显示灯、故障显示灯、手/自转换开关、手动开/停按钮及人机对话装置。</w:t>
            </w:r>
          </w:p>
          <w:p>
            <w:pPr>
              <w:jc w:val="both"/>
            </w:pPr>
            <w:r>
              <w:rPr>
                <w:sz w:val="22"/>
              </w:rPr>
              <w:t>B.人机界面采用液晶触摸屏并带机械开关，屏幕显示清晰，响应速度快，多行数据显示，能自动黑屏屏保和PLC通讯良好、通过CCC认证产品。人机界面能够显示当前供水压力（设计压力、实际供水压力）、水箱有/无水状态、水泵工作状态、故障保护记录（无水、超压、缺相）。能够人工调节控制水泵机组所有参数，控制压力上限、下限，水泵切换时间等参数。</w:t>
            </w:r>
          </w:p>
          <w:p>
            <w:pPr>
              <w:jc w:val="both"/>
            </w:pPr>
            <w:r>
              <w:rPr>
                <w:sz w:val="22"/>
              </w:rPr>
              <w:t>C.电控柜具有温（湿）度控制功能，当环境温度高于40度或者湿度大于90度时，系统自动启动。</w:t>
            </w:r>
          </w:p>
          <w:p>
            <w:pPr>
              <w:jc w:val="both"/>
            </w:pPr>
            <w:r>
              <w:rPr>
                <w:sz w:val="22"/>
              </w:rPr>
              <w:t>D.控制柜设有排风扇及自带照明（36V以下），且做到门开灯开，门关灯关。控制柜内应留有备用插座和设有多功能电表。</w:t>
            </w:r>
          </w:p>
          <w:p>
            <w:pPr>
              <w:jc w:val="both"/>
            </w:pPr>
            <w:r>
              <w:rPr>
                <w:sz w:val="22"/>
              </w:rPr>
              <w:t>E.控制柜应具有故障声光报警功能。</w:t>
            </w:r>
          </w:p>
          <w:p>
            <w:pPr>
              <w:jc w:val="both"/>
            </w:pPr>
            <w:r>
              <w:rPr>
                <w:sz w:val="22"/>
              </w:rPr>
              <w:t>F.控制柜内所有外接线路均应有标识，并注明走向。</w:t>
            </w:r>
          </w:p>
          <w:p>
            <w:pPr>
              <w:jc w:val="both"/>
            </w:pPr>
            <w:r>
              <w:rPr>
                <w:sz w:val="22"/>
              </w:rPr>
              <w:t>8.管路、阀门、附件技术要求</w:t>
            </w:r>
          </w:p>
          <w:p>
            <w:pPr>
              <w:jc w:val="both"/>
            </w:pPr>
            <w:r>
              <w:rPr>
                <w:sz w:val="22"/>
              </w:rPr>
              <w:t>（</w:t>
            </w:r>
            <w:r>
              <w:rPr>
                <w:sz w:val="22"/>
              </w:rPr>
              <w:t>1）水泵机组设备各连接部件、管道以及所配备的附属设备如蝶阀或闸阀、球阀、止回阀、螺栓紧固件等均应采用不锈钢SUS304或以上材质，且符合生活饮用水卫生标准，且使用年限不低于20年。</w:t>
            </w:r>
          </w:p>
          <w:p>
            <w:pPr>
              <w:jc w:val="both"/>
            </w:pPr>
            <w:r>
              <w:rPr>
                <w:sz w:val="22"/>
              </w:rPr>
              <w:t>▲（2）水泵及压力罐（稳压罐）整套恒压变频供水系统须有生活饮用水输配水设备卫生许可批件和CMA、CAL认证的产品质量检验机构出具的检验报告书。</w:t>
            </w:r>
          </w:p>
          <w:p>
            <w:pPr>
              <w:jc w:val="both"/>
            </w:pPr>
            <w:r>
              <w:rPr>
                <w:sz w:val="22"/>
              </w:rPr>
              <w:t>（</w:t>
            </w:r>
            <w:r>
              <w:rPr>
                <w:sz w:val="22"/>
              </w:rPr>
              <w:t>3）气压罐的隔膜应选用食品级橡胶且符合现行国家标准《钢制压力容器》GB150及有关标准的规定。压力罐顶部设置压力表，罐内充气压力不低于0.40MPa。</w:t>
            </w:r>
          </w:p>
          <w:p>
            <w:pPr>
              <w:jc w:val="both"/>
            </w:pPr>
            <w:r>
              <w:rPr>
                <w:sz w:val="22"/>
              </w:rPr>
              <w:t>（</w:t>
            </w:r>
            <w:r>
              <w:rPr>
                <w:sz w:val="22"/>
              </w:rPr>
              <w:t>4）仪表在出厂时应有计量检测报告书。采用电流型远传压力表（压力传感器）。控制柜与远传压力表或数显压力变送器之间连接的电缆必须是屏蔽电缆，避免信号受干扰。</w:t>
            </w:r>
          </w:p>
          <w:p>
            <w:pPr>
              <w:jc w:val="both"/>
            </w:pPr>
            <w:r>
              <w:rPr>
                <w:sz w:val="22"/>
              </w:rPr>
              <w:t>9.生活水箱及附件</w:t>
            </w:r>
          </w:p>
          <w:p>
            <w:pPr>
              <w:jc w:val="both"/>
            </w:pPr>
            <w:r>
              <w:rPr>
                <w:sz w:val="22"/>
              </w:rPr>
              <w:t>（</w:t>
            </w:r>
            <w:r>
              <w:rPr>
                <w:sz w:val="22"/>
              </w:rPr>
              <w:t>1）生活水箱</w:t>
            </w:r>
          </w:p>
          <w:p>
            <w:pPr>
              <w:ind w:firstLine="440"/>
              <w:jc w:val="both"/>
            </w:pPr>
            <w:r>
              <w:rPr>
                <w:sz w:val="22"/>
              </w:rPr>
              <w:t>地下</w:t>
            </w:r>
            <w:r>
              <w:rPr>
                <w:sz w:val="22"/>
              </w:rPr>
              <w:t>1层生活给水泵房内设置2个不锈钢生活水箱，尺寸规格：约8×5×2.5</w:t>
            </w:r>
            <w:r>
              <w:rPr>
                <w:sz w:val="22"/>
              </w:rPr>
              <w:t>M</w:t>
            </w:r>
            <w:r>
              <w:rPr>
                <w:sz w:val="22"/>
              </w:rPr>
              <w:t>，有效容积</w:t>
            </w:r>
            <w:r>
              <w:rPr>
                <w:sz w:val="22"/>
              </w:rPr>
              <w:t>60m³，材质采用不锈钢SUS304或以上材质。</w:t>
            </w:r>
          </w:p>
          <w:p>
            <w:pPr>
              <w:ind w:firstLine="440"/>
              <w:jc w:val="both"/>
            </w:pPr>
            <w:r>
              <w:rPr>
                <w:sz w:val="22"/>
              </w:rPr>
              <w:t>▲水箱必须经过技术监督部门备案的产品标准制造，有完整的质量保障体系，有质量监督部门出具的“质量检验报告”卫生监督部门出具的涉水产品卫生许可证。</w:t>
            </w:r>
          </w:p>
          <w:p>
            <w:pPr>
              <w:jc w:val="both"/>
            </w:pPr>
            <w:r>
              <w:rPr>
                <w:sz w:val="22"/>
              </w:rPr>
              <w:t>（</w:t>
            </w:r>
            <w:r>
              <w:rPr>
                <w:sz w:val="22"/>
              </w:rPr>
              <w:t>2）水箱附件</w:t>
            </w:r>
          </w:p>
          <w:p>
            <w:pPr>
              <w:ind w:firstLine="440"/>
              <w:jc w:val="both"/>
            </w:pPr>
            <w:r>
              <w:rPr>
                <w:sz w:val="22"/>
              </w:rPr>
              <w:t>附件包括电子液位计、遥控浮球阀、溢流报警装置、有机玻璃液位计、人孔、内外爬梯、进水口、出水口、通气管、溢流口、放空口、内拉筋、管路、法兰、水箱内阀门、接头、连接板、垫底槽钢等。通气管带防虫网罩，</w:t>
            </w:r>
            <w:r>
              <w:rPr>
                <w:sz w:val="22"/>
              </w:rPr>
              <w:t>SUS304不锈钢材质。</w:t>
            </w:r>
          </w:p>
          <w:p>
            <w:pPr>
              <w:ind w:firstLine="440"/>
              <w:jc w:val="both"/>
            </w:pPr>
            <w:r>
              <w:rPr>
                <w:sz w:val="22"/>
              </w:rPr>
              <w:t>当生活水箱水位达到报警水位时报警。水箱设置电子液位计，信号传至值班室，信号装置由电气专业选型。</w:t>
            </w:r>
          </w:p>
          <w:p>
            <w:pPr>
              <w:ind w:firstLine="440"/>
              <w:jc w:val="both"/>
            </w:pPr>
            <w:r>
              <w:rPr>
                <w:sz w:val="22"/>
              </w:rPr>
              <w:t>生活水箱内爬梯必须采用食品级不锈钢材料、必须加不锈钢盖（门）并加锁。</w:t>
            </w:r>
          </w:p>
          <w:p>
            <w:pPr>
              <w:ind w:firstLine="440"/>
              <w:jc w:val="both"/>
            </w:pPr>
            <w:r>
              <w:rPr>
                <w:sz w:val="22"/>
              </w:rPr>
              <w:t>生活水箱泄水管装设在底部，保证能够排空，并装设防盗阀门。</w:t>
            </w:r>
          </w:p>
          <w:p>
            <w:pPr>
              <w:jc w:val="both"/>
            </w:pPr>
            <w:r>
              <w:rPr>
                <w:sz w:val="22"/>
              </w:rPr>
              <w:t>生活水箱溢流管、泄水管均采用间接排水，管底距排水沟（集水井）面</w:t>
            </w:r>
            <w:r>
              <w:rPr>
                <w:sz w:val="22"/>
              </w:rPr>
              <w:t>200mm，末端设置18目不锈钢防虫网。</w:t>
            </w:r>
          </w:p>
          <w:p>
            <w:pPr>
              <w:jc w:val="both"/>
            </w:pPr>
            <w:r>
              <w:rPr>
                <w:sz w:val="22"/>
              </w:rPr>
              <w:t>10.二次供水设备标准化智慧泵房功能要求</w:t>
            </w:r>
          </w:p>
          <w:p>
            <w:pPr>
              <w:jc w:val="both"/>
            </w:pPr>
            <w:r>
              <w:rPr>
                <w:sz w:val="22"/>
              </w:rPr>
              <w:t>（</w:t>
            </w:r>
            <w:r>
              <w:rPr>
                <w:sz w:val="22"/>
              </w:rPr>
              <w:t>1）泵房的安全防护系统</w:t>
            </w:r>
          </w:p>
          <w:p>
            <w:pPr>
              <w:jc w:val="both"/>
            </w:pPr>
            <w:r>
              <w:rPr>
                <w:sz w:val="22"/>
              </w:rPr>
              <w:t>A.泵房安防门禁：360°旋转摄像头在平常工作中对设备进行实时监控，当有人进入时，自动对进入人员进行摄像，获取进入人员图像，并发送报警信息，手机上安装智能泵房软件，在线观看泵房摄像情况，验证进入泵房人员。门禁系统采用TCP/IP协议的网络控制器，具有网络通讯、远程操作、人员进出数据记录和查询功能，所选产品能保证接入用户监控中心平台。</w:t>
            </w:r>
          </w:p>
          <w:p>
            <w:pPr>
              <w:jc w:val="both"/>
            </w:pPr>
            <w:r>
              <w:rPr>
                <w:sz w:val="22"/>
              </w:rPr>
              <w:t>B.泵房视频监控系统：采用数字高清摄像头和数字式网络硬盘录像机，泵房生产运行视频监控系统采用数字视频监控系统，且符合现行国家标准《视频安防监控系统工程设计规范》GB50395及行业标准《视频安防监控系统技术要求》GA/T367的有关规定，符合现行国家标准《安全防范视频监控联网系统信息传输、交换、控制技术要求》GB/T28181的有关规定。安防系统报警信号应接入供水企业远程监控平台，将报警信号传送给远程中控平台服务器的同时可通过监控控制硬盘录像机进行报警录像。安防主机系统必须具有 UPS 电源在线提供断电后的电源供给，保证系统的通讯和数据传输，UPS在线维持供电时间不小于1小时。断电后应及时通过 PLC 向中控平台发出断电报警。</w:t>
            </w:r>
          </w:p>
          <w:p>
            <w:pPr>
              <w:jc w:val="both"/>
            </w:pPr>
            <w:r>
              <w:rPr>
                <w:sz w:val="22"/>
              </w:rPr>
              <w:t>（</w:t>
            </w:r>
            <w:r>
              <w:rPr>
                <w:sz w:val="22"/>
              </w:rPr>
              <w:t>2）二次加压供水设备远程监控系统</w:t>
            </w:r>
          </w:p>
          <w:p>
            <w:pPr>
              <w:ind w:firstLine="440"/>
              <w:jc w:val="both"/>
            </w:pPr>
            <w:r>
              <w:rPr>
                <w:sz w:val="22"/>
              </w:rPr>
              <w:t>本次招标成套供水设备所配套软件系统数据可对接用户监控中心平台，业务关联系统进行数据无缝对接。系统功能需求如下：</w:t>
            </w:r>
          </w:p>
          <w:p>
            <w:pPr>
              <w:jc w:val="both"/>
            </w:pPr>
            <w:r>
              <w:rPr>
                <w:sz w:val="22"/>
              </w:rPr>
              <w:t>A.泵房运行远程监控系统具备对设备的运行数据采集、远程控制、数据分析、PLC参数调节以及各类信号报警等功能。实时数据的采集包括：泵房/设备运行数据，包括但不限于水泵运行数据、变频器数据、供水压力、供水流量、水箱液位、电压/电流/功率、消毒设备、水质分析数据、集水坑/排污泵数据等。预留泵房环境数据，包括但不限于温湿度、烟感、水浸、震动、噪音、风机数据等。安防数据包括但不限于视频、门禁、报警等。</w:t>
            </w:r>
          </w:p>
          <w:p>
            <w:pPr>
              <w:jc w:val="both"/>
            </w:pPr>
            <w:r>
              <w:rPr>
                <w:sz w:val="22"/>
              </w:rPr>
              <w:t>B.泵房运行远程监控系统应采取相应的网络安全防护措施，且符合《网络安全等级保护制度》的相关规定。</w:t>
            </w:r>
          </w:p>
          <w:p>
            <w:pPr>
              <w:jc w:val="both"/>
            </w:pPr>
            <w:r>
              <w:rPr>
                <w:sz w:val="22"/>
              </w:rPr>
              <w:t>（</w:t>
            </w:r>
            <w:r>
              <w:rPr>
                <w:sz w:val="22"/>
              </w:rPr>
              <w:t>3）照明系统</w:t>
            </w:r>
          </w:p>
          <w:p>
            <w:pPr>
              <w:jc w:val="both"/>
            </w:pPr>
            <w:r>
              <w:rPr>
                <w:sz w:val="22"/>
              </w:rPr>
              <w:t>泵房内应有满足使用要求的照明。</w:t>
            </w:r>
          </w:p>
          <w:p>
            <w:pPr>
              <w:jc w:val="both"/>
            </w:pPr>
            <w:r>
              <w:rPr>
                <w:sz w:val="22"/>
              </w:rPr>
              <w:t>（</w:t>
            </w:r>
            <w:r>
              <w:rPr>
                <w:sz w:val="22"/>
              </w:rPr>
              <w:t>4）降噪减震系统</w:t>
            </w:r>
          </w:p>
          <w:p>
            <w:pPr>
              <w:ind w:firstLine="440"/>
              <w:jc w:val="both"/>
            </w:pPr>
            <w:r>
              <w:rPr>
                <w:sz w:val="22"/>
              </w:rPr>
              <w:t>采用低噪音水泵。水泵机组应设隔振装置，机组正常运行时所产生的噪音，符合</w:t>
            </w:r>
            <w:r>
              <w:rPr>
                <w:sz w:val="22"/>
              </w:rPr>
              <w:t>GB/T29529的规定，单泵功率4.OkW以下不大于40Db(A),5.5kW-15kW 不大于55Db(A)。二次供水设备系房中安装噪音检测装置，当噪音超出设定界限时，自动报警提示，及时处理设备噪声源，更好的保护设备的使用寿命。并在水泵进水管和出水管上设隔振装置。</w:t>
            </w:r>
          </w:p>
          <w:p>
            <w:pPr>
              <w:jc w:val="both"/>
            </w:pPr>
            <w:r>
              <w:rPr>
                <w:sz w:val="22"/>
              </w:rPr>
              <w:t>（</w:t>
            </w:r>
            <w:r>
              <w:rPr>
                <w:sz w:val="22"/>
              </w:rPr>
              <w:t>5）防水排淹系统</w:t>
            </w:r>
          </w:p>
          <w:p>
            <w:pPr>
              <w:ind w:firstLine="440"/>
              <w:jc w:val="both"/>
            </w:pPr>
            <w:r>
              <w:rPr>
                <w:sz w:val="22"/>
              </w:rPr>
              <w:t>在二次供水设备泵房地面安装防水淹检测系统，当二次供水设备泵房内供水设备出现跑水时，系统自动监测水位高度，触发报警器报警并对供水设备停机，二次供水设备泵房内排水设施自动启动，防止泵房被淹。二次供水设备泵房内摄像头自动对准漏水点进行摄像，智能管理系统能将报警信息发送到相关技术人员及售后维修人员手机上，以便及时处理险情。</w:t>
            </w:r>
          </w:p>
          <w:p>
            <w:pPr>
              <w:jc w:val="both"/>
            </w:pPr>
            <w:r>
              <w:rPr>
                <w:sz w:val="22"/>
              </w:rPr>
              <w:t>（</w:t>
            </w:r>
            <w:r>
              <w:rPr>
                <w:sz w:val="22"/>
              </w:rPr>
              <w:t>6）市政断电报警系统</w:t>
            </w:r>
          </w:p>
          <w:p>
            <w:pPr>
              <w:ind w:firstLine="440"/>
              <w:jc w:val="both"/>
            </w:pPr>
            <w:r>
              <w:rPr>
                <w:sz w:val="22"/>
              </w:rPr>
              <w:t>当市政电源出现断电时，设备配备的</w:t>
            </w:r>
            <w:r>
              <w:rPr>
                <w:sz w:val="22"/>
              </w:rPr>
              <w:t>UPS电源继续给控制系统供电，发送报警信息到监控中心和手机客户端，能够及时处理电源故障问题，避免长时间停水的现象发生。当供电电源恢复供电时，设备自动恢复运行。UPS电源容量满足泵房低压电器1小时使用。</w:t>
            </w:r>
          </w:p>
          <w:p>
            <w:pPr>
              <w:jc w:val="both"/>
            </w:pPr>
            <w:r>
              <w:rPr>
                <w:sz w:val="22"/>
              </w:rPr>
              <w:t>（</w:t>
            </w:r>
            <w:r>
              <w:rPr>
                <w:sz w:val="22"/>
              </w:rPr>
              <w:t>7）火灾报警系统</w:t>
            </w:r>
          </w:p>
          <w:p>
            <w:pPr>
              <w:ind w:firstLine="440"/>
              <w:jc w:val="both"/>
            </w:pPr>
            <w:r>
              <w:rPr>
                <w:sz w:val="22"/>
              </w:rPr>
              <w:t>根据泵房结构特性，及设计院图纸要求，设立独立式光电感烟探测器及红外探测器，辅以声光报警装置，及部署商业级网络报警主机，要求需能及时将报警信息对接到用户监控中心平台。除市电供电外，还需额外设立独立电源，并保证火灾报警系统持续使用时间不少于</w:t>
            </w:r>
            <w:r>
              <w:rPr>
                <w:sz w:val="22"/>
              </w:rPr>
              <w:t>12小时。</w:t>
            </w:r>
          </w:p>
          <w:p>
            <w:pPr>
              <w:jc w:val="both"/>
            </w:pPr>
            <w:r>
              <w:rPr>
                <w:sz w:val="22"/>
              </w:rPr>
              <w:t>（</w:t>
            </w:r>
            <w:r>
              <w:rPr>
                <w:sz w:val="22"/>
              </w:rPr>
              <w:t>8）泵房通风除湿系统</w:t>
            </w:r>
          </w:p>
          <w:p>
            <w:pPr>
              <w:ind w:firstLine="440"/>
              <w:jc w:val="both"/>
            </w:pPr>
            <w:r>
              <w:rPr>
                <w:sz w:val="22"/>
              </w:rPr>
              <w:t>需在二次供水设备泵房内设置通风除湿系统，保证泵房内各部分设施正常运行。泵房内应设置温湿度的实时显示和监测控制装置，温湿度通过通风系统和抽湿机或空气调节设备进行调控。水泵房环境温度宜控制在</w:t>
            </w:r>
            <w:r>
              <w:rPr>
                <w:sz w:val="22"/>
              </w:rPr>
              <w:t>0-40℃，湿度不高于90%，超过此范围，启动通风和抽湿机或空气调节设备。</w:t>
            </w:r>
          </w:p>
          <w:p>
            <w:pPr>
              <w:jc w:val="both"/>
            </w:pPr>
            <w:r>
              <w:rPr>
                <w:sz w:val="22"/>
              </w:rPr>
              <w:t>（</w:t>
            </w:r>
            <w:r>
              <w:rPr>
                <w:sz w:val="22"/>
              </w:rPr>
              <w:t>9）水质监测系统，主要功能测量PH值、浊度、余氯等水质参数。</w:t>
            </w:r>
          </w:p>
          <w:p>
            <w:pPr>
              <w:jc w:val="both"/>
            </w:pPr>
            <w:r>
              <w:rPr>
                <w:sz w:val="22"/>
              </w:rPr>
              <w:t>11.其他要求</w:t>
            </w:r>
          </w:p>
          <w:p>
            <w:pPr>
              <w:jc w:val="both"/>
            </w:pPr>
            <w:r>
              <w:rPr>
                <w:sz w:val="22"/>
              </w:rPr>
              <w:t>（</w:t>
            </w:r>
            <w:r>
              <w:rPr>
                <w:sz w:val="22"/>
              </w:rPr>
              <w:t>1）室内给水立管、干管（户内水表前）管材采用SUS304不锈钢管，DN≤100，卡压式连接；DN＞100，焊接方式连接。</w:t>
            </w:r>
          </w:p>
          <w:p>
            <w:pPr>
              <w:jc w:val="both"/>
            </w:pPr>
            <w:r>
              <w:rPr>
                <w:sz w:val="22"/>
              </w:rPr>
              <w:t>（</w:t>
            </w:r>
            <w:r>
              <w:rPr>
                <w:sz w:val="22"/>
              </w:rPr>
              <w:t>2）室内支管（户内水表后给水管）管材采用SUS304不锈钢管，DN≤100，卡压式连接；DN＞100，焊接方式连接。</w:t>
            </w:r>
          </w:p>
          <w:p>
            <w:pPr>
              <w:jc w:val="both"/>
            </w:pPr>
            <w:r>
              <w:rPr>
                <w:sz w:val="22"/>
              </w:rPr>
              <w:t>（</w:t>
            </w:r>
            <w:r>
              <w:rPr>
                <w:sz w:val="22"/>
              </w:rPr>
              <w:t>3）生活泵房内给水管、水泵吸水管（自与吸水总管连接处或水泵吸水管的阀门处至伸入水池部分）、水池补水管（深入水池部分）、水池溢流排水管及排空排污管采用薄壁不锈钢管，DN≥80，对焊氩弧焊连接或卡箍连接；DN＜80，卡压式连接；阀门及过滤器采用食品级不锈钢材质，水泵管路接口采用法兰连接。</w:t>
            </w:r>
          </w:p>
          <w:p>
            <w:pPr>
              <w:jc w:val="both"/>
            </w:pPr>
            <w:r>
              <w:rPr>
                <w:sz w:val="22"/>
              </w:rPr>
              <w:t>（</w:t>
            </w:r>
            <w:r>
              <w:rPr>
                <w:sz w:val="22"/>
              </w:rPr>
              <w:t>4）生活泵房的生活给水加压采用SUS304不锈钢管，水泵房及水箱间内的管道与阀门连接、拆卸部分采用法兰连接。</w:t>
            </w:r>
          </w:p>
          <w:p>
            <w:pPr>
              <w:jc w:val="both"/>
            </w:pPr>
            <w:r>
              <w:rPr>
                <w:sz w:val="22"/>
              </w:rPr>
              <w:t>（</w:t>
            </w:r>
            <w:r>
              <w:rPr>
                <w:sz w:val="22"/>
              </w:rPr>
              <w:t>5）给水管道管件必须用无毒饮水舱、食品型环氧树脂等符合GB/T17219《生活用水输配水设备及防护材料的安全性评价标准》、GB5749-85《生活饮用水卫生标准》要求的涂料做内防腐，要求设备供应商提供涂料类型牌号和用于生活饮用水卫生安全证明。</w:t>
            </w:r>
          </w:p>
          <w:p>
            <w:pPr>
              <w:jc w:val="both"/>
            </w:pPr>
            <w:r>
              <w:rPr>
                <w:sz w:val="22"/>
              </w:rPr>
              <w:t>（二）生活污水排水系统</w:t>
            </w:r>
          </w:p>
          <w:p>
            <w:pPr>
              <w:jc w:val="both"/>
            </w:pPr>
            <w:r>
              <w:rPr>
                <w:sz w:val="22"/>
              </w:rPr>
              <w:t>1.室内生活污水和生活废水采用分流制</w:t>
            </w:r>
          </w:p>
          <w:p>
            <w:pPr>
              <w:jc w:val="both"/>
            </w:pPr>
            <w:r>
              <w:rPr>
                <w:sz w:val="22"/>
              </w:rPr>
              <w:t>（</w:t>
            </w:r>
            <w:r>
              <w:rPr>
                <w:sz w:val="22"/>
              </w:rPr>
              <w:t>1）生活废水经化粪池排至污水处理站。</w:t>
            </w:r>
          </w:p>
          <w:p>
            <w:pPr>
              <w:jc w:val="both"/>
            </w:pPr>
            <w:r>
              <w:rPr>
                <w:sz w:val="22"/>
              </w:rPr>
              <w:t>（</w:t>
            </w:r>
            <w:r>
              <w:rPr>
                <w:sz w:val="22"/>
              </w:rPr>
              <w:t>2）生活污水经化粪池排至污水处理站。</w:t>
            </w:r>
          </w:p>
          <w:p>
            <w:pPr>
              <w:jc w:val="both"/>
            </w:pPr>
            <w:r>
              <w:rPr>
                <w:sz w:val="22"/>
              </w:rPr>
              <w:t>2.排水方式</w:t>
            </w:r>
          </w:p>
          <w:p>
            <w:pPr>
              <w:jc w:val="both"/>
            </w:pPr>
            <w:r>
              <w:rPr>
                <w:sz w:val="22"/>
              </w:rPr>
              <w:t>（</w:t>
            </w:r>
            <w:r>
              <w:rPr>
                <w:sz w:val="22"/>
              </w:rPr>
              <w:t>1）地下室及消防电梯集水坑，经潜污泵提升后排至室外排水检查井。</w:t>
            </w:r>
          </w:p>
          <w:p>
            <w:pPr>
              <w:jc w:val="both"/>
            </w:pPr>
            <w:r>
              <w:rPr>
                <w:sz w:val="22"/>
              </w:rPr>
              <w:t>▲（2）潜水泵的启闭由泵井内的水位控制器（浮球开关）控制，当水位达到正常水位时，一台潜水泵启动排水；当水位达高水位时，二台泵并联工作（集水井仅有一台泵时，无此要求）；当水位达到报警水位时，发出报警信号，并可人工启动水泵。所有集水坑及潜水泵报警时均应向消防控制或值班室发出声光信号。</w:t>
            </w:r>
          </w:p>
          <w:p>
            <w:pPr>
              <w:jc w:val="both"/>
            </w:pPr>
            <w:r>
              <w:rPr>
                <w:sz w:val="22"/>
              </w:rPr>
              <w:t>（</w:t>
            </w:r>
            <w:r>
              <w:rPr>
                <w:sz w:val="22"/>
              </w:rPr>
              <w:t>3）污水消能井：压力排水管出口水流速度大于1.8m/s时，设置污水消能井消能。</w:t>
            </w:r>
          </w:p>
          <w:p>
            <w:pPr>
              <w:jc w:val="both"/>
            </w:pPr>
            <w:r>
              <w:rPr>
                <w:sz w:val="22"/>
              </w:rPr>
              <w:t>3.潜水排污泵技术要求</w:t>
            </w:r>
          </w:p>
          <w:p>
            <w:pPr>
              <w:jc w:val="both"/>
            </w:pPr>
            <w:r>
              <w:rPr>
                <w:sz w:val="22"/>
              </w:rPr>
              <w:t>（</w:t>
            </w:r>
            <w:r>
              <w:rPr>
                <w:sz w:val="22"/>
              </w:rPr>
              <w:t>1）叶轮</w:t>
            </w:r>
          </w:p>
          <w:p>
            <w:pPr>
              <w:jc w:val="both"/>
            </w:pPr>
            <w:r>
              <w:rPr>
                <w:sz w:val="22"/>
              </w:rPr>
              <w:t>叶轮应采用封闭式或开放式形状的双流道设计，对称流道，平衡性好，运行平稳，振动小，提供产品的使用寿命。叶轮流道应具体较强的通过性，实测效率应高于国家标准，节能降耗。</w:t>
            </w:r>
          </w:p>
          <w:p>
            <w:pPr>
              <w:jc w:val="both"/>
            </w:pPr>
            <w:r>
              <w:rPr>
                <w:sz w:val="22"/>
              </w:rPr>
              <w:t>叶轮应采用铸铁</w:t>
            </w:r>
            <w:r>
              <w:rPr>
                <w:sz w:val="22"/>
              </w:rPr>
              <w:t>HT200或性能更优的材质铸造成型。</w:t>
            </w:r>
          </w:p>
          <w:p>
            <w:pPr>
              <w:jc w:val="both"/>
            </w:pPr>
            <w:r>
              <w:rPr>
                <w:sz w:val="22"/>
              </w:rPr>
              <w:t>（</w:t>
            </w:r>
            <w:r>
              <w:rPr>
                <w:sz w:val="22"/>
              </w:rPr>
              <w:t>2）泵体</w:t>
            </w:r>
          </w:p>
          <w:p>
            <w:pPr>
              <w:jc w:val="both"/>
            </w:pPr>
            <w:r>
              <w:rPr>
                <w:sz w:val="22"/>
              </w:rPr>
              <w:t>泵体应采用铸铁</w:t>
            </w:r>
            <w:r>
              <w:rPr>
                <w:sz w:val="22"/>
              </w:rPr>
              <w:t>HT200或性能更优的材质整体铸造成型，表面采用电泳漆工艺防腐处理，涂层致密，浸泡附着力强（浸入表面0.5毫米内，不掉漆）；盐雾试验下受损面积小（500小时受损1%以内）；外表光泽度好，无漆瘤、泪痕、结疤。</w:t>
            </w:r>
          </w:p>
          <w:p>
            <w:pPr>
              <w:jc w:val="both"/>
            </w:pPr>
            <w:r>
              <w:rPr>
                <w:sz w:val="22"/>
              </w:rPr>
              <w:t>（</w:t>
            </w:r>
            <w:r>
              <w:rPr>
                <w:sz w:val="22"/>
              </w:rPr>
              <w:t>3）泵轴</w:t>
            </w:r>
          </w:p>
          <w:p>
            <w:pPr>
              <w:jc w:val="both"/>
            </w:pPr>
            <w:r>
              <w:rPr>
                <w:sz w:val="22"/>
              </w:rPr>
              <w:t>泵轴和电机轴为整体结构，并与泵送的液体完全分开，应采用高强度耐腐蚀</w:t>
            </w:r>
            <w:r>
              <w:rPr>
                <w:sz w:val="22"/>
              </w:rPr>
              <w:t>20Cr13不锈钢及以上材质制造。</w:t>
            </w:r>
          </w:p>
          <w:p>
            <w:pPr>
              <w:jc w:val="both"/>
            </w:pPr>
            <w:r>
              <w:rPr>
                <w:sz w:val="22"/>
              </w:rPr>
              <w:t>（</w:t>
            </w:r>
            <w:r>
              <w:rPr>
                <w:sz w:val="22"/>
              </w:rPr>
              <w:t>4）轴封</w:t>
            </w:r>
          </w:p>
          <w:p>
            <w:pPr>
              <w:jc w:val="both"/>
            </w:pPr>
            <w:r>
              <w:rPr>
                <w:sz w:val="22"/>
              </w:rPr>
              <w:t>采用双端面机械密封或多道串联的机械密封，机封油腔内应设计油液提升器，在油液低下时也能确保机械密封充分润滑，延长机械密封的使用寿命。</w:t>
            </w:r>
          </w:p>
          <w:p>
            <w:pPr>
              <w:jc w:val="both"/>
            </w:pPr>
            <w:r>
              <w:rPr>
                <w:sz w:val="22"/>
              </w:rPr>
              <w:t>（</w:t>
            </w:r>
            <w:r>
              <w:rPr>
                <w:sz w:val="22"/>
              </w:rPr>
              <w:t>5）轴承</w:t>
            </w:r>
          </w:p>
          <w:p>
            <w:pPr>
              <w:jc w:val="both"/>
            </w:pPr>
            <w:r>
              <w:rPr>
                <w:sz w:val="22"/>
              </w:rPr>
              <w:t>选用标准滚动轴承，轴承应有足够的承载能力，可以承受在任何工况下的轴向和径向载荷。轴承采用油脂润滑，轴承工作温度</w:t>
            </w:r>
            <w:r>
              <w:rPr>
                <w:sz w:val="22"/>
              </w:rPr>
              <w:t>≤75℃，轴承寿命不少于30000小时，采用优质轴承产品。</w:t>
            </w:r>
          </w:p>
          <w:p>
            <w:pPr>
              <w:jc w:val="both"/>
            </w:pPr>
            <w:r>
              <w:rPr>
                <w:sz w:val="22"/>
              </w:rPr>
              <w:t>（</w:t>
            </w:r>
            <w:r>
              <w:rPr>
                <w:sz w:val="22"/>
              </w:rPr>
              <w:t>6）电缆</w:t>
            </w:r>
          </w:p>
          <w:p>
            <w:pPr>
              <w:jc w:val="both"/>
            </w:pPr>
            <w:r>
              <w:rPr>
                <w:sz w:val="22"/>
              </w:rPr>
              <w:t>潜水电缆需采用水切构造，将芯线的一部分表皮剥落，用硫化橡胶注入形成密封层，可完全防止电缆表皮损伤时或者电缆前端浸入水时，水通过线与线之间细小的缝隙浸入电机内部。</w:t>
            </w:r>
          </w:p>
          <w:p>
            <w:pPr>
              <w:jc w:val="both"/>
            </w:pPr>
            <w:r>
              <w:rPr>
                <w:sz w:val="22"/>
              </w:rPr>
              <w:t>（</w:t>
            </w:r>
            <w:r>
              <w:rPr>
                <w:sz w:val="22"/>
              </w:rPr>
              <w:t>7）电机</w:t>
            </w:r>
          </w:p>
          <w:p>
            <w:pPr>
              <w:jc w:val="both"/>
            </w:pPr>
            <w:r>
              <w:rPr>
                <w:sz w:val="22"/>
              </w:rPr>
              <w:t>潜污泵电机采用三相鼠笼式潜水电机，电源要求</w:t>
            </w:r>
            <w:r>
              <w:rPr>
                <w:sz w:val="22"/>
              </w:rPr>
              <w:t>380V，50Hz，绝缘等级F级，防护等级IP68。</w:t>
            </w:r>
          </w:p>
          <w:p>
            <w:pPr>
              <w:jc w:val="both"/>
            </w:pPr>
            <w:r>
              <w:rPr>
                <w:sz w:val="22"/>
              </w:rPr>
              <w:t>水泵电机能够承受长期满负荷运行，潜水冷却效果好，实际温升低，电机绝缘寿命长。电机可在最高</w:t>
            </w:r>
            <w:r>
              <w:rPr>
                <w:sz w:val="22"/>
              </w:rPr>
              <w:t>40℃（104F）环境下工作，水泵整体能浸入和连续泵送最高为40℃的液体，电机和电缆能在20米淹深下连续使用且不失去防水性能（符合IP68防护等级）。定子通过真空压力浸渍法进行绝缘，使得绕组满充率至少达到95%，定子热缩嵌入铸铁定子室中，平均温升不超过80℃。</w:t>
            </w:r>
          </w:p>
          <w:p>
            <w:pPr>
              <w:jc w:val="both"/>
            </w:pPr>
            <w:r>
              <w:rPr>
                <w:sz w:val="22"/>
              </w:rPr>
              <w:t>电机保护功能：电机内置热保护装置，可以保证电机异常情况下能自动切断电源并报警，运转温度</w:t>
            </w:r>
            <w:r>
              <w:rPr>
                <w:sz w:val="22"/>
              </w:rPr>
              <w:t>155±5℃。</w:t>
            </w:r>
          </w:p>
          <w:p>
            <w:pPr>
              <w:jc w:val="both"/>
            </w:pPr>
            <w:r>
              <w:rPr>
                <w:sz w:val="22"/>
              </w:rPr>
              <w:t>电机内油水漏水保护装置要求：</w:t>
            </w:r>
          </w:p>
          <w:p>
            <w:pPr>
              <w:jc w:val="both"/>
            </w:pPr>
            <w:r>
              <w:rPr>
                <w:sz w:val="22"/>
              </w:rPr>
              <w:t>A.油水探头</w:t>
            </w:r>
          </w:p>
          <w:p>
            <w:pPr>
              <w:jc w:val="both"/>
            </w:pPr>
            <w:r>
              <w:rPr>
                <w:sz w:val="22"/>
              </w:rPr>
              <w:t>安装在油室内，检测第一道机封渗漏情况，当渗漏介质到油室内，达到一定比例，通过检测电机电阻值来达到报警停泵的目的。</w:t>
            </w:r>
          </w:p>
          <w:p>
            <w:pPr>
              <w:jc w:val="both"/>
            </w:pPr>
            <w:r>
              <w:rPr>
                <w:sz w:val="22"/>
              </w:rPr>
              <w:t>B.进水探头</w:t>
            </w:r>
          </w:p>
          <w:p>
            <w:pPr>
              <w:jc w:val="both"/>
            </w:pPr>
            <w:r>
              <w:rPr>
                <w:sz w:val="22"/>
              </w:rPr>
              <w:t>安装在电机腔内，检测第二道机封渗漏情况，当油</w:t>
            </w:r>
            <w:r>
              <w:rPr>
                <w:sz w:val="22"/>
              </w:rPr>
              <w:t>/油水混合物进入电机，进水探头将发出报警信号并停泵。</w:t>
            </w:r>
          </w:p>
          <w:p>
            <w:pPr>
              <w:jc w:val="both"/>
            </w:pPr>
            <w:r>
              <w:rPr>
                <w:sz w:val="22"/>
              </w:rPr>
              <w:t>4.管材</w:t>
            </w:r>
          </w:p>
          <w:p>
            <w:pPr>
              <w:jc w:val="both"/>
            </w:pPr>
            <w:r>
              <w:rPr>
                <w:sz w:val="22"/>
              </w:rPr>
              <w:t>地下室压力污水管、压力雨水管采用涂塑镀锌钢管，</w:t>
            </w:r>
            <w:r>
              <w:rPr>
                <w:sz w:val="22"/>
              </w:rPr>
              <w:t>DN≥100，卡箍连接；DN＜100采用螺纹连接。</w:t>
            </w:r>
          </w:p>
          <w:p>
            <w:pPr>
              <w:jc w:val="both"/>
            </w:pPr>
            <w:r>
              <w:rPr>
                <w:sz w:val="22"/>
              </w:rPr>
              <w:t>5.试验</w:t>
            </w:r>
          </w:p>
          <w:p>
            <w:r>
              <w:rPr>
                <w:sz w:val="22"/>
              </w:rPr>
              <w:t>压力排水管道按水泵扬程的</w:t>
            </w:r>
            <w:r>
              <w:rPr>
                <w:sz w:val="22"/>
              </w:rPr>
              <w:t>2.0倍进行试压。</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1.采购代理机构：本项目是指广东元正招标采购有限公司，负责整个采购活动的组织，依法负责编制和发布招标文件，对招标文件拥有最终的解释权，不以任何身份出任评标委员会成员。</w:t>
      </w:r>
    </w:p>
    <w:p>
      <w:pPr>
        <w:ind w:firstLine="480"/>
      </w:pPr>
      <w:r>
        <w:rPr/>
        <w:t>2.采购人：本项目是指</w:t>
      </w:r>
      <w:r>
        <w:rPr/>
        <w:t>中山大学附属第三医院粤东医院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采购机构代理服务收费标准：采购机构代理服务收费标准：参照国家发展计划委员会[2002]1980号文《招标代理服务收费标准管理暂行办法》及国家发改委[2011]534号文件的标准下浮30%执行。</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广东元正招标采购有限公司</w:t>
      </w:r>
      <w:r>
        <w:rPr/>
        <w:t>代收。具体操作要求详见</w:t>
      </w:r>
      <w:r>
        <w:rPr/>
        <w:t>广东元正招标采购有限公司</w:t>
      </w:r>
      <w:r>
        <w:rPr/>
        <w:t>有关指引，递交事宜请自行咨询</w:t>
      </w:r>
      <w:r>
        <w:rPr/>
        <w:t>广东元正招标采购有限公司</w:t>
      </w:r>
      <w:r>
        <w:rPr/>
        <w:t>；请各投标人在投标文件递交截止时间前按须知前附表规定的金额递交至</w:t>
      </w:r>
      <w:r>
        <w:rPr/>
        <w:t>广东元正招标采购有限公司</w:t>
      </w:r>
      <w:r>
        <w:rPr/>
        <w:t>，到账情况以开标时</w:t>
      </w:r>
      <w:r>
        <w:rPr/>
        <w:t>广东元正招标采购有限公司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曾工</w:t>
      </w:r>
    </w:p>
    <w:p>
      <w:pPr>
        <w:ind w:firstLine="480"/>
      </w:pPr>
      <w:r>
        <w:rPr/>
        <w:t>电话：</w:t>
      </w:r>
      <w:r>
        <w:rPr/>
        <w:t>0753-2398938</w:t>
      </w:r>
    </w:p>
    <w:p>
      <w:pPr>
        <w:ind w:firstLine="480"/>
      </w:pPr>
      <w:r>
        <w:rPr/>
        <w:t>传真：</w:t>
      </w:r>
      <w:r>
        <w:rPr/>
        <w:t>0753-2398936</w:t>
      </w:r>
    </w:p>
    <w:p>
      <w:pPr>
        <w:ind w:firstLine="480"/>
      </w:pPr>
      <w:r>
        <w:rPr/>
        <w:t>邮箱：</w:t>
      </w:r>
      <w:r>
        <w:rPr/>
        <w:t>gdyzmz@163.com</w:t>
      </w:r>
    </w:p>
    <w:p>
      <w:pPr>
        <w:ind w:firstLine="480"/>
      </w:pPr>
      <w:r>
        <w:rPr/>
        <w:t>地址：</w:t>
      </w:r>
      <w:r>
        <w:rPr/>
        <w:t>梅州市梅江区彬芳大道中段门牌51-6号三楼</w:t>
      </w:r>
    </w:p>
    <w:p>
      <w:pPr>
        <w:ind w:firstLine="480"/>
      </w:pPr>
      <w:r>
        <w:rPr/>
        <w:t>邮编：</w:t>
      </w:r>
      <w:r>
        <w:rPr/>
        <w:t>514000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政府采购监督管理机构名称：梅州市梅县区政府采购管理办公室</w:t>
      </w:r>
    </w:p>
    <w:p>
      <w:r>
        <w:rPr/>
        <w:t>地  址：梅县新城行政区</w:t>
      </w:r>
    </w:p>
    <w:p>
      <w:r>
        <w:rPr/>
        <w:t>电  话：0753-2562891</w:t>
      </w:r>
    </w:p>
    <w:p>
      <w:r>
        <w:rPr/>
        <w:t>邮  编：514700</w:t>
      </w:r>
    </w:p>
    <w:p>
      <w:r>
        <w:rPr/>
        <w:t>传  真：0753- 2589879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大学附属第三医院粤东医院感染性疾病救治中心地下室潜污泵和生活水泵房设备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广东元正招标采购有限公司</w:t>
      </w:r>
      <w:r>
        <w:rPr/>
        <w:t>统一对外发布。</w:t>
      </w:r>
    </w:p>
    <w:p>
      <w:pPr>
        <w:ind w:firstLine="480"/>
      </w:pPr>
      <w:r>
        <w:rPr/>
        <w:t>（2）对</w:t>
      </w:r>
      <w:r>
        <w:rPr/>
        <w:t>广东元正招标采购有限公司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采购包1（中山大学附属第三医院粤东医院感染性疾病救治中心地下室潜污泵和生活水泵房设备采购项目）：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采购包1（中山大学附属第三医院粤东医院感染性疾病救治中心地下室潜污泵和生活水泵房设备采购项目）：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为自然人的提供自然人身份证复印件；如国家另有规定的，则从其规定。分支机构投标的，须取得具有法人资格的总公司出具给分支机构的授权书，并提供总公司和分公司的营业执照复印件。</w:t>
            </w:r>
          </w:p>
        </w:tc>
      </w:tr>
      <w:tr>
        <w:tc>
          <w:tcPr>
            <w:tcW w:type="dxa" w:w="890"/>
          </w:tcPr>
          <w:p>
            <w:r>
              <w:rPr/>
              <w:t>2</w:t>
            </w:r>
          </w:p>
        </w:tc>
        <w:tc>
          <w:tcPr>
            <w:tcW w:type="dxa" w:w="3178"/>
          </w:tcPr>
          <w:p>
            <w:r>
              <w:rPr/>
              <w:t>有依法缴纳税收和社会保障资金的良好记录</w:t>
            </w:r>
          </w:p>
        </w:tc>
        <w:tc>
          <w:tcPr>
            <w:tcW w:type="dxa" w:w="4238"/>
          </w:tcPr>
          <w:p>
            <w:r>
              <w:rPr/>
              <w:t>①提供投标截止时间前6个月内任意1个月的缴纳税收凭证（复印件）；②提供投标截止时间前6个月内任意1个月的社会保障资金缴纳凭证（复印件）。如依法免税或不需要缴纳社会保障资金的，应提供相应文件证明（复印件）。</w:t>
            </w:r>
          </w:p>
        </w:tc>
      </w:tr>
      <w:tr>
        <w:tc>
          <w:tcPr>
            <w:tcW w:type="dxa" w:w="890"/>
          </w:tcPr>
          <w:p>
            <w:r>
              <w:rPr/>
              <w:t>3</w:t>
            </w:r>
          </w:p>
        </w:tc>
        <w:tc>
          <w:tcPr>
            <w:tcW w:type="dxa" w:w="3178"/>
          </w:tcPr>
          <w:p>
            <w:r>
              <w:rPr/>
              <w:t>具有良好的商业信誉和健全的财务会计制度</w:t>
            </w:r>
          </w:p>
        </w:tc>
        <w:tc>
          <w:tcPr>
            <w:tcW w:type="dxa" w:w="4238"/>
          </w:tcPr>
          <w:p>
            <w:r>
              <w:rPr/>
              <w:t>提供2022年度财务报告（表）或2023年以来任意一个月财务报表或基本开户银行出具的银行资信证明。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投标人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联合体投标</w:t>
            </w:r>
          </w:p>
        </w:tc>
        <w:tc>
          <w:tcPr>
            <w:tcW w:type="dxa" w:w="4238"/>
          </w:tcPr>
          <w:p>
            <w:r>
              <w:rPr/>
              <w:t>本合同包不接受联合体投标。</w:t>
            </w:r>
          </w:p>
        </w:tc>
      </w:tr>
      <w:tr>
        <w:tc>
          <w:tcPr>
            <w:tcW w:type="dxa" w:w="890"/>
          </w:tcPr>
          <w:p>
            <w:r>
              <w:rPr/>
              <w:t>9</w:t>
            </w:r>
          </w:p>
        </w:tc>
        <w:tc>
          <w:tcPr>
            <w:tcW w:type="dxa" w:w="3178"/>
          </w:tcPr>
          <w:p>
            <w:r>
              <w:rPr/>
              <w:t>中小企业</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采购包1（中山大学附属第三医院粤东医院感染性疾病救治中心地下室潜污泵和生活水泵房设备采购项目）：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投标有效期符合招标文件的要求。</w:t>
            </w:r>
          </w:p>
        </w:tc>
      </w:tr>
      <w:tr>
        <w:tc>
          <w:tcPr>
            <w:tcW w:type="dxa" w:w="890"/>
          </w:tcPr>
          <w:p>
            <w:r>
              <w:rPr/>
              <w:t>2</w:t>
            </w:r>
          </w:p>
        </w:tc>
        <w:tc>
          <w:tcPr>
            <w:tcW w:type="dxa" w:w="3178"/>
          </w:tcPr>
          <w:p>
            <w:r>
              <w:rPr/>
              <w:t>签署、盖章要求</w:t>
            </w:r>
          </w:p>
        </w:tc>
        <w:tc>
          <w:tcPr>
            <w:tcW w:type="dxa" w:w="4238"/>
          </w:tcPr>
          <w:p>
            <w:r>
              <w:rPr/>
              <w:t>投标文件符合招标文件的签署、盖章要求。</w:t>
            </w:r>
          </w:p>
        </w:tc>
      </w:tr>
      <w:tr>
        <w:tc>
          <w:tcPr>
            <w:tcW w:type="dxa" w:w="890"/>
          </w:tcPr>
          <w:p>
            <w:r>
              <w:rPr/>
              <w:t>3</w:t>
            </w:r>
          </w:p>
        </w:tc>
        <w:tc>
          <w:tcPr>
            <w:tcW w:type="dxa" w:w="3178"/>
          </w:tcPr>
          <w:p>
            <w:r>
              <w:rPr/>
              <w:t>投标报价</w:t>
            </w:r>
          </w:p>
        </w:tc>
        <w:tc>
          <w:tcPr>
            <w:tcW w:type="dxa" w:w="4238"/>
          </w:tcPr>
          <w:p>
            <w:r>
              <w:rPr/>
              <w:t>投标报价是固定唯一的且未超出采购预算金额或者最高限价。</w:t>
            </w:r>
          </w:p>
        </w:tc>
      </w:tr>
      <w:tr>
        <w:tc>
          <w:tcPr>
            <w:tcW w:type="dxa" w:w="890"/>
          </w:tcPr>
          <w:p>
            <w:r>
              <w:rPr/>
              <w:t>4</w:t>
            </w:r>
          </w:p>
        </w:tc>
        <w:tc>
          <w:tcPr>
            <w:tcW w:type="dxa" w:w="3178"/>
          </w:tcPr>
          <w:p>
            <w:r>
              <w:rPr/>
              <w:t>实质性响应</w:t>
            </w:r>
          </w:p>
        </w:tc>
        <w:tc>
          <w:tcPr>
            <w:tcW w:type="dxa" w:w="4238"/>
          </w:tcPr>
          <w:p>
            <w:r>
              <w:rPr/>
              <w:t>投标文件未对招标文件的实质性技术与商务条款（即标注★号条款）产生负偏离或不满足的。（如有）</w:t>
            </w:r>
          </w:p>
        </w:tc>
      </w:tr>
      <w:tr>
        <w:tc>
          <w:tcPr>
            <w:tcW w:type="dxa" w:w="890"/>
          </w:tcPr>
          <w:p>
            <w:r>
              <w:rPr/>
              <w:t>5</w:t>
            </w:r>
          </w:p>
        </w:tc>
        <w:tc>
          <w:tcPr>
            <w:tcW w:type="dxa" w:w="3178"/>
          </w:tcPr>
          <w:p>
            <w:r>
              <w:rPr/>
              <w:t>投标报价合理性</w:t>
            </w:r>
          </w:p>
        </w:tc>
        <w:tc>
          <w:tcPr>
            <w:tcW w:type="dxa" w:w="4238"/>
          </w:tcPr>
          <w:p>
            <w:r>
              <w:rPr/>
              <w:t>投标报价没有明显低于其他通过符合性审查投标人的报价；或者评标委员会认为投标人的报价明显低于其他通过符合性审查投标人的报价，有可能影响产品质量或者不能诚信履约的，投标人能在规定时间内应评标委员会要求证明其报价合理性。</w:t>
            </w:r>
          </w:p>
        </w:tc>
      </w:tr>
      <w:tr>
        <w:tc>
          <w:tcPr>
            <w:tcW w:type="dxa" w:w="890"/>
          </w:tcPr>
          <w:p>
            <w:r>
              <w:rPr/>
              <w:t>6</w:t>
            </w:r>
          </w:p>
        </w:tc>
        <w:tc>
          <w:tcPr>
            <w:tcW w:type="dxa" w:w="3178"/>
          </w:tcPr>
          <w:p>
            <w:r>
              <w:rPr/>
              <w:t>无效投标</w:t>
            </w:r>
          </w:p>
        </w:tc>
        <w:tc>
          <w:tcPr>
            <w:tcW w:type="dxa" w:w="4238"/>
          </w:tcPr>
          <w:p>
            <w:r>
              <w:rPr/>
              <w:t>不符合招标文件中规定的被视为无效投标的其它条款的。</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采购包1(中山大学附属第三医院粤东医院感染性疾病救治中心地下室潜污泵和生活水泵房设备采购项目):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产品技术指标 (25.0分)</w:t>
            </w:r>
          </w:p>
        </w:tc>
        <w:tc>
          <w:tcPr>
            <w:tcW w:type="dxa" w:w="5076"/>
          </w:tcPr>
          <w:p>
            <w:pPr>
              <w:jc w:val="left"/>
            </w:pPr>
            <w:r>
              <w:rPr/>
              <w:t>1、根据投标人对7个带“▲”号条款技术参数的响应情况进行评审，完全符合或优于招标文件的，得14分，每一个负偏离扣2分。 2、根据投标人对一般（不带“▲”号）技术参数响应情况进行评审，完全符合或优于招标文件的，得11分,每有一个负偏离扣0.5分。 【备注：有要求提供有效证明文件的应提供相关证明文件扫描件加盖投标人公章。缺项或内容不符合，或未按要求提供证明材料的，按负偏离处理】。</w:t>
            </w:r>
          </w:p>
        </w:tc>
      </w:tr>
      <w:tr>
        <w:tc>
          <w:tcPr>
            <w:tcW w:type="dxa" w:w="922"/>
            <w:gridSpan w:val="2"/>
            <w:vMerge/>
          </w:tcPr>
          <w:p/>
        </w:tc>
        <w:tc>
          <w:tcPr>
            <w:tcW w:type="dxa" w:w="2307"/>
          </w:tcPr>
          <w:p>
            <w:pPr>
              <w:jc w:val="left"/>
            </w:pPr>
            <w:r>
              <w:rPr/>
              <w:t>实施方案 (7.0分)</w:t>
            </w:r>
            <w:r>
              <w:rPr/>
              <w:t>，（等次分值选择：</w:t>
            </w:r>
            <w:r>
              <w:rPr/>
              <w:t>0.0;</w:t>
            </w:r>
            <w:r>
              <w:rPr/>
              <w:t>2.0;</w:t>
            </w:r>
            <w:r>
              <w:rPr/>
              <w:t>4.0;</w:t>
            </w:r>
            <w:r>
              <w:rPr/>
              <w:t>7.0;</w:t>
            </w:r>
            <w:r>
              <w:rPr/>
              <w:t>）</w:t>
            </w:r>
          </w:p>
        </w:tc>
        <w:tc>
          <w:tcPr>
            <w:tcW w:type="dxa" w:w="5076"/>
          </w:tcPr>
          <w:p>
            <w:pPr>
              <w:jc w:val="left"/>
            </w:pPr>
            <w:r>
              <w:rPr/>
              <w:t>根据投标人提供的实施方案（包括但不限于人员安排、进度计划、成功实施项目的能力）的合理性、完整性等方面进行综合评审： 1、方案合理性、完整性强，具备可行性，得7分；  2、方案合理性、完整性较强，比较具备可行性，得4分；  3、方案合理性、完整性较差，不具备可行性，得2分；  4、未提供不得分。</w:t>
            </w:r>
          </w:p>
        </w:tc>
      </w:tr>
      <w:tr>
        <w:tc>
          <w:tcPr>
            <w:tcW w:type="dxa" w:w="922"/>
            <w:gridSpan w:val="2"/>
            <w:vMerge/>
          </w:tcPr>
          <w:p/>
        </w:tc>
        <w:tc>
          <w:tcPr>
            <w:tcW w:type="dxa" w:w="2307"/>
          </w:tcPr>
          <w:p>
            <w:pPr>
              <w:jc w:val="left"/>
            </w:pPr>
            <w:r>
              <w:rPr/>
              <w:t>质量保证方案 (7.0分)</w:t>
            </w:r>
            <w:r>
              <w:rPr/>
              <w:t>，（等次分值选择：</w:t>
            </w:r>
            <w:r>
              <w:rPr/>
              <w:t>0.0;</w:t>
            </w:r>
            <w:r>
              <w:rPr/>
              <w:t>2.0;</w:t>
            </w:r>
            <w:r>
              <w:rPr/>
              <w:t>4.0;</w:t>
            </w:r>
            <w:r>
              <w:rPr/>
              <w:t>7.0;</w:t>
            </w:r>
            <w:r>
              <w:rPr/>
              <w:t>）</w:t>
            </w:r>
          </w:p>
        </w:tc>
        <w:tc>
          <w:tcPr>
            <w:tcW w:type="dxa" w:w="5076"/>
          </w:tcPr>
          <w:p>
            <w:pPr>
              <w:jc w:val="left"/>
            </w:pPr>
            <w:r>
              <w:rPr/>
              <w:t>根据投标人提供的质量保证方案（包括但不限于货物质量保障措施、应急措施等内容）进行综合评审： 1、方案合理，内容详细，符合本项目的要求，得7分；  2、方案较合理，内容较详细，基本符合本项目要求，得4分；  3、方案不合理，内容简单，不符合本项目要求，得2分；  4、未提供相关内容的，得0分。</w:t>
            </w:r>
          </w:p>
        </w:tc>
      </w:tr>
      <w:tr>
        <w:tc>
          <w:tcPr>
            <w:tcW w:type="dxa" w:w="922"/>
            <w:gridSpan w:val="2"/>
            <w:vMerge/>
          </w:tcPr>
          <w:p/>
        </w:tc>
        <w:tc>
          <w:tcPr>
            <w:tcW w:type="dxa" w:w="2307"/>
          </w:tcPr>
          <w:p>
            <w:pPr>
              <w:jc w:val="left"/>
            </w:pPr>
            <w:r>
              <w:rPr/>
              <w:t>检测、验收及培训计划方案 (6.0分)</w:t>
            </w:r>
            <w:r>
              <w:rPr/>
              <w:t>，（等次分值选择：</w:t>
            </w:r>
            <w:r>
              <w:rPr/>
              <w:t>0.0;</w:t>
            </w:r>
            <w:r>
              <w:rPr/>
              <w:t>1.0;</w:t>
            </w:r>
            <w:r>
              <w:rPr/>
              <w:t>3.0;</w:t>
            </w:r>
            <w:r>
              <w:rPr/>
              <w:t>6.0;</w:t>
            </w:r>
            <w:r>
              <w:rPr/>
              <w:t>）</w:t>
            </w:r>
          </w:p>
        </w:tc>
        <w:tc>
          <w:tcPr>
            <w:tcW w:type="dxa" w:w="5076"/>
          </w:tcPr>
          <w:p>
            <w:pPr>
              <w:jc w:val="left"/>
            </w:pPr>
            <w:r>
              <w:rPr/>
              <w:t>投标人提供的安装、检测、验收、培训计划方案进行综合评审：  1、方案详细、科学、合理、可行性好，得6分； 2、方案一般、基本可行，得3分； 3、方案差，出现有不利于项目实施的方案，得1分；  4、未提供不得分。</w:t>
            </w:r>
          </w:p>
        </w:tc>
      </w:tr>
      <w:tr>
        <w:tc>
          <w:tcPr>
            <w:tcW w:type="dxa" w:w="922"/>
            <w:gridSpan w:val="2"/>
            <w:vMerge/>
          </w:tcPr>
          <w:p/>
        </w:tc>
        <w:tc>
          <w:tcPr>
            <w:tcW w:type="dxa" w:w="2307"/>
          </w:tcPr>
          <w:p>
            <w:pPr>
              <w:jc w:val="left"/>
            </w:pPr>
            <w:r>
              <w:rPr/>
              <w:t>智慧泵房功能 (3.0分)</w:t>
            </w:r>
            <w:r>
              <w:rPr/>
              <w:t>，（等次分值选择：</w:t>
            </w:r>
            <w:r>
              <w:rPr/>
              <w:t>0.0;</w:t>
            </w:r>
            <w:r>
              <w:rPr/>
              <w:t>1.0;</w:t>
            </w:r>
            <w:r>
              <w:rPr/>
              <w:t>3.0;</w:t>
            </w:r>
            <w:r>
              <w:rPr/>
              <w:t>）</w:t>
            </w:r>
          </w:p>
        </w:tc>
        <w:tc>
          <w:tcPr>
            <w:tcW w:type="dxa" w:w="5076"/>
          </w:tcPr>
          <w:p>
            <w:pPr>
              <w:jc w:val="left"/>
            </w:pPr>
            <w:r>
              <w:rPr/>
              <w:t>投标人提供标准智慧泵房功能要求进行综合评审： 1、满足或优于智慧泵房功能要求的，得3分； 2、仅部分满足智慧泵房功能要求的，得1分； 3、不满足智慧泵房功能要求的不得分。</w:t>
            </w:r>
          </w:p>
        </w:tc>
      </w:tr>
      <w:tr>
        <w:tc>
          <w:tcPr>
            <w:tcW w:type="dxa" w:w="922"/>
            <w:gridSpan w:val="2"/>
            <w:vMerge/>
          </w:tcPr>
          <w:p/>
        </w:tc>
        <w:tc>
          <w:tcPr>
            <w:tcW w:type="dxa" w:w="2307"/>
          </w:tcPr>
          <w:p>
            <w:pPr>
              <w:jc w:val="left"/>
            </w:pPr>
            <w:r>
              <w:rPr/>
              <w:t>产品证书 (2.0分)</w:t>
            </w:r>
          </w:p>
        </w:tc>
        <w:tc>
          <w:tcPr>
            <w:tcW w:type="dxa" w:w="5076"/>
          </w:tcPr>
          <w:p>
            <w:pPr>
              <w:jc w:val="left"/>
            </w:pPr>
            <w:r>
              <w:rPr/>
              <w:t>根据投标人提供智能型恒压（无负压）变频供水控制系统软件著作权登记证书，得2分，须提供证书扫描件且加盖公司公章，否则不得分。</w:t>
            </w:r>
          </w:p>
        </w:tc>
      </w:tr>
      <w:tr>
        <w:tc>
          <w:tcPr>
            <w:tcW w:type="dxa" w:w="922"/>
            <w:gridSpan w:val="2"/>
            <w:vMerge w:val="restart"/>
          </w:tcPr>
          <w:p>
            <w:pPr>
              <w:jc w:val="center"/>
            </w:pPr>
            <w:r>
              <w:rPr/>
              <w:t>商务部分</w:t>
            </w:r>
          </w:p>
        </w:tc>
        <w:tc>
          <w:tcPr>
            <w:tcW w:type="dxa" w:w="2307"/>
          </w:tcPr>
          <w:p>
            <w:pPr>
              <w:jc w:val="left"/>
            </w:pPr>
            <w:r>
              <w:rPr/>
              <w:t>商务响应程度 (3.0分)</w:t>
            </w:r>
          </w:p>
        </w:tc>
        <w:tc>
          <w:tcPr>
            <w:tcW w:type="dxa" w:w="5076"/>
          </w:tcPr>
          <w:p>
            <w:pPr>
              <w:jc w:val="left"/>
            </w:pPr>
            <w:r>
              <w:rPr/>
              <w:t>根据投标人对本项目商务条款响应情况进行评审： 1、完全符合或优于招标文件的，得3分； 2、有1项负偏离，得2分； 3、有2项负偏离，得1分； 4、有3项或以上负偏离，得0分。</w:t>
            </w:r>
          </w:p>
        </w:tc>
      </w:tr>
      <w:tr>
        <w:tc>
          <w:tcPr>
            <w:tcW w:type="dxa" w:w="922"/>
            <w:gridSpan w:val="2"/>
            <w:vMerge/>
          </w:tcPr>
          <w:p/>
        </w:tc>
        <w:tc>
          <w:tcPr>
            <w:tcW w:type="dxa" w:w="2307"/>
          </w:tcPr>
          <w:p>
            <w:pPr>
              <w:jc w:val="left"/>
            </w:pPr>
            <w:r>
              <w:rPr/>
              <w:t>企业管理体系 (4.0分)</w:t>
            </w:r>
          </w:p>
        </w:tc>
        <w:tc>
          <w:tcPr>
            <w:tcW w:type="dxa" w:w="5076"/>
          </w:tcPr>
          <w:p>
            <w:pPr>
              <w:jc w:val="left"/>
            </w:pPr>
            <w:r>
              <w:rPr/>
              <w:t>1、投标人具有有效的质量管理体系认证证书，得1分； 2、环境管理体系认证证书，得1分； 3、职业健康安全管理体系认证证书，得1分； 4、售后服务体系认证证书，得1分。 注：1、以上证书需在有效期内。投标人投标时需提供证书复印件/扫描件及“全国认证认可信息公共服务平台”（http://cx.cnca.cn）对证书的信息查询截图作为评审依据并加盖投标人公章，不提供不得分； 2、分支机构可沿用其上级公司或总公司的认证证书。</w:t>
            </w:r>
          </w:p>
        </w:tc>
      </w:tr>
      <w:tr>
        <w:tc>
          <w:tcPr>
            <w:tcW w:type="dxa" w:w="922"/>
            <w:gridSpan w:val="2"/>
            <w:vMerge/>
          </w:tcPr>
          <w:p/>
        </w:tc>
        <w:tc>
          <w:tcPr>
            <w:tcW w:type="dxa" w:w="2307"/>
          </w:tcPr>
          <w:p>
            <w:pPr>
              <w:jc w:val="left"/>
            </w:pPr>
            <w:r>
              <w:rPr/>
              <w:t>投标人业绩 (6.0分)</w:t>
            </w:r>
          </w:p>
        </w:tc>
        <w:tc>
          <w:tcPr>
            <w:tcW w:type="dxa" w:w="5076"/>
          </w:tcPr>
          <w:p>
            <w:pPr>
              <w:jc w:val="left"/>
            </w:pPr>
            <w:r>
              <w:rPr/>
              <w:t>投标人具有2020年1月（合同签订之日起）至今所投产品单套供水设备的合同，每个项目得2分，本项最高得6分。 【提供合同复印件含首页、报价产品明细页、产品型号、签字或盖章页，并加盖投标人公章。未提供或提供不全的不得分。】</w:t>
            </w:r>
          </w:p>
        </w:tc>
      </w:tr>
      <w:tr>
        <w:tc>
          <w:tcPr>
            <w:tcW w:type="dxa" w:w="922"/>
            <w:gridSpan w:val="2"/>
            <w:vMerge/>
          </w:tcPr>
          <w:p/>
        </w:tc>
        <w:tc>
          <w:tcPr>
            <w:tcW w:type="dxa" w:w="2307"/>
          </w:tcPr>
          <w:p>
            <w:pPr>
              <w:jc w:val="left"/>
            </w:pPr>
            <w:r>
              <w:rPr/>
              <w:t>售后服务承诺 (7.0分)</w:t>
            </w:r>
            <w:r>
              <w:rPr/>
              <w:t>，（等次分值选择：</w:t>
            </w:r>
            <w:r>
              <w:rPr/>
              <w:t>0.0;</w:t>
            </w:r>
            <w:r>
              <w:rPr/>
              <w:t>1.0;</w:t>
            </w:r>
            <w:r>
              <w:rPr/>
              <w:t>4.0;</w:t>
            </w:r>
            <w:r>
              <w:rPr/>
              <w:t>7.0;</w:t>
            </w:r>
            <w:r>
              <w:rPr/>
              <w:t>）</w:t>
            </w:r>
          </w:p>
        </w:tc>
        <w:tc>
          <w:tcPr>
            <w:tcW w:type="dxa" w:w="5076"/>
          </w:tcPr>
          <w:p>
            <w:pPr>
              <w:jc w:val="left"/>
            </w:pPr>
            <w:r>
              <w:rPr/>
              <w:t>根据投标人提供的售后服务方案（包括投标人针对本项目免费质量保证期限、服务的措施、售后服务的内容、服务响应时间、维修时间、问题的解决方案等）进行评审： 1、售后服务方案非常详细、科学合理、响应时间快、切实可行、措施到位，优于医院要求，得7分； 2、售后服务方案较详细、较科学合理、响应时间较快、比较可行、措施较到位，满足医院要求，得4分； 3、售后服务方案不够详细合理、响应时间慢、可行性差、措施不到位，不完全满足医院要求，得1分； 4、不提供不得分。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ind w:firstLine="420"/>
        <w:jc w:val="both"/>
      </w:pPr>
      <w:r>
        <w:rPr>
          <w:sz w:val="24"/>
        </w:rPr>
        <w:t>根据《中华人民共和国民法典》及</w:t>
      </w:r>
      <w:r>
        <w:rPr>
          <w:sz w:val="24"/>
        </w:rPr>
        <w:t>XXX招标采购有限公司</w:t>
      </w:r>
      <w:r>
        <w:rPr>
          <w:b/>
          <w:sz w:val="24"/>
          <w:u w:val="single"/>
        </w:rPr>
        <w:t>（采购计划编号：</w:t>
      </w:r>
      <w:r>
        <w:rPr>
          <w:b/>
          <w:sz w:val="24"/>
          <w:u w:val="single"/>
        </w:rPr>
        <w:t>XXX，采购项目编号：XXX）中山大学附属第三医院粤东医院XXX采购项目</w:t>
      </w:r>
      <w:r>
        <w:rPr>
          <w:sz w:val="24"/>
        </w:rPr>
        <w:t>的招标结果和招标文件的要求，甲、乙双方经协商确定，甲方向乙方订购设备及其服务，为明确双方责任和权利，特签订本合同，共同遵守。具体条款如下：</w:t>
      </w:r>
    </w:p>
    <w:p>
      <w:pPr>
        <w:ind w:firstLine="562"/>
        <w:jc w:val="both"/>
      </w:pPr>
    </w:p>
    <w:p>
      <w:pPr>
        <w:numPr>
          <w:ilvl w:val="0"/>
          <w:numId w:val="1"/>
        </w:numPr>
        <w:jc w:val="both"/>
      </w:pPr>
      <w:r>
        <w:rPr>
          <w:b/>
          <w:sz w:val="24"/>
        </w:rPr>
        <w:t>合同设备</w:t>
      </w:r>
    </w:p>
    <w:p>
      <w:pPr>
        <w:ind w:firstLine="420"/>
        <w:jc w:val="both"/>
      </w:pPr>
      <w:r>
        <w:rPr>
          <w:sz w:val="24"/>
        </w:rPr>
        <w:t>乙方负责向甲方供应下表中所列设备及负责安装调试。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597"/>
        <w:gridCol w:w="1065"/>
        <w:gridCol w:w="1411"/>
        <w:gridCol w:w="958"/>
        <w:gridCol w:w="453"/>
        <w:gridCol w:w="453"/>
        <w:gridCol w:w="1185"/>
        <w:gridCol w:w="1185"/>
      </w:tblGrid>
      <w:tr>
        <w:tc>
          <w:tcPr>
            <w:tcW w:type="dxa" w:w="1597"/>
            <w:tcBorders>
              <w:top w:val="single" w:color="000000" w:sz="4"/>
              <w:left w:val="single" w:color="000000" w:sz="4"/>
              <w:bottom w:val="single" w:color="000000" w:sz="4"/>
              <w:right w:val="single" w:color="000000" w:sz="4"/>
            </w:tcBorders>
            <w:vAlign w:val="top"/>
          </w:tcPr>
          <w:p>
            <w:pPr>
              <w:jc w:val="center"/>
            </w:pPr>
            <w:r>
              <w:rPr>
                <w:b/>
                <w:sz w:val="24"/>
              </w:rPr>
              <w:t>设备（货物）</w:t>
            </w:r>
            <w:r>
              <w:rPr>
                <w:b/>
                <w:sz w:val="24"/>
              </w:rPr>
              <w:t>名称</w:t>
            </w:r>
          </w:p>
        </w:tc>
        <w:tc>
          <w:tcPr>
            <w:tcW w:type="dxa" w:w="1065"/>
            <w:tcBorders>
              <w:top w:val="single" w:color="000000" w:sz="4"/>
              <w:left w:val="none" w:color="000000" w:sz="4"/>
              <w:bottom w:val="single" w:color="000000" w:sz="4"/>
              <w:right w:val="single" w:color="000000" w:sz="4"/>
            </w:tcBorders>
            <w:vAlign w:val="top"/>
          </w:tcPr>
          <w:p>
            <w:pPr>
              <w:jc w:val="center"/>
            </w:pPr>
            <w:r>
              <w:rPr>
                <w:b/>
                <w:sz w:val="24"/>
              </w:rPr>
              <w:t>规格型号</w:t>
            </w:r>
          </w:p>
        </w:tc>
        <w:tc>
          <w:tcPr>
            <w:tcW w:type="dxa" w:w="1411"/>
            <w:tcBorders>
              <w:top w:val="single" w:color="000000" w:sz="4"/>
              <w:left w:val="none" w:color="000000" w:sz="4"/>
              <w:bottom w:val="single" w:color="000000" w:sz="4"/>
              <w:right w:val="single" w:color="000000" w:sz="4"/>
            </w:tcBorders>
            <w:vAlign w:val="top"/>
          </w:tcPr>
          <w:p>
            <w:pPr>
              <w:jc w:val="center"/>
            </w:pPr>
            <w:r>
              <w:rPr>
                <w:b/>
                <w:sz w:val="24"/>
              </w:rPr>
              <w:t>配置清单</w:t>
            </w:r>
          </w:p>
        </w:tc>
        <w:tc>
          <w:tcPr>
            <w:tcW w:type="dxa" w:w="958"/>
            <w:tcBorders>
              <w:top w:val="single" w:color="000000" w:sz="4"/>
              <w:left w:val="none" w:color="000000" w:sz="4"/>
              <w:bottom w:val="single" w:color="000000" w:sz="4"/>
              <w:right w:val="single" w:color="000000" w:sz="4"/>
            </w:tcBorders>
            <w:vAlign w:val="top"/>
          </w:tcPr>
          <w:p>
            <w:pPr>
              <w:jc w:val="center"/>
            </w:pPr>
            <w:r>
              <w:rPr>
                <w:b/>
                <w:sz w:val="24"/>
              </w:rPr>
              <w:t>产地</w:t>
            </w:r>
            <w:r>
              <w:rPr>
                <w:b/>
                <w:sz w:val="24"/>
              </w:rPr>
              <w:t>/</w:t>
            </w:r>
          </w:p>
          <w:p>
            <w:pPr>
              <w:jc w:val="center"/>
            </w:pPr>
            <w:r>
              <w:rPr>
                <w:b/>
                <w:sz w:val="24"/>
              </w:rPr>
              <w:t>厂家</w:t>
            </w:r>
          </w:p>
        </w:tc>
        <w:tc>
          <w:tcPr>
            <w:tcW w:type="dxa" w:w="453"/>
            <w:tcBorders>
              <w:top w:val="single" w:color="000000" w:sz="4"/>
              <w:left w:val="none" w:color="000000" w:sz="4"/>
              <w:bottom w:val="single" w:color="000000" w:sz="4"/>
              <w:right w:val="single" w:color="000000" w:sz="4"/>
            </w:tcBorders>
            <w:vAlign w:val="top"/>
          </w:tcPr>
          <w:p>
            <w:pPr>
              <w:jc w:val="center"/>
            </w:pPr>
            <w:r>
              <w:rPr>
                <w:b/>
                <w:sz w:val="24"/>
              </w:rPr>
              <w:t>单位</w:t>
            </w:r>
          </w:p>
        </w:tc>
        <w:tc>
          <w:tcPr>
            <w:tcW w:type="dxa" w:w="453"/>
            <w:tcBorders>
              <w:top w:val="single" w:color="000000" w:sz="4"/>
              <w:left w:val="none" w:color="000000" w:sz="4"/>
              <w:bottom w:val="single" w:color="000000" w:sz="4"/>
              <w:right w:val="single" w:color="000000" w:sz="4"/>
            </w:tcBorders>
            <w:vAlign w:val="top"/>
          </w:tcPr>
          <w:p>
            <w:pPr>
              <w:jc w:val="center"/>
            </w:pPr>
            <w:r>
              <w:rPr>
                <w:b/>
                <w:sz w:val="24"/>
              </w:rPr>
              <w:t>数量</w:t>
            </w:r>
          </w:p>
        </w:tc>
        <w:tc>
          <w:tcPr>
            <w:tcW w:type="dxa" w:w="1185"/>
            <w:tcBorders>
              <w:top w:val="single" w:color="000000" w:sz="4"/>
              <w:left w:val="none" w:color="000000" w:sz="4"/>
              <w:bottom w:val="single" w:color="000000" w:sz="4"/>
              <w:right w:val="single" w:color="000000" w:sz="4"/>
            </w:tcBorders>
            <w:vAlign w:val="top"/>
          </w:tcPr>
          <w:p>
            <w:pPr>
              <w:jc w:val="center"/>
            </w:pPr>
            <w:r>
              <w:rPr>
                <w:b/>
                <w:sz w:val="24"/>
              </w:rPr>
              <w:t>含税单价（元）</w:t>
            </w:r>
          </w:p>
        </w:tc>
        <w:tc>
          <w:tcPr>
            <w:tcW w:type="dxa" w:w="1185"/>
            <w:tcBorders>
              <w:top w:val="single" w:color="000000" w:sz="4"/>
              <w:left w:val="none" w:color="000000" w:sz="4"/>
              <w:bottom w:val="single" w:color="000000" w:sz="4"/>
              <w:right w:val="single" w:color="000000" w:sz="4"/>
            </w:tcBorders>
            <w:vAlign w:val="top"/>
          </w:tcPr>
          <w:p>
            <w:pPr>
              <w:jc w:val="center"/>
            </w:pPr>
            <w:r>
              <w:rPr>
                <w:b/>
                <w:sz w:val="24"/>
              </w:rPr>
              <w:t>含税总价（元）</w:t>
            </w:r>
          </w:p>
        </w:tc>
      </w:tr>
      <w:tr>
        <w:tc>
          <w:tcPr>
            <w:tcW w:type="dxa" w:w="1597"/>
            <w:tcBorders>
              <w:top w:val="none" w:color="000000" w:sz="4"/>
              <w:left w:val="single" w:color="000000" w:sz="4"/>
              <w:bottom w:val="single" w:color="000000" w:sz="4"/>
              <w:right w:val="single" w:color="000000" w:sz="4"/>
            </w:tcBorders>
            <w:vAlign w:val="top"/>
          </w:tcPr>
          <w:p>
            <w:pPr>
              <w:jc w:val="center"/>
            </w:pPr>
            <w:r>
              <w:rPr>
                <w:sz w:val="24"/>
              </w:rPr>
              <w:t>招标项目名称（注册证名称）</w:t>
            </w:r>
          </w:p>
        </w:tc>
        <w:tc>
          <w:tcPr>
            <w:tcW w:type="dxa" w:w="1065"/>
            <w:tcBorders>
              <w:top w:val="none" w:color="000000" w:sz="4"/>
              <w:left w:val="none" w:color="000000" w:sz="4"/>
              <w:bottom w:val="single" w:color="000000" w:sz="4"/>
              <w:right w:val="single" w:color="000000" w:sz="4"/>
            </w:tcBorders>
            <w:vAlign w:val="top"/>
          </w:tcPr>
          <w:p>
            <w:pPr>
              <w:ind w:firstLine="560"/>
              <w:jc w:val="center"/>
            </w:pPr>
          </w:p>
        </w:tc>
        <w:tc>
          <w:tcPr>
            <w:tcW w:type="dxa" w:w="1411"/>
            <w:tcBorders>
              <w:top w:val="none" w:color="000000" w:sz="4"/>
              <w:left w:val="none" w:color="000000" w:sz="4"/>
              <w:bottom w:val="single" w:color="000000" w:sz="4"/>
              <w:right w:val="single" w:color="000000" w:sz="4"/>
            </w:tcBorders>
            <w:vAlign w:val="top"/>
          </w:tcPr>
          <w:p>
            <w:pPr>
              <w:jc w:val="center"/>
            </w:pPr>
            <w:r>
              <w:rPr>
                <w:sz w:val="24"/>
              </w:rPr>
              <w:t>□直接填写；□按附件格式附表</w:t>
            </w:r>
          </w:p>
        </w:tc>
        <w:tc>
          <w:tcPr>
            <w:tcW w:type="dxa" w:w="958"/>
            <w:tcBorders>
              <w:top w:val="none" w:color="000000" w:sz="4"/>
              <w:left w:val="none" w:color="000000" w:sz="4"/>
              <w:bottom w:val="single" w:color="000000" w:sz="4"/>
              <w:right w:val="single" w:color="000000" w:sz="4"/>
            </w:tcBorders>
            <w:vAlign w:val="top"/>
          </w:tcPr>
          <w:p>
            <w:pPr>
              <w:jc w:val="center"/>
            </w:pPr>
            <w:r>
              <w:rPr>
                <w:sz w:val="24"/>
              </w:rPr>
              <w:t>请填厂家全称</w:t>
            </w:r>
          </w:p>
        </w:tc>
        <w:tc>
          <w:tcPr>
            <w:tcW w:type="dxa" w:w="453"/>
            <w:tcBorders>
              <w:top w:val="none" w:color="000000" w:sz="4"/>
              <w:left w:val="none" w:color="000000" w:sz="4"/>
              <w:bottom w:val="single" w:color="000000" w:sz="4"/>
              <w:right w:val="single" w:color="000000" w:sz="4"/>
            </w:tcBorders>
            <w:vAlign w:val="top"/>
          </w:tcPr>
          <w:p>
            <w:pPr>
              <w:jc w:val="center"/>
            </w:pPr>
          </w:p>
        </w:tc>
        <w:tc>
          <w:tcPr>
            <w:tcW w:type="dxa" w:w="453"/>
            <w:tcBorders>
              <w:top w:val="none" w:color="000000" w:sz="4"/>
              <w:left w:val="none" w:color="000000" w:sz="4"/>
              <w:bottom w:val="single" w:color="000000" w:sz="4"/>
              <w:right w:val="single" w:color="000000" w:sz="4"/>
            </w:tcBorders>
            <w:vAlign w:val="top"/>
          </w:tcPr>
          <w:p>
            <w:pPr>
              <w:jc w:val="center"/>
            </w:pPr>
          </w:p>
        </w:tc>
        <w:tc>
          <w:tcPr>
            <w:tcW w:type="dxa" w:w="1185"/>
            <w:tcBorders>
              <w:top w:val="none" w:color="000000" w:sz="4"/>
              <w:left w:val="none" w:color="000000" w:sz="4"/>
              <w:bottom w:val="single" w:color="000000" w:sz="4"/>
              <w:right w:val="single" w:color="000000" w:sz="4"/>
            </w:tcBorders>
            <w:vAlign w:val="top"/>
          </w:tcPr>
          <w:p>
            <w:pPr>
              <w:jc w:val="center"/>
            </w:pPr>
            <w:r>
              <w:rPr>
                <w:sz w:val="24"/>
              </w:rPr>
              <w:t>0,000.00</w:t>
            </w:r>
          </w:p>
        </w:tc>
        <w:tc>
          <w:tcPr>
            <w:tcW w:type="dxa" w:w="1185"/>
            <w:tcBorders>
              <w:top w:val="none" w:color="000000" w:sz="4"/>
              <w:left w:val="none" w:color="000000" w:sz="4"/>
              <w:bottom w:val="single" w:color="000000" w:sz="4"/>
              <w:right w:val="single" w:color="000000" w:sz="4"/>
            </w:tcBorders>
            <w:vAlign w:val="top"/>
          </w:tcPr>
          <w:p>
            <w:pPr>
              <w:jc w:val="center"/>
            </w:pPr>
            <w:r>
              <w:rPr>
                <w:sz w:val="24"/>
              </w:rPr>
              <w:t>0,000.00</w:t>
            </w:r>
          </w:p>
        </w:tc>
      </w:tr>
      <w:tr>
        <w:tc>
          <w:tcPr>
            <w:tcW w:type="dxa" w:w="8307"/>
            <w:gridSpan w:val="8"/>
            <w:tcBorders>
              <w:top w:val="none" w:color="000000" w:sz="4"/>
              <w:left w:val="single" w:color="000000" w:sz="4"/>
              <w:bottom w:val="single" w:color="000000" w:sz="4"/>
              <w:right w:val="single" w:color="000000" w:sz="4"/>
            </w:tcBorders>
            <w:vAlign w:val="top"/>
          </w:tcPr>
          <w:p>
            <w:pPr>
              <w:jc w:val="center"/>
            </w:pPr>
            <w:r>
              <w:rPr>
                <w:sz w:val="24"/>
              </w:rPr>
              <w:t>含税总金额</w:t>
            </w:r>
            <w:r>
              <w:rPr>
                <w:sz w:val="24"/>
              </w:rPr>
              <w:t>（人民币）：</w:t>
            </w:r>
            <w:r>
              <w:rPr>
                <w:sz w:val="24"/>
              </w:rPr>
              <w:t xml:space="preserve">     </w:t>
            </w:r>
            <w:r>
              <w:rPr>
                <w:sz w:val="24"/>
              </w:rPr>
              <w:t>万</w:t>
            </w:r>
            <w:r>
              <w:rPr>
                <w:sz w:val="24"/>
              </w:rPr>
              <w:t xml:space="preserve">  </w:t>
            </w:r>
            <w:r>
              <w:rPr>
                <w:sz w:val="24"/>
              </w:rPr>
              <w:t>仟</w:t>
            </w:r>
            <w:r>
              <w:rPr>
                <w:sz w:val="24"/>
              </w:rPr>
              <w:t xml:space="preserve">  </w:t>
            </w:r>
            <w:r>
              <w:rPr>
                <w:sz w:val="24"/>
              </w:rPr>
              <w:t>佰</w:t>
            </w:r>
            <w:r>
              <w:rPr>
                <w:sz w:val="24"/>
              </w:rPr>
              <w:t xml:space="preserve">  </w:t>
            </w:r>
            <w:r>
              <w:rPr>
                <w:sz w:val="24"/>
              </w:rPr>
              <w:t>拾</w:t>
            </w:r>
            <w:r>
              <w:rPr>
                <w:sz w:val="24"/>
              </w:rPr>
              <w:t xml:space="preserve">  </w:t>
            </w:r>
            <w:r>
              <w:rPr>
                <w:sz w:val="24"/>
              </w:rPr>
              <w:t>元</w:t>
            </w:r>
            <w:r>
              <w:rPr>
                <w:sz w:val="24"/>
              </w:rPr>
              <w:t xml:space="preserve">  </w:t>
            </w:r>
            <w:r>
              <w:rPr>
                <w:sz w:val="24"/>
              </w:rPr>
              <w:t>角</w:t>
            </w:r>
            <w:r>
              <w:rPr>
                <w:sz w:val="24"/>
              </w:rPr>
              <w:t xml:space="preserve">  </w:t>
            </w:r>
            <w:r>
              <w:rPr>
                <w:sz w:val="24"/>
              </w:rPr>
              <w:t>分（</w:t>
            </w:r>
            <w:r>
              <w:rPr>
                <w:sz w:val="24"/>
              </w:rPr>
              <w:t>¥</w:t>
            </w:r>
            <w:r>
              <w:rPr>
                <w:sz w:val="24"/>
              </w:rPr>
              <w:t xml:space="preserve">     </w:t>
            </w:r>
            <w:r>
              <w:rPr>
                <w:sz w:val="24"/>
              </w:rPr>
              <w:t xml:space="preserve">     </w:t>
            </w:r>
            <w:r>
              <w:rPr>
                <w:sz w:val="22"/>
              </w:rPr>
              <w:t>）</w:t>
            </w:r>
          </w:p>
        </w:tc>
      </w:tr>
    </w:tbl>
    <w:p>
      <w:pPr>
        <w:ind w:firstLine="562"/>
        <w:jc w:val="both"/>
      </w:pPr>
    </w:p>
    <w:p>
      <w:pPr>
        <w:ind w:firstLine="422"/>
        <w:jc w:val="both"/>
      </w:pPr>
      <w:r>
        <w:rPr>
          <w:b/>
          <w:sz w:val="24"/>
        </w:rPr>
        <w:t>2. 合同总价</w:t>
      </w:r>
    </w:p>
    <w:p>
      <w:pPr>
        <w:ind w:firstLine="420"/>
        <w:jc w:val="both"/>
      </w:pPr>
      <w:r>
        <w:rPr>
          <w:sz w:val="24"/>
        </w:rPr>
        <w:t>上述合同价款为包干总价，该包干总价为乙方按照合同约定完成合同全部义务后所适用的总价格，包括但不限于报价应包括供货、安装、零配件、标配工具、运输保险、调试、培训、质保期服务、各项税费、土建配合费、合同实施过程中不可预见费用等。除本合同明确约定的费用外，甲方无需支付任何额外费用和承担任何额外义务。上述合同价款等各项内容在本合同履行过程中保持不变，经甲乙双方协商一致以书面形式予以变更的除外。</w:t>
      </w:r>
    </w:p>
    <w:p>
      <w:pPr>
        <w:ind w:firstLine="562"/>
        <w:jc w:val="both"/>
      </w:pPr>
    </w:p>
    <w:p>
      <w:pPr>
        <w:ind w:firstLine="422"/>
        <w:jc w:val="both"/>
      </w:pPr>
      <w:r>
        <w:rPr>
          <w:b/>
          <w:sz w:val="24"/>
        </w:rPr>
        <w:t>3. 合同组成</w:t>
      </w:r>
    </w:p>
    <w:p>
      <w:pPr>
        <w:ind w:firstLine="420"/>
        <w:jc w:val="both"/>
      </w:pPr>
      <w:r>
        <w:rPr>
          <w:sz w:val="24"/>
        </w:rPr>
        <w:t>详细价格、技术说明及其它有关合同设备的特定信息由合同附件说明。所有附件及本项目的响应文件、投标文件、会议纪要、协议、承诺书等均为本合同不可分割之一部分。</w:t>
      </w:r>
    </w:p>
    <w:p>
      <w:pPr>
        <w:ind w:firstLine="562"/>
        <w:jc w:val="both"/>
      </w:pPr>
    </w:p>
    <w:p>
      <w:pPr>
        <w:jc w:val="both"/>
      </w:pPr>
      <w:r>
        <w:rPr>
          <w:b/>
          <w:sz w:val="24"/>
        </w:rPr>
        <w:t>4.</w:t>
      </w:r>
      <w:r>
        <w:rPr>
          <w:b/>
          <w:sz w:val="24"/>
        </w:rPr>
        <w:t>供货要求：</w:t>
      </w:r>
      <w:r>
        <w:rPr>
          <w:b/>
          <w:sz w:val="24"/>
        </w:rPr>
        <w:t xml:space="preserve"> </w:t>
      </w:r>
    </w:p>
    <w:p>
      <w:pPr>
        <w:ind w:firstLine="480"/>
      </w:pPr>
      <w:r>
        <w:rPr>
          <w:sz w:val="24"/>
        </w:rPr>
        <w:t>4.1.货物为原制造商制造的全新产品，整机无污染，无侵权行为、表面无划损、无任何缺陷隐        患，在中国境内可依常规安全合法使用。货物为原厂商未启封全新包装，具有出厂合格证，序        列号、包装箱号与出厂批号一致，并可追索查阅。应附关键设备的用户手册、保修手册、有关        单证资料及配备件等，设备使用操作及安全须知等重要资料应附有中文说明。</w:t>
      </w:r>
    </w:p>
    <w:p>
      <w:pPr>
        <w:ind w:firstLine="480"/>
      </w:pPr>
      <w:r>
        <w:rPr>
          <w:sz w:val="24"/>
        </w:rPr>
        <w:t>4.2.乙方需送货上门至甲方指定地点，并将设备设施安装、调试到最佳状态。</w:t>
      </w:r>
    </w:p>
    <w:p>
      <w:pPr>
        <w:ind w:firstLine="420"/>
        <w:jc w:val="both"/>
      </w:pPr>
    </w:p>
    <w:p>
      <w:pPr>
        <w:ind w:firstLine="562"/>
        <w:jc w:val="both"/>
      </w:pPr>
    </w:p>
    <w:p>
      <w:pPr>
        <w:ind w:firstLine="482"/>
      </w:pPr>
      <w:r>
        <w:rPr>
          <w:b/>
          <w:sz w:val="24"/>
        </w:rPr>
        <w:t>5.</w:t>
      </w:r>
      <w:r>
        <w:rPr>
          <w:b/>
          <w:sz w:val="24"/>
        </w:rPr>
        <w:t>安装、调试要求：</w:t>
      </w:r>
    </w:p>
    <w:p>
      <w:pPr>
        <w:ind w:firstLine="480"/>
      </w:pPr>
      <w:r>
        <w:rPr>
          <w:sz w:val="24"/>
        </w:rPr>
        <w:t>5.1深化设计、安装、调试</w:t>
      </w:r>
    </w:p>
    <w:p>
      <w:pPr>
        <w:ind w:firstLine="480"/>
      </w:pPr>
      <w:r>
        <w:rPr>
          <w:sz w:val="24"/>
        </w:rPr>
        <w:t>5.1.1本项目生活水泵房深化设计、安装、调试均由乙方负责，为交钥匙工程（含必要的土建配合费）。</w:t>
      </w:r>
    </w:p>
    <w:p>
      <w:pPr>
        <w:ind w:firstLine="480"/>
      </w:pPr>
      <w:r>
        <w:rPr>
          <w:sz w:val="24"/>
        </w:rPr>
        <w:t>5.1.2乙方在开始安装前应提供深化设计方案、安装、调试工艺流程，质量控制程序和检验方法，处理关键、难点的对策、方案和手段供甲方审批。</w:t>
      </w:r>
    </w:p>
    <w:p>
      <w:pPr>
        <w:ind w:firstLine="480"/>
      </w:pPr>
      <w:r>
        <w:rPr>
          <w:sz w:val="24"/>
        </w:rPr>
        <w:t>5.1.3深化设计、安装、调试，包括以下内容：</w:t>
      </w:r>
    </w:p>
    <w:p>
      <w:pPr>
        <w:ind w:firstLine="480"/>
      </w:pPr>
      <w:r>
        <w:rPr>
          <w:sz w:val="24"/>
        </w:rPr>
        <w:t>5.1.3.1深化设计、安装、调试按照国家标准和行业规范进行。</w:t>
      </w:r>
    </w:p>
    <w:p>
      <w:pPr>
        <w:ind w:firstLine="480"/>
      </w:pPr>
      <w:r>
        <w:rPr>
          <w:sz w:val="24"/>
        </w:rPr>
        <w:t>5.1.3.2生活水泵房设备设施。</w:t>
      </w:r>
    </w:p>
    <w:p>
      <w:pPr>
        <w:ind w:firstLine="480"/>
      </w:pPr>
      <w:r>
        <w:rPr>
          <w:sz w:val="24"/>
        </w:rPr>
        <w:t>5.2工期要求和规定</w:t>
      </w:r>
    </w:p>
    <w:p>
      <w:pPr>
        <w:ind w:firstLine="480"/>
      </w:pPr>
      <w:r>
        <w:rPr>
          <w:sz w:val="24"/>
        </w:rPr>
        <w:t>5.2.1工程合同工期总日历天数：</w:t>
      </w:r>
      <w:r>
        <w:rPr>
          <w:sz w:val="19"/>
          <w:u w:val="single"/>
        </w:rPr>
        <w:t xml:space="preserve">     </w:t>
      </w:r>
      <w:r>
        <w:rPr>
          <w:sz w:val="24"/>
        </w:rPr>
        <w:t>天。</w:t>
      </w:r>
    </w:p>
    <w:p>
      <w:r>
        <w:rPr>
          <w:sz w:val="24"/>
        </w:rPr>
        <w:t>5.2.2乙方根据企业自身实际能力，在施工组织和施工方法合理、可行的前提下，对本工程的工期进行优化，提出缩短工期的招标文件；其中雨天、节假日及因乙方的 施工质量不合格或施工程序颠倒造成的返工所耽误的工期也并记在内，不能顺延。如遇不可抗拒因素影响，工期可以顺延，要求本工程按期完成，按期完成不奖不罚。</w:t>
      </w:r>
    </w:p>
    <w:p>
      <w:r>
        <w:rPr>
          <w:sz w:val="24"/>
        </w:rPr>
        <w:t>5.2.3本项目乙方须按工期要求竣工并通过验收，对未能按期完工并通过验收的，乙方需支付甲方违约金。每日历天应赔付额度为合同价格的1%。（超出30天，甲方有权终止合同，乙方需退回甲方前期支付的所有款项并向甲方赔偿合同总额7.5%的违约金）。</w:t>
      </w:r>
    </w:p>
    <w:p>
      <w:pPr>
        <w:ind w:firstLine="480"/>
      </w:pPr>
      <w:r>
        <w:rPr>
          <w:sz w:val="24"/>
        </w:rPr>
        <w:t>5.3安全文明施工</w:t>
      </w:r>
    </w:p>
    <w:p>
      <w:r>
        <w:rPr>
          <w:sz w:val="24"/>
        </w:rPr>
        <w:t>5.3.1乙方在施工期间应严格遵守国家、省、市有关防火、防爆和施工安全以及文明施工、深夜施工、环卫、治安与城管等规定，应建立规章制度和防护、防范措施，并承担由于自身措施不力造成事故责任和发生的费用。</w:t>
      </w:r>
    </w:p>
    <w:p>
      <w:r>
        <w:rPr>
          <w:sz w:val="24"/>
        </w:rPr>
        <w:t>5.3.2施工期间，建立施工安全用电制度，确保施工用电设备的完好无损，并设置漏电保护装置。</w:t>
      </w:r>
    </w:p>
    <w:p>
      <w:r>
        <w:rPr>
          <w:sz w:val="24"/>
        </w:rPr>
        <w:t>5.3.3乙方应按安全施工的要求，采取严格科学的安全措施，确保施工安全和第三者的安全，承担由于自身安全措施不力造成的事故责任、法律责任和经济责任。</w:t>
      </w:r>
    </w:p>
    <w:p>
      <w:r>
        <w:rPr>
          <w:sz w:val="24"/>
        </w:rPr>
        <w:t>5.3.4建筑垃圾及时清运干净，施工过程中应采取必要的有效措施减少对施工区域内进出人员的工作造成的影响，并确保各方人员的安全，施工区域内由于乙方的责任造成的一切人员的伤亡，均由乙方承担由此产生的一切赔偿等后果。</w:t>
      </w:r>
    </w:p>
    <w:p>
      <w:pPr>
        <w:ind w:firstLine="480"/>
      </w:pPr>
      <w:r>
        <w:rPr>
          <w:sz w:val="24"/>
        </w:rPr>
        <w:t>5.3.5应按国家相关法律法规、安全规范等组织实施。</w:t>
      </w:r>
    </w:p>
    <w:p>
      <w:pPr>
        <w:ind w:firstLine="480"/>
      </w:pPr>
      <w:r>
        <w:rPr>
          <w:sz w:val="24"/>
        </w:rPr>
        <w:t>5.3.6乙方在甲方现场内进行施工时遵循医院的规章制度，做到安全文明施工。</w:t>
      </w:r>
    </w:p>
    <w:p>
      <w:pPr>
        <w:ind w:firstLine="480"/>
      </w:pPr>
      <w:r>
        <w:rPr>
          <w:sz w:val="24"/>
        </w:rPr>
        <w:t>5.4风险管理</w:t>
      </w:r>
    </w:p>
    <w:p>
      <w:r>
        <w:rPr>
          <w:sz w:val="24"/>
        </w:rPr>
        <w:t>乙方要做好日常风险预防工程和应急响应：若发生房屋墙体脱落、水电设施破坏、地面破坏等危及行人、车辆安全的紧急情况，或发生水管爆漏、火灾隐患等严重影响办公条件的情况，乙方在接报后</w:t>
      </w:r>
      <w:r>
        <w:rPr>
          <w:sz w:val="19"/>
          <w:u w:val="single"/>
        </w:rPr>
        <w:t xml:space="preserve">    </w:t>
      </w:r>
      <w:r>
        <w:rPr>
          <w:sz w:val="24"/>
        </w:rPr>
        <w:t>分钟内到达现场并快速有效地进行处理；服务合约期内乙方因交通违章、交通肇事、发生安全生产事故、造成火灾等，导致人员伤亡或财产损失的，均由乙方依法负全责，不得以任何理由向甲方追偿。</w:t>
      </w:r>
    </w:p>
    <w:p/>
    <w:p>
      <w:pPr>
        <w:ind w:firstLine="482"/>
      </w:pPr>
      <w:r>
        <w:rPr>
          <w:b/>
          <w:sz w:val="24"/>
        </w:rPr>
        <w:t>6.质保期（服务期）及售后服务：</w:t>
      </w:r>
    </w:p>
    <w:p>
      <w:pPr>
        <w:ind w:firstLine="480"/>
      </w:pPr>
      <w:r>
        <w:rPr>
          <w:sz w:val="24"/>
        </w:rPr>
        <w:t>6.1在正常使用情况下，设备保质期</w:t>
      </w:r>
      <w:r>
        <w:rPr>
          <w:sz w:val="19"/>
          <w:u w:val="single"/>
        </w:rPr>
        <w:t xml:space="preserve">    </w:t>
      </w:r>
      <w:r>
        <w:rPr>
          <w:sz w:val="24"/>
        </w:rPr>
        <w:t>个月，质保期应从验收合格之日起开始计算。</w:t>
      </w:r>
    </w:p>
    <w:p>
      <w:pPr>
        <w:ind w:firstLine="480"/>
      </w:pPr>
      <w:r>
        <w:rPr>
          <w:sz w:val="24"/>
        </w:rPr>
        <w:t>6.2质保期内报价人为设备提供缺陷保修及免费维护保修。</w:t>
      </w:r>
    </w:p>
    <w:p>
      <w:pPr>
        <w:ind w:firstLine="480"/>
      </w:pPr>
      <w:r>
        <w:rPr>
          <w:sz w:val="24"/>
        </w:rPr>
        <w:t>6.3保质期满后，买卖双方可另行签订《维护保养合同》。</w:t>
      </w:r>
    </w:p>
    <w:p>
      <w:pPr>
        <w:ind w:firstLine="480"/>
      </w:pPr>
      <w:r>
        <w:rPr>
          <w:sz w:val="24"/>
        </w:rPr>
        <w:t>6.4质保期内乙方免费提供软件升级，并保证软件为最新合法版本。</w:t>
      </w:r>
    </w:p>
    <w:p>
      <w:r>
        <w:rPr>
          <w:sz w:val="24"/>
        </w:rPr>
        <w:t>6.5质保期内出现产品质量及安装质量问题，由供货方负责包修、包换或包退，并承担因此而产生的一切费用。</w:t>
      </w:r>
    </w:p>
    <w:p>
      <w:r>
        <w:rPr>
          <w:sz w:val="24"/>
        </w:rPr>
        <w:t>6.6乙方提供24小时全方位维修服务。普通情况接到报修通知后，</w:t>
      </w:r>
      <w:r>
        <w:rPr>
          <w:sz w:val="19"/>
          <w:u w:val="single"/>
        </w:rPr>
        <w:t xml:space="preserve">    </w:t>
      </w:r>
      <w:r>
        <w:rPr>
          <w:sz w:val="24"/>
        </w:rPr>
        <w:t>小时内赶到现场并排除故障，直至设备完全恢复正常为止。紧急情况下保证提供全天候紧急故障处理或意外事故的技术性服务，接到客户紧急电话后</w:t>
      </w:r>
      <w:r>
        <w:rPr>
          <w:sz w:val="19"/>
          <w:u w:val="single"/>
        </w:rPr>
        <w:t xml:space="preserve">     </w:t>
      </w:r>
      <w:r>
        <w:rPr>
          <w:sz w:val="24"/>
        </w:rPr>
        <w:t>分钟内赶到现场。</w:t>
      </w:r>
    </w:p>
    <w:p>
      <w:r>
        <w:rPr>
          <w:sz w:val="24"/>
        </w:rPr>
        <w:t>6.7有指定的质保负责人，质保负责人和维修人员要有常联系的电话，且电话号码不能频繁更换。其通信工具应24小时保持畅通。</w:t>
      </w:r>
    </w:p>
    <w:p>
      <w:r>
        <w:rPr>
          <w:sz w:val="24"/>
        </w:rPr>
        <w:t>6.8在保修期内，货物或零部件因非人为因素出现故障而造成短期停用时，则质保期和免费维修期相应顺延，如停用时间累计超过60天则质保期重新计算。在质保期内，由于设备本身质量原因造成的任何损伤或损坏，乙方免费负责修理或更换。</w:t>
      </w:r>
    </w:p>
    <w:p>
      <w:r>
        <w:rPr>
          <w:sz w:val="24"/>
        </w:rPr>
        <w:t>6.9质保期结束前，由乙方专业工程师和甲方代表对设备进行一次全面检查。任何缺陷由乙方负责修理，并得到甲方代表认可。在修理之后，乙方应将缺陷成因、修理内容、完成修理及恢复正常的时间和日期等报告给甲方。</w:t>
      </w:r>
    </w:p>
    <w:p>
      <w:r>
        <w:rPr>
          <w:sz w:val="24"/>
        </w:rPr>
        <w:t>6.10乙方应为甲方提供免费培训服务。主要培训内容为货物的基本结构、主要部件的构造，日常使用操作与管理、日常保养、常见故障的排除、紧急情况的处理等，  如甲方未使用过同类型货物，乙方还需就货物的功能对甲方进行相应的技术培训，培训地点主要在货物安装现场或由甲方安排。</w:t>
      </w:r>
    </w:p>
    <w:p>
      <w:r>
        <w:rPr>
          <w:sz w:val="24"/>
        </w:rPr>
        <w:t>6.11质保期后的服务要求：免费质保期满后，乙方应提供终身维护服务、技术咨询服务。</w:t>
      </w:r>
    </w:p>
    <w:p>
      <w:pPr>
        <w:ind w:firstLine="480"/>
      </w:pPr>
      <w:r>
        <w:rPr>
          <w:sz w:val="24"/>
        </w:rPr>
        <w:t>6.12根据安全技术规范以及安装使用维护说明，制定日常维护保养方案。</w:t>
      </w:r>
    </w:p>
    <w:p>
      <w:pPr>
        <w:ind w:firstLine="480"/>
      </w:pPr>
      <w:r>
        <w:rPr>
          <w:sz w:val="24"/>
        </w:rPr>
        <w:t>6.13建立设备日常维护保养档案。</w:t>
      </w:r>
    </w:p>
    <w:p>
      <w:r>
        <w:rPr>
          <w:sz w:val="24"/>
        </w:rPr>
        <w:t>6.14配备易损件服务：以优惠的价格长期保证给水排水设备易损件的供应，且保证供应之易损件为最低价格。</w:t>
      </w:r>
    </w:p>
    <w:p>
      <w:pPr>
        <w:jc w:val="both"/>
      </w:pPr>
    </w:p>
    <w:p>
      <w:pPr>
        <w:ind w:firstLine="422"/>
        <w:jc w:val="both"/>
      </w:pPr>
      <w:r>
        <w:rPr>
          <w:b/>
          <w:sz w:val="24"/>
        </w:rPr>
        <w:t>7. 付款办法</w:t>
      </w:r>
    </w:p>
    <w:p>
      <w:r>
        <w:rPr>
          <w:sz w:val="24"/>
        </w:rPr>
        <w:t>7.1</w:t>
      </w:r>
      <w:r>
        <w:rPr>
          <w:sz w:val="24"/>
        </w:rPr>
        <w:t>合同签订后15日内，甲方向乙方支付合同总金额30%的预付款；</w:t>
      </w:r>
    </w:p>
    <w:p>
      <w:r>
        <w:rPr>
          <w:sz w:val="24"/>
        </w:rPr>
        <w:t>7.2在甲方发出排产通知单后，由乙方提出付款申请，甲方凭等额有效付款凭证于15日内支付乙方该批次设备对应合同总价的50%作为提货款；</w:t>
      </w:r>
    </w:p>
    <w:p>
      <w:pPr>
        <w:ind w:firstLine="480"/>
        <w:jc w:val="left"/>
      </w:pPr>
      <w:r>
        <w:rPr>
          <w:sz w:val="24"/>
        </w:rPr>
        <w:t>7.3设备设施安装完毕验收合格后15日内支付合同总金额20%。</w:t>
      </w:r>
    </w:p>
    <w:p>
      <w:pPr>
        <w:jc w:val="both"/>
      </w:pPr>
      <w:r>
        <w:rPr>
          <w:sz w:val="24"/>
        </w:rPr>
        <w:t>注：</w:t>
      </w:r>
      <w:r>
        <w:rPr>
          <w:sz w:val="24"/>
        </w:rPr>
        <w:t>如甲方使用的是财政资金，在合同规定支付时间内甲方已向政府支付部门提出办理财政支付申请手续（不含政府财政支付部门审核的时间），即视为甲方已按期支付。</w:t>
      </w:r>
    </w:p>
    <w:p>
      <w:pPr>
        <w:ind w:firstLine="480"/>
        <w:jc w:val="both"/>
      </w:pPr>
      <w:r>
        <w:rPr>
          <w:sz w:val="24"/>
        </w:rPr>
        <w:t>乙方开户名：</w:t>
      </w:r>
    </w:p>
    <w:p>
      <w:pPr>
        <w:ind w:firstLine="480"/>
        <w:jc w:val="both"/>
      </w:pPr>
      <w:r>
        <w:rPr>
          <w:sz w:val="24"/>
        </w:rPr>
        <w:t>开户行：</w:t>
      </w:r>
    </w:p>
    <w:p>
      <w:pPr>
        <w:ind w:firstLine="480"/>
        <w:jc w:val="both"/>
      </w:pPr>
      <w:r>
        <w:rPr>
          <w:sz w:val="24"/>
        </w:rPr>
        <w:t>账</w:t>
      </w:r>
      <w:r>
        <w:rPr>
          <w:sz w:val="24"/>
        </w:rPr>
        <w:t xml:space="preserve">  </w:t>
      </w:r>
      <w:r>
        <w:rPr>
          <w:sz w:val="24"/>
        </w:rPr>
        <w:t>号：</w:t>
      </w:r>
    </w:p>
    <w:p>
      <w:pPr>
        <w:ind w:firstLine="420"/>
        <w:jc w:val="both"/>
      </w:pPr>
      <w:r>
        <w:rPr>
          <w:sz w:val="24"/>
        </w:rPr>
        <w:t>7.4甲方开票信息：</w:t>
      </w:r>
    </w:p>
    <w:p>
      <w:pPr>
        <w:ind w:firstLine="420"/>
        <w:jc w:val="both"/>
      </w:pPr>
      <w:r>
        <w:rPr>
          <w:sz w:val="24"/>
        </w:rPr>
        <w:t>名称：中山大学附属第三医院粤东医院</w:t>
      </w:r>
    </w:p>
    <w:p>
      <w:pPr>
        <w:ind w:firstLine="420"/>
        <w:jc w:val="both"/>
      </w:pPr>
      <w:r>
        <w:rPr>
          <w:sz w:val="24"/>
        </w:rPr>
        <w:t>税号：</w:t>
      </w:r>
      <w:r>
        <w:rPr>
          <w:sz w:val="24"/>
        </w:rPr>
        <w:t>12441403456767381W</w:t>
      </w:r>
    </w:p>
    <w:p>
      <w:pPr>
        <w:ind w:firstLine="420"/>
        <w:jc w:val="both"/>
      </w:pPr>
      <w:r>
        <w:rPr>
          <w:sz w:val="24"/>
        </w:rPr>
        <w:t>单位地址及电话：梅州市梅县区新县城公园北路，</w:t>
      </w:r>
      <w:r>
        <w:rPr>
          <w:sz w:val="24"/>
        </w:rPr>
        <w:t>0753-</w:t>
      </w:r>
      <w:r>
        <w:rPr>
          <w:sz w:val="24"/>
        </w:rPr>
        <w:t>2829111</w:t>
      </w:r>
    </w:p>
    <w:p>
      <w:pPr>
        <w:ind w:firstLine="420"/>
        <w:jc w:val="both"/>
      </w:pPr>
      <w:r>
        <w:rPr>
          <w:sz w:val="24"/>
        </w:rPr>
        <w:t>开户银行及账户：中国建设银行梅州府前支行</w:t>
      </w:r>
      <w:r>
        <w:rPr>
          <w:sz w:val="24"/>
        </w:rPr>
        <w:t>44050172713900000169</w:t>
      </w:r>
    </w:p>
    <w:p>
      <w:pPr>
        <w:ind w:firstLine="562"/>
        <w:jc w:val="both"/>
      </w:pPr>
    </w:p>
    <w:p>
      <w:pPr>
        <w:ind w:firstLine="422"/>
        <w:jc w:val="both"/>
      </w:pPr>
      <w:r>
        <w:rPr>
          <w:b/>
          <w:sz w:val="24"/>
        </w:rPr>
        <w:t>8. 技术服务</w:t>
      </w:r>
    </w:p>
    <w:p>
      <w:pPr>
        <w:ind w:firstLine="420"/>
        <w:jc w:val="both"/>
      </w:pPr>
      <w:r>
        <w:rPr>
          <w:sz w:val="24"/>
        </w:rPr>
        <w:t>8.1乙方应派员到甲方指定地点配合工作。</w:t>
      </w:r>
    </w:p>
    <w:p>
      <w:pPr>
        <w:ind w:firstLine="420"/>
        <w:jc w:val="both"/>
      </w:pPr>
      <w:r>
        <w:rPr>
          <w:sz w:val="24"/>
        </w:rPr>
        <w:t>8.2乙方按甲方提供的合同执行进度计划，再配合甲方及有关单位，以此做好合同执行进度上的配合工作。</w:t>
      </w:r>
    </w:p>
    <w:p>
      <w:pPr>
        <w:ind w:firstLine="562"/>
        <w:jc w:val="both"/>
      </w:pPr>
    </w:p>
    <w:p>
      <w:pPr>
        <w:ind w:firstLine="422"/>
        <w:jc w:val="both"/>
      </w:pPr>
      <w:r>
        <w:rPr>
          <w:b/>
          <w:sz w:val="24"/>
        </w:rPr>
        <w:t>9. 不可抗力</w:t>
      </w:r>
    </w:p>
    <w:p>
      <w:pPr>
        <w:ind w:firstLine="420"/>
        <w:jc w:val="both"/>
      </w:pPr>
      <w:r>
        <w:rPr>
          <w:sz w:val="24"/>
        </w:rPr>
        <w:t>9.1 不可抗力指战争、严重火灾、洪水、台风、地震等或其它双方认定的不可抗力事件。</w:t>
      </w:r>
    </w:p>
    <w:p>
      <w:pPr>
        <w:ind w:firstLine="420"/>
        <w:jc w:val="both"/>
      </w:pPr>
      <w:r>
        <w:rPr>
          <w:sz w:val="24"/>
        </w:rPr>
        <w:t>9.2 签约双方中任何一方由于不可抗力影响合同执行时，发生不可抗力一方应尽快将事故通知另一方。在此情况下，乙方仍然有责任采取必要的措施加速供货，双方应通过友好协商解决本合同的执行问题。</w:t>
      </w:r>
    </w:p>
    <w:p>
      <w:pPr>
        <w:ind w:firstLine="562"/>
        <w:jc w:val="both"/>
      </w:pPr>
    </w:p>
    <w:p>
      <w:pPr>
        <w:ind w:firstLine="422"/>
        <w:jc w:val="both"/>
      </w:pPr>
      <w:r>
        <w:rPr>
          <w:b/>
          <w:sz w:val="24"/>
        </w:rPr>
        <w:t>10. 索赔</w:t>
      </w:r>
    </w:p>
    <w:p>
      <w:pPr>
        <w:ind w:firstLine="420"/>
        <w:jc w:val="both"/>
      </w:pPr>
      <w:r>
        <w:rPr>
          <w:sz w:val="24"/>
        </w:rPr>
        <w:t>10.1 如有异议，甲方有权根据有关政府部门的检验结果向乙方提出索赔。</w:t>
      </w:r>
    </w:p>
    <w:p>
      <w:pPr>
        <w:ind w:firstLine="420"/>
        <w:jc w:val="both"/>
      </w:pPr>
      <w:r>
        <w:rPr>
          <w:sz w:val="24"/>
        </w:rPr>
        <w:t>10.2 在合同执行期间，如果乙方对甲方提出的索赔和差异负有责任，乙方应按照甲方同意的下列一种或多种方式解决索赔事宜。</w:t>
      </w:r>
    </w:p>
    <w:p>
      <w:pPr>
        <w:ind w:firstLine="420"/>
        <w:jc w:val="both"/>
      </w:pPr>
      <w:r>
        <w:rPr>
          <w:sz w:val="24"/>
        </w:rPr>
        <w:t>（</w:t>
      </w:r>
      <w:r>
        <w:rPr>
          <w:sz w:val="24"/>
        </w:rPr>
        <w:t>1）乙方同意退货，并按合同规定的同种货币将货款退还给甲方，并承担由此发生的一切损失和费用。</w:t>
      </w:r>
    </w:p>
    <w:p>
      <w:pPr>
        <w:ind w:firstLine="420"/>
        <w:jc w:val="both"/>
      </w:pPr>
      <w:r>
        <w:rPr>
          <w:sz w:val="24"/>
        </w:rPr>
        <w:t>（</w:t>
      </w:r>
      <w:r>
        <w:rPr>
          <w:sz w:val="24"/>
        </w:rPr>
        <w:t>2）根据货物低劣程度、损坏程度以及甲方所遭受损失的数额甲乙双方商定降低货物的价格。</w:t>
      </w:r>
    </w:p>
    <w:p>
      <w:pPr>
        <w:ind w:firstLine="420"/>
        <w:jc w:val="both"/>
      </w:pPr>
      <w:r>
        <w:rPr>
          <w:sz w:val="24"/>
        </w:rPr>
        <w:t>（</w:t>
      </w:r>
      <w:r>
        <w:rPr>
          <w:sz w:val="24"/>
        </w:rPr>
        <w:t>3）用符合规格、质量和性能要求的新零件、部件或货物来更换有缺陷部分或修补缺陷的部份，乙方应承担一切费用和风险并负担甲方所发生的一切直接费用。同时，相应延长质量保证期。</w:t>
      </w:r>
    </w:p>
    <w:p>
      <w:pPr>
        <w:ind w:firstLine="420"/>
        <w:jc w:val="both"/>
      </w:pPr>
      <w:r>
        <w:rPr>
          <w:sz w:val="24"/>
        </w:rPr>
        <w:t>10.3 如果在甲方发出索赔通知后30天内，乙方未作答复，上述索赔应视为已被乙方接受。甲方将从合同款项中扣回索赔金额。如果这些金额不足以补偿索赔金额，甲方有权向乙方提出不足部分的补偿。</w:t>
      </w:r>
    </w:p>
    <w:p>
      <w:pPr>
        <w:ind w:firstLine="562"/>
        <w:jc w:val="both"/>
      </w:pPr>
    </w:p>
    <w:p>
      <w:pPr>
        <w:ind w:firstLine="422"/>
        <w:jc w:val="both"/>
      </w:pPr>
      <w:r>
        <w:rPr>
          <w:b/>
          <w:sz w:val="24"/>
        </w:rPr>
        <w:t>11.  违约与处罚</w:t>
      </w:r>
    </w:p>
    <w:p>
      <w:pPr>
        <w:ind w:firstLine="420"/>
        <w:jc w:val="both"/>
      </w:pPr>
      <w:r>
        <w:rPr>
          <w:sz w:val="24"/>
        </w:rPr>
        <w:t>11.1 甲方应依照合同规定时间内，向乙方支付货款，每拖延一天乙方可向甲方加收合同金额的5‰的违约金。如乙方未按时提供等额票据，甲方有权顺延付款不承担违约责任。</w:t>
      </w:r>
    </w:p>
    <w:p>
      <w:pPr>
        <w:ind w:firstLine="420"/>
        <w:jc w:val="both"/>
      </w:pPr>
      <w:r>
        <w:rPr>
          <w:sz w:val="24"/>
        </w:rPr>
        <w:t>11.2 乙方未能按时完成供货、安装调试和验收并交付（除甲方原因外），每拖延一天，须向甲方支付合同金额的5‰的违约金；乙方逾期交货超过30天，甲方有权解除合同，乙方需另向甲方支付合同金额的7.5%的违约金，违约金甲方直接从乙方履约保证金中扣除。</w:t>
      </w:r>
    </w:p>
    <w:p>
      <w:pPr>
        <w:ind w:firstLine="420"/>
        <w:jc w:val="both"/>
      </w:pPr>
      <w:r>
        <w:rPr>
          <w:sz w:val="24"/>
        </w:rPr>
        <w:t>11.3 乙方交付的货物不符合合同规定的，甲方有权拒收，乙方向甲方退还全额货款并向甲方支付合同金额的5%的违约金。</w:t>
      </w:r>
    </w:p>
    <w:p>
      <w:pPr>
        <w:ind w:firstLine="420"/>
        <w:jc w:val="both"/>
      </w:pPr>
      <w:r>
        <w:rPr>
          <w:sz w:val="24"/>
        </w:rPr>
        <w:t>11.4  甲方无正当理由拒收货物的，甲方向乙方支付合同金额的5%的违约金。</w:t>
      </w:r>
    </w:p>
    <w:p>
      <w:pPr>
        <w:ind w:firstLine="420"/>
        <w:jc w:val="both"/>
      </w:pPr>
      <w:r>
        <w:rPr>
          <w:sz w:val="24"/>
        </w:rPr>
        <w:t>11.5 乙方未能交付货物或不符合甲方验收标准的，乙方向甲方退还全额货款并向甲方支付合同金额的7.5%的违约金。</w:t>
      </w:r>
    </w:p>
    <w:p>
      <w:pPr>
        <w:ind w:firstLine="420"/>
        <w:jc w:val="both"/>
      </w:pPr>
      <w:r>
        <w:rPr>
          <w:sz w:val="24"/>
        </w:rPr>
        <w:t>11.6 乙方质保期内未按合同约定履行质保服务的，每发现一次乙方应向甲方支付合同总额的5%违约金，并且甲方有权邀请第三方进行维保，费用由乙方承担。</w:t>
      </w:r>
    </w:p>
    <w:p>
      <w:pPr>
        <w:ind w:firstLine="420"/>
        <w:jc w:val="both"/>
      </w:pPr>
    </w:p>
    <w:p>
      <w:pPr>
        <w:ind w:firstLine="422"/>
        <w:jc w:val="both"/>
      </w:pPr>
      <w:r>
        <w:rPr>
          <w:b/>
          <w:sz w:val="24"/>
        </w:rPr>
        <w:t>12. 合同终止</w:t>
      </w:r>
    </w:p>
    <w:p>
      <w:pPr>
        <w:ind w:firstLine="420"/>
        <w:jc w:val="both"/>
      </w:pPr>
      <w:r>
        <w:rPr>
          <w:sz w:val="24"/>
        </w:rPr>
        <w:t>如果一方严重违反合同，并在收到对方违约通知书后</w:t>
      </w:r>
      <w:r>
        <w:rPr>
          <w:sz w:val="24"/>
        </w:rPr>
        <w:t>30天内仍未能改正违约的，另一方可立即终止本合同。</w:t>
      </w:r>
    </w:p>
    <w:p>
      <w:pPr>
        <w:ind w:firstLine="562"/>
        <w:jc w:val="both"/>
      </w:pPr>
    </w:p>
    <w:p>
      <w:pPr>
        <w:ind w:firstLine="422"/>
        <w:jc w:val="both"/>
      </w:pPr>
      <w:r>
        <w:rPr>
          <w:b/>
          <w:sz w:val="24"/>
        </w:rPr>
        <w:t>13. 法律诉讼</w:t>
      </w:r>
    </w:p>
    <w:p>
      <w:pPr>
        <w:ind w:firstLine="420"/>
        <w:jc w:val="both"/>
      </w:pPr>
      <w:r>
        <w:rPr>
          <w:sz w:val="24"/>
        </w:rPr>
        <w:t>签约双方在履约中发生争执和分歧，双方应通过友好协商解决，若经协商不能达成协议时，则由甲方所在地人民法院提起诉讼。受理期间，双方应继续执行合同其余部份。</w:t>
      </w:r>
    </w:p>
    <w:p>
      <w:pPr>
        <w:ind w:firstLine="562"/>
        <w:jc w:val="both"/>
      </w:pPr>
    </w:p>
    <w:p>
      <w:pPr>
        <w:ind w:firstLine="422"/>
        <w:jc w:val="both"/>
      </w:pPr>
      <w:r>
        <w:rPr>
          <w:b/>
          <w:sz w:val="24"/>
        </w:rPr>
        <w:t>14. 其他</w:t>
      </w:r>
    </w:p>
    <w:p>
      <w:pPr>
        <w:ind w:firstLine="420"/>
        <w:jc w:val="both"/>
      </w:pPr>
      <w:r>
        <w:rPr>
          <w:sz w:val="24"/>
        </w:rPr>
        <w:t>14.1本合同一式六份（甲方执四份、乙方执二份），均为正本，具有同等法律效力。</w:t>
      </w:r>
    </w:p>
    <w:p>
      <w:pPr>
        <w:ind w:firstLine="420"/>
        <w:jc w:val="both"/>
      </w:pPr>
      <w:r>
        <w:rPr>
          <w:sz w:val="24"/>
        </w:rPr>
        <w:t>14.2本合同未尽事宜，由双方协商处理。</w:t>
      </w:r>
    </w:p>
    <w:p>
      <w:pPr>
        <w:ind w:firstLine="420"/>
        <w:jc w:val="both"/>
      </w:pPr>
      <w:r>
        <w:rPr>
          <w:sz w:val="24"/>
        </w:rPr>
        <w:t>14.3本合同所有附件、招标文件、投标文件均为合同的有效组成部份，与合同具有同等法律效力，但如有模棱两可或互相矛盾之处，以甲方审定的文件为准。</w:t>
      </w:r>
    </w:p>
    <w:p>
      <w:pPr>
        <w:ind w:firstLine="560"/>
        <w:jc w:val="both"/>
      </w:pPr>
      <w:r>
        <w:rPr>
          <w:sz w:val="24"/>
        </w:rPr>
        <w:t>附：中山大学附属第三医院粤东医院廉洁购销协议</w:t>
      </w:r>
    </w:p>
    <w:p>
      <w:pPr>
        <w:ind w:firstLine="560"/>
        <w:jc w:val="both"/>
      </w:pPr>
    </w:p>
    <w:p>
      <w:pPr>
        <w:ind w:firstLine="560"/>
        <w:jc w:val="both"/>
      </w:pPr>
    </w:p>
    <w:p>
      <w:pPr>
        <w:ind w:firstLine="420"/>
        <w:jc w:val="both"/>
      </w:pPr>
      <w:r>
        <w:rPr>
          <w:sz w:val="24"/>
        </w:rPr>
        <w:t>甲方：中山大学附属第三医院粤东医院</w:t>
      </w:r>
      <w:r>
        <w:rPr>
          <w:sz w:val="24"/>
        </w:rPr>
        <w:t xml:space="preserve">        </w:t>
      </w:r>
      <w:r>
        <w:rPr>
          <w:sz w:val="24"/>
        </w:rPr>
        <w:t>乙方：</w:t>
      </w:r>
    </w:p>
    <w:p>
      <w:pPr>
        <w:ind w:firstLine="420"/>
        <w:jc w:val="both"/>
      </w:pPr>
      <w:r>
        <w:rPr>
          <w:sz w:val="24"/>
        </w:rPr>
        <w:t>签约代表：</w:t>
      </w:r>
      <w:r>
        <w:rPr>
          <w:sz w:val="24"/>
        </w:rPr>
        <w:t xml:space="preserve">                         </w:t>
      </w:r>
      <w:r>
        <w:rPr>
          <w:sz w:val="24"/>
        </w:rPr>
        <w:t>签约代表：</w:t>
      </w:r>
    </w:p>
    <w:p>
      <w:pPr>
        <w:ind w:firstLine="420"/>
        <w:jc w:val="both"/>
      </w:pPr>
      <w:r>
        <w:rPr>
          <w:sz w:val="24"/>
        </w:rPr>
        <w:t>地址：梅州市梅县区新县城公园北路</w:t>
      </w:r>
      <w:r>
        <w:rPr>
          <w:sz w:val="24"/>
        </w:rPr>
        <w:t xml:space="preserve">          </w:t>
      </w:r>
      <w:r>
        <w:rPr>
          <w:sz w:val="24"/>
        </w:rPr>
        <w:t>地址：</w:t>
      </w:r>
    </w:p>
    <w:p>
      <w:pPr>
        <w:ind w:firstLine="420"/>
        <w:jc w:val="both"/>
      </w:pPr>
      <w:r>
        <w:rPr>
          <w:sz w:val="24"/>
        </w:rPr>
        <w:t>电话：（</w:t>
      </w:r>
      <w:r>
        <w:rPr>
          <w:sz w:val="24"/>
        </w:rPr>
        <w:t>0753）</w:t>
      </w:r>
      <w:r>
        <w:rPr>
          <w:sz w:val="24"/>
        </w:rPr>
        <w:t>2829111</w:t>
      </w:r>
      <w:r>
        <w:rPr>
          <w:sz w:val="24"/>
        </w:rPr>
        <w:t xml:space="preserve">             </w:t>
      </w:r>
      <w:r>
        <w:rPr>
          <w:sz w:val="24"/>
        </w:rPr>
        <w:t>电话：</w:t>
      </w:r>
    </w:p>
    <w:p>
      <w:pPr>
        <w:ind w:firstLine="420"/>
        <w:jc w:val="both"/>
      </w:pPr>
      <w:r>
        <w:rPr>
          <w:sz w:val="24"/>
        </w:rPr>
        <w:t>签约日期：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签约日期：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441421-2023-02251</w:t>
      </w:r>
    </w:p>
    <w:p>
      <w:pPr>
        <w:jc w:val="center"/>
      </w:pPr>
      <w:r>
        <w:rPr>
          <w:b/>
          <w:sz w:val="24"/>
        </w:rPr>
        <w:t>采购项目编号：</w:t>
      </w:r>
      <w:r>
        <w:rPr>
          <w:b/>
          <w:sz w:val="24"/>
        </w:rPr>
        <w:t>0835-230ZC3200491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广东元正招标采购有限公司</w:t>
      </w:r>
    </w:p>
    <w:p>
      <w:pPr>
        <w:ind w:firstLine="480"/>
      </w:pPr>
      <w:r>
        <w:rPr/>
        <w:t>你方组织的</w:t>
      </w:r>
      <w:r>
        <w:rPr>
          <w:u w:val="single"/>
        </w:rPr>
        <w:t>“</w:t>
      </w:r>
      <w:r>
        <w:rPr>
          <w:u w:val="single"/>
        </w:rPr>
        <w:t>中山大学附属第三医院粤东医院感染性疾病救治中心地下室潜污泵和生活水泵房设备采购项目</w:t>
      </w:r>
      <w:r>
        <w:rPr>
          <w:u w:val="single"/>
        </w:rPr>
        <w:t>”</w:t>
      </w:r>
      <w:r>
        <w:rPr/>
        <w:t>项目的招标[采购项目编号为：</w:t>
      </w:r>
      <w:r>
        <w:rPr>
          <w:u w:val="single"/>
        </w:rPr>
        <w:t>0835-230ZC3200491</w:t>
      </w:r>
      <w:r>
        <w:rPr/>
        <w:t>]，我方愿参与投标。</w:t>
      </w:r>
    </w:p>
    <w:p>
      <w:pPr>
        <w:ind w:firstLine="480"/>
      </w:pPr>
      <w:r>
        <w:rPr/>
        <w:t>我方确认收到贵方提供的</w:t>
      </w:r>
      <w:r>
        <w:rPr>
          <w:u w:val="single"/>
        </w:rPr>
        <w:t>“</w:t>
      </w:r>
      <w:r>
        <w:rPr>
          <w:u w:val="single"/>
        </w:rPr>
        <w:t>中山大学附属第三医院粤东医院感染性疾病救治中心地下室潜污泵和生活水泵房设备采购项目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广东元正招标采购有限公司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中山大学附属第三医院粤东医院感染性疾病救治中心地下室潜污泵和生活水泵房设备采购项目</w:t>
      </w:r>
      <w:r>
        <w:rPr/>
        <w:t>”项目采购[采购项目编号为</w:t>
      </w:r>
      <w:r>
        <w:rPr/>
        <w:t>0835-230ZC3200491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中山大学附属第三医院粤东医院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广东元正招标采购有限公司</w:t>
      </w:r>
    </w:p>
    <w:p>
      <w:pPr>
        <w:ind w:firstLine="480"/>
      </w:pPr>
      <w:r>
        <w:rPr/>
        <w:t>如果我方在贵采购代理机构组织的</w:t>
      </w:r>
      <w:r>
        <w:rPr/>
        <w:t>中山大学附属第三医院粤东医院感染性疾病救治中心地下室潜污泵和生活水泵房设备采购项目</w:t>
      </w:r>
      <w:r>
        <w:rPr/>
        <w:t>招标中获中标（采购项目编号：</w:t>
      </w:r>
      <w:r>
        <w:rPr/>
        <w:t>0835-230ZC3200491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广东元正招标采购有限公司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广东元正招标采购有限公司</w:t>
      </w:r>
    </w:p>
    <w:p>
      <w:pPr>
        <w:ind w:firstLine="480"/>
      </w:pPr>
      <w:r>
        <w:rPr/>
        <w:t>我单位已登记并准备参与“</w:t>
      </w:r>
      <w:r>
        <w:rPr/>
        <w:t>中山大学附属第三医院粤东医院感染性疾病救治中心地下室潜污泵和生活水泵房设备采购项目</w:t>
      </w:r>
      <w:r>
        <w:rPr/>
        <w:t>”项目（采购项目编号：</w:t>
      </w:r>
      <w:r>
        <w:rPr/>
        <w:t>0835-230ZC3200491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