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442000-2023-06562</w:t>
      </w:r>
    </w:p>
    <w:p>
      <w:pPr>
        <w:jc w:val="center"/>
      </w:pPr>
      <w:r>
        <w:rPr>
          <w:b/>
          <w:sz w:val="24"/>
        </w:rPr>
        <w:t>采购项目编号：</w:t>
      </w:r>
      <w:r>
        <w:rPr>
          <w:b/>
          <w:sz w:val="24"/>
        </w:rPr>
        <w:t>442000-2023-06562</w:t>
      </w:r>
    </w:p>
    <w:p>
      <w:pPr>
        <w:jc w:val="center"/>
      </w:pPr>
      <w:r>
        <w:rPr>
          <w:b/>
          <w:sz w:val="24"/>
        </w:rPr>
        <w:t>项目名称：</w:t>
      </w:r>
      <w:r>
        <w:rPr>
          <w:b/>
          <w:sz w:val="24"/>
        </w:rPr>
        <w:t>中山市中医院高效液相色谱质谱联用仪采购项目</w:t>
      </w:r>
    </w:p>
    <w:p>
      <w:pPr>
        <w:jc w:val="center"/>
      </w:pPr>
      <w:r>
        <w:rPr>
          <w:b/>
          <w:sz w:val="24"/>
        </w:rPr>
        <w:t>采购人：</w:t>
      </w:r>
      <w:r>
        <w:rPr>
          <w:b/>
          <w:sz w:val="24"/>
        </w:rPr>
        <w:t>中山市中医院</w:t>
      </w:r>
    </w:p>
    <w:p>
      <w:pPr>
        <w:jc w:val="center"/>
      </w:pPr>
      <w:r>
        <w:rPr>
          <w:b/>
          <w:sz w:val="24"/>
        </w:rPr>
        <w:t>采购代理机构：</w:t>
      </w:r>
      <w:r>
        <w:rPr>
          <w:b/>
          <w:sz w:val="24"/>
        </w:rPr>
        <w:t>广东人信工程咨询有限公司中山分公司</w:t>
      </w:r>
    </w:p>
    <w:p>
      <w:pPr>
        <w:ind w:firstLine="480"/>
      </w:pPr>
    </w:p>
    <w:p>
      <w:r>
        <w:rPr/>
        <w:t xml:space="preserve"> </w:t>
      </w:r>
    </w:p>
    <w:p/>
    <w:p>
      <w:pPr>
        <w:jc w:val="center"/>
      </w:pPr>
      <w:r>
        <w:rPr>
          <w:b/>
          <w:sz w:val="36"/>
        </w:rPr>
        <w:t>第一章投标邀请</w:t>
      </w:r>
    </w:p>
    <w:p>
      <w:pPr>
        <w:ind w:firstLine="480"/>
      </w:pPr>
      <w:r>
        <w:rPr/>
        <w:t>广东人信工程咨询有限公司中山分公司</w:t>
      </w:r>
      <w:r>
        <w:rPr/>
        <w:t>受</w:t>
      </w:r>
      <w:r>
        <w:rPr/>
        <w:t>中山市中医院</w:t>
      </w:r>
      <w:r>
        <w:rPr/>
        <w:t>的委托，采用</w:t>
      </w:r>
      <w:r>
        <w:rPr/>
        <w:t>公开招标</w:t>
      </w:r>
      <w:r>
        <w:rPr/>
        <w:t>方式组织采购</w:t>
      </w:r>
      <w:r>
        <w:rPr/>
        <w:t>中山市中医院高效液相色谱质谱联用仪采购项目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中山市中医院高效液相色谱质谱联用仪采购项目</w:t>
      </w:r>
    </w:p>
    <w:p>
      <w:pPr>
        <w:ind w:firstLine="480"/>
      </w:pPr>
      <w:r>
        <w:rPr/>
        <w:t>采购计划编号：</w:t>
      </w:r>
      <w:r>
        <w:rPr/>
        <w:t>442000-2023-06562</w:t>
      </w:r>
    </w:p>
    <w:p>
      <w:pPr>
        <w:ind w:firstLine="480"/>
      </w:pPr>
      <w:r>
        <w:rPr/>
        <w:t>采购项目编号：</w:t>
      </w:r>
      <w:r>
        <w:rPr/>
        <w:t>442000-2023-06562</w:t>
      </w:r>
    </w:p>
    <w:p>
      <w:pPr>
        <w:ind w:firstLine="480"/>
      </w:pPr>
      <w:r>
        <w:rPr/>
        <w:t>采购方式：</w:t>
      </w:r>
      <w:r>
        <w:rPr/>
        <w:t>公开招标</w:t>
      </w:r>
    </w:p>
    <w:p>
      <w:pPr>
        <w:ind w:firstLine="480"/>
      </w:pPr>
      <w:r>
        <w:rPr/>
        <w:t>预算金额：</w:t>
      </w:r>
      <w:r>
        <w:rPr/>
        <w:t>3,500,000.00</w:t>
      </w:r>
      <w:r>
        <w:rPr/>
        <w:t>元</w:t>
      </w:r>
    </w:p>
    <w:p>
      <w:r>
        <w:rPr>
          <w:b/>
          <w:sz w:val="24"/>
        </w:rPr>
        <w:t>2.项目内容及需求情况（采购项目技术规格、参数及要求）</w:t>
      </w:r>
    </w:p>
    <w:p>
      <w:pPr>
        <w:ind w:firstLine="480"/>
      </w:pPr>
    </w:p>
    <w:p/>
    <w:p>
      <w:r>
        <w:rPr/>
        <w:t>采购包1(高效液相色谱质谱联用仪):</w:t>
      </w:r>
    </w:p>
    <w:p>
      <w:r>
        <w:rPr/>
        <w:t>采购包预算金额：3,500,000.00元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质谱仪</w:t>
            </w:r>
          </w:p>
        </w:tc>
        <w:tc>
          <w:tcPr>
            <w:tcW w:type="dxa" w:w="2136"/>
          </w:tcPr>
          <w:p>
            <w:r>
              <w:rPr/>
              <w:t>高效液相色谱质谱联用仪</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合同履行期限：详见第二章 采购需求 合同履行期限。</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1）具有独立承担民事责任的能力：在中华人民共和国境内注册的法人或其他组织或自然人，投标（响应）时提交有效的营业执照（或事业法人登记证或身份证等相关证明）副本复印件或扫描件。</w:t>
      </w:r>
    </w:p>
    <w:p/>
    <w:p>
      <w:r>
        <w:rPr/>
        <w:t>2）有依法缴纳税收和社会保障资金的良好记录：提供2023年5月1日以来任意1个月依法缴纳税收和社会保障资金的相关材料。如依法免税或不需要缴纳社会保障资金的，提供相应证明材料。</w:t>
      </w:r>
    </w:p>
    <w:p/>
    <w:p>
      <w:r>
        <w:rPr/>
        <w:t>3）具有良好的商业信誉和健全的财务会计制度：投标人必须具有良好的商业信誉和健全的财务会计制度，提供2022年度财务状况报告或提供2023年5月1日以来任意1个月的财务报表或基本开户行出具的资信证明。</w:t>
      </w:r>
    </w:p>
    <w:p/>
    <w:p>
      <w:r>
        <w:rPr/>
        <w:t>4）履行合同所必需的设备和专业技术能力：提供承诺函（格式自拟，承诺内容包括但不限于：“我方具有履行本项目合同所必需的设备及专业技术能力。”）或提供《设备和专业技术能力情况表》（格式自拟，需同时提供设备及专业技术能力（人员）两类信息）。</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采购包1（高效液相色谱质谱联用仪）：</w:t>
      </w:r>
      <w:r>
        <w:rPr/>
        <w:t>本采购包不专门面向中小企业采购。</w:t>
      </w:r>
    </w:p>
    <w:p/>
    <w:p>
      <w:r>
        <w:rPr>
          <w:b/>
          <w:sz w:val="24"/>
        </w:rPr>
        <w:t>3.本项目特定的资格要求：</w:t>
      </w:r>
    </w:p>
    <w:p>
      <w:pPr>
        <w:ind w:firstLine="480"/>
      </w:pPr>
    </w:p>
    <w:p/>
    <w:p>
      <w:r>
        <w:rPr/>
        <w:t>采购包1（高效液相色谱质谱联用仪）：</w:t>
      </w:r>
    </w:p>
    <w:p/>
    <w:p>
      <w:r>
        <w:rPr/>
        <w:t>1)投标人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3)本采购包不接受联合体投标。</w:t>
      </w:r>
    </w:p>
    <w:p/>
    <w:p>
      <w:r>
        <w:rPr/>
        <w:t>4)投标人须无围标、串标行为（按招标文件要求提供无围标、串标行为承诺书）。</w:t>
      </w:r>
    </w:p>
    <w:p/>
    <w:p>
      <w:r>
        <w:rPr/>
        <w:t>5)投标人须具有有效的医疗器械生产许可证或医疗器械经营许可证或食品药品经营许可证或医疗器械经营备案凭证（提供证明材料复印件或扫描件）。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广东人信工程咨询有限公司网站（http://www.gdrxzx.com/）</w:t>
      </w:r>
    </w:p>
    <w:p>
      <w:r>
        <w:rPr>
          <w:b/>
          <w:sz w:val="28"/>
        </w:rPr>
        <w:t>六.本项目联系方式：</w:t>
      </w:r>
    </w:p>
    <w:p>
      <w:r>
        <w:rPr>
          <w:b/>
          <w:sz w:val="24"/>
        </w:rPr>
        <w:t>1.采购人信息</w:t>
      </w:r>
    </w:p>
    <w:p>
      <w:pPr>
        <w:ind w:firstLine="480"/>
      </w:pPr>
      <w:r>
        <w:rPr/>
        <w:t>名称：</w:t>
      </w:r>
      <w:r>
        <w:rPr/>
        <w:t>中山市中医院</w:t>
      </w:r>
    </w:p>
    <w:p>
      <w:pPr>
        <w:ind w:firstLine="480"/>
      </w:pPr>
      <w:r>
        <w:rPr/>
        <w:t>地址：</w:t>
      </w:r>
      <w:r>
        <w:rPr/>
        <w:t>中山市西区康欣路3号</w:t>
      </w:r>
    </w:p>
    <w:p>
      <w:pPr>
        <w:ind w:firstLine="480"/>
      </w:pPr>
      <w:r>
        <w:rPr/>
        <w:t>联系方式：</w:t>
      </w:r>
      <w:r>
        <w:rPr/>
        <w:t>0760-89989587</w:t>
      </w:r>
    </w:p>
    <w:p>
      <w:r>
        <w:rPr>
          <w:b/>
          <w:sz w:val="24"/>
        </w:rPr>
        <w:t>2.采购代理机构信息</w:t>
      </w:r>
    </w:p>
    <w:p>
      <w:pPr>
        <w:ind w:firstLine="480"/>
      </w:pPr>
      <w:r>
        <w:rPr/>
        <w:t>名称：</w:t>
      </w:r>
      <w:r>
        <w:rPr/>
        <w:t>广东人信工程咨询有限公司中山分公司</w:t>
      </w:r>
    </w:p>
    <w:p>
      <w:pPr>
        <w:ind w:firstLine="480"/>
      </w:pPr>
      <w:r>
        <w:rPr/>
        <w:t>地址：</w:t>
      </w:r>
      <w:r>
        <w:rPr/>
        <w:t>中山火炬开发区孙文东路濠头段12号光裕大厦第五层A区</w:t>
      </w:r>
    </w:p>
    <w:p>
      <w:pPr>
        <w:ind w:firstLine="480"/>
      </w:pPr>
      <w:r>
        <w:rPr/>
        <w:t>联系方式：</w:t>
      </w:r>
      <w:r>
        <w:rPr/>
        <w:t>0760-88838718</w:t>
      </w:r>
    </w:p>
    <w:p>
      <w:r>
        <w:rPr>
          <w:b/>
          <w:sz w:val="24"/>
        </w:rPr>
        <w:t>3.项目联系方式</w:t>
      </w:r>
    </w:p>
    <w:p>
      <w:pPr>
        <w:ind w:firstLine="480"/>
      </w:pPr>
      <w:r>
        <w:rPr/>
        <w:t>项目联系人：</w:t>
      </w:r>
      <w:r>
        <w:rPr/>
        <w:t>黄梓莹</w:t>
      </w:r>
    </w:p>
    <w:p>
      <w:pPr>
        <w:ind w:firstLine="480"/>
      </w:pPr>
      <w:r>
        <w:rPr/>
        <w:t>电话：</w:t>
      </w:r>
      <w:r>
        <w:rPr/>
        <w:t>0760-88838718</w:t>
      </w:r>
    </w:p>
    <w:p>
      <w:r>
        <w:rPr>
          <w:b/>
          <w:sz w:val="24"/>
        </w:rPr>
        <w:t>4.技术支持联系方式</w:t>
      </w:r>
    </w:p>
    <w:p>
      <w:pPr>
        <w:ind w:firstLine="480"/>
      </w:pPr>
      <w:r>
        <w:rPr/>
        <w:t>云平台联系方式：020-88696588</w:t>
      </w:r>
    </w:p>
    <w:p>
      <w:r>
        <w:rPr/>
        <w:t>采购代理机构：</w:t>
      </w:r>
      <w:r>
        <w:rPr/>
        <w:t>广东人信工程咨询有限公司中山分公司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（一）本次采购的项目内容：中山市中医院高效液相色谱质谱联用仪采购项目</w:t>
      </w:r>
      <w:r>
        <w:rPr>
          <w:sz w:val="21"/>
        </w:rPr>
        <w:t>。</w:t>
      </w:r>
      <w:r>
        <w:rPr>
          <w:b/>
          <w:sz w:val="21"/>
        </w:rPr>
        <w:t>投标人必须对项目内全部内容进行投标，不允许只对项目内部分内容进行投标。</w:t>
      </w:r>
    </w:p>
    <w:p>
      <w:r>
        <w:rPr>
          <w:b/>
          <w:sz w:val="21"/>
        </w:rPr>
        <w:t>二、总则</w:t>
      </w:r>
    </w:p>
    <w:p>
      <w:r>
        <w:rPr>
          <w:sz w:val="21"/>
        </w:rPr>
        <w:t>(一)本项目确定1名中标人。</w:t>
      </w:r>
    </w:p>
    <w:p>
      <w:r>
        <w:rPr>
          <w:sz w:val="21"/>
        </w:rPr>
        <w:t>(二)</w:t>
      </w:r>
      <w:r>
        <w:rPr>
          <w:sz w:val="21"/>
        </w:rPr>
        <w:t>中标人不得再以任何方式转包或分包本项目。</w:t>
      </w:r>
    </w:p>
    <w:p>
      <w:r>
        <w:rPr>
          <w:b/>
          <w:sz w:val="21"/>
        </w:rPr>
        <w:t>(三)本项目属性为货物类。</w:t>
      </w:r>
    </w:p>
    <w:p>
      <w:pPr>
        <w:jc w:val="both"/>
      </w:pPr>
      <w:r>
        <w:rPr>
          <w:b/>
          <w:sz w:val="21"/>
        </w:rPr>
        <w:t>(四)本采购需求中凡标有“★”的地方均被视为重要的指标要求。投标人要特别加以注意，必须对此具体、明确响应并完全满足或优于这些要求。否则若有一项带“★”的指标未响应或不满足，将视为非实质性响应招标文件要求。</w:t>
      </w:r>
    </w:p>
    <w:p>
      <w:pPr>
        <w:jc w:val="both"/>
      </w:pPr>
      <w:r>
        <w:rPr>
          <w:b/>
          <w:sz w:val="21"/>
        </w:rPr>
        <w:t>(五)</w:t>
      </w:r>
      <w:r>
        <w:rPr>
          <w:sz w:val="21"/>
        </w:rPr>
        <w:t xml:space="preserve"> </w:t>
      </w:r>
      <w:r>
        <w:rPr>
          <w:sz w:val="21"/>
        </w:rPr>
        <w:t>在采购需求中凡有</w:t>
      </w:r>
      <w:r>
        <w:rPr>
          <w:sz w:val="21"/>
        </w:rPr>
        <w:t>“▲”标识的内容条款被视为可选的响应要求、技术指标要求和性能要求。作为评审时的重要技术参数（不作为无效投标条款），投标人必须对该标识的内容按照要求逐条进行真实应答详细描述，说明原因或偏离的相关内容。若低于招标文件要求（负偏离）或未逐条描述的视为负偏离，将会影响评审得分。</w:t>
      </w:r>
    </w:p>
    <w:p>
      <w:pPr>
        <w:jc w:val="both"/>
      </w:pPr>
      <w:r>
        <w:rPr>
          <w:b/>
          <w:sz w:val="21"/>
        </w:rPr>
        <w:t>（六）投标文件格式的《技术和服务要求响应表》中</w:t>
      </w:r>
      <w:r>
        <w:rPr>
          <w:b/>
          <w:sz w:val="21"/>
        </w:rPr>
        <w:t>“采购文件规定的技术和服务要求”项下填写的内容应与招标文件第二章采购需求的“技术要求”的内容保持一致。《商务条件响应表》中“采购文件规定的商务条件”项下填写的内容应与招标文件第二章采购需求的“商务要求”的内容保持一致。投标人应当如实填写各表中“投标文件响应的具体内容”处内容，对采购文件提出的要求和条件作出明确响应，并列明具体响应数值或内容。</w:t>
      </w:r>
    </w:p>
    <w:p>
      <w:pPr>
        <w:jc w:val="both"/>
      </w:pPr>
      <w:r>
        <w:rPr>
          <w:b/>
          <w:sz w:val="21"/>
        </w:rPr>
        <w:t>(七)根据财政部关于《政府采购进口产品管理办法》（财库〔2007〕119号）及《关于政府采购进口产品管理有关问题的通知》（财办库〔2008〕248号）的规定，本项目的高效液相色谱质谱联用仪已经过专家论证和获得主管部门核准同意，并经本级财政部门备案，本项目的高效液相色谱质谱联用仪可采购本国产品或不属于国家法律法规政策明确规定限制的进口产品。</w:t>
      </w:r>
    </w:p>
    <w:p>
      <w:pPr>
        <w:jc w:val="both"/>
      </w:pPr>
      <w:r>
        <w:rPr>
          <w:b/>
          <w:sz w:val="21"/>
        </w:rPr>
        <w:t>(八)核心产品</w:t>
      </w:r>
    </w:p>
    <w:p>
      <w:pPr>
        <w:jc w:val="both"/>
      </w:pPr>
      <w:r>
        <w:rPr>
          <w:sz w:val="21"/>
        </w:rPr>
        <w:t>1.</w:t>
      </w:r>
      <w:r>
        <w:rPr>
          <w:b/>
          <w:sz w:val="21"/>
        </w:rPr>
        <w:t>本项目的核心产品为</w:t>
      </w:r>
      <w:r>
        <w:rPr>
          <w:b/>
          <w:sz w:val="21"/>
          <w:u w:val="single"/>
        </w:rPr>
        <w:t>高效液相色谱质谱联用仪</w:t>
      </w:r>
      <w:r>
        <w:rPr>
          <w:b/>
          <w:sz w:val="21"/>
        </w:rPr>
        <w:t>。提供相同品牌核心产品且通过资格审查、符合性审查的不同投标人，按一家投标人计算。参与投标的核心产品的品牌少于</w:t>
      </w:r>
      <w:r>
        <w:rPr>
          <w:b/>
          <w:sz w:val="21"/>
        </w:rPr>
        <w:t>3个的，项目作废标处理。投标人须在分项报价表中填写核心产品品牌。</w:t>
      </w:r>
    </w:p>
    <w:p>
      <w:pPr>
        <w:jc w:val="both"/>
      </w:pPr>
      <w:r>
        <w:rPr>
          <w:b/>
          <w:sz w:val="21"/>
        </w:rPr>
        <w:t>(九)</w:t>
      </w:r>
      <w:r>
        <w:rPr>
          <w:sz w:val="21"/>
        </w:rPr>
        <w:t>中标人与采购人签订的合同必须注明该产品（或主机）产地。</w:t>
      </w:r>
    </w:p>
    <w:p>
      <w:pPr>
        <w:jc w:val="both"/>
      </w:pPr>
      <w:r>
        <w:rPr>
          <w:b/>
          <w:sz w:val="21"/>
        </w:rPr>
        <w:t>(十)</w:t>
      </w:r>
      <w:r>
        <w:rPr>
          <w:sz w:val="21"/>
        </w:rPr>
        <w:t>交货及安装地点：中山市中医院使用科室。</w:t>
      </w:r>
    </w:p>
    <w:p>
      <w:r>
        <w:rPr>
          <w:b/>
          <w:sz w:val="21"/>
        </w:rPr>
        <w:t>(十一)</w:t>
      </w:r>
      <w:r>
        <w:rPr>
          <w:sz w:val="21"/>
        </w:rPr>
        <w:t>本项目采购标的对应的中小企业划分标准所属行业：</w:t>
      </w:r>
      <w:r>
        <w:rPr>
          <w:sz w:val="21"/>
        </w:rPr>
        <w:t>工业。</w:t>
      </w:r>
    </w:p>
    <w:p>
      <w:r>
        <w:rPr>
          <w:b/>
          <w:sz w:val="21"/>
        </w:rPr>
        <w:t>三、商务要求：</w:t>
      </w:r>
    </w:p>
    <w:p>
      <w:pPr>
        <w:jc w:val="both"/>
      </w:pPr>
      <w:r>
        <w:rPr>
          <w:sz w:val="21"/>
        </w:rPr>
        <w:t>(一)合同履行期限：</w:t>
      </w:r>
    </w:p>
    <w:p>
      <w:pPr>
        <w:jc w:val="both"/>
      </w:pPr>
      <w:r>
        <w:rPr>
          <w:sz w:val="21"/>
        </w:rPr>
        <w:t>中标人在中标后</w:t>
      </w:r>
      <w:r>
        <w:rPr>
          <w:sz w:val="21"/>
        </w:rPr>
        <w:t>30个日历天内凭中标通知书签订合同，自签订合同后90个日历天内完成供货、安装、调试、培训、合格通过验收并交付采购人正常使用。</w:t>
      </w:r>
    </w:p>
    <w:p>
      <w:r>
        <w:rPr>
          <w:b/>
          <w:sz w:val="21"/>
        </w:rPr>
        <w:t>(二)报价说明</w:t>
      </w:r>
    </w:p>
    <w:p>
      <w:r>
        <w:rPr>
          <w:b/>
          <w:sz w:val="21"/>
        </w:rPr>
        <w:t>1.本项目总预算金额为3,500,000.00元（大写：人民币叁佰伍拾万元整），投标人的投标报价不得超过预算金额，否则视为无效报价。</w:t>
      </w:r>
    </w:p>
    <w:p>
      <w:r>
        <w:rPr>
          <w:sz w:val="21"/>
        </w:rPr>
        <w:t>2.中标人负责招标文件对中标人要求的一切事宜及责任，以及合同履行过程中的应预见和不可预见的一切费用。</w:t>
      </w:r>
    </w:p>
    <w:p>
      <w:r>
        <w:rPr>
          <w:sz w:val="21"/>
        </w:rPr>
        <w:t>3.</w:t>
      </w:r>
      <w:r>
        <w:rPr>
          <w:sz w:val="21"/>
        </w:rPr>
        <w:t>本项目采用投标总价包干。投标人投标报价应为所投项目的最终报价，包含了购买设备的价格及安装、调试、保修、售后服务（备品备件）及将设备运至指定地点所发生的运费、装卸费等设备伴随服务的费用和所需缴纳的一切相关税费。</w:t>
      </w:r>
    </w:p>
    <w:p>
      <w:r>
        <w:rPr>
          <w:sz w:val="21"/>
        </w:rPr>
        <w:t>4.</w:t>
      </w:r>
      <w:r>
        <w:rPr>
          <w:sz w:val="21"/>
        </w:rPr>
        <w:t>如果中标人在履行合同过程中，在供货、安装、调试、培训等工作中出现任何遗漏，均由中标人负责采取相应补救措施并承担相应费用，采购人将不再支付任何费用。</w:t>
      </w:r>
    </w:p>
    <w:p>
      <w:r>
        <w:rPr>
          <w:sz w:val="21"/>
        </w:rPr>
        <w:t>5.</w:t>
      </w:r>
      <w:r>
        <w:rPr>
          <w:sz w:val="21"/>
        </w:rPr>
        <w:t>本项目所有价格均应以人民币报价，金额单位为元。采购人不承担本项目合同履行过程中因汇率波动产生的风险。项目中标后，采购人除项目中标人民币总价外，不再支付其他费用给中标人</w:t>
      </w:r>
      <w:r>
        <w:rPr>
          <w:sz w:val="21"/>
        </w:rPr>
        <w:t>。</w:t>
      </w:r>
    </w:p>
    <w:p>
      <w:r>
        <w:rPr>
          <w:sz w:val="21"/>
        </w:rPr>
        <w:t>6.涉及专机专用耗材、试剂、易损件等需另行填列报价，且承诺至少在质保期内按此价格执行。</w:t>
      </w:r>
    </w:p>
    <w:p/>
    <w:p>
      <w:r>
        <w:rPr>
          <w:sz w:val="21"/>
        </w:rPr>
        <w:t>(三)</w:t>
      </w:r>
      <w:r>
        <w:rPr>
          <w:b/>
          <w:sz w:val="21"/>
        </w:rPr>
        <w:t>质量标准</w:t>
      </w:r>
    </w:p>
    <w:p>
      <w:r>
        <w:rPr>
          <w:sz w:val="21"/>
        </w:rPr>
        <w:t>1.中标人保证所提供的设备的技术规格符合招投标采购结果规定的技术规格，设备符合中华人民共和国的设计和制造生产标准或者行业标准，国内产品或合资厂的产品必须具备出厂合格证。</w:t>
      </w:r>
      <w:r>
        <w:rPr>
          <w:sz w:val="21"/>
        </w:rPr>
        <w:t>进口产品必须具备省级（或相当于省级）商检部门的检验证明，及正常报关证明。</w:t>
      </w:r>
    </w:p>
    <w:p>
      <w:r>
        <w:rPr>
          <w:sz w:val="21"/>
        </w:rPr>
        <w:t>2.中标人提供的设备必须是全新、未拆封且未使用过的原装合格正品（包括零部件），且进货渠道合法。如设备需安装或配置软件，中标人保证相关软件均为正版软件。</w:t>
      </w:r>
    </w:p>
    <w:p>
      <w:r>
        <w:rPr>
          <w:sz w:val="21"/>
        </w:rPr>
        <w:t>3.国产的货物及其有关服务必须符合中华人民共和国的设计和制造生产或行业标准。对于影响货物正常工作的必要组成部分，无论在技术规格偏离表中指出与否，投标人都应提供并在投标文件中明确列出。</w:t>
      </w:r>
    </w:p>
    <w:p>
      <w:r>
        <w:rPr>
          <w:sz w:val="21"/>
        </w:rPr>
        <w:t>4.中标人提供的设备如有质量问题而发生争议，由采购人指定具备相应资质的权威机构进行质量鉴定。鉴定后设备符合质量标准的，鉴定费用由采购人承担。设备不符合质量标准的，鉴定费用由中标人承担。</w:t>
      </w:r>
    </w:p>
    <w:p>
      <w:r>
        <w:rPr>
          <w:sz w:val="21"/>
        </w:rPr>
        <w:t>5.设备不符合质量标准的，中标人必须按时负责调换至合格为止，不能按时调换至合格者，采购人可按《中华人民共和国民法典》及合同的相关规定要求中标人承担迟延交货的责任。</w:t>
      </w:r>
    </w:p>
    <w:p>
      <w:r>
        <w:rPr>
          <w:b/>
          <w:sz w:val="21"/>
        </w:rPr>
        <w:t>(四)运输方式、包装及费用</w:t>
      </w:r>
    </w:p>
    <w:p>
      <w:r>
        <w:rPr>
          <w:sz w:val="21"/>
        </w:rPr>
        <w:t>1.中标人应当保证其出售的全部设备都按照标准进行包装，以适应于远距离运输、防潮、防震、防锈等要求，确保货物安全无损地运抵交货地点，且所有费用由中标人负责。</w:t>
      </w:r>
    </w:p>
    <w:p>
      <w:r>
        <w:rPr>
          <w:sz w:val="21"/>
        </w:rPr>
        <w:t>2.凡由于包装不良造成的损失和由此产生的费用均由中标人承担。</w:t>
      </w:r>
    </w:p>
    <w:p>
      <w:r>
        <w:rPr>
          <w:b/>
          <w:sz w:val="21"/>
        </w:rPr>
        <w:t>(五)</w:t>
      </w:r>
      <w:r>
        <w:rPr>
          <w:b/>
          <w:sz w:val="21"/>
        </w:rPr>
        <w:t>设备安装及验收标准、方法</w:t>
      </w:r>
    </w:p>
    <w:p>
      <w:r>
        <w:rPr>
          <w:sz w:val="21"/>
        </w:rPr>
        <w:t>1.中标人负责本采购需求的设备安装调试，一切费用由中标人负责。</w:t>
      </w:r>
    </w:p>
    <w:p>
      <w:r>
        <w:rPr>
          <w:sz w:val="21"/>
        </w:rPr>
        <w:t>2.中标人安装时须对各安装场地内的其它设备、设施有良好保护措施。</w:t>
      </w:r>
    </w:p>
    <w:p>
      <w:r>
        <w:rPr>
          <w:sz w:val="21"/>
        </w:rPr>
        <w:t>3.中标人将所供设备运送至交货地点，采购人、中标人双方共同拆箱，中标人合同设备安装调试完成并移交所有资料文档后进行验收，由采购人负责验收，中标人应向采购人提供全套的材料/设备配置清单及检验产品合格证、使用说明书及其它技术资料。设备验收合格后，采购人、中标人双方共同签署《医疗设备验收登记表》。</w:t>
      </w:r>
    </w:p>
    <w:p>
      <w:r>
        <w:rPr>
          <w:sz w:val="21"/>
        </w:rPr>
        <w:t>4.验收按国家有关的标准规定、规范进行。验收时如发现所交付的设备有短装、次品、损坏或其它不符合本合同规定之情形者，采购人应做出详尽的现场记录，或由采购人、中标人双方签署备忘录。此现场记录或备忘录可用作补充、缺失和更换损坏部件的有效证据。由此产生的有关费用由中标人承担，验收期限相应后延。</w:t>
      </w:r>
    </w:p>
    <w:p>
      <w:r>
        <w:rPr>
          <w:sz w:val="21"/>
        </w:rPr>
        <w:t>5.如在验收中发现设备达不到验收标准或合同及合同相关技术文件规定，中标人应及时安排更换，以保证合同设备安装调试的成功完成,使设备最终达到合同或合同相关技术文件中规定的性能和要求。更换的相关费用由中标人承担并承担由此造成的一切损失。</w:t>
      </w:r>
    </w:p>
    <w:p>
      <w:r>
        <w:rPr>
          <w:sz w:val="21"/>
        </w:rPr>
        <w:t>6.合同设备从验收合格次日起一个月内，出现非采购人人为因素造成的无法排除的故障，由中标人予以整机调换。</w:t>
      </w:r>
    </w:p>
    <w:p>
      <w:r>
        <w:rPr>
          <w:sz w:val="21"/>
        </w:rPr>
        <w:t>7.如中标人没有及时提供相关证件（如商检证等），有可能影响验收进程，所导致的经济损失，由中标人自行承担。</w:t>
      </w:r>
    </w:p>
    <w:p>
      <w:r>
        <w:rPr>
          <w:b/>
          <w:sz w:val="21"/>
        </w:rPr>
        <w:t>(六)</w:t>
      </w:r>
      <w:r>
        <w:rPr>
          <w:b/>
          <w:sz w:val="21"/>
        </w:rPr>
        <w:t>培训</w:t>
      </w:r>
    </w:p>
    <w:p>
      <w:r>
        <w:rPr>
          <w:sz w:val="21"/>
        </w:rPr>
        <w:t>1.中标人为采购人提供操作及维护培训，主要内容为设备的基本结构、性能、主要部件的构造及原理，日常使用操作、保养与管理，常见故障的排除，紧急情况的处理等，培训地点主要在设备安装现场或按采购人、中标人双方协商安排，直至采购人技术人员（两名以上操作人员）熟练操作为止。</w:t>
      </w:r>
    </w:p>
    <w:p>
      <w:r>
        <w:rPr>
          <w:sz w:val="21"/>
        </w:rPr>
        <w:t>2.中标人应提供相应的培训计划。</w:t>
      </w:r>
    </w:p>
    <w:p>
      <w:r>
        <w:rPr>
          <w:sz w:val="21"/>
        </w:rPr>
        <w:t>3.中标人承担所有培训费用。</w:t>
      </w:r>
    </w:p>
    <w:p>
      <w:r>
        <w:rPr>
          <w:b/>
          <w:sz w:val="21"/>
        </w:rPr>
        <w:t>(七)保修条款</w:t>
      </w:r>
    </w:p>
    <w:p>
      <w:r>
        <w:rPr>
          <w:sz w:val="21"/>
        </w:rPr>
        <w:t>1.中标人保证设备是全新、未曾使用过的，其质量、规格及技术特征符合采购需求规定的要求。</w:t>
      </w:r>
    </w:p>
    <w:p>
      <w:r>
        <w:rPr>
          <w:sz w:val="21"/>
        </w:rPr>
        <w:t>2.设备主机保修期不少于2年，易损件保用期不少于2年，保修期起始时间自采购人验收合格之日起计算。保修期出现产品质量及安装问题，由中标人负责包修、包换或包退，并承担因此而产生的一切费用。</w:t>
      </w:r>
    </w:p>
    <w:p>
      <w:r>
        <w:rPr>
          <w:sz w:val="21"/>
        </w:rPr>
        <w:t>3.保修期内每年至少巡检两次，最后一次安排在出保前两个月内完成。</w:t>
      </w:r>
    </w:p>
    <w:p>
      <w:r>
        <w:rPr>
          <w:sz w:val="21"/>
        </w:rPr>
        <w:t>4.</w:t>
      </w:r>
      <w:r>
        <w:rPr>
          <w:sz w:val="21"/>
        </w:rPr>
        <w:t>所有保修服务方式均为</w:t>
      </w:r>
      <w:r>
        <w:rPr>
          <w:sz w:val="21"/>
        </w:rPr>
        <w:t>中标人</w:t>
      </w:r>
      <w:r>
        <w:rPr>
          <w:sz w:val="21"/>
        </w:rPr>
        <w:t>上门保修，即由</w:t>
      </w:r>
      <w:r>
        <w:rPr>
          <w:sz w:val="21"/>
        </w:rPr>
        <w:t>中标人</w:t>
      </w:r>
      <w:r>
        <w:rPr>
          <w:sz w:val="21"/>
        </w:rPr>
        <w:t>派员到采购人设备使用现场维修，由此产生的一切费用均由</w:t>
      </w:r>
      <w:r>
        <w:rPr>
          <w:sz w:val="21"/>
        </w:rPr>
        <w:t>中标人</w:t>
      </w:r>
      <w:r>
        <w:rPr>
          <w:sz w:val="21"/>
        </w:rPr>
        <w:t>承担。</w:t>
      </w:r>
    </w:p>
    <w:p>
      <w:r>
        <w:rPr>
          <w:sz w:val="21"/>
        </w:rPr>
        <w:t>5.中标人提供的保养维修服务标准或者质量不得低于国家有关法律法规规章、“三包”规定、招标文件的要求以及中标人在投标文件的相关承诺。</w:t>
      </w:r>
    </w:p>
    <w:p>
      <w:r>
        <w:rPr>
          <w:b/>
          <w:sz w:val="21"/>
        </w:rPr>
        <w:t>(八)</w:t>
      </w:r>
      <w:r>
        <w:rPr>
          <w:b/>
          <w:sz w:val="21"/>
        </w:rPr>
        <w:t>中标人保证</w:t>
      </w:r>
    </w:p>
    <w:p>
      <w:r>
        <w:rPr>
          <w:sz w:val="21"/>
        </w:rPr>
        <w:t>1.中标人应派员到采购人指定地点配合工作。</w:t>
      </w:r>
    </w:p>
    <w:p>
      <w:r>
        <w:rPr>
          <w:sz w:val="21"/>
        </w:rPr>
        <w:t>2.中标人按采购人的要求做好项目执行进度上的配合工作。</w:t>
      </w:r>
    </w:p>
    <w:p>
      <w:r>
        <w:rPr>
          <w:sz w:val="21"/>
        </w:rPr>
        <w:t>3.中标人保证对其出售的设备享有所有权或处分权，并且没有法律、法规禁止或限制出售的情形。同时，中标人出售的设备也没有侵犯第三人的知识产权和商业秘密等权利。如采购人使用该设备构成上述侵权，中标人承担全部相关责任。</w:t>
      </w:r>
    </w:p>
    <w:p>
      <w:r>
        <w:rPr>
          <w:sz w:val="21"/>
        </w:rPr>
        <w:t>4.中标人保证如设备需连接医院信息业务管理系统（如HIS系统等），中标人需免费提供接口，并协助采购人完成设备连接医院信息系统的工作，保证在正常使用设备情况下不影响医院信息系统运作，并且不得额外收取费用。</w:t>
      </w:r>
    </w:p>
    <w:p>
      <w:r>
        <w:rPr>
          <w:b/>
          <w:sz w:val="21"/>
        </w:rPr>
        <w:t>(九)移交</w:t>
      </w:r>
    </w:p>
    <w:p>
      <w:r>
        <w:rPr>
          <w:sz w:val="21"/>
        </w:rPr>
        <w:t>1.验收合格后，中标人将货物移交给采购人，由采购人签署移交清单。</w:t>
      </w:r>
    </w:p>
    <w:p>
      <w:r>
        <w:rPr>
          <w:sz w:val="21"/>
        </w:rPr>
        <w:t>2.中标人取得采购人签署的移交清单后，视为中标人将货物移交采购人正常使用，此时如中标人不存在其他违约行为的，则视为中标人完成交付义务；如中标人存在其他违约行为的，在中标人承担违约责任后视为中标人完成交付义务。</w:t>
      </w:r>
    </w:p>
    <w:p>
      <w:r>
        <w:rPr>
          <w:sz w:val="21"/>
        </w:rPr>
        <w:t>3.中标人完成交付义务前，货物的保管责任由中标人承担。</w:t>
      </w:r>
    </w:p>
    <w:p>
      <w:r>
        <w:rPr>
          <w:sz w:val="21"/>
        </w:rPr>
        <w:t>4.中标人完成交付义务前，货物毁损灭失的风险由中标人承担。</w:t>
      </w:r>
    </w:p>
    <w:p>
      <w:r>
        <w:rPr>
          <w:sz w:val="21"/>
        </w:rPr>
        <w:t>5.中标人应为其人员购买人身意外保险。</w:t>
      </w:r>
    </w:p>
    <w:p>
      <w:r>
        <w:rPr>
          <w:b/>
          <w:sz w:val="21"/>
        </w:rPr>
        <w:t>(十) 技术资料</w:t>
      </w:r>
    </w:p>
    <w:p>
      <w:r>
        <w:rPr>
          <w:sz w:val="21"/>
        </w:rPr>
        <w:t>1.验收前，中标人应归纳、整理完整的货物技术资料3套，中标人应于验收后向采购人提供验收报告3套。</w:t>
      </w:r>
    </w:p>
    <w:p>
      <w:r>
        <w:rPr>
          <w:sz w:val="21"/>
        </w:rPr>
        <w:t>2.技术文件：包括验收报告、完整的货物技术资料（包括但不限于货物的维护手册、保修证书）。</w:t>
      </w:r>
    </w:p>
    <w:p/>
    <w:p>
      <w:r>
        <w:rPr>
          <w:b/>
          <w:sz w:val="21"/>
        </w:rPr>
        <w:t>四、技术总体要求</w:t>
      </w:r>
    </w:p>
    <w:p>
      <w:r>
        <w:rPr>
          <w:sz w:val="21"/>
        </w:rPr>
        <w:t>(一)</w:t>
      </w:r>
      <w:r>
        <w:rPr>
          <w:sz w:val="21"/>
        </w:rPr>
        <w:t>投标人投标时所提供的货物如在实际供货时已经停产（不列入该厂家当时的货物系统），如果未能按原价提供更优质的货物，</w:t>
      </w:r>
      <w:r>
        <w:rPr>
          <w:b/>
          <w:sz w:val="21"/>
        </w:rPr>
        <w:t>或被发现在实际供货时提供的货物未能达到招标文件和投标文件中的有关要求，</w:t>
      </w:r>
      <w:r>
        <w:rPr>
          <w:sz w:val="21"/>
        </w:rPr>
        <w:t>有权要求中标人支付违约金。</w:t>
      </w:r>
    </w:p>
    <w:p>
      <w:r>
        <w:rPr>
          <w:sz w:val="21"/>
        </w:rPr>
        <w:t>(二)货物的部件必须有国家有关部门的认证合格证，投标人必须确保所投标货物中凡列入《中华人民共和国实施强制性产品认证的产品目录》的货物已经获得CCC认证证书。</w:t>
      </w:r>
      <w:r>
        <w:rPr>
          <w:sz w:val="21"/>
        </w:rPr>
        <w:t>（进口产品除外）</w:t>
      </w:r>
    </w:p>
    <w:p>
      <w:r>
        <w:rPr>
          <w:sz w:val="21"/>
        </w:rPr>
        <w:t>(三)</w:t>
      </w:r>
      <w:r>
        <w:rPr>
          <w:b/>
          <w:sz w:val="21"/>
        </w:rPr>
        <w:t>本项目如涉及货物的品牌、型号、制造商仅起说明作用，仅供参考，并没有任何限制性。投标人可以提供相应其他品牌，但所替代品牌必须优于或相当于招标文件所列标准。</w:t>
      </w:r>
    </w:p>
    <w:p>
      <w:r>
        <w:rPr>
          <w:sz w:val="21"/>
        </w:rPr>
        <w:t>(四)</w:t>
      </w:r>
      <w:r>
        <w:rPr>
          <w:b/>
          <w:sz w:val="21"/>
        </w:rPr>
        <w:t>本项目的技术参数为本项目所采购货物的基本配置要求，对未有注明的参数要求，均以标准配置为准。</w:t>
      </w:r>
    </w:p>
    <w:p>
      <w:r>
        <w:rPr>
          <w:sz w:val="21"/>
        </w:rPr>
        <w:t>(五)如投标人提供的设备（产品）为进口产品，投标人应自行完善相关报关手续。</w:t>
      </w:r>
    </w:p>
    <w:p>
      <w:r>
        <w:rPr>
          <w:sz w:val="21"/>
        </w:rPr>
        <w:t>(六)</w:t>
      </w:r>
      <w:r>
        <w:rPr>
          <w:b/>
          <w:sz w:val="21"/>
        </w:rPr>
        <w:t>投标人要明确列出所投货物的详细配置参数，同时如实填写提供《技术和服务要求响应表》，并确保所投货物具有本采购需求描述的基本性能。当投标文件中技术参数与招标文件中技术参数有偏离时，须在</w:t>
      </w:r>
      <w:r>
        <w:rPr>
          <w:b/>
          <w:sz w:val="21"/>
        </w:rPr>
        <w:t>“偏离情况说明”栏内如实注明是“正偏离”或“无偏离”或“负偏离”，“正偏离”指报价货物的技术参数优于招标文件中要求，“负偏离”指报价货物的技术参数低于招标文件中要求。</w:t>
      </w:r>
    </w:p>
    <w:p>
      <w:r>
        <w:rPr>
          <w:sz w:val="21"/>
        </w:rPr>
        <w:t>(七)</w:t>
      </w:r>
      <w:r>
        <w:rPr>
          <w:b/>
          <w:sz w:val="21"/>
        </w:rPr>
        <w:t>投标文件须提供产品的彩页、照片、产品资料附件及相关证明文件（或检测报告），证明投标人提供的设备和服务是合格的，而且符合招标文件的规定。</w:t>
      </w:r>
    </w:p>
    <w:p>
      <w:r>
        <w:rPr>
          <w:b/>
          <w:sz w:val="21"/>
        </w:rPr>
        <w:t>(八)</w:t>
      </w:r>
      <w:r>
        <w:rPr>
          <w:b/>
          <w:sz w:val="21"/>
        </w:rPr>
        <w:t>知识产权</w:t>
      </w:r>
    </w:p>
    <w:p>
      <w:r>
        <w:rPr>
          <w:sz w:val="21"/>
        </w:rPr>
        <w:t>1.中标人应保证，采购人在中华人民共和国使用该货物及服务或货物及服务的任何一部分时，免受第三方提出的任何权利要求（包括但不限于第三方提出的侵犯其专利权、商标权或其他知识产权的起诉）。如发生此类纠纷，由中标人承担一切责任。</w:t>
      </w:r>
    </w:p>
    <w:p>
      <w:r>
        <w:rPr>
          <w:sz w:val="21"/>
        </w:rPr>
        <w:t>2.中标人为执行本项目而提供的技术资料的使用权归采购人所有。</w:t>
      </w:r>
    </w:p>
    <w:p>
      <w:r>
        <w:rPr>
          <w:b/>
          <w:sz w:val="21"/>
        </w:rPr>
        <w:t>五、附件</w:t>
      </w:r>
    </w:p>
    <w:p>
      <w:r>
        <w:rPr>
          <w:b/>
          <w:sz w:val="21"/>
        </w:rPr>
        <w:t>（投标人须按以下格式提供无围标、串标行为承诺书并附进投标文件中）</w:t>
      </w:r>
    </w:p>
    <w:p>
      <w:pPr>
        <w:jc w:val="center"/>
      </w:pPr>
      <w:r>
        <w:rPr>
          <w:b/>
          <w:sz w:val="21"/>
        </w:rPr>
        <w:t>无围标、串标行为承诺书</w:t>
      </w:r>
    </w:p>
    <w:p>
      <w:r>
        <w:rPr>
          <w:sz w:val="21"/>
        </w:rPr>
        <w:t>致：</w:t>
      </w:r>
      <w:r>
        <w:rPr>
          <w:sz w:val="21"/>
          <w:u w:val="single"/>
        </w:rPr>
        <w:t>中山市中医院</w:t>
      </w:r>
      <w:r>
        <w:rPr>
          <w:sz w:val="21"/>
          <w:u w:val="single"/>
        </w:rPr>
        <w:t>/广东人信工程咨询有限公司中山分公司</w:t>
      </w:r>
    </w:p>
    <w:p>
      <w:pPr>
        <w:ind w:firstLine="420"/>
      </w:pPr>
      <w:r>
        <w:rPr>
          <w:sz w:val="21"/>
        </w:rPr>
        <w:t>本公司郑重承诺：我公司自觉遵守《中华人民共和国政府采购法</w:t>
      </w:r>
      <w:r>
        <w:rPr>
          <w:sz w:val="21"/>
          <w:u w:val="single"/>
        </w:rPr>
        <w:t>》及招标采购管理的有关规定，作为投标人参与</w:t>
      </w:r>
      <w:r>
        <w:rPr>
          <w:sz w:val="21"/>
        </w:rPr>
        <w:t>中山市中医院高效液相色谱质谱联用仪采购项目</w:t>
      </w:r>
      <w:r>
        <w:rPr>
          <w:sz w:val="21"/>
        </w:rPr>
        <w:t>的投标活动中，无以下围标、串标行为：</w:t>
      </w:r>
    </w:p>
    <w:p>
      <w:pPr>
        <w:ind w:firstLine="840"/>
      </w:pPr>
      <w:r>
        <w:rPr>
          <w:sz w:val="21"/>
        </w:rPr>
        <w:t>1）不同供应商的投标文件由同一单位或者个人编制；</w:t>
      </w:r>
    </w:p>
    <w:p>
      <w:pPr>
        <w:ind w:firstLine="420"/>
      </w:pPr>
      <w:r>
        <w:rPr>
          <w:sz w:val="21"/>
        </w:rPr>
        <w:t xml:space="preserve">    </w:t>
      </w:r>
      <w:r>
        <w:rPr>
          <w:sz w:val="21"/>
        </w:rPr>
        <w:t>2）不同供应商委托同一单位或者个人办理投标事宜；</w:t>
      </w:r>
    </w:p>
    <w:p>
      <w:pPr>
        <w:ind w:firstLine="420"/>
      </w:pPr>
      <w:r>
        <w:rPr>
          <w:sz w:val="21"/>
        </w:rPr>
        <w:t xml:space="preserve">    </w:t>
      </w:r>
      <w:r>
        <w:rPr>
          <w:sz w:val="21"/>
        </w:rPr>
        <w:t>3）不同供应商的投标文件载明的项目管理成员或者联系人员为同一人；</w:t>
      </w:r>
    </w:p>
    <w:p>
      <w:pPr>
        <w:ind w:firstLine="420"/>
      </w:pPr>
      <w:r>
        <w:rPr>
          <w:sz w:val="21"/>
        </w:rPr>
        <w:t xml:space="preserve">    </w:t>
      </w:r>
      <w:r>
        <w:rPr>
          <w:sz w:val="21"/>
        </w:rPr>
        <w:t>4）不同供应商的投标文件异常一致或者投标报价呈规律性差异；</w:t>
      </w:r>
    </w:p>
    <w:p>
      <w:pPr>
        <w:ind w:firstLine="420"/>
      </w:pPr>
      <w:r>
        <w:rPr>
          <w:sz w:val="21"/>
        </w:rPr>
        <w:t xml:space="preserve">    </w:t>
      </w:r>
      <w:r>
        <w:rPr>
          <w:sz w:val="21"/>
        </w:rPr>
        <w:t>5）不同供应商的投标文件相互混装；</w:t>
      </w:r>
    </w:p>
    <w:p>
      <w:pPr>
        <w:ind w:firstLine="420"/>
      </w:pPr>
      <w:r>
        <w:rPr>
          <w:sz w:val="21"/>
        </w:rPr>
        <w:t xml:space="preserve">    </w:t>
      </w:r>
      <w:r>
        <w:rPr>
          <w:sz w:val="21"/>
        </w:rPr>
        <w:t>6）不同供应商的投标保证金从同一单位或者个人的账户转出；</w:t>
      </w:r>
    </w:p>
    <w:p>
      <w:pPr>
        <w:ind w:firstLine="420"/>
      </w:pPr>
      <w:r>
        <w:rPr>
          <w:sz w:val="21"/>
        </w:rPr>
        <w:t xml:space="preserve">    </w:t>
      </w:r>
      <w:r>
        <w:rPr>
          <w:sz w:val="21"/>
        </w:rPr>
        <w:t>7）不同供应商的董事、监事、高管、单位负责人为同一人或者存在控股、管理关系的不同单位参加同一包组招标项目投标；</w:t>
      </w:r>
    </w:p>
    <w:p>
      <w:pPr>
        <w:ind w:firstLine="420"/>
      </w:pPr>
      <w:r>
        <w:rPr>
          <w:sz w:val="21"/>
        </w:rPr>
        <w:t xml:space="preserve">    </w:t>
      </w:r>
      <w:r>
        <w:rPr>
          <w:sz w:val="21"/>
        </w:rPr>
        <w:t>8）法律法规界定的其他围标串标行为。</w:t>
      </w:r>
    </w:p>
    <w:p>
      <w:pPr>
        <w:ind w:firstLine="420"/>
      </w:pPr>
      <w:r>
        <w:rPr>
          <w:sz w:val="21"/>
        </w:rPr>
        <w:t>如有发现我公司存在围标、串标行为，我公司愿承担一切法律责任。</w:t>
      </w:r>
    </w:p>
    <w:p>
      <w:pPr>
        <w:ind w:firstLine="420"/>
      </w:pPr>
      <w:r>
        <w:rPr>
          <w:sz w:val="21"/>
        </w:rPr>
        <w:t>特此承诺！</w:t>
      </w:r>
    </w:p>
    <w:p>
      <w:pPr>
        <w:ind w:firstLine="420"/>
      </w:pPr>
      <w:r>
        <w:rPr>
          <w:sz w:val="21"/>
        </w:rPr>
        <w:t>注：以上格式不得修改。</w:t>
      </w:r>
    </w:p>
    <w:p>
      <w:r>
        <w:rPr>
          <w:sz w:val="21"/>
          <w:u w:val="single"/>
        </w:rPr>
        <w:t>投标人名称（加盖公章）：</w:t>
      </w:r>
    </w:p>
    <w:p>
      <w:r>
        <w:rPr>
          <w:sz w:val="21"/>
          <w:u w:val="single"/>
        </w:rPr>
        <w:t>法定代表人或被授权人签名（或盖私章）：</w:t>
      </w:r>
    </w:p>
    <w:p>
      <w:r>
        <w:rPr>
          <w:sz w:val="21"/>
          <w:u w:val="single"/>
        </w:rPr>
        <w:t>日</w:t>
      </w:r>
      <w:r>
        <w:rPr>
          <w:sz w:val="21"/>
          <w:u w:val="single"/>
        </w:rPr>
        <w:t xml:space="preserve"> </w:t>
      </w:r>
      <w:r>
        <w:rPr>
          <w:sz w:val="21"/>
          <w:u w:val="single"/>
        </w:rPr>
        <w:t>期</w:t>
      </w:r>
      <w:r>
        <w:rPr>
          <w:sz w:val="21"/>
          <w:u w:val="single"/>
        </w:rPr>
        <w:t>：</w:t>
      </w:r>
      <w:r>
        <w:rPr>
          <w:sz w:val="21"/>
          <w:u w:val="single"/>
        </w:rPr>
        <w:t xml:space="preserve">                          </w:t>
      </w:r>
    </w:p>
    <w:p/>
    <w:p>
      <w:pPr>
        <w:ind w:firstLine="480"/>
      </w:pPr>
    </w:p>
    <w:p/>
    <w:p>
      <w:r>
        <w:rPr/>
        <w:t>采购包1（高效液相色谱质谱联用仪）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中标人在中标后30个日历天内凭中标通知书签订合同，自签订合同后90个日历天内完成供货、安装、调试、培训、合格通过验收并交付采购人正常使用。</w:t>
            </w:r>
          </w:p>
        </w:tc>
      </w:tr>
      <w:tr>
        <w:tc>
          <w:tcPr>
            <w:tcW w:type="dxa" w:w="4153"/>
          </w:tcPr>
          <w:p>
            <w:r>
              <w:rPr/>
              <w:t>标的提供的地点</w:t>
            </w:r>
          </w:p>
        </w:tc>
        <w:tc>
          <w:tcPr>
            <w:tcW w:type="dxa" w:w="4153"/>
          </w:tcPr>
          <w:p/>
          <w:p>
            <w:r>
              <w:rPr/>
              <w:t>采购人指定的地点。中标人必须按采购人指定的交货地点，按时送货上门。</w:t>
            </w:r>
          </w:p>
        </w:tc>
      </w:tr>
      <w:tr>
        <w:tc>
          <w:tcPr>
            <w:tcW w:type="dxa" w:w="4153"/>
          </w:tcPr>
          <w:p>
            <w:r>
              <w:rPr/>
              <w:t>付款方式</w:t>
            </w:r>
          </w:p>
        </w:tc>
        <w:tc>
          <w:tcPr>
            <w:tcW w:type="dxa" w:w="4153"/>
          </w:tcPr>
          <w:p/>
          <w:p/>
          <w:p>
            <w:r>
              <w:rPr/>
              <w:t>1期：支付比例100%,本项目的每笔款项以人民币电汇方式支付，设备到采购人指定地点交付并完成安装，验收合格后，中标人提交以下资料给采购人：（1）合同；（2）验收合格报告；（3）合同设备全额合规发票。采购人60天内支付给中标人合同总价。如中标人为中小企业，按中小企业相关法律法规或政策执行。</w:t>
            </w:r>
          </w:p>
        </w:tc>
      </w:tr>
      <w:tr>
        <w:tc>
          <w:tcPr>
            <w:tcW w:type="dxa" w:w="4153"/>
          </w:tcPr>
          <w:p>
            <w:r>
              <w:rPr/>
              <w:t>验收要求</w:t>
            </w:r>
          </w:p>
        </w:tc>
        <w:tc>
          <w:tcPr>
            <w:tcW w:type="dxa" w:w="4153"/>
          </w:tcPr>
          <w:p/>
          <w:p/>
          <w:p/>
          <w:p>
            <w:r>
              <w:rPr/>
              <w:t>1期：(1)采购人依照相关验收规范、设备出厂技术标准或相关国家标准、招标文件及投标文件要求对全部设备、产品、型号、规格、数量、外型、外观、包装及资料、文件（如装箱单、保修单、随箱介质等）进行验收。 (2)采购人将严格按照相关法律法规的要求进行验收。 (3)如产品验收中发现产品性能指标或功能上不符合招标文件（或投标文件承诺）和合同要求时，将被看作性能不合格，采购人有权拒收或要求赔偿。 (4)验收由采购人验收小组、中标人及相关人员依有关标准、合同及有关附件要求进行。验收完毕由采购人及中标人在验收报告上签名。必要时邀请相关的专业人员或机构参与验收。 (5)最终验收前，中标人须提供所有测试报告及文件。 (6)最终验收在所有设备安装调试完毕后进行。在此期间中标人须派员参加，若中标人所供产品出现故障，则中标人应及时修复并做好记录，该记录将作为产品性能测试的原始资料和验收结论。 (7)中标人须为验收提供必需的一切条件及相关费用。 (8)验收交付前的保管安全责任由中标人承担。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★1，投标人所投产品（高效液相色谱质谱联用仪）属于医疗器械，需提供有效的医疗器械注册证或备案证明（提供证明材料复印件或扫描件）。</w:t>
            </w:r>
          </w:p>
          <w:p/>
          <w:p>
            <w:r>
              <w:rPr/>
              <w:t>★2，如投标人所投产品为进口产品，须提供所投产品生产厂家或代理商出具的有效授权证明文件。</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质谱仪</w:t>
            </w:r>
          </w:p>
        </w:tc>
        <w:tc>
          <w:tcPr>
            <w:tcW w:type="dxa" w:w="831"/>
          </w:tcPr>
          <w:p>
            <w:pPr>
              <w:jc w:val="left"/>
            </w:pPr>
            <w:r>
              <w:rPr/>
              <w:t>高效液相色谱质谱联用仪</w:t>
            </w:r>
          </w:p>
        </w:tc>
        <w:tc>
          <w:tcPr>
            <w:tcW w:type="dxa" w:w="831"/>
          </w:tcPr>
          <w:p>
            <w:pPr>
              <w:jc w:val="left"/>
            </w:pPr>
            <w:r>
              <w:rPr/>
              <w:t>套</w:t>
            </w:r>
          </w:p>
        </w:tc>
        <w:tc>
          <w:tcPr>
            <w:tcW w:type="dxa" w:w="831"/>
          </w:tcPr>
          <w:p>
            <w:pPr>
              <w:jc w:val="right"/>
            </w:pPr>
            <w:r>
              <w:rPr/>
              <w:t>1.00</w:t>
            </w:r>
          </w:p>
        </w:tc>
        <w:tc>
          <w:tcPr>
            <w:tcW w:type="dxa" w:w="831"/>
          </w:tcPr>
          <w:p>
            <w:pPr>
              <w:jc w:val="right"/>
            </w:pPr>
            <w:r>
              <w:rPr/>
              <w:t>3,500,000.00</w:t>
            </w:r>
          </w:p>
        </w:tc>
        <w:tc>
          <w:tcPr>
            <w:tcW w:type="dxa" w:w="831"/>
          </w:tcPr>
          <w:p>
            <w:pPr>
              <w:jc w:val="right"/>
            </w:pPr>
            <w:r>
              <w:rPr/>
              <w:t>3,500,000.00</w:t>
            </w:r>
          </w:p>
        </w:tc>
        <w:tc>
          <w:tcPr>
            <w:tcW w:type="dxa" w:w="831"/>
          </w:tcPr>
          <w:p>
            <w:r>
              <w:rPr/>
              <w:t>工业</w:t>
            </w:r>
          </w:p>
        </w:tc>
        <w:tc>
          <w:tcPr>
            <w:tcW w:type="dxa" w:w="831"/>
          </w:tcPr>
          <w:p>
            <w:r>
              <w:rPr/>
              <w:t>详见附表一</w:t>
            </w:r>
          </w:p>
        </w:tc>
      </w:tr>
    </w:tbl>
    <w:p/>
    <w:p>
      <w:r>
        <w:rPr>
          <w:b/>
        </w:rPr>
        <w:t>附表</w:t>
      </w:r>
      <w:r>
        <w:rPr>
          <w:b/>
        </w:rPr>
        <w:t>一</w:t>
      </w:r>
      <w:r>
        <w:rPr>
          <w:b/>
        </w:rPr>
        <w:t>：</w:t>
      </w:r>
      <w:r>
        <w:rPr>
          <w:b/>
        </w:rPr>
        <w:t>高效液相色谱质谱联用仪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b/>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高效液相色谱质谱联用仪</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1（</w:t>
                  </w:r>
                  <w:r>
                    <w:rPr>
                      <w:sz w:val="21"/>
                    </w:rPr>
                    <w:t>套</w:t>
                  </w:r>
                  <w:r>
                    <w:rPr>
                      <w:sz w:val="21"/>
                    </w:rPr>
                    <w:t>）</w:t>
                  </w:r>
                </w:p>
              </w:tc>
            </w:tr>
          </w:tbl>
          <w:p>
            <w:pPr>
              <w:ind w:firstLine="34"/>
            </w:pPr>
            <w:r>
              <w:rPr>
                <w:b/>
                <w:sz w:val="21"/>
              </w:rPr>
              <w:t>二、技术要求</w:t>
            </w:r>
          </w:p>
          <w:p>
            <w:pPr>
              <w:ind w:firstLine="34"/>
            </w:pPr>
            <w:r>
              <w:rPr>
                <w:b/>
                <w:sz w:val="21"/>
              </w:rPr>
              <w:t>(一)技术参数要求</w:t>
            </w:r>
          </w:p>
          <w:p>
            <w:pPr>
              <w:jc w:val="both"/>
            </w:pPr>
            <w:r>
              <w:rPr>
                <w:b/>
                <w:sz w:val="21"/>
              </w:rPr>
              <w:t>★</w:t>
            </w:r>
            <w:r>
              <w:rPr>
                <w:sz w:val="21"/>
              </w:rPr>
              <w:t>1.1液相色谱系统至少包含流动相瓶5个（1000ml/个）、梯度输液泵1套、柱温箱1套、自动进样器1套、二极管阵列检测器1套。</w:t>
            </w:r>
          </w:p>
          <w:p>
            <w:pPr>
              <w:jc w:val="both"/>
            </w:pPr>
            <w:r>
              <w:rPr>
                <w:sz w:val="21"/>
              </w:rPr>
              <w:t>1.</w:t>
            </w:r>
            <w:r>
              <w:rPr>
                <w:sz w:val="21"/>
              </w:rPr>
              <w:t>2梯度泵</w:t>
            </w:r>
            <w:r>
              <w:rPr>
                <w:sz w:val="21"/>
              </w:rPr>
              <w:t>要求</w:t>
            </w:r>
            <w:r>
              <w:rPr>
                <w:sz w:val="21"/>
              </w:rPr>
              <w:t>:</w:t>
            </w:r>
          </w:p>
          <w:p>
            <w:pPr>
              <w:ind w:firstLine="420"/>
              <w:jc w:val="both"/>
            </w:pPr>
            <w:r>
              <w:rPr>
                <w:sz w:val="21"/>
              </w:rPr>
              <w:t>1.2.1</w:t>
            </w:r>
            <w:r>
              <w:rPr>
                <w:sz w:val="21"/>
              </w:rPr>
              <w:t>流量范围：至少包含</w:t>
            </w:r>
            <w:r>
              <w:rPr>
                <w:sz w:val="21"/>
              </w:rPr>
              <w:t>0.01ml/min-2.000ml/min，递增率不高于0.001ml/min</w:t>
            </w:r>
            <w:r>
              <w:rPr>
                <w:sz w:val="21"/>
              </w:rPr>
              <w:t>；</w:t>
            </w:r>
          </w:p>
          <w:p>
            <w:pPr>
              <w:ind w:firstLine="420"/>
              <w:jc w:val="both"/>
            </w:pPr>
            <w:r>
              <w:rPr>
                <w:sz w:val="21"/>
              </w:rPr>
              <w:t>1.2.2</w:t>
            </w:r>
            <w:r>
              <w:rPr>
                <w:sz w:val="21"/>
              </w:rPr>
              <w:t>最大压力</w:t>
            </w:r>
            <w:r>
              <w:rPr>
                <w:sz w:val="21"/>
              </w:rPr>
              <w:t>≥15000Psi</w:t>
            </w:r>
            <w:r>
              <w:rPr>
                <w:sz w:val="21"/>
              </w:rPr>
              <w:t>；</w:t>
            </w:r>
          </w:p>
          <w:p>
            <w:pPr>
              <w:ind w:firstLine="420"/>
              <w:jc w:val="both"/>
            </w:pPr>
            <w:r>
              <w:rPr>
                <w:sz w:val="21"/>
              </w:rPr>
              <w:t>1.2.3</w:t>
            </w:r>
            <w:r>
              <w:rPr>
                <w:sz w:val="21"/>
              </w:rPr>
              <w:t>流量精度：</w:t>
            </w:r>
            <w:r>
              <w:rPr>
                <w:sz w:val="21"/>
              </w:rPr>
              <w:t>≤0.075%RSD</w:t>
            </w:r>
            <w:r>
              <w:rPr>
                <w:sz w:val="21"/>
              </w:rPr>
              <w:t>；</w:t>
            </w:r>
          </w:p>
          <w:p>
            <w:pPr>
              <w:ind w:firstLine="420"/>
              <w:jc w:val="both"/>
            </w:pPr>
            <w:r>
              <w:rPr>
                <w:sz w:val="21"/>
              </w:rPr>
              <w:t>1.2.4流速准确度：±0.5%；</w:t>
            </w:r>
          </w:p>
          <w:p>
            <w:pPr>
              <w:ind w:firstLine="420"/>
              <w:jc w:val="both"/>
            </w:pPr>
            <w:r>
              <w:rPr>
                <w:sz w:val="21"/>
              </w:rPr>
              <w:t>1.2.5溶剂种类≥4种。</w:t>
            </w:r>
          </w:p>
          <w:p>
            <w:pPr>
              <w:jc w:val="both"/>
            </w:pPr>
            <w:r>
              <w:rPr>
                <w:sz w:val="21"/>
              </w:rPr>
              <w:t>1.3自动进样器要求：</w:t>
            </w:r>
          </w:p>
          <w:p>
            <w:pPr>
              <w:ind w:firstLine="420"/>
              <w:jc w:val="both"/>
            </w:pPr>
            <w:r>
              <w:rPr>
                <w:sz w:val="21"/>
              </w:rPr>
              <w:t>1.3.1样本容量≥96位2ml样品瓶；</w:t>
            </w:r>
          </w:p>
          <w:p>
            <w:pPr>
              <w:ind w:firstLine="420"/>
              <w:jc w:val="both"/>
            </w:pPr>
            <w:r>
              <w:rPr>
                <w:sz w:val="21"/>
              </w:rPr>
              <w:t>1.3.2进样方式：无样品损失，无残留；</w:t>
            </w:r>
          </w:p>
          <w:p>
            <w:pPr>
              <w:ind w:firstLine="420"/>
              <w:jc w:val="both"/>
            </w:pPr>
            <w:r>
              <w:rPr>
                <w:sz w:val="21"/>
              </w:rPr>
              <w:t>1.3.3进样体积：至少包含0.1-25ul；</w:t>
            </w:r>
          </w:p>
          <w:p>
            <w:pPr>
              <w:ind w:firstLine="420"/>
              <w:jc w:val="both"/>
            </w:pPr>
            <w:r>
              <w:rPr>
                <w:sz w:val="21"/>
              </w:rPr>
              <w:t>1.3.4交叉污染：≤0.004%。</w:t>
            </w:r>
          </w:p>
          <w:p>
            <w:pPr>
              <w:jc w:val="both"/>
            </w:pPr>
            <w:r>
              <w:rPr>
                <w:sz w:val="21"/>
              </w:rPr>
              <w:t>1.4柱温箱要求：</w:t>
            </w:r>
          </w:p>
          <w:p>
            <w:pPr>
              <w:ind w:firstLine="420"/>
              <w:jc w:val="both"/>
            </w:pPr>
            <w:r>
              <w:rPr>
                <w:sz w:val="21"/>
              </w:rPr>
              <w:t>1.4.1温控范围：室温-90˚C；</w:t>
            </w:r>
          </w:p>
          <w:p>
            <w:pPr>
              <w:ind w:firstLine="420"/>
              <w:jc w:val="both"/>
            </w:pPr>
            <w:r>
              <w:rPr>
                <w:sz w:val="21"/>
              </w:rPr>
              <w:t>1.4.2温度准确度：误差范围±0.5℃；</w:t>
            </w:r>
          </w:p>
          <w:p>
            <w:pPr>
              <w:ind w:firstLine="420"/>
              <w:jc w:val="both"/>
            </w:pPr>
            <w:r>
              <w:rPr>
                <w:sz w:val="21"/>
              </w:rPr>
              <w:t>1.4.3温度稳定性  误差范围±0.3℃。</w:t>
            </w:r>
          </w:p>
          <w:p>
            <w:pPr>
              <w:jc w:val="both"/>
            </w:pPr>
            <w:r>
              <w:rPr>
                <w:sz w:val="21"/>
              </w:rPr>
              <w:t>1.5离子源要求：</w:t>
            </w:r>
          </w:p>
          <w:p>
            <w:pPr>
              <w:ind w:firstLine="420"/>
              <w:jc w:val="both"/>
            </w:pPr>
            <w:r>
              <w:rPr>
                <w:sz w:val="21"/>
              </w:rPr>
              <w:t>1.5.1至少配有复合型电喷雾离子源(ESI)和大气压化学电离源(APCI)；</w:t>
            </w:r>
          </w:p>
          <w:p>
            <w:pPr>
              <w:ind w:firstLine="420"/>
            </w:pPr>
            <w:r>
              <w:rPr>
                <w:sz w:val="21"/>
              </w:rPr>
              <w:t>▲</w:t>
            </w:r>
            <w:r>
              <w:rPr>
                <w:sz w:val="21"/>
              </w:rPr>
              <w:t>1.5.2</w:t>
            </w:r>
            <w:r>
              <w:rPr>
                <w:sz w:val="21"/>
              </w:rPr>
              <w:t>离子源内至少两路辅助加热气，温度最高可达</w:t>
            </w:r>
            <w:r>
              <w:rPr>
                <w:sz w:val="21"/>
              </w:rPr>
              <w:t>730℃以上并提供软件</w:t>
            </w:r>
            <w:r>
              <w:rPr>
                <w:sz w:val="21"/>
              </w:rPr>
              <w:t>设置</w:t>
            </w:r>
            <w:r>
              <w:rPr>
                <w:sz w:val="21"/>
              </w:rPr>
              <w:t>运行界面截图。（投标文件提供产品说明书相关页或产品注册证相关页或技术白皮书相关页或产品彩页相关页或功能界面截图或实物图片或检测报告相关页等证明资料）；</w:t>
            </w:r>
          </w:p>
          <w:p>
            <w:pPr>
              <w:ind w:firstLine="420"/>
            </w:pPr>
            <w:r>
              <w:rPr>
                <w:sz w:val="21"/>
              </w:rPr>
              <w:t>▲</w:t>
            </w:r>
            <w:r>
              <w:rPr>
                <w:sz w:val="21"/>
              </w:rPr>
              <w:t>1.5.3</w:t>
            </w:r>
            <w:r>
              <w:rPr>
                <w:sz w:val="21"/>
              </w:rPr>
              <w:t>离子源接口</w:t>
            </w:r>
            <w:r>
              <w:rPr>
                <w:sz w:val="21"/>
              </w:rPr>
              <w:t>: 离子源接口采用锥孔设计，接口及离子传输管通道均</w:t>
            </w:r>
            <w:r>
              <w:rPr>
                <w:sz w:val="21"/>
              </w:rPr>
              <w:t>为</w:t>
            </w:r>
            <w:r>
              <w:rPr>
                <w:sz w:val="21"/>
              </w:rPr>
              <w:t>非毛细管结构或类似结构（投标文件提供产品说明书相关页或产品注册证相关页或技术白皮书相关页或产品彩页相关页或功能界面截图或实物图片或检测报告相关页等证明资料）；</w:t>
            </w:r>
          </w:p>
          <w:p>
            <w:pPr>
              <w:ind w:firstLine="420"/>
            </w:pPr>
            <w:r>
              <w:rPr>
                <w:sz w:val="21"/>
              </w:rPr>
              <w:t>1.5.4</w:t>
            </w:r>
            <w:r>
              <w:rPr>
                <w:sz w:val="21"/>
              </w:rPr>
              <w:t>可满足仅更换喷针即刻快速更换离子源，无需放空质谱真空系统，不需要采用额外工具；</w:t>
            </w:r>
          </w:p>
          <w:p>
            <w:pPr>
              <w:ind w:firstLine="420"/>
            </w:pPr>
            <w:r>
              <w:rPr>
                <w:sz w:val="21"/>
              </w:rPr>
              <w:t>1.5.5</w:t>
            </w:r>
            <w:r>
              <w:rPr>
                <w:sz w:val="21"/>
              </w:rPr>
              <w:t>离子源需具备废气排放装置。</w:t>
            </w:r>
          </w:p>
          <w:p>
            <w:r>
              <w:rPr>
                <w:sz w:val="21"/>
              </w:rPr>
              <w:t>1.</w:t>
            </w:r>
            <w:r>
              <w:rPr>
                <w:sz w:val="21"/>
              </w:rPr>
              <w:t>6质量分析器要求：</w:t>
            </w:r>
          </w:p>
          <w:p>
            <w:pPr>
              <w:ind w:firstLine="420"/>
            </w:pPr>
            <w:r>
              <w:rPr>
                <w:sz w:val="21"/>
              </w:rPr>
              <w:t>1.</w:t>
            </w:r>
            <w:r>
              <w:rPr>
                <w:sz w:val="21"/>
              </w:rPr>
              <w:t>6</w:t>
            </w:r>
            <w:r>
              <w:rPr>
                <w:sz w:val="21"/>
              </w:rPr>
              <w:t>.1</w:t>
            </w:r>
            <w:r>
              <w:rPr>
                <w:sz w:val="21"/>
              </w:rPr>
              <w:t>质量分析器类型：具备四极杆</w:t>
            </w:r>
            <w:r>
              <w:rPr>
                <w:sz w:val="21"/>
              </w:rPr>
              <w:t>质量分析器</w:t>
            </w:r>
            <w:r>
              <w:rPr>
                <w:sz w:val="21"/>
              </w:rPr>
              <w:t>和飞行时间质量分析器；</w:t>
            </w:r>
          </w:p>
          <w:p>
            <w:pPr>
              <w:ind w:firstLine="420"/>
            </w:pPr>
            <w:r>
              <w:rPr>
                <w:sz w:val="21"/>
              </w:rPr>
              <w:t>1.</w:t>
            </w:r>
            <w:r>
              <w:rPr>
                <w:sz w:val="21"/>
              </w:rPr>
              <w:t>6</w:t>
            </w:r>
            <w:r>
              <w:rPr>
                <w:sz w:val="21"/>
              </w:rPr>
              <w:t>.2</w:t>
            </w:r>
            <w:r>
              <w:rPr>
                <w:sz w:val="21"/>
              </w:rPr>
              <w:t>质量范围至少包含</w:t>
            </w:r>
            <w:r>
              <w:rPr>
                <w:sz w:val="21"/>
              </w:rPr>
              <w:t>m/z：50-40,000；</w:t>
            </w:r>
          </w:p>
          <w:p>
            <w:pPr>
              <w:ind w:firstLine="420"/>
            </w:pPr>
            <w:r>
              <w:rPr>
                <w:sz w:val="21"/>
              </w:rPr>
              <w:t>1.</w:t>
            </w:r>
            <w:r>
              <w:rPr>
                <w:sz w:val="21"/>
              </w:rPr>
              <w:t>6</w:t>
            </w:r>
            <w:r>
              <w:rPr>
                <w:sz w:val="21"/>
              </w:rPr>
              <w:t>.3</w:t>
            </w:r>
            <w:r>
              <w:rPr>
                <w:sz w:val="21"/>
              </w:rPr>
              <w:t>外标法：</w:t>
            </w:r>
            <w:r>
              <w:rPr>
                <w:sz w:val="21"/>
              </w:rPr>
              <w:t>≤2.0 ppm，内标法：≤0.4ppm；</w:t>
            </w:r>
          </w:p>
          <w:p>
            <w:pPr>
              <w:ind w:firstLine="420"/>
            </w:pPr>
            <w:r>
              <w:rPr>
                <w:sz w:val="21"/>
              </w:rPr>
              <w:t>1.</w:t>
            </w:r>
            <w:r>
              <w:rPr>
                <w:sz w:val="21"/>
              </w:rPr>
              <w:t>6</w:t>
            </w:r>
            <w:r>
              <w:rPr>
                <w:sz w:val="21"/>
              </w:rPr>
              <w:t>.4</w:t>
            </w:r>
            <w:r>
              <w:rPr>
                <w:sz w:val="21"/>
              </w:rPr>
              <w:t>校准方式：具备自动校准系统；</w:t>
            </w:r>
          </w:p>
          <w:p>
            <w:pPr>
              <w:ind w:firstLine="420"/>
            </w:pPr>
            <w:r>
              <w:rPr>
                <w:sz w:val="21"/>
              </w:rPr>
              <w:t>▲</w:t>
            </w:r>
            <w:r>
              <w:rPr>
                <w:sz w:val="21"/>
              </w:rPr>
              <w:t>1.</w:t>
            </w:r>
            <w:r>
              <w:rPr>
                <w:sz w:val="21"/>
              </w:rPr>
              <w:t>6</w:t>
            </w:r>
            <w:r>
              <w:rPr>
                <w:sz w:val="21"/>
              </w:rPr>
              <w:t>.5</w:t>
            </w:r>
            <w:r>
              <w:rPr>
                <w:sz w:val="21"/>
              </w:rPr>
              <w:t>分辨率：需满足在质荷比</w:t>
            </w:r>
            <w:r>
              <w:rPr>
                <w:sz w:val="21"/>
              </w:rPr>
              <w:t>956处测量，分辨率≥40000 FWHM，扫描频率大于80Hz；（投标文件提供产品说明书相关页或产品注册证相关页或技术白皮书相关页或产品彩页相关页或功能界面截图或实物图片或检测报告相关页等证明资料）</w:t>
            </w:r>
          </w:p>
          <w:p>
            <w:pPr>
              <w:ind w:firstLine="420"/>
            </w:pPr>
            <w:r>
              <w:rPr>
                <w:sz w:val="21"/>
              </w:rPr>
              <w:t>1.</w:t>
            </w:r>
            <w:r>
              <w:rPr>
                <w:sz w:val="21"/>
              </w:rPr>
              <w:t>6</w:t>
            </w:r>
            <w:r>
              <w:rPr>
                <w:sz w:val="21"/>
              </w:rPr>
              <w:t>.6</w:t>
            </w:r>
            <w:r>
              <w:rPr>
                <w:sz w:val="21"/>
              </w:rPr>
              <w:t>二级</w:t>
            </w:r>
            <w:r>
              <w:rPr>
                <w:sz w:val="21"/>
              </w:rPr>
              <w:t>MS/MS定量灵敏度：1pg利血平柱上进样 S/N≥1750：1，且该灵敏度必须满足在＞80Hz下测定；</w:t>
            </w:r>
          </w:p>
          <w:p>
            <w:pPr>
              <w:ind w:firstLine="420"/>
            </w:pPr>
            <w:r>
              <w:rPr>
                <w:sz w:val="21"/>
              </w:rPr>
              <w:t>▲</w:t>
            </w:r>
            <w:r>
              <w:rPr>
                <w:sz w:val="21"/>
              </w:rPr>
              <w:t>1.</w:t>
            </w:r>
            <w:r>
              <w:rPr>
                <w:sz w:val="21"/>
              </w:rPr>
              <w:t>6</w:t>
            </w:r>
            <w:r>
              <w:rPr>
                <w:sz w:val="21"/>
              </w:rPr>
              <w:t>.7</w:t>
            </w:r>
            <w:r>
              <w:rPr>
                <w:sz w:val="21"/>
              </w:rPr>
              <w:t>质谱采集速率：</w:t>
            </w:r>
            <w:r>
              <w:rPr>
                <w:sz w:val="21"/>
              </w:rPr>
              <w:t>二级</w:t>
            </w:r>
            <w:r>
              <w:rPr>
                <w:sz w:val="21"/>
              </w:rPr>
              <w:t>MS/MS最大扫描速度≥100Hz，提供数据图谱证明</w:t>
            </w:r>
            <w:r>
              <w:rPr>
                <w:sz w:val="21"/>
              </w:rPr>
              <w:t>（投标文件提供产品说明书相关页或产品注册证相关页或技术白皮书相关页或产品彩页相关页或功能界面截图或实物图片或检测报告相关页等证明资料）</w:t>
            </w:r>
          </w:p>
          <w:p>
            <w:pPr>
              <w:ind w:firstLine="420"/>
            </w:pPr>
            <w:r>
              <w:rPr>
                <w:sz w:val="21"/>
              </w:rPr>
              <w:t>▲</w:t>
            </w:r>
            <w:r>
              <w:rPr>
                <w:sz w:val="21"/>
              </w:rPr>
              <w:t>1.</w:t>
            </w:r>
            <w:r>
              <w:rPr>
                <w:sz w:val="21"/>
              </w:rPr>
              <w:t>6</w:t>
            </w:r>
            <w:r>
              <w:rPr>
                <w:sz w:val="21"/>
              </w:rPr>
              <w:t>.8</w:t>
            </w:r>
            <w:r>
              <w:rPr>
                <w:sz w:val="21"/>
              </w:rPr>
              <w:t>仪器在采集过程中，具有动态排背景扣除功能，从而给出背景干扰离子以外相对信号较弱的共流出物的离子的</w:t>
            </w:r>
            <w:r>
              <w:rPr>
                <w:sz w:val="21"/>
              </w:rPr>
              <w:t>MS/MS信息，提供软件功能界面截图（投标文件提供产品说明书相关页或产品注册证相关页或技术白皮书相关页或产品彩页相关页或功能界面截图或实物图片或检测报告相关页等证明资料）</w:t>
            </w:r>
          </w:p>
          <w:p>
            <w:pPr>
              <w:ind w:firstLine="420"/>
            </w:pPr>
            <w:r>
              <w:rPr>
                <w:sz w:val="21"/>
              </w:rPr>
              <w:t>▲</w:t>
            </w:r>
            <w:r>
              <w:rPr>
                <w:sz w:val="21"/>
              </w:rPr>
              <w:t>1.</w:t>
            </w:r>
            <w:r>
              <w:rPr>
                <w:sz w:val="21"/>
              </w:rPr>
              <w:t>6</w:t>
            </w:r>
            <w:r>
              <w:rPr>
                <w:sz w:val="21"/>
              </w:rPr>
              <w:t>.9</w:t>
            </w:r>
            <w:r>
              <w:rPr>
                <w:sz w:val="21"/>
              </w:rPr>
              <w:t>信息关联扫描，一级</w:t>
            </w:r>
            <w:r>
              <w:rPr>
                <w:sz w:val="21"/>
              </w:rPr>
              <w:t>MS扫描可接≥80个MS/MS扫描，MS和MS/MS分辨率≥30000FWHM，并且在采集过程中具备动态背景实时扣除功能；（投标文件提供产品说明书相关页或产品注册证相关页或技术白皮书相关页或产品彩页相关页或功能界面截图或实物图片或检测报告相关页等证明资料）</w:t>
            </w:r>
          </w:p>
          <w:p>
            <w:pPr>
              <w:ind w:firstLine="420"/>
            </w:pPr>
            <w:r>
              <w:rPr>
                <w:sz w:val="21"/>
              </w:rPr>
              <w:t>▲</w:t>
            </w:r>
            <w:r>
              <w:rPr>
                <w:sz w:val="21"/>
              </w:rPr>
              <w:t>1.</w:t>
            </w:r>
            <w:r>
              <w:rPr>
                <w:sz w:val="21"/>
              </w:rPr>
              <w:t>6</w:t>
            </w:r>
            <w:r>
              <w:rPr>
                <w:sz w:val="21"/>
              </w:rPr>
              <w:t>.10</w:t>
            </w:r>
            <w:r>
              <w:rPr>
                <w:sz w:val="21"/>
              </w:rPr>
              <w:t>气体要求：采用高纯氮气作为整套设备唯一气源</w:t>
            </w:r>
            <w:r>
              <w:rPr>
                <w:sz w:val="21"/>
              </w:rPr>
              <w:t>, 无需额外其他气体。（投标文件提供产品说明书相关页或产品注册证相关页或技术白皮书相关页或产品彩页相关页或功能界面截图或实物图片或检测报告相关页等证明资料）</w:t>
            </w:r>
          </w:p>
          <w:p>
            <w:r>
              <w:rPr>
                <w:sz w:val="21"/>
              </w:rPr>
              <w:t>1.</w:t>
            </w:r>
            <w:r>
              <w:rPr>
                <w:sz w:val="21"/>
              </w:rPr>
              <w:t>7数据系统要求：</w:t>
            </w:r>
          </w:p>
          <w:p>
            <w:pPr>
              <w:ind w:firstLine="420"/>
            </w:pPr>
            <w:r>
              <w:rPr>
                <w:sz w:val="21"/>
              </w:rPr>
              <w:t>1.7.</w:t>
            </w:r>
            <w:r>
              <w:rPr>
                <w:sz w:val="21"/>
              </w:rPr>
              <w:t>1</w:t>
            </w:r>
            <w:r>
              <w:rPr>
                <w:sz w:val="21"/>
              </w:rPr>
              <w:t>配备质谱和液相色谱的质谱工作站软件；</w:t>
            </w:r>
          </w:p>
          <w:p>
            <w:pPr>
              <w:ind w:firstLine="420"/>
            </w:pPr>
            <w:r>
              <w:rPr>
                <w:sz w:val="21"/>
              </w:rPr>
              <w:t>1.7.</w:t>
            </w:r>
            <w:r>
              <w:rPr>
                <w:sz w:val="21"/>
              </w:rPr>
              <w:t>2</w:t>
            </w:r>
            <w:r>
              <w:rPr>
                <w:sz w:val="21"/>
              </w:rPr>
              <w:t>数据系统软件：软件能控制液相色谱和质谱部分，自动实现仪器的功能配置、条件优化、数据采集、数据处理、快速定量，自动实现</w:t>
            </w:r>
            <w:r>
              <w:rPr>
                <w:sz w:val="21"/>
              </w:rPr>
              <w:t>MS和MS/MS扫描的切换，质谱数据解析工具和谱库检索、建谱库等功能；</w:t>
            </w:r>
          </w:p>
          <w:p>
            <w:pPr>
              <w:ind w:firstLine="420"/>
            </w:pPr>
            <w:r>
              <w:rPr>
                <w:sz w:val="21"/>
              </w:rPr>
              <w:t>1.7.</w:t>
            </w:r>
            <w:r>
              <w:rPr>
                <w:sz w:val="21"/>
              </w:rPr>
              <w:t>3</w:t>
            </w:r>
            <w:r>
              <w:rPr>
                <w:sz w:val="21"/>
              </w:rPr>
              <w:t>高通量的定量软件：可满足处理大批量样品，同时分析过百种化合物；</w:t>
            </w:r>
          </w:p>
          <w:p>
            <w:pPr>
              <w:ind w:firstLine="420"/>
            </w:pPr>
            <w:r>
              <w:rPr>
                <w:sz w:val="21"/>
              </w:rPr>
              <w:t>1.7.</w:t>
            </w:r>
            <w:r>
              <w:rPr>
                <w:sz w:val="21"/>
              </w:rPr>
              <w:t>4</w:t>
            </w:r>
            <w:r>
              <w:rPr>
                <w:sz w:val="21"/>
              </w:rPr>
              <w:t>数据非依赖采集和分析软件：可进行连续可变窗口设置并采集所有化合物的</w:t>
            </w:r>
            <w:r>
              <w:rPr>
                <w:sz w:val="21"/>
              </w:rPr>
              <w:t>MS和MS/MS谱图，不需要分段多次试验，一次采集完成整个质量范围的二级图谱采集；</w:t>
            </w:r>
          </w:p>
          <w:p>
            <w:pPr>
              <w:ind w:firstLine="420"/>
            </w:pPr>
            <w:r>
              <w:rPr>
                <w:sz w:val="21"/>
              </w:rPr>
              <w:t>1.7.</w:t>
            </w:r>
            <w:r>
              <w:rPr>
                <w:sz w:val="21"/>
              </w:rPr>
              <w:t>5</w:t>
            </w:r>
            <w:r>
              <w:rPr>
                <w:sz w:val="21"/>
              </w:rPr>
              <w:t>配备组学分析及</w:t>
            </w:r>
            <w:r>
              <w:rPr>
                <w:sz w:val="21"/>
              </w:rPr>
              <w:t>鉴定软件：实现差异物查找及鉴定分析。自动鉴定小分子代谢物及分解产物，多种峰查找功能中，快速发现靶向和非靶向的代谢产物，集成的</w:t>
            </w:r>
            <w:r>
              <w:rPr>
                <w:sz w:val="21"/>
              </w:rPr>
              <w:t>MS</w:t>
            </w:r>
            <w:r>
              <w:rPr>
                <w:sz w:val="21"/>
              </w:rPr>
              <w:t>/</w:t>
            </w:r>
            <w:r>
              <w:rPr>
                <w:sz w:val="21"/>
              </w:rPr>
              <w:t>MS碎片解析工具，自动预测并给出可能的代谢物结构；相关性分析，可提供不同时间点、不同种属之间代谢差异。</w:t>
            </w:r>
          </w:p>
          <w:p>
            <w:r>
              <w:rPr>
                <w:b/>
                <w:sz w:val="21"/>
              </w:rPr>
              <w:t>(二)工作环境要求：</w:t>
            </w:r>
          </w:p>
          <w:p>
            <w:r>
              <w:rPr>
                <w:sz w:val="21"/>
              </w:rPr>
              <w:t>2.</w:t>
            </w:r>
            <w:r>
              <w:rPr>
                <w:sz w:val="21"/>
              </w:rPr>
              <w:t>1电源要求：220V</w:t>
            </w:r>
            <w:r>
              <w:rPr>
                <w:sz w:val="21"/>
              </w:rPr>
              <w:t>±</w:t>
            </w:r>
            <w:r>
              <w:rPr>
                <w:sz w:val="21"/>
              </w:rPr>
              <w:t>10%；</w:t>
            </w:r>
          </w:p>
          <w:p>
            <w:r>
              <w:rPr>
                <w:sz w:val="21"/>
              </w:rPr>
              <w:t>2.</w:t>
            </w:r>
            <w:r>
              <w:rPr>
                <w:sz w:val="21"/>
              </w:rPr>
              <w:t>2环境温度要求：15</w:t>
            </w:r>
            <w:r>
              <w:rPr>
                <w:sz w:val="21"/>
              </w:rPr>
              <w:t>°</w:t>
            </w:r>
            <w:r>
              <w:rPr>
                <w:sz w:val="21"/>
              </w:rPr>
              <w:t>C～30</w:t>
            </w:r>
            <w:r>
              <w:rPr>
                <w:sz w:val="21"/>
              </w:rPr>
              <w:t>°</w:t>
            </w:r>
            <w:r>
              <w:rPr>
                <w:sz w:val="21"/>
              </w:rPr>
              <w:t>C；</w:t>
            </w:r>
          </w:p>
          <w:p>
            <w:r>
              <w:rPr>
                <w:sz w:val="21"/>
              </w:rPr>
              <w:t>2.</w:t>
            </w:r>
            <w:r>
              <w:rPr>
                <w:sz w:val="21"/>
              </w:rPr>
              <w:t>3相对湿度要求：20%～80%。</w:t>
            </w:r>
          </w:p>
          <w:p>
            <w:r>
              <w:rPr>
                <w:b/>
                <w:sz w:val="21"/>
              </w:rPr>
              <w:t>三、配置要求</w:t>
            </w:r>
          </w:p>
          <w:p>
            <w:r>
              <w:rPr>
                <w:sz w:val="21"/>
              </w:rPr>
              <w:t>3.1 高效液相色谱质谱联用仪主机   1套；</w:t>
            </w:r>
          </w:p>
          <w:p>
            <w:r>
              <w:rPr>
                <w:sz w:val="21"/>
              </w:rPr>
              <w:t>3.2</w:t>
            </w:r>
            <w:r>
              <w:rPr>
                <w:sz w:val="21"/>
              </w:rPr>
              <w:t>ESI和APCI离子源</w:t>
            </w:r>
            <w:r>
              <w:rPr>
                <w:sz w:val="22"/>
              </w:rPr>
              <w:t xml:space="preserve">    </w:t>
            </w:r>
            <w:r>
              <w:rPr>
                <w:sz w:val="21"/>
              </w:rPr>
              <w:t>1套；</w:t>
            </w:r>
          </w:p>
          <w:p>
            <w:r>
              <w:rPr>
                <w:sz w:val="21"/>
              </w:rPr>
              <w:t>3.3 氮气发生器                 1套；</w:t>
            </w:r>
          </w:p>
          <w:p>
            <w:r>
              <w:rPr>
                <w:sz w:val="21"/>
              </w:rPr>
              <w:t>3.4 色谱柱                     2根；</w:t>
            </w:r>
          </w:p>
          <w:p>
            <w:r>
              <w:rPr>
                <w:sz w:val="21"/>
              </w:rPr>
              <w:t>3.5 负离子校准液               1套；</w:t>
            </w:r>
          </w:p>
          <w:p>
            <w:r>
              <w:rPr>
                <w:sz w:val="21"/>
              </w:rPr>
              <w:t>3.6 正离子校准液             1套；</w:t>
            </w:r>
          </w:p>
          <w:p>
            <w:r>
              <w:rPr>
                <w:sz w:val="21"/>
              </w:rPr>
              <w:t>3.7泵油                     2瓶；</w:t>
            </w:r>
          </w:p>
          <w:p>
            <w:r>
              <w:rPr>
                <w:sz w:val="21"/>
              </w:rPr>
              <w:t>3.8 分析软件                 1套；</w:t>
            </w:r>
          </w:p>
          <w:p>
            <w:r>
              <w:rPr>
                <w:sz w:val="21"/>
              </w:rPr>
              <w:t>3.9 高分辨数据库             1套。</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1.采购代理机构：本项目是指广东人信工程咨询有限公司中山分公司，负责整个采购活动的组织，依法负责编制和发布招标文件，对招标文件拥有最终的解释权，不以任何身份出任评标委员会成员。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国家计委颁发的计价格【2002】1980号文及发改价格[2011]534号文的规定按差额定率累进法计算，本项目按货物类招标收费标准的80%收取采购代理服务费，以中标金额为计费金额，计取采购代理服务费。（不足4000元，按4000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一、其他补充事宜，1.本项目采用电子系统进行招投标，请在投标前详细阅读投标人操作手册，手册获取网址： https://gdgpo.czt.gd.gov.cn/help/transaction/gongyinshan.html。投标人在使用过程中遇到涉及系统使用的问题，可通过020-88696588进行咨询或通过广东政府采购智慧云平台运维服务说明中提供的其他服务方式获取帮助。  2.投标人参加本项目投标，需要提前办理CA和电子签章，办理方式和注意事项详见投标人操作手册与CA办理指南，指南获取地址：https://gdgpo.czt.gd.gov.cn/help/problem/。数字证书CA服务热线：400-887-6133。  3.投标人应确认电子投标（响应）文件成功上传至广东省项目采购电子交易系统。如多次上传不成功的可咨询平台技术人员解决。 4.投标人可在https://www.miit.gov.cn/xwdt/gxdt/sjdt/art/2020/art_7df47197b1114f2b871a6e8003cc5cfd.html扫描二维码自行登录中小企业规模类型自测小程序网站，自测企业规模。  5.中标人于中标结果公告发布后5个工作日内，向采购代理机构提供与电子投标文件一致的纸质投标文件，正本1份，副本3份。</w:t>
            </w:r>
          </w:p>
          <w:p>
            <w:pPr>
              <w:jc w:val="left"/>
            </w:pPr>
            <w:r>
              <w:rPr/>
              <w:t>二、中山市政府采购支持中小微企业质押融资的说明，根据《关于印发〈中山市政府采购支持中小微企业质押融资的实施意见〉的通知》规定：1. 根据《中国人民银行中山市中心支行 中山市财政局 中山市经济和信息化局 中山市人民政府金融工作局关于印发﹤中山市政府采购支持中小微企业质押融资的实施意见﹥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 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林光宇 88862643  5） 中国邮政储蓄银行中山市分行 小企业金融部 黄嘉霖 13824720741  6）中山农村商业银行 总行公司业务部 杜保森 88884181  7 ）平安银行中山分行普惠金融部 林晓冰 13823931817  8）兴业银行中山分行 企业金融部 刘中芳 0760-88368666-203172  9） 招商银行中山分行 公司金融事业部 唐庆颖 13924998608  10） 中国光大银行中 山分行 公司业务管理部 张梓颖 0760-88858067  11） 广州银行中山分行 公司金融部 杨顺龙 88776919  12）中信银行中山分行 普惠金融部 陈廷忠 15113386853 普惠金融部 余超贤 15918291829  13） 渤海银行中山分行 公司金融部 李建夏 13631124024、0760-87911816 分行营业部 徐艺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交易银行部付涛 0760-89982303  2.中小微企业有融资需求的，可通过应收账款融资服务平台（网址： 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5.财政部门根据《政府采购法》等相关法规、规章规定，对参加政府采购活动的投标人的不良行为予以记录，并纳入中山市社会征信和金融服务一体化系 统，供银行机构融资授信时审慎性参考。</w:t>
            </w:r>
          </w:p>
          <w:p>
            <w:pPr>
              <w:jc w:val="left"/>
            </w:pPr>
            <w:r>
              <w:rPr/>
              <w:t>三、需要落实的政府采购政策，《政府采购促进中小企业发展管理办法》（财库〔2020〕46 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运用政府采购政策支持脱贫攻坚的通知》、绿色发展、节能环保政府采购政策、支持创新政府采购政策等。</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广东人信工程咨询有限公司中山分公司</w:t>
      </w:r>
      <w:r>
        <w:rPr/>
        <w:t>代收。具体操作要求详见</w:t>
      </w:r>
      <w:r>
        <w:rPr/>
        <w:t>广东人信工程咨询有限公司中山分公司</w:t>
      </w:r>
      <w:r>
        <w:rPr/>
        <w:t>有关指引，递交事宜请自行咨询</w:t>
      </w:r>
      <w:r>
        <w:rPr/>
        <w:t>广东人信工程咨询有限公司中山分公司</w:t>
      </w:r>
      <w:r>
        <w:rPr/>
        <w:t>；请各投标人在投标文件递交截止时间前按须知前附表规定的金额递交至</w:t>
      </w:r>
      <w:r>
        <w:rPr/>
        <w:t>广东人信工程咨询有限公司中山分公司</w:t>
      </w:r>
      <w:r>
        <w:rPr/>
        <w:t>，到账情况以开标时</w:t>
      </w:r>
      <w:r>
        <w:rPr/>
        <w:t>广东人信工程咨询有限公司中山分公司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广东人信工程咨询有限公司网站（http://www.gdrxzx.com/）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广东人信工程咨询有限公司网站（http://www.gdrxzx.com/）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0760-88838718</w:t>
      </w:r>
    </w:p>
    <w:p>
      <w:pPr>
        <w:ind w:firstLine="480"/>
      </w:pPr>
      <w:r>
        <w:rPr/>
        <w:t>传真：</w:t>
      </w:r>
      <w:r>
        <w:rPr/>
        <w:t>/</w:t>
      </w:r>
    </w:p>
    <w:p>
      <w:pPr>
        <w:ind w:firstLine="480"/>
      </w:pPr>
      <w:r>
        <w:rPr/>
        <w:t>邮箱：</w:t>
      </w:r>
      <w:r>
        <w:rPr/>
        <w:t>gdrxzs@163.com</w:t>
      </w:r>
    </w:p>
    <w:p>
      <w:pPr>
        <w:ind w:firstLine="480"/>
      </w:pPr>
      <w:r>
        <w:rPr/>
        <w:t>地址：</w:t>
      </w:r>
      <w:r>
        <w:rPr/>
        <w:t>中山火炬开发区孙文东路濠头段12号光裕大厦第五层A区</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采购包1(高效液相色谱质谱联用仪)：综合评分法,是指投标文件满足招标文件全部实质性要求，且按照评审因素的量化指标评审得分最高的投标人为中标候选人的评标方法。（最低报价不是中标的唯一依据。）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广东人信工程咨询有限公司中山分公司</w:t>
      </w:r>
      <w:r>
        <w:rPr/>
        <w:t>统一对外发布。</w:t>
      </w:r>
    </w:p>
    <w:p>
      <w:pPr>
        <w:ind w:firstLine="480"/>
      </w:pPr>
      <w:r>
        <w:rPr/>
        <w:t>（2）对</w:t>
      </w:r>
      <w:r>
        <w:rPr/>
        <w:t>广东人信工程咨询有限公司中山分公司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采购包1（高效液相色谱质谱联用仪）：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采购包1（高效液相色谱质谱联用仪）：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在中华人民共和国境内注册的法人或其他组织或自然人，投标（响应）时提交有效的营业执照（或事业法人登记证或身份证等相关证明）副本复印件或扫描件。</w:t>
            </w:r>
          </w:p>
        </w:tc>
      </w:tr>
      <w:tr>
        <w:tc>
          <w:tcPr>
            <w:tcW w:type="dxa" w:w="890"/>
          </w:tcPr>
          <w:p>
            <w:r>
              <w:rPr/>
              <w:t>2</w:t>
            </w:r>
          </w:p>
        </w:tc>
        <w:tc>
          <w:tcPr>
            <w:tcW w:type="dxa" w:w="3178"/>
          </w:tcPr>
          <w:p>
            <w:r>
              <w:rPr/>
              <w:t>有依法缴纳税收和社会保障资金的良好记录</w:t>
            </w:r>
          </w:p>
        </w:tc>
        <w:tc>
          <w:tcPr>
            <w:tcW w:type="dxa" w:w="4238"/>
          </w:tcPr>
          <w:p>
            <w:r>
              <w:rPr/>
              <w:t>提供2023年5月1日以来任意1个月依法缴纳税收和社会保障资金的相关材料。如依法免税或不需要缴纳社会保障资金的，提供相应证明材料。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投标人必须具有良好的商业信誉和健全的财务会计制度，提供2022年度财务状况报告或提供2023年5月1日以来任意1个月的财务报表或基本开户行出具的资信证明。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承诺函（格式自拟，承诺内容包括但不限于：“我方具有履行本项目合同所必需的设备及专业技术能力。”）或提供《设备和专业技术能力情况表》（格式自拟，需同时提供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本采购包不接受联合体投标。</w:t>
            </w:r>
          </w:p>
        </w:tc>
        <w:tc>
          <w:tcPr>
            <w:tcW w:type="dxa" w:w="4238"/>
          </w:tcPr>
          <w:p>
            <w:r>
              <w:rPr/>
              <w:t>本采购包不接受联合体投标。</w:t>
            </w:r>
          </w:p>
        </w:tc>
      </w:tr>
      <w:tr>
        <w:tc>
          <w:tcPr>
            <w:tcW w:type="dxa" w:w="890"/>
          </w:tcPr>
          <w:p>
            <w:r>
              <w:rPr/>
              <w:t>9</w:t>
            </w:r>
          </w:p>
        </w:tc>
        <w:tc>
          <w:tcPr>
            <w:tcW w:type="dxa" w:w="3178"/>
          </w:tcPr>
          <w:p>
            <w:r>
              <w:rPr/>
              <w:t>投标人须无围标、串标行为（按招标文件要求提供无围标、串标行为承诺书）。</w:t>
            </w:r>
          </w:p>
        </w:tc>
        <w:tc>
          <w:tcPr>
            <w:tcW w:type="dxa" w:w="4238"/>
          </w:tcPr>
          <w:p>
            <w:r>
              <w:rPr/>
              <w:t>投标人须无围标、串标行为（按招标文件要求提供无围标、串标行为承诺书）。</w:t>
            </w:r>
          </w:p>
        </w:tc>
      </w:tr>
      <w:tr>
        <w:tc>
          <w:tcPr>
            <w:tcW w:type="dxa" w:w="890"/>
          </w:tcPr>
          <w:p>
            <w:r>
              <w:rPr/>
              <w:t>10</w:t>
            </w:r>
          </w:p>
        </w:tc>
        <w:tc>
          <w:tcPr>
            <w:tcW w:type="dxa" w:w="3178"/>
          </w:tcPr>
          <w:p>
            <w:r>
              <w:rPr/>
              <w:t>投标人须具有有效的医疗器械生产许可证或医疗器械经营许可证或食品药品经营许可证或医疗器械经营备案凭证（提供证明材料复印件或扫描件）。</w:t>
            </w:r>
          </w:p>
        </w:tc>
        <w:tc>
          <w:tcPr>
            <w:tcW w:type="dxa" w:w="4238"/>
          </w:tcPr>
          <w:p>
            <w:r>
              <w:rPr/>
              <w:t>投标人须具有有效的医疗器械生产许可证或医疗器械经营许可证或食品药品经营许可证或医疗器械经营备案凭证（提供证明材料复印件或扫描件）。</w:t>
            </w:r>
          </w:p>
        </w:tc>
      </w:tr>
      <w:tr>
        <w:tc>
          <w:tcPr>
            <w:tcW w:type="dxa" w:w="890"/>
          </w:tcPr>
          <w:p>
            <w:r>
              <w:rPr/>
              <w:t>11</w:t>
            </w:r>
          </w:p>
        </w:tc>
        <w:tc>
          <w:tcPr>
            <w:tcW w:type="dxa" w:w="3178"/>
          </w:tcPr>
          <w:p>
            <w:r>
              <w:rPr/>
              <w:t>本采购包不专门面向中小企业采购。</w:t>
            </w:r>
          </w:p>
        </w:tc>
        <w:tc>
          <w:tcPr>
            <w:tcW w:type="dxa" w:w="4238"/>
          </w:tcPr>
          <w:p>
            <w:r>
              <w:rPr/>
              <w:t>本采购包不专门面向中小企业采购。</w:t>
            </w:r>
          </w:p>
        </w:tc>
      </w:tr>
    </w:tbl>
    <w:p/>
    <w:p>
      <w:pPr>
        <w:ind w:firstLine="480"/>
      </w:pPr>
      <w:r>
        <w:rPr/>
        <w:t>表二符合性审查表：</w:t>
      </w:r>
    </w:p>
    <w:p>
      <w:pPr>
        <w:ind w:firstLine="480"/>
      </w:pPr>
    </w:p>
    <w:p/>
    <w:p>
      <w:r>
        <w:rPr/>
        <w:t>采购包1（高效液相色谱质谱联用仪）：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投标函及投标有效期符合要求。</w:t>
            </w:r>
          </w:p>
        </w:tc>
        <w:tc>
          <w:tcPr>
            <w:tcW w:type="dxa" w:w="4238"/>
          </w:tcPr>
          <w:p>
            <w:r>
              <w:rPr/>
              <w:t>投标函及投标有效期符合要求。</w:t>
            </w:r>
          </w:p>
        </w:tc>
      </w:tr>
      <w:tr>
        <w:tc>
          <w:tcPr>
            <w:tcW w:type="dxa" w:w="890"/>
          </w:tcPr>
          <w:p>
            <w:r>
              <w:rPr/>
              <w:t>2</w:t>
            </w:r>
          </w:p>
        </w:tc>
        <w:tc>
          <w:tcPr>
            <w:tcW w:type="dxa" w:w="3178"/>
          </w:tcPr>
          <w:p>
            <w:r>
              <w:rPr/>
              <w:t>按招标文件规定（以投标文件格式为准）加盖公章和签署。</w:t>
            </w:r>
          </w:p>
        </w:tc>
        <w:tc>
          <w:tcPr>
            <w:tcW w:type="dxa" w:w="4238"/>
          </w:tcPr>
          <w:p>
            <w:r>
              <w:rPr/>
              <w:t>按招标文件规定（以投标文件格式为准）加盖公章和签署。</w:t>
            </w:r>
          </w:p>
        </w:tc>
      </w:tr>
      <w:tr>
        <w:tc>
          <w:tcPr>
            <w:tcW w:type="dxa" w:w="890"/>
          </w:tcPr>
          <w:p>
            <w:r>
              <w:rPr/>
              <w:t>3</w:t>
            </w:r>
          </w:p>
        </w:tc>
        <w:tc>
          <w:tcPr>
            <w:tcW w:type="dxa" w:w="3178"/>
          </w:tcPr>
          <w:p>
            <w:r>
              <w:rPr/>
              <w:t>已提交法定代表人证明书和授权委托书（投标人代表为法定代表人时则不需要授权委托书）。</w:t>
            </w:r>
          </w:p>
        </w:tc>
        <w:tc>
          <w:tcPr>
            <w:tcW w:type="dxa" w:w="4238"/>
          </w:tcPr>
          <w:p>
            <w:r>
              <w:rPr/>
              <w:t>已提交法定代表人证明书和授权委托书（投标人代表为法定代表人时则不需要授权委托书）。</w:t>
            </w:r>
          </w:p>
        </w:tc>
      </w:tr>
      <w:tr>
        <w:tc>
          <w:tcPr>
            <w:tcW w:type="dxa" w:w="890"/>
          </w:tcPr>
          <w:p>
            <w:r>
              <w:rPr/>
              <w:t>4</w:t>
            </w:r>
          </w:p>
        </w:tc>
        <w:tc>
          <w:tcPr>
            <w:tcW w:type="dxa" w:w="3178"/>
          </w:tcPr>
          <w:p>
            <w:r>
              <w:rPr/>
              <w:t>响应招标文件中“★”条款内容。</w:t>
            </w:r>
          </w:p>
        </w:tc>
        <w:tc>
          <w:tcPr>
            <w:tcW w:type="dxa" w:w="4238"/>
          </w:tcPr>
          <w:p>
            <w:r>
              <w:rPr/>
              <w:t>响应招标文件中“★”条款内容。</w:t>
            </w:r>
          </w:p>
        </w:tc>
      </w:tr>
      <w:tr>
        <w:tc>
          <w:tcPr>
            <w:tcW w:type="dxa" w:w="890"/>
          </w:tcPr>
          <w:p>
            <w:r>
              <w:rPr/>
              <w:t>5</w:t>
            </w:r>
          </w:p>
        </w:tc>
        <w:tc>
          <w:tcPr>
            <w:tcW w:type="dxa" w:w="3178"/>
          </w:tcPr>
          <w:p>
            <w:r>
              <w:rPr/>
              <w:t>投标（报价）</w:t>
            </w:r>
          </w:p>
        </w:tc>
        <w:tc>
          <w:tcPr>
            <w:tcW w:type="dxa" w:w="4238"/>
          </w:tcPr>
          <w:p>
            <w:r>
              <w:rPr/>
              <w:t>投标报价是固定且是唯一的，未超过项目的预算金额。评标委员会认为投标人的报价明显低于其他通过符合性审查投标人的报价，有可能影响产品（服务）质量或者不能诚信履约的，应当要求其在评标现场合理的时间内提供书面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r>
              <w:rPr/>
              <w:t>6</w:t>
            </w:r>
          </w:p>
        </w:tc>
        <w:tc>
          <w:tcPr>
            <w:tcW w:type="dxa" w:w="3178"/>
          </w:tcPr>
          <w:p>
            <w:r>
              <w:rPr/>
              <w:t>（投标）报价无重大不合理。</w:t>
            </w:r>
          </w:p>
        </w:tc>
        <w:tc>
          <w:tcPr>
            <w:tcW w:type="dxa" w:w="4238"/>
          </w:tcPr>
          <w:p>
            <w:r>
              <w:rPr/>
              <w:t>（投标）报价无重大不合理。</w:t>
            </w:r>
          </w:p>
        </w:tc>
      </w:tr>
      <w:tr>
        <w:tc>
          <w:tcPr>
            <w:tcW w:type="dxa" w:w="890"/>
          </w:tcPr>
          <w:p>
            <w:r>
              <w:rPr/>
              <w:t>7</w:t>
            </w:r>
          </w:p>
        </w:tc>
        <w:tc>
          <w:tcPr>
            <w:tcW w:type="dxa" w:w="3178"/>
          </w:tcPr>
          <w:p>
            <w:r>
              <w:rPr/>
              <w:t>无招标文件或法规明确规定可以废标的其他情形。</w:t>
            </w:r>
          </w:p>
        </w:tc>
        <w:tc>
          <w:tcPr>
            <w:tcW w:type="dxa" w:w="4238"/>
          </w:tcPr>
          <w:p>
            <w:r>
              <w:rPr/>
              <w:t>无招标文件或法规明确规定可以废标的其他情形。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采购包1(高效液相色谱质谱联用仪):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一般技术参数响应程度 (11.0分)</w:t>
            </w:r>
          </w:p>
        </w:tc>
        <w:tc>
          <w:tcPr>
            <w:tcW w:type="dxa" w:w="5076"/>
          </w:tcPr>
          <w:p>
            <w:pPr>
              <w:jc w:val="left"/>
            </w:pPr>
            <w:r>
              <w:rPr/>
              <w:t>投标人对招标文件 第二章 采购需求中附表一 具体技术（参数）要求 二、技术要求及三、配置要求（至少包含以下配置）的非“★”条款、非“▲”条款中所有条款的响应程度（每条条款最小一级序号均以一项计算）：   本项目非“★”、非“▲”条款参数共37条。按量化指标，评审分数按以下公式进行计算：（优于或完全响应的参数数量/非“★”、非“▲”条款参数总数量共37条）×11分=非“★”、非“▲”条款参数得分（得分按四舍五入保留两位小数）。本小项共11分。 注： 1.评审依据以投标人投标文件中《技术和服务要求响应表》填写内容为准，未填写的视为负偏离。投标文件中必须同时提供不限于产品说明书相关页或产品注册证相关页或技术白皮书相关页或产品彩页相关页或功能界面截图或实物图片或检测报告相关页等证明资料。所提供的支持文件应包括所有参数，并有清晰的说明，如评标委员会无法从所提供资料中判断参数是否符合要求的，视为负偏离。关于三、配置要求投标人可采用响应，可不提供证明材料） 2.如采购需求中有明确要求提供具体证明资料的，必须按采购需求单独（额外）提供。  3.以上两款要求，投标人无提供或未按要求提供材料的不得分。</w:t>
            </w:r>
          </w:p>
        </w:tc>
      </w:tr>
      <w:tr>
        <w:tc>
          <w:tcPr>
            <w:tcW w:type="dxa" w:w="922"/>
            <w:gridSpan w:val="2"/>
            <w:vMerge/>
          </w:tcPr>
          <w:p/>
        </w:tc>
        <w:tc>
          <w:tcPr>
            <w:tcW w:type="dxa" w:w="2307"/>
          </w:tcPr>
          <w:p>
            <w:pPr>
              <w:jc w:val="left"/>
            </w:pPr>
            <w:r>
              <w:rPr/>
              <w:t>重要技术参数响应程度 (14.0分)</w:t>
            </w:r>
          </w:p>
        </w:tc>
        <w:tc>
          <w:tcPr>
            <w:tcW w:type="dxa" w:w="5076"/>
          </w:tcPr>
          <w:p>
            <w:pPr>
              <w:jc w:val="left"/>
            </w:pPr>
            <w:r>
              <w:rPr/>
              <w:t>投标人对招标文件 第二章 采购需求 中 “▲”条款的响应程度： 本项目“▲”条款参数共7条，满足或优于一项得2分，满分为14分。 注： 1.评审依据以投标人投标文件中《技术和服务要求响应表》填写内容为准，未填写的视为负偏离。投标文件中必须同时提供不限于产品说明书相关页或产品注册证相关页或技术白皮书相关页或产品彩页相关页或功能界面截图或实物图片或检测报告相关页等证明资料。所提供的支持文件应包括所有参数，并有清晰的说明，如评标委员会无法从所提供资料中判断参数是否符合要求的，视为负偏离。  2.如采购需求中有明确要求提供具体证明资料的，必须按采购需求单独（额外）提供。  3.以上两款要求，投标人无提供或未按要求提供材料的不得分。</w:t>
            </w:r>
          </w:p>
        </w:tc>
      </w:tr>
      <w:tr>
        <w:tc>
          <w:tcPr>
            <w:tcW w:type="dxa" w:w="922"/>
            <w:gridSpan w:val="2"/>
            <w:vMerge/>
          </w:tcPr>
          <w:p/>
        </w:tc>
        <w:tc>
          <w:tcPr>
            <w:tcW w:type="dxa" w:w="2307"/>
          </w:tcPr>
          <w:p>
            <w:pPr>
              <w:jc w:val="left"/>
            </w:pPr>
            <w:r>
              <w:rPr/>
              <w:t>供货、安装调试方案、进度计划、培训计划 (8.0分)</w:t>
            </w:r>
          </w:p>
        </w:tc>
        <w:tc>
          <w:tcPr>
            <w:tcW w:type="dxa" w:w="5076"/>
          </w:tcPr>
          <w:p>
            <w:pPr>
              <w:jc w:val="left"/>
            </w:pPr>
            <w:r>
              <w:rPr/>
              <w:t>根据投标人的供货、安装调试方案、进度计划、培训计划进行评审。 （1）供货、安装调试方案，进度计划、培训计划条理清晰，脉络分明，具体全面，项目管理及进度安排合理高效、操作性强，得8分； （2）供货、安装调试方案，进度计划、培训计划条理较清晰，脉络较分明，较具体全面，项目管理及进度安排较合理高效、操作性较强，得6分； （3）供货、安装调试方案，进度计划、培训计划条理不太全面，脉络不太分明，项目管理及进度安排不太全面、操作性较弱，得4分； （4）供货、安装调试方案，进度计划、培训计划条理差，脉络不分明，项目管理及进度安排差、操作性差，得2分。</w:t>
            </w:r>
          </w:p>
        </w:tc>
      </w:tr>
      <w:tr>
        <w:tc>
          <w:tcPr>
            <w:tcW w:type="dxa" w:w="922"/>
            <w:gridSpan w:val="2"/>
            <w:vMerge/>
          </w:tcPr>
          <w:p/>
        </w:tc>
        <w:tc>
          <w:tcPr>
            <w:tcW w:type="dxa" w:w="2307"/>
          </w:tcPr>
          <w:p>
            <w:pPr>
              <w:jc w:val="left"/>
            </w:pPr>
            <w:r>
              <w:rPr/>
              <w:t>质量保证措施 (8.0分)</w:t>
            </w:r>
          </w:p>
        </w:tc>
        <w:tc>
          <w:tcPr>
            <w:tcW w:type="dxa" w:w="5076"/>
          </w:tcPr>
          <w:p>
            <w:pPr>
              <w:jc w:val="left"/>
            </w:pPr>
            <w:r>
              <w:rPr/>
              <w:t>根据投标人针对本项目的质量保证措施（包括但不限于质保、技术支持措施计划和承诺）进行评审。 （1）质量保证措施条理清晰，脉络分明，操作性强，人性化，得8分。 （2）质量保证措施条理较清晰，脉络较分明，操作性较强，得6分。 （3）质量保证措施条理不太清晰，脉络不太分明，操作性较弱，得4分。 （4）质量保证措施条理模糊，脉络不分明，操作性差，得2分。</w:t>
            </w:r>
          </w:p>
        </w:tc>
      </w:tr>
      <w:tr>
        <w:tc>
          <w:tcPr>
            <w:tcW w:type="dxa" w:w="922"/>
            <w:gridSpan w:val="2"/>
            <w:vMerge/>
          </w:tcPr>
          <w:p/>
        </w:tc>
        <w:tc>
          <w:tcPr>
            <w:tcW w:type="dxa" w:w="2307"/>
          </w:tcPr>
          <w:p>
            <w:pPr>
              <w:jc w:val="left"/>
            </w:pPr>
            <w:r>
              <w:rPr/>
              <w:t>应急方案 (4.0分)</w:t>
            </w:r>
          </w:p>
        </w:tc>
        <w:tc>
          <w:tcPr>
            <w:tcW w:type="dxa" w:w="5076"/>
          </w:tcPr>
          <w:p>
            <w:pPr>
              <w:jc w:val="left"/>
            </w:pPr>
            <w:r>
              <w:rPr/>
              <w:t>根据投标人针对本项目的应急方案进行评审（应急方案包括但不限于项目执行过程中采购人的紧急情况、突发事情的处理方案、应急响应时间计划、人员安排）。 （1）应急方案清晰、详细、完善、具体可行，得4分； （2）应急方案较详细、较完善、较具体可行，得3分； （3）应急方案基本清晰、基本可行，得2分； （4）应急方案较差，欠缺可行性，得1分。 无应急方案不得分。</w:t>
            </w:r>
          </w:p>
        </w:tc>
      </w:tr>
      <w:tr>
        <w:tc>
          <w:tcPr>
            <w:tcW w:type="dxa" w:w="922"/>
            <w:gridSpan w:val="2"/>
            <w:vMerge w:val="restart"/>
          </w:tcPr>
          <w:p>
            <w:pPr>
              <w:jc w:val="center"/>
            </w:pPr>
            <w:r>
              <w:rPr/>
              <w:t>商务部分</w:t>
            </w:r>
          </w:p>
        </w:tc>
        <w:tc>
          <w:tcPr>
            <w:tcW w:type="dxa" w:w="2307"/>
          </w:tcPr>
          <w:p>
            <w:pPr>
              <w:jc w:val="left"/>
            </w:pPr>
            <w:r>
              <w:rPr/>
              <w:t>商务要求响应程度 (5.0分)</w:t>
            </w:r>
          </w:p>
        </w:tc>
        <w:tc>
          <w:tcPr>
            <w:tcW w:type="dxa" w:w="5076"/>
          </w:tcPr>
          <w:p>
            <w:pPr>
              <w:jc w:val="left"/>
            </w:pPr>
            <w:r>
              <w:rPr/>
              <w:t>对招标文件采购需求中的商务要求响应程度: （1）投标文件完整，商务要求响应内容全面、具体，完全满足或优于招标文件的要求，得5分； （2）投标文件较完整，商务要求响应内容较全面、具体，基本满足招标文件要求，得3分； （3）投标文件有缺陷，商务要求响应内容顺序混乱，商务要求响应内容不全面，得1分； （4）投标文件有严重缺陷，表述模糊，得0分。</w:t>
            </w:r>
          </w:p>
        </w:tc>
      </w:tr>
      <w:tr>
        <w:tc>
          <w:tcPr>
            <w:tcW w:type="dxa" w:w="922"/>
            <w:gridSpan w:val="2"/>
            <w:vMerge/>
          </w:tcPr>
          <w:p/>
        </w:tc>
        <w:tc>
          <w:tcPr>
            <w:tcW w:type="dxa" w:w="2307"/>
          </w:tcPr>
          <w:p>
            <w:pPr>
              <w:jc w:val="left"/>
            </w:pPr>
            <w:r>
              <w:rPr/>
              <w:t>业绩 (10.0分)</w:t>
            </w:r>
          </w:p>
        </w:tc>
        <w:tc>
          <w:tcPr>
            <w:tcW w:type="dxa" w:w="5076"/>
          </w:tcPr>
          <w:p>
            <w:pPr>
              <w:jc w:val="left"/>
            </w:pPr>
            <w:r>
              <w:rPr/>
              <w:t>投标人2020年1月1日以来（以合同签订日期为准）承接过的同类项目业绩，有1个得2分，满分为10分，没有不得分。（投标文件中提供合同关键页复印件并加盖投标人公章。）</w:t>
            </w:r>
          </w:p>
        </w:tc>
      </w:tr>
      <w:tr>
        <w:tc>
          <w:tcPr>
            <w:tcW w:type="dxa" w:w="922"/>
            <w:gridSpan w:val="2"/>
            <w:vMerge/>
          </w:tcPr>
          <w:p/>
        </w:tc>
        <w:tc>
          <w:tcPr>
            <w:tcW w:type="dxa" w:w="2307"/>
          </w:tcPr>
          <w:p>
            <w:pPr>
              <w:jc w:val="left"/>
            </w:pPr>
            <w:r>
              <w:rPr/>
              <w:t>售后服务能力情况 (10.0分)</w:t>
            </w:r>
          </w:p>
        </w:tc>
        <w:tc>
          <w:tcPr>
            <w:tcW w:type="dxa" w:w="5076"/>
          </w:tcPr>
          <w:p>
            <w:pPr>
              <w:jc w:val="left"/>
            </w:pPr>
            <w:r>
              <w:rPr/>
              <w:t>对投标人的售后服务能力情况（含售后服务团队人员）进行评审。 （1）有备件库及维修服务中心，售后服务能力强，售后团队人员配备充足，维护保养方案完善，售后服务完全满足或优于招标文件要求、故障响应时间快，处理能力强，得10分； （2）有备件库及维修服务中心，售后服务能力较强、售后团队人员配备较充足，维护保养方案较完善，售后服务较满足招标文件要求，故障响应时间较快，处理能力较强，得8分； （3）未设有备件库或未设有维修服务中心、售后服务能力较弱，售后团队人员配备不太充足，维护保养方案有待完善，故障响应时间较慢，处理能力较弱，得6分； （4）售后服务能力差，维护保养方案差，故障响应时间慢，处理能力差，得4分。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按最终上传投标文件时间或技术指标或售后服务条款或业绩的优劣顺序排列确定；上述相同的，按照提供优先采购产品证明材料的数量进行排序；以上均相同的属于保护环境、不发达地区和少数民族地区企业的优先。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72"/>
        </w:rPr>
        <w:t>合</w:t>
      </w:r>
      <w:r>
        <w:rPr>
          <w:b/>
          <w:sz w:val="72"/>
        </w:rPr>
        <w:t>同</w:t>
      </w:r>
      <w:r>
        <w:rPr>
          <w:b/>
          <w:sz w:val="72"/>
        </w:rPr>
        <w:t>书</w:t>
      </w:r>
    </w:p>
    <w:p/>
    <w:p>
      <w:pPr>
        <w:jc w:val="center"/>
      </w:pPr>
    </w:p>
    <w:p/>
    <w:p>
      <w:pPr>
        <w:ind w:firstLine="1489"/>
      </w:pPr>
      <w:r>
        <w:rPr/>
        <w:t xml:space="preserve"> </w:t>
      </w:r>
    </w:p>
    <w:p>
      <w:pPr>
        <w:ind w:firstLine="1489"/>
      </w:pPr>
      <w:r>
        <w:rPr/>
        <w:t xml:space="preserve"> </w:t>
      </w:r>
    </w:p>
    <w:p>
      <w:pPr>
        <w:ind w:firstLine="1489"/>
      </w:pPr>
      <w:r>
        <w:rPr>
          <w:b/>
          <w:sz w:val="30"/>
        </w:rPr>
        <w:t>项目名称：</w:t>
      </w:r>
      <w:r>
        <w:rPr>
          <w:b/>
          <w:sz w:val="30"/>
        </w:rPr>
        <w:t>__________________________</w:t>
      </w:r>
    </w:p>
    <w:p>
      <w:pPr>
        <w:ind w:firstLine="1489"/>
      </w:pPr>
      <w:r>
        <w:rPr/>
        <w:t xml:space="preserve"> </w:t>
      </w:r>
    </w:p>
    <w:p>
      <w:pPr>
        <w:ind w:firstLine="1489"/>
      </w:pPr>
      <w:r>
        <w:rPr>
          <w:b/>
          <w:sz w:val="30"/>
        </w:rPr>
        <w:t>项目编号：</w:t>
      </w:r>
      <w:r>
        <w:rPr>
          <w:b/>
          <w:sz w:val="30"/>
        </w:rPr>
        <w:t>__________________________</w:t>
      </w:r>
    </w:p>
    <w:p>
      <w:pPr>
        <w:ind w:firstLine="1489"/>
      </w:pPr>
      <w:r>
        <w:rPr/>
        <w:t xml:space="preserve"> </w:t>
      </w:r>
    </w:p>
    <w:p>
      <w:pPr>
        <w:ind w:firstLine="1489"/>
      </w:pPr>
      <w:r>
        <w:rPr>
          <w:b/>
          <w:sz w:val="30"/>
        </w:rPr>
        <w:t>采购人</w:t>
      </w:r>
      <w:r>
        <w:rPr>
          <w:b/>
          <w:sz w:val="30"/>
        </w:rPr>
        <w:t>：</w:t>
      </w:r>
      <w:r>
        <w:rPr>
          <w:b/>
          <w:sz w:val="30"/>
        </w:rPr>
        <w:t>____________________________</w:t>
      </w:r>
    </w:p>
    <w:p>
      <w:pPr>
        <w:ind w:firstLine="1489"/>
      </w:pPr>
      <w:r>
        <w:rPr/>
        <w:t xml:space="preserve"> </w:t>
      </w:r>
    </w:p>
    <w:p>
      <w:pPr>
        <w:ind w:firstLine="1489"/>
      </w:pPr>
      <w:r>
        <w:rPr>
          <w:b/>
          <w:sz w:val="30"/>
        </w:rPr>
        <w:t>中标人</w:t>
      </w:r>
      <w:r>
        <w:rPr>
          <w:b/>
          <w:sz w:val="30"/>
        </w:rPr>
        <w:t>：</w:t>
      </w:r>
      <w:r>
        <w:rPr>
          <w:b/>
          <w:sz w:val="30"/>
        </w:rPr>
        <w:t>____________________________</w:t>
      </w:r>
    </w:p>
    <w:p>
      <w:pPr>
        <w:ind w:firstLine="1489"/>
      </w:pPr>
      <w:r>
        <w:rPr>
          <w:b/>
          <w:sz w:val="22"/>
        </w:rPr>
        <w:t xml:space="preserve"> </w:t>
      </w:r>
    </w:p>
    <w:p>
      <w:pPr>
        <w:jc w:val="center"/>
      </w:pPr>
      <w:r>
        <w:rPr/>
        <w:t xml:space="preserve"> </w:t>
      </w:r>
    </w:p>
    <w:p>
      <w:pPr>
        <w:jc w:val="center"/>
      </w:pPr>
      <w:r>
        <w:rPr>
          <w:b/>
          <w:sz w:val="22"/>
        </w:rPr>
        <w:t>（注：此合同文本为参考合同。以本招标文件的《</w:t>
      </w:r>
      <w:r>
        <w:rPr>
          <w:b/>
          <w:sz w:val="22"/>
        </w:rPr>
        <w:t>采购</w:t>
      </w:r>
      <w:r>
        <w:rPr>
          <w:b/>
          <w:sz w:val="22"/>
        </w:rPr>
        <w:t>需求》的要求为基础，根据招标文件确定的事项和中标人投标文件承诺签订合同，以采购人与中标人签订的合同为准</w:t>
      </w:r>
      <w:r>
        <w:rPr>
          <w:b/>
          <w:sz w:val="22"/>
        </w:rPr>
        <w:t>。</w:t>
      </w:r>
      <w:r>
        <w:rPr>
          <w:b/>
          <w:sz w:val="22"/>
        </w:rPr>
        <w:t>）</w:t>
      </w:r>
    </w:p>
    <w:p/>
    <w:p>
      <w:pPr>
        <w:jc w:val="center"/>
      </w:pPr>
      <w:r>
        <w:rPr/>
        <w:t xml:space="preserve"> </w:t>
      </w:r>
    </w:p>
    <w:p>
      <w:pPr>
        <w:jc w:val="center"/>
      </w:pPr>
      <w:r>
        <w:rPr/>
        <w:t xml:space="preserve"> </w:t>
      </w:r>
    </w:p>
    <w:p>
      <w:pPr>
        <w:jc w:val="center"/>
      </w:pPr>
      <w:r>
        <w:rPr>
          <w:sz w:val="32"/>
        </w:rPr>
        <w:t xml:space="preserve">   </w:t>
      </w:r>
      <w:r>
        <w:rPr>
          <w:sz w:val="32"/>
        </w:rPr>
        <w:t>202</w:t>
      </w:r>
      <w:r>
        <w:rPr>
          <w:sz w:val="32"/>
        </w:rPr>
        <w:t>3</w:t>
      </w:r>
      <w:r>
        <w:rPr>
          <w:sz w:val="32"/>
        </w:rPr>
        <w:t>年</w:t>
      </w:r>
      <w:r>
        <w:rPr>
          <w:sz w:val="32"/>
        </w:rPr>
        <w:t xml:space="preserve">  </w:t>
      </w:r>
      <w:r>
        <w:rPr>
          <w:sz w:val="32"/>
        </w:rPr>
        <w:t>月</w:t>
      </w:r>
      <w:r>
        <w:rPr>
          <w:sz w:val="32"/>
        </w:rPr>
        <w:t xml:space="preserve">   </w:t>
      </w:r>
      <w:r>
        <w:rPr>
          <w:sz w:val="32"/>
        </w:rPr>
        <w:t>日</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sz w:val="27"/>
        </w:rPr>
        <w:t xml:space="preserve"> </w:t>
      </w:r>
    </w:p>
    <w:p/>
    <w:p>
      <w:pPr>
        <w:jc w:val="center"/>
      </w:pPr>
      <w:r>
        <w:rPr>
          <w:b/>
          <w:sz w:val="21"/>
        </w:rPr>
        <w:t>采购合同</w:t>
      </w:r>
    </w:p>
    <w:p>
      <w:r>
        <w:rPr>
          <w:b/>
          <w:sz w:val="21"/>
        </w:rPr>
        <w:t>甲方：中山市中医院</w:t>
      </w:r>
      <w:r>
        <w:rPr>
          <w:b/>
          <w:sz w:val="21"/>
        </w:rPr>
        <w:t xml:space="preserve">                    </w:t>
      </w:r>
    </w:p>
    <w:p>
      <w:r>
        <w:rPr>
          <w:b/>
          <w:sz w:val="21"/>
        </w:rPr>
        <w:t>乙方：</w:t>
      </w:r>
      <w:r>
        <w:rPr>
          <w:sz w:val="22"/>
        </w:rPr>
        <w:t xml:space="preserve">                                 </w:t>
      </w:r>
    </w:p>
    <w:p>
      <w:r>
        <w:rPr>
          <w:sz w:val="21"/>
        </w:rPr>
        <w:t xml:space="preserve">    </w:t>
      </w:r>
      <w:r>
        <w:rPr>
          <w:sz w:val="21"/>
        </w:rPr>
        <w:t>根据《中华人民共和国政府采购法》《中华人民共和国民法典》及中山市中医院医疗设备</w:t>
      </w:r>
      <w:r>
        <w:rPr>
          <w:sz w:val="22"/>
          <w:u w:val="single"/>
        </w:rPr>
        <w:t xml:space="preserve">          </w:t>
      </w:r>
      <w:r>
        <w:rPr>
          <w:sz w:val="21"/>
        </w:rPr>
        <w:t>项目招标结果和招投标文件（招标项目编号：</w:t>
      </w:r>
      <w:r>
        <w:rPr>
          <w:sz w:val="21"/>
        </w:rPr>
        <w:t xml:space="preserve">      </w:t>
      </w:r>
      <w:r>
        <w:rPr>
          <w:sz w:val="21"/>
        </w:rPr>
        <w:t>）的要求，经双方协商一致，签订本合同。</w:t>
      </w:r>
    </w:p>
    <w:p>
      <w:r>
        <w:rPr>
          <w:b/>
          <w:sz w:val="21"/>
        </w:rPr>
        <w:t>1 合同标的</w:t>
      </w:r>
    </w:p>
    <w:p>
      <w:pPr>
        <w:ind w:firstLine="420"/>
      </w:pPr>
      <w:r>
        <w:rPr>
          <w:sz w:val="21"/>
        </w:rPr>
        <w:t>1.1乙方应当根据双方招投标的结果，并按照甲方需求提供下列货物。</w:t>
      </w:r>
    </w:p>
    <w:tbl>
      <w:tblPr>
        <w:tblW w:w="0" w:type="auto"/>
        <w:tblBorders>
          <w:top w:val="none" w:color="000000" w:sz="4"/>
          <w:left w:val="none" w:color="000000" w:sz="4"/>
          <w:bottom w:val="none" w:color="000000" w:sz="4"/>
          <w:right w:val="none" w:color="000000" w:sz="4"/>
          <w:insideH w:val="none"/>
          <w:insideV w:val="none"/>
        </w:tblBorders>
      </w:tblPr>
      <w:tblGrid>
        <w:gridCol w:w="1360"/>
        <w:gridCol w:w="1192"/>
        <w:gridCol w:w="1386"/>
        <w:gridCol w:w="932"/>
        <w:gridCol w:w="660"/>
        <w:gridCol w:w="1334"/>
        <w:gridCol w:w="1386"/>
      </w:tblGrid>
      <w:tr>
        <w:tc>
          <w:tcPr>
            <w:tcW w:type="dxa" w:w="1360"/>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192"/>
            <w:tcBorders>
              <w:top w:val="single" w:color="000000" w:sz="4"/>
              <w:left w:val="single" w:color="000000" w:sz="4"/>
              <w:bottom w:val="single" w:color="000000" w:sz="4"/>
              <w:right w:val="single" w:color="000000" w:sz="4"/>
            </w:tcBorders>
            <w:vAlign w:val="top"/>
          </w:tcPr>
          <w:p>
            <w:pPr>
              <w:jc w:val="center"/>
            </w:pPr>
            <w:r>
              <w:rPr>
                <w:sz w:val="21"/>
              </w:rPr>
              <w:t>规格型号</w:t>
            </w:r>
          </w:p>
        </w:tc>
        <w:tc>
          <w:tcPr>
            <w:tcW w:type="dxa" w:w="1386"/>
            <w:tcBorders>
              <w:top w:val="single" w:color="000000" w:sz="4"/>
              <w:left w:val="single" w:color="000000" w:sz="4"/>
              <w:bottom w:val="single" w:color="000000" w:sz="4"/>
              <w:right w:val="single" w:color="000000" w:sz="4"/>
            </w:tcBorders>
            <w:vAlign w:val="top"/>
          </w:tcPr>
          <w:p>
            <w:pPr>
              <w:jc w:val="center"/>
            </w:pPr>
            <w:r>
              <w:rPr>
                <w:sz w:val="21"/>
              </w:rPr>
              <w:t>产地厂家</w:t>
            </w:r>
          </w:p>
        </w:tc>
        <w:tc>
          <w:tcPr>
            <w:tcW w:type="dxa" w:w="932"/>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660"/>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133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1386"/>
            <w:tcBorders>
              <w:top w:val="single" w:color="000000" w:sz="4"/>
              <w:left w:val="single" w:color="000000" w:sz="4"/>
              <w:bottom w:val="single" w:color="000000" w:sz="4"/>
              <w:right w:val="single" w:color="000000" w:sz="4"/>
            </w:tcBorders>
            <w:vAlign w:val="top"/>
          </w:tcPr>
          <w:p>
            <w:r>
              <w:rPr>
                <w:sz w:val="21"/>
              </w:rPr>
              <w:t>总价（元）</w:t>
            </w:r>
          </w:p>
        </w:tc>
      </w:tr>
      <w:tr>
        <w:tc>
          <w:tcPr>
            <w:tcW w:type="dxa" w:w="1360"/>
            <w:tcBorders>
              <w:top w:val="none" w:color="000000" w:sz="4"/>
              <w:left w:val="single" w:color="000000" w:sz="4"/>
              <w:bottom w:val="single" w:color="000000" w:sz="4"/>
              <w:right w:val="single" w:color="000000" w:sz="4"/>
            </w:tcBorders>
            <w:vAlign w:val="top"/>
          </w:tcPr>
          <w:p>
            <w:pPr>
              <w:jc w:val="center"/>
            </w:pPr>
            <w:r>
              <w:rPr>
                <w:sz w:val="22"/>
              </w:rPr>
              <w:t xml:space="preserve"> </w:t>
            </w:r>
            <w:r>
              <w:rPr>
                <w:sz w:val="2"/>
              </w:rPr>
              <w:t>.</w:t>
            </w:r>
          </w:p>
        </w:tc>
        <w:tc>
          <w:tcPr>
            <w:tcW w:type="dxa" w:w="1192"/>
            <w:tcBorders>
              <w:top w:val="none" w:color="000000" w:sz="4"/>
              <w:left w:val="single" w:color="000000" w:sz="4"/>
              <w:bottom w:val="single" w:color="000000" w:sz="4"/>
              <w:right w:val="single" w:color="000000" w:sz="4"/>
            </w:tcBorders>
            <w:vAlign w:val="top"/>
          </w:tcPr>
          <w:p>
            <w:pPr>
              <w:jc w:val="center"/>
            </w:pPr>
            <w:r>
              <w:rPr>
                <w:sz w:val="22"/>
              </w:rPr>
              <w:t xml:space="preserve"> </w:t>
            </w:r>
          </w:p>
        </w:tc>
        <w:tc>
          <w:tcPr>
            <w:tcW w:type="dxa" w:w="1386"/>
            <w:tcBorders>
              <w:top w:val="none" w:color="000000" w:sz="4"/>
              <w:left w:val="single" w:color="000000" w:sz="4"/>
              <w:bottom w:val="single" w:color="000000" w:sz="4"/>
              <w:right w:val="single" w:color="000000" w:sz="4"/>
            </w:tcBorders>
            <w:vAlign w:val="top"/>
          </w:tcPr>
          <w:p>
            <w:pPr>
              <w:jc w:val="center"/>
            </w:pPr>
            <w:r>
              <w:rPr>
                <w:sz w:val="22"/>
              </w:rPr>
              <w:t xml:space="preserve"> </w:t>
            </w:r>
          </w:p>
        </w:tc>
        <w:tc>
          <w:tcPr>
            <w:tcW w:type="dxa" w:w="932"/>
            <w:tcBorders>
              <w:top w:val="none" w:color="000000" w:sz="4"/>
              <w:left w:val="single" w:color="000000" w:sz="4"/>
              <w:bottom w:val="single" w:color="000000" w:sz="4"/>
              <w:right w:val="single" w:color="000000" w:sz="4"/>
            </w:tcBorders>
            <w:vAlign w:val="top"/>
          </w:tcPr>
          <w:p>
            <w:pPr>
              <w:jc w:val="center"/>
            </w:pPr>
            <w:r>
              <w:rPr>
                <w:sz w:val="22"/>
              </w:rPr>
              <w:t xml:space="preserve"> </w:t>
            </w:r>
          </w:p>
        </w:tc>
        <w:tc>
          <w:tcPr>
            <w:tcW w:type="dxa" w:w="660"/>
            <w:tcBorders>
              <w:top w:val="none" w:color="000000" w:sz="4"/>
              <w:left w:val="single" w:color="000000" w:sz="4"/>
              <w:bottom w:val="single" w:color="000000" w:sz="4"/>
              <w:right w:val="single" w:color="000000" w:sz="4"/>
            </w:tcBorders>
            <w:vAlign w:val="top"/>
          </w:tcPr>
          <w:p>
            <w:pPr>
              <w:jc w:val="center"/>
            </w:pPr>
            <w:r>
              <w:rPr>
                <w:sz w:val="22"/>
              </w:rPr>
              <w:t xml:space="preserve"> </w:t>
            </w:r>
          </w:p>
        </w:tc>
        <w:tc>
          <w:tcPr>
            <w:tcW w:type="dxa" w:w="1334"/>
            <w:tcBorders>
              <w:top w:val="none" w:color="000000" w:sz="4"/>
              <w:left w:val="single" w:color="000000" w:sz="4"/>
              <w:bottom w:val="single" w:color="000000" w:sz="4"/>
              <w:right w:val="single" w:color="000000" w:sz="4"/>
            </w:tcBorders>
            <w:vAlign w:val="top"/>
          </w:tcPr>
          <w:p>
            <w:pPr>
              <w:jc w:val="center"/>
            </w:pPr>
          </w:p>
        </w:tc>
        <w:tc>
          <w:tcPr>
            <w:tcW w:type="dxa" w:w="1386"/>
            <w:tcBorders>
              <w:top w:val="none" w:color="000000" w:sz="4"/>
              <w:left w:val="single" w:color="000000" w:sz="4"/>
              <w:bottom w:val="single" w:color="000000" w:sz="4"/>
              <w:right w:val="single" w:color="000000" w:sz="4"/>
            </w:tcBorders>
            <w:vAlign w:val="top"/>
          </w:tcPr>
          <w:p>
            <w:pPr>
              <w:jc w:val="center"/>
            </w:pPr>
          </w:p>
        </w:tc>
      </w:tr>
      <w:tr>
        <w:tc>
          <w:tcPr>
            <w:tcW w:type="dxa" w:w="8250"/>
            <w:gridSpan w:val="7"/>
            <w:tcBorders>
              <w:top w:val="none" w:color="000000" w:sz="4"/>
              <w:left w:val="single" w:color="000000" w:sz="4"/>
              <w:bottom w:val="single" w:color="000000" w:sz="4"/>
              <w:right w:val="single" w:color="000000" w:sz="4"/>
            </w:tcBorders>
            <w:vAlign w:val="top"/>
          </w:tcPr>
          <w:p>
            <w:r>
              <w:rPr>
                <w:sz w:val="21"/>
              </w:rPr>
              <w:t>合计金额：</w:t>
            </w:r>
            <w:r>
              <w:rPr>
                <w:sz w:val="21"/>
              </w:rPr>
              <w:t>¥   元（人民币   元整）</w:t>
            </w:r>
          </w:p>
        </w:tc>
      </w:tr>
    </w:tbl>
    <w:p>
      <w:pPr>
        <w:ind w:firstLine="525"/>
      </w:pPr>
      <w:r>
        <w:rPr>
          <w:sz w:val="21"/>
        </w:rPr>
        <w:t>注：本合同以人民币进行结算。</w:t>
      </w:r>
    </w:p>
    <w:p>
      <w:pPr>
        <w:ind w:firstLine="420"/>
      </w:pPr>
      <w:r>
        <w:rPr>
          <w:sz w:val="21"/>
        </w:rPr>
        <w:t>1.2上表规定的详细配置内容详见招标结果和招投标文件及配置清单。</w:t>
      </w:r>
    </w:p>
    <w:p>
      <w:pPr>
        <w:ind w:firstLine="420"/>
      </w:pPr>
      <w:r>
        <w:rPr>
          <w:sz w:val="21"/>
        </w:rPr>
        <w:t>1.3本合同金额系固定不变价格，已包含了购买设备的价格及安装、调试、保修、售后服务（备品备件）及将设备运至指定地点所发生的运费、装卸费等设备伴随服务的费用和所需缴纳的一切相关税费。</w:t>
      </w:r>
    </w:p>
    <w:p>
      <w:r>
        <w:rPr>
          <w:b/>
          <w:sz w:val="21"/>
        </w:rPr>
        <w:t>2 质量和技术要求</w:t>
      </w:r>
    </w:p>
    <w:p>
      <w:pPr>
        <w:ind w:firstLine="420"/>
      </w:pPr>
      <w:r>
        <w:rPr>
          <w:sz w:val="21"/>
        </w:rPr>
        <w:t>2.1乙方保证所提供的设备的技术规格符合招投标采购结果规定的技术规格，设备符合中华人民共和国的设计和制造生产标准或者行业标准，国内产品或合资厂的产品必须具备出厂合格证。进口产品必须具备省级（或相当于省级）商检部门的检验证明，及正常报关证明。并提供设备的出厂试测验报告。</w:t>
      </w:r>
    </w:p>
    <w:p>
      <w:pPr>
        <w:ind w:firstLine="420"/>
      </w:pPr>
      <w:r>
        <w:rPr>
          <w:sz w:val="21"/>
        </w:rPr>
        <w:t>2.2乙方提供的设备必须是全新、未拆封且未使用过的原装合格正品（包括零部件），且进货渠道合法。如设备需安装或配置软件，乙方保证相关软件均为正版软件。</w:t>
      </w:r>
    </w:p>
    <w:p>
      <w:pPr>
        <w:ind w:firstLine="420"/>
      </w:pPr>
      <w:r>
        <w:rPr>
          <w:sz w:val="21"/>
        </w:rPr>
        <w:t>2.3乙方提供的设备如有质量问题而发生争议，由甲方指定具备相应资质的权威机构进行质量鉴定。鉴定后设备符合质量标准的，鉴定费用由甲方承担。设备不符合质量标准的，鉴定费用由乙方承担。</w:t>
      </w:r>
    </w:p>
    <w:p>
      <w:pPr>
        <w:ind w:firstLine="420"/>
      </w:pPr>
      <w:r>
        <w:rPr>
          <w:sz w:val="21"/>
        </w:rPr>
        <w:t>2.4设备不符合质量标准的，乙方必须按时负责调换至合格为止，不能按时调换至合格者，甲方可按《民法典》及本合同的相关规定要求乙方承担迟延交货的责任。</w:t>
      </w:r>
    </w:p>
    <w:p>
      <w:r>
        <w:rPr>
          <w:b/>
          <w:sz w:val="21"/>
        </w:rPr>
        <w:t>3 交货期限：</w:t>
      </w:r>
      <w:r>
        <w:rPr>
          <w:sz w:val="21"/>
        </w:rPr>
        <w:t>合同签订后</w:t>
      </w:r>
      <w:r>
        <w:rPr>
          <w:sz w:val="22"/>
          <w:u w:val="single"/>
        </w:rPr>
        <w:t xml:space="preserve">     </w:t>
      </w:r>
      <w:r>
        <w:rPr>
          <w:sz w:val="21"/>
        </w:rPr>
        <w:t>天内</w:t>
      </w:r>
      <w:r>
        <w:rPr>
          <w:sz w:val="21"/>
        </w:rPr>
        <w:t>乙方完成交货。</w:t>
      </w:r>
    </w:p>
    <w:p>
      <w:r>
        <w:rPr>
          <w:b/>
          <w:sz w:val="21"/>
        </w:rPr>
        <w:t>4 履行地点和方式</w:t>
      </w:r>
    </w:p>
    <w:p>
      <w:pPr>
        <w:ind w:firstLine="420"/>
      </w:pPr>
      <w:r>
        <w:rPr>
          <w:sz w:val="21"/>
        </w:rPr>
        <w:t>4.1</w:t>
      </w:r>
      <w:r>
        <w:rPr>
          <w:sz w:val="21"/>
        </w:rPr>
        <w:t>履行地点：</w:t>
      </w:r>
      <w:r>
        <w:rPr>
          <w:sz w:val="21"/>
        </w:rPr>
        <w:t>中山市中医院使用科室</w:t>
      </w:r>
      <w:r>
        <w:rPr>
          <w:sz w:val="21"/>
        </w:rPr>
        <w:t>。</w:t>
      </w:r>
    </w:p>
    <w:p>
      <w:pPr>
        <w:ind w:firstLine="420"/>
      </w:pPr>
      <w:r>
        <w:rPr>
          <w:sz w:val="21"/>
        </w:rPr>
        <w:t>4.2乙方必须按甲方指定的交货地点，按时送货上门。</w:t>
      </w:r>
    </w:p>
    <w:p>
      <w:r>
        <w:rPr>
          <w:b/>
          <w:sz w:val="21"/>
        </w:rPr>
        <w:t>5 运输方式、包装及费用</w:t>
      </w:r>
    </w:p>
    <w:p>
      <w:pPr>
        <w:ind w:firstLine="420"/>
      </w:pPr>
      <w:r>
        <w:rPr>
          <w:sz w:val="21"/>
        </w:rPr>
        <w:t>5.1乙方应当保证其出售的全部设备都按照标准进行包装，以适应于远距离运输、防潮、防震、防锈等要求，确保货物安全无损地运抵交货地点，且所有费用由乙方负责。</w:t>
      </w:r>
    </w:p>
    <w:p>
      <w:pPr>
        <w:ind w:firstLine="420"/>
      </w:pPr>
      <w:r>
        <w:rPr>
          <w:sz w:val="21"/>
        </w:rPr>
        <w:t>5.2凡由于包装不良造成的损失和由此产生的费用均由乙方承担。</w:t>
      </w:r>
    </w:p>
    <w:p>
      <w:r>
        <w:rPr>
          <w:b/>
          <w:sz w:val="21"/>
        </w:rPr>
        <w:t>6.设备安装及验收标准、方法</w:t>
      </w:r>
    </w:p>
    <w:p>
      <w:pPr>
        <w:ind w:firstLine="420"/>
      </w:pPr>
      <w:r>
        <w:rPr>
          <w:sz w:val="21"/>
        </w:rPr>
        <w:t>6.1 乙方负责合同项下的设备安装调试，一切费用由乙方负责。</w:t>
      </w:r>
    </w:p>
    <w:p>
      <w:pPr>
        <w:ind w:firstLine="420"/>
      </w:pPr>
      <w:r>
        <w:rPr>
          <w:sz w:val="21"/>
        </w:rPr>
        <w:t>6.2 乙方安装时须对各安装场地内的其它设备、设施有良好保护措施。</w:t>
      </w:r>
    </w:p>
    <w:p>
      <w:pPr>
        <w:ind w:firstLine="420"/>
      </w:pPr>
      <w:r>
        <w:rPr>
          <w:sz w:val="21"/>
        </w:rPr>
        <w:t>6.3乙方将所供设备运送至交货地点，甲乙双方共同拆箱，乙方合同设备安装调试完成并移交所有资料文档后进行验收，由甲方负责验收，乙方应向甲方提供全套的材料/设备配置清单及检验产品合格证、使用说明书及其它技术资料。设备验收合格后，甲乙双方共同签署《医疗设备验收登记表》。</w:t>
      </w:r>
    </w:p>
    <w:p>
      <w:pPr>
        <w:ind w:firstLine="420"/>
      </w:pPr>
      <w:r>
        <w:rPr>
          <w:sz w:val="21"/>
        </w:rPr>
        <w:t>6.4 验收按国家有关的标准规定、规范进行。验收时如发现所交付的设备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ind w:firstLine="420"/>
      </w:pPr>
      <w:r>
        <w:rPr>
          <w:sz w:val="21"/>
        </w:rPr>
        <w:t>6.5如在验收中发现设备达不到验收标准或合同及合同相关技术文件规定，乙方应及时安排更换，以保证合同设备安装调试的成功完成,使设备最终达到合同或合同相关技术文件中规定的性能和要求。更换的相关费用由乙方承担并承担由此造成的一切损失。</w:t>
      </w:r>
    </w:p>
    <w:p>
      <w:pPr>
        <w:ind w:firstLine="420"/>
      </w:pPr>
      <w:r>
        <w:rPr>
          <w:sz w:val="21"/>
        </w:rPr>
        <w:t>6.6合同设备从验收合格次日起一个月内，出现非甲方人为因素造成的无法排除的故障，由乙方予以整机调换。</w:t>
      </w:r>
    </w:p>
    <w:p>
      <w:pPr>
        <w:ind w:firstLine="420"/>
      </w:pPr>
      <w:r>
        <w:rPr>
          <w:sz w:val="21"/>
        </w:rPr>
        <w:t>6.7 如乙方没有及时提供相关证件（如商检证等），有可能影响验收进程，所导致的经济损失，由乙方自行承担。</w:t>
      </w:r>
    </w:p>
    <w:p>
      <w:r>
        <w:rPr>
          <w:b/>
          <w:sz w:val="21"/>
        </w:rPr>
        <w:t>7 培训</w:t>
      </w:r>
    </w:p>
    <w:p>
      <w:pPr>
        <w:ind w:firstLine="420"/>
      </w:pPr>
      <w:r>
        <w:rPr>
          <w:sz w:val="21"/>
        </w:rPr>
        <w:t>7.1乙方为甲方提供操作及维护培训，主要内容为设备的基本结构、性能、主要部件的构造及原理，日常使用操作、保养与管理，常见故障的排除，紧急情况的处理等，培训地点主要在设备安装现场或按甲乙双方协商安排，直至甲方技术人员熟练操作为止。</w:t>
      </w:r>
    </w:p>
    <w:p>
      <w:pPr>
        <w:ind w:firstLine="315"/>
        <w:jc w:val="both"/>
      </w:pPr>
      <w:r>
        <w:rPr>
          <w:sz w:val="21"/>
        </w:rPr>
        <w:t>7.2 乙方应提供相应的培训计划。</w:t>
      </w:r>
    </w:p>
    <w:p>
      <w:pPr>
        <w:ind w:firstLine="315"/>
        <w:jc w:val="both"/>
      </w:pPr>
      <w:r>
        <w:rPr>
          <w:sz w:val="21"/>
        </w:rPr>
        <w:t>7.3 乙方承担所有培训费用。</w:t>
      </w:r>
    </w:p>
    <w:p>
      <w:pPr>
        <w:ind w:firstLine="315"/>
        <w:jc w:val="both"/>
      </w:pPr>
      <w:r>
        <w:rPr>
          <w:b/>
          <w:sz w:val="21"/>
        </w:rPr>
        <w:t>8.结算方式</w:t>
      </w:r>
    </w:p>
    <w:p>
      <w:pPr>
        <w:ind w:firstLine="420"/>
      </w:pPr>
      <w:r>
        <w:rPr>
          <w:sz w:val="21"/>
        </w:rPr>
        <w:t>8.1结算方式：本合同的每笔款项以人民币电汇方式支付，合同设备到甲方指定地点交付并完成安装，验收合格后，乙方提交以下资料给甲方：（1）合同；（2）验收合格报告；（3）合同设备全额合规发票。甲方60天内支付给乙方合同总价：¥</w:t>
      </w:r>
      <w:r>
        <w:rPr>
          <w:sz w:val="22"/>
          <w:u w:val="single"/>
        </w:rPr>
        <w:t xml:space="preserve">       </w:t>
      </w:r>
      <w:r>
        <w:rPr>
          <w:sz w:val="21"/>
        </w:rPr>
        <w:t>元（人民币</w:t>
      </w:r>
      <w:r>
        <w:rPr>
          <w:sz w:val="21"/>
        </w:rPr>
        <w:t xml:space="preserve">     </w:t>
      </w:r>
      <w:r>
        <w:rPr>
          <w:sz w:val="21"/>
        </w:rPr>
        <w:t>元整）。</w:t>
      </w:r>
    </w:p>
    <w:p>
      <w:pPr>
        <w:ind w:firstLine="420"/>
      </w:pPr>
      <w:r>
        <w:rPr>
          <w:sz w:val="21"/>
        </w:rPr>
        <w:t>8.2 甲方银行账户信息</w:t>
      </w:r>
    </w:p>
    <w:p>
      <w:pPr>
        <w:ind w:firstLine="525"/>
      </w:pPr>
      <w:r>
        <w:rPr>
          <w:sz w:val="21"/>
        </w:rPr>
        <w:t>单位名称：中山市中医院，</w:t>
      </w:r>
    </w:p>
    <w:p>
      <w:pPr>
        <w:ind w:firstLine="525"/>
      </w:pPr>
      <w:r>
        <w:rPr>
          <w:sz w:val="21"/>
        </w:rPr>
        <w:t>纳税人识别号：</w:t>
      </w:r>
      <w:r>
        <w:rPr>
          <w:sz w:val="21"/>
        </w:rPr>
        <w:t>124420004572653322</w:t>
      </w:r>
    </w:p>
    <w:p>
      <w:pPr>
        <w:ind w:firstLine="525"/>
      </w:pPr>
      <w:r>
        <w:rPr>
          <w:sz w:val="21"/>
        </w:rPr>
        <w:t>地址、电话：中山市西区康欣路</w:t>
      </w:r>
      <w:r>
        <w:rPr>
          <w:sz w:val="21"/>
        </w:rPr>
        <w:t>3号，0760-89980297</w:t>
      </w:r>
    </w:p>
    <w:p>
      <w:pPr>
        <w:ind w:firstLine="525"/>
      </w:pPr>
      <w:r>
        <w:rPr>
          <w:sz w:val="21"/>
        </w:rPr>
        <w:t>开户行及账号：广发银行中山分行营业部，</w:t>
      </w:r>
      <w:r>
        <w:rPr>
          <w:sz w:val="21"/>
        </w:rPr>
        <w:t>138021516010003053</w:t>
      </w:r>
    </w:p>
    <w:p>
      <w:pPr>
        <w:ind w:firstLine="420"/>
      </w:pPr>
      <w:r>
        <w:rPr>
          <w:sz w:val="21"/>
        </w:rPr>
        <w:t>8.3 乙方银行账户信息</w:t>
      </w:r>
    </w:p>
    <w:p>
      <w:pPr>
        <w:ind w:firstLine="525"/>
      </w:pPr>
      <w:r>
        <w:rPr>
          <w:sz w:val="21"/>
        </w:rPr>
        <w:t>账户名称：</w:t>
      </w:r>
    </w:p>
    <w:p>
      <w:pPr>
        <w:ind w:firstLine="525"/>
      </w:pPr>
      <w:r>
        <w:rPr>
          <w:sz w:val="21"/>
        </w:rPr>
        <w:t>开户银行：</w:t>
      </w:r>
    </w:p>
    <w:p>
      <w:pPr>
        <w:ind w:firstLine="525"/>
      </w:pPr>
      <w:r>
        <w:rPr>
          <w:sz w:val="21"/>
        </w:rPr>
        <w:t>开户账号：</w:t>
      </w:r>
    </w:p>
    <w:p>
      <w:r>
        <w:rPr>
          <w:b/>
          <w:sz w:val="21"/>
        </w:rPr>
        <w:t>9 保修条款</w:t>
      </w:r>
    </w:p>
    <w:p>
      <w:pPr>
        <w:ind w:firstLine="420"/>
      </w:pPr>
      <w:r>
        <w:rPr>
          <w:sz w:val="21"/>
        </w:rPr>
        <w:t>9.1 乙方保证合同设备是全新、未曾使用过的，其质量、规格及技术特征符合合同规定的要求。</w:t>
      </w:r>
    </w:p>
    <w:p>
      <w:pPr>
        <w:ind w:firstLine="420"/>
      </w:pPr>
      <w:r>
        <w:rPr>
          <w:sz w:val="21"/>
        </w:rPr>
        <w:t>9.2 合同设备</w:t>
      </w:r>
      <w:r>
        <w:rPr>
          <w:sz w:val="21"/>
        </w:rPr>
        <w:t>保修期</w:t>
      </w:r>
      <w:r>
        <w:rPr>
          <w:sz w:val="21"/>
        </w:rPr>
        <w:t>为</w:t>
      </w:r>
      <w:r>
        <w:rPr>
          <w:sz w:val="22"/>
          <w:u w:val="single"/>
        </w:rPr>
        <w:t xml:space="preserve">       </w:t>
      </w:r>
      <w:r>
        <w:rPr>
          <w:sz w:val="21"/>
        </w:rPr>
        <w:t>年，设备的保修定义为设备的整机全保，保修期起始时间自</w:t>
      </w:r>
      <w:r>
        <w:rPr>
          <w:sz w:val="21"/>
        </w:rPr>
        <w:t>甲方验收</w:t>
      </w:r>
      <w:r>
        <w:rPr>
          <w:sz w:val="21"/>
        </w:rPr>
        <w:t>合格之日起计算。保修期出现产品质量及安装问题，由乙方负责包修、包换或包退，并承担因此而产生的一切费用。保修期内每年至少巡检两次，最后一次安排在出保前两个月内完成。</w:t>
      </w:r>
    </w:p>
    <w:p>
      <w:pPr>
        <w:ind w:firstLine="420"/>
      </w:pPr>
      <w:r>
        <w:rPr>
          <w:sz w:val="21"/>
        </w:rPr>
        <w:t>9.3</w:t>
      </w:r>
      <w:r>
        <w:rPr>
          <w:sz w:val="21"/>
        </w:rPr>
        <w:t>所有保修服务方式均为</w:t>
      </w:r>
      <w:r>
        <w:rPr>
          <w:sz w:val="21"/>
        </w:rPr>
        <w:t>乙方</w:t>
      </w:r>
      <w:r>
        <w:rPr>
          <w:sz w:val="21"/>
        </w:rPr>
        <w:t>上门保修，即由</w:t>
      </w:r>
      <w:r>
        <w:rPr>
          <w:sz w:val="21"/>
        </w:rPr>
        <w:t>乙方</w:t>
      </w:r>
      <w:r>
        <w:rPr>
          <w:sz w:val="21"/>
        </w:rPr>
        <w:t>派员到甲方设备使用现场维修，由此产生的一切费用均由</w:t>
      </w:r>
      <w:r>
        <w:rPr>
          <w:sz w:val="21"/>
        </w:rPr>
        <w:t>乙方</w:t>
      </w:r>
      <w:r>
        <w:rPr>
          <w:sz w:val="21"/>
        </w:rPr>
        <w:t>承担。乙方接到通知后，</w:t>
      </w:r>
      <w:r>
        <w:rPr>
          <w:sz w:val="22"/>
          <w:u w:val="single"/>
        </w:rPr>
        <w:t xml:space="preserve">  </w:t>
      </w:r>
      <w:r>
        <w:rPr>
          <w:sz w:val="21"/>
        </w:rPr>
        <w:t>小时内响应，</w:t>
      </w:r>
      <w:r>
        <w:rPr>
          <w:sz w:val="22"/>
          <w:u w:val="single"/>
        </w:rPr>
        <w:t xml:space="preserve">  </w:t>
      </w:r>
      <w:r>
        <w:rPr>
          <w:sz w:val="21"/>
        </w:rPr>
        <w:t>小时内提供解决方案及远程指导，</w:t>
      </w:r>
      <w:r>
        <w:rPr>
          <w:sz w:val="22"/>
          <w:u w:val="single"/>
        </w:rPr>
        <w:t xml:space="preserve">  </w:t>
      </w:r>
      <w:r>
        <w:rPr>
          <w:sz w:val="21"/>
        </w:rPr>
        <w:t>小时内到达现场服务。</w:t>
      </w:r>
    </w:p>
    <w:p>
      <w:pPr>
        <w:ind w:firstLine="420"/>
      </w:pPr>
      <w:r>
        <w:rPr>
          <w:sz w:val="21"/>
        </w:rPr>
        <w:t>9.4乙方提供的保养维修服务标准或者质量不得低于国家有关法律法规规章、“三包”规定、招投标文件的要求以及乙方在应答文件的相关承诺。</w:t>
      </w:r>
    </w:p>
    <w:p>
      <w:r>
        <w:rPr>
          <w:b/>
          <w:sz w:val="21"/>
        </w:rPr>
        <w:t>10.乙方保证</w:t>
      </w:r>
    </w:p>
    <w:p>
      <w:pPr>
        <w:ind w:firstLine="420"/>
      </w:pPr>
      <w:r>
        <w:rPr>
          <w:sz w:val="21"/>
        </w:rPr>
        <w:t>10.1 乙方应派员到甲方指定地点配合工作。</w:t>
      </w:r>
    </w:p>
    <w:p>
      <w:pPr>
        <w:ind w:firstLine="420"/>
      </w:pPr>
      <w:r>
        <w:rPr>
          <w:sz w:val="21"/>
        </w:rPr>
        <w:t>10.2 乙方按甲方的要求做好合同执行进度上的配合工作。</w:t>
      </w:r>
    </w:p>
    <w:p>
      <w:pPr>
        <w:ind w:firstLine="420"/>
      </w:pPr>
      <w:r>
        <w:rPr>
          <w:sz w:val="21"/>
        </w:rPr>
        <w:t>10.3乙方保证对其出售的设备享有所有权或处分权，并且没有法律、法规禁止或限制出售的情形。同时，乙方出售的设备也没有侵犯第三人的知识产权和商业秘密等权利。如甲方使用该设备构成上述侵权，乙方承担全部相关责任。</w:t>
      </w:r>
    </w:p>
    <w:p>
      <w:pPr>
        <w:ind w:firstLine="420"/>
      </w:pPr>
      <w:r>
        <w:rPr>
          <w:sz w:val="21"/>
        </w:rPr>
        <w:t>10.4 乙方保证如合同设备需连接医院信息业务管理系统（如HIS系统等），乙方需免费提供接口，并协助甲方完成设备连接医院信息系统的工作，保证在正常使用设备情况下不影响医院信息系统运作，并且不得额外收取费用。</w:t>
      </w:r>
    </w:p>
    <w:p>
      <w:pPr>
        <w:ind w:firstLine="420"/>
      </w:pPr>
      <w:r>
        <w:rPr>
          <w:sz w:val="21"/>
        </w:rPr>
        <w:t>10.5乙方保证如合同设备系统升级时，</w:t>
      </w:r>
      <w:r>
        <w:rPr>
          <w:sz w:val="21"/>
          <w:u w:val="single"/>
        </w:rPr>
        <w:t xml:space="preserve"> </w:t>
      </w:r>
      <w:r>
        <w:rPr>
          <w:sz w:val="21"/>
          <w:u w:val="single"/>
        </w:rPr>
        <w:t>（按投标文件等承诺填写）</w:t>
      </w:r>
      <w:r>
        <w:rPr>
          <w:sz w:val="21"/>
          <w:u w:val="single"/>
        </w:rPr>
        <w:t xml:space="preserve"> </w:t>
      </w:r>
      <w:r>
        <w:rPr>
          <w:sz w:val="21"/>
          <w:u w:val="single"/>
        </w:rPr>
        <w:t>。</w:t>
      </w:r>
    </w:p>
    <w:p>
      <w:pPr>
        <w:ind w:firstLine="420"/>
      </w:pPr>
      <w:r>
        <w:rPr>
          <w:sz w:val="21"/>
        </w:rPr>
        <w:t>11.违约责任</w:t>
      </w:r>
    </w:p>
    <w:p>
      <w:pPr>
        <w:ind w:firstLine="420"/>
      </w:pPr>
      <w:r>
        <w:rPr>
          <w:sz w:val="21"/>
        </w:rPr>
        <w:t>11.1甲方应依合同约定时间内，向乙方支付货款，每拖延一天乙方可向甲方加收合同金额的0.03%的违约金。</w:t>
      </w:r>
    </w:p>
    <w:p>
      <w:pPr>
        <w:ind w:firstLine="420"/>
      </w:pPr>
      <w:r>
        <w:rPr>
          <w:sz w:val="21"/>
        </w:rPr>
        <w:t>11.2乙方未能按时交货，每拖延一天，须向甲方支付合同金额的0.05% 的违约金。乙方超过合同约定的交付货物时间30天，则向甲方支付合同金额的5%的违约金。同时甲方有权单方面解除合同，由此造成的一切损失由乙方承担。</w:t>
      </w:r>
    </w:p>
    <w:p>
      <w:pPr>
        <w:ind w:firstLine="420"/>
      </w:pPr>
      <w:r>
        <w:rPr>
          <w:sz w:val="21"/>
        </w:rPr>
        <w:t>11.3 乙方交付的货物不符合合同规定的，甲方有权拒收货物，乙方向甲方支付合同金额10%的违约金。</w:t>
      </w:r>
    </w:p>
    <w:p>
      <w:pPr>
        <w:ind w:firstLine="420"/>
      </w:pPr>
      <w:r>
        <w:rPr>
          <w:sz w:val="21"/>
        </w:rPr>
        <w:t>11.4甲方无正当理由拒收合同设备的，甲方向乙方支付合同金额的 10% 的违约金。</w:t>
      </w:r>
    </w:p>
    <w:p>
      <w:pPr>
        <w:ind w:firstLine="420"/>
      </w:pPr>
      <w:r>
        <w:rPr>
          <w:sz w:val="21"/>
        </w:rPr>
        <w:t>12.索赔</w:t>
      </w:r>
    </w:p>
    <w:p>
      <w:pPr>
        <w:ind w:firstLine="420"/>
      </w:pPr>
      <w:r>
        <w:rPr>
          <w:sz w:val="21"/>
        </w:rPr>
        <w:t>12.1 如有异议，甲方有权根据有关政府部门的检验结果向乙方提出索赔。</w:t>
      </w:r>
    </w:p>
    <w:p>
      <w:pPr>
        <w:ind w:firstLine="420"/>
      </w:pPr>
      <w:r>
        <w:rPr>
          <w:sz w:val="21"/>
        </w:rPr>
        <w:t>12.2在合同执行期间，乙方对甲方提出的索赔请求，乙方应按照甲方同意的下列一种或多种方式解决索赔事宜：</w:t>
      </w:r>
    </w:p>
    <w:p>
      <w:pPr>
        <w:ind w:firstLine="420"/>
      </w:pPr>
      <w:r>
        <w:rPr>
          <w:sz w:val="21"/>
        </w:rPr>
        <w:t>12.2.1乙方同意退货，并按合同规定的同种货币将货款退还给甲方，并承担由此发生的一切损失和费用。</w:t>
      </w:r>
    </w:p>
    <w:p>
      <w:pPr>
        <w:ind w:firstLine="420"/>
      </w:pPr>
      <w:r>
        <w:rPr>
          <w:sz w:val="21"/>
        </w:rPr>
        <w:t>12.2.2根据货物低劣程度、损坏程度以及甲方所遭受损失的数额甲乙双方商定降低货物的价格。</w:t>
      </w:r>
    </w:p>
    <w:p>
      <w:pPr>
        <w:ind w:firstLine="420"/>
      </w:pPr>
      <w:r>
        <w:rPr>
          <w:sz w:val="21"/>
        </w:rPr>
        <w:t>12.2.3用符合规格、质量和性能要求的新零件、部件或货物来更换有缺陷的部分或修补缺陷的部分，乙方应承担一切费用和风险并负责甲方所发生的一切直接费用。同时，相应延长质量保证期。</w:t>
      </w:r>
    </w:p>
    <w:p>
      <w:pPr>
        <w:ind w:firstLine="420"/>
      </w:pPr>
      <w:r>
        <w:rPr>
          <w:sz w:val="21"/>
        </w:rPr>
        <w:t>12.3 如果在甲方发出索赔通知后30天内，乙方未作答复，上述索赔应视为已被乙方接受。甲方将从合同款项中扣回索赔金额。如果这些金额不足以补偿索赔金额，甲方有权向乙方提出不足部分的补偿。</w:t>
      </w:r>
    </w:p>
    <w:p>
      <w:pPr>
        <w:ind w:firstLine="420"/>
      </w:pPr>
      <w:r>
        <w:rPr>
          <w:sz w:val="21"/>
        </w:rPr>
        <w:t>13.不可抗力</w:t>
      </w:r>
    </w:p>
    <w:p>
      <w:pPr>
        <w:ind w:firstLine="420"/>
      </w:pPr>
      <w:r>
        <w:rPr>
          <w:sz w:val="21"/>
        </w:rPr>
        <w:t>13.1 不可抗力指战争、严重火灾、洪水、台风、地震等或其它双方认定的不可抗力事件。</w:t>
      </w:r>
    </w:p>
    <w:p>
      <w:pPr>
        <w:ind w:firstLine="420"/>
      </w:pPr>
      <w:r>
        <w:rPr>
          <w:sz w:val="21"/>
        </w:rPr>
        <w:t>13.2 签约双方中任何一方由于不可抗力影响合同执行时，发生不可抗力一方应尽快将事故通知另一方。在此情况下，乙方仍然有责任采取必要的措施加速供货，双方应通过友好协商尽快解决本合同的执行问题。</w:t>
      </w:r>
    </w:p>
    <w:p>
      <w:pPr>
        <w:ind w:firstLine="420"/>
      </w:pPr>
      <w:r>
        <w:rPr>
          <w:sz w:val="21"/>
        </w:rPr>
        <w:t>14 合同终止</w:t>
      </w:r>
    </w:p>
    <w:p>
      <w:pPr>
        <w:ind w:firstLine="420"/>
      </w:pPr>
      <w:r>
        <w:rPr>
          <w:sz w:val="21"/>
        </w:rPr>
        <w:t>如果一方严重违反合同，并在收到对方违约通知书后在</w:t>
      </w:r>
      <w:r>
        <w:rPr>
          <w:sz w:val="21"/>
        </w:rPr>
        <w:t>30天内仍未能改正违约的，另一方可立即终止本合同。</w:t>
      </w:r>
    </w:p>
    <w:p>
      <w:pPr>
        <w:ind w:firstLine="420"/>
      </w:pPr>
      <w:r>
        <w:rPr>
          <w:sz w:val="21"/>
        </w:rPr>
        <w:t>15 争议解决的方法</w:t>
      </w:r>
    </w:p>
    <w:p>
      <w:pPr>
        <w:ind w:firstLine="420"/>
      </w:pPr>
      <w:r>
        <w:rPr>
          <w:sz w:val="21"/>
        </w:rPr>
        <w:t>签约双方在履约中发生争执和分歧，双方应通过友好协商解决，若经协商不能达成协议时，则向甲方所在地人民法院提起诉讼。受理期间，双方应继续执行合同其余无争议部分。</w:t>
      </w:r>
    </w:p>
    <w:p>
      <w:pPr>
        <w:ind w:firstLine="420"/>
      </w:pPr>
      <w:r>
        <w:rPr>
          <w:b/>
          <w:sz w:val="21"/>
        </w:rPr>
        <w:t>16  合同组成部分</w:t>
      </w:r>
    </w:p>
    <w:p>
      <w:pPr>
        <w:ind w:firstLine="420"/>
      </w:pPr>
      <w:r>
        <w:rPr>
          <w:sz w:val="21"/>
        </w:rPr>
        <w:t>16.1合同附件、招标文件、投标文件、中标通知书均为合同的不可分割的组成部分，与合同具有同等法律效力。</w:t>
      </w:r>
    </w:p>
    <w:p>
      <w:pPr>
        <w:ind w:firstLine="420"/>
      </w:pPr>
      <w:r>
        <w:rPr>
          <w:sz w:val="21"/>
        </w:rPr>
        <w:t>16.2 在执行本合同的过程中，经双方签署的文件（包括会议纪要、补充协议等）即成为本合同的有效组成部分，其生效日期为双方签字盖章或确认之日期。</w:t>
      </w:r>
    </w:p>
    <w:p>
      <w:pPr>
        <w:ind w:firstLine="420"/>
      </w:pPr>
      <w:r>
        <w:rPr>
          <w:sz w:val="21"/>
        </w:rPr>
        <w:t>16.3 除甲方事先以书面形式确认同意外，乙方不得部分或全部转让其应履行的合同项下的义务。</w:t>
      </w:r>
    </w:p>
    <w:p>
      <w:pPr>
        <w:ind w:firstLine="420"/>
      </w:pPr>
      <w:r>
        <w:rPr>
          <w:b/>
          <w:sz w:val="21"/>
        </w:rPr>
        <w:t>17 其他</w:t>
      </w:r>
    </w:p>
    <w:p>
      <w:pPr>
        <w:ind w:firstLine="420"/>
      </w:pPr>
      <w:r>
        <w:rPr>
          <w:sz w:val="21"/>
        </w:rPr>
        <w:t>17.1本合同壹式肆份，具有同等法律效力，甲方执贰份、乙方执壹份，招标代理机构壹份。合同自签字之日起即时生效。</w:t>
      </w:r>
    </w:p>
    <w:p>
      <w:pPr>
        <w:ind w:firstLine="420"/>
      </w:pPr>
      <w:r>
        <w:rPr>
          <w:sz w:val="21"/>
        </w:rPr>
        <w:t>17.2 本合同未尽事宜，由双方协商处理。</w:t>
      </w:r>
    </w:p>
    <w:p>
      <w:pPr>
        <w:ind w:firstLine="1260"/>
      </w:pPr>
      <w:r>
        <w:rPr>
          <w:sz w:val="21"/>
        </w:rPr>
        <w:t>（以下为签字页，无正文）</w:t>
      </w:r>
    </w:p>
    <w:p>
      <w:pPr>
        <w:ind w:firstLine="315"/>
      </w:pPr>
    </w:p>
    <w:p>
      <w:r>
        <w:rPr>
          <w:sz w:val="21"/>
        </w:rPr>
        <w:t>甲方：</w:t>
      </w:r>
      <w:r>
        <w:rPr>
          <w:sz w:val="21"/>
        </w:rPr>
        <w:t xml:space="preserve"> </w:t>
      </w:r>
      <w:r>
        <w:rPr>
          <w:sz w:val="21"/>
        </w:rPr>
        <w:t>中山市中医院</w:t>
      </w:r>
      <w:r>
        <w:rPr>
          <w:sz w:val="21"/>
        </w:rPr>
        <w:t xml:space="preserve">            </w:t>
      </w:r>
      <w:r>
        <w:rPr>
          <w:sz w:val="21"/>
        </w:rPr>
        <w:t>乙方：</w:t>
      </w:r>
    </w:p>
    <w:p>
      <w:r>
        <w:rPr>
          <w:sz w:val="21"/>
        </w:rPr>
        <w:t>法定代表人：</w:t>
      </w:r>
      <w:r>
        <w:rPr>
          <w:sz w:val="21"/>
        </w:rPr>
        <w:t xml:space="preserve">                  </w:t>
      </w:r>
      <w:r>
        <w:rPr>
          <w:sz w:val="21"/>
        </w:rPr>
        <w:t>法定代表人：</w:t>
      </w:r>
    </w:p>
    <w:p>
      <w:r>
        <w:rPr>
          <w:sz w:val="21"/>
        </w:rPr>
        <w:t>地址：</w:t>
      </w:r>
      <w:r>
        <w:rPr>
          <w:sz w:val="21"/>
        </w:rPr>
        <w:t>中山市西区康欣路</w:t>
      </w:r>
      <w:r>
        <w:rPr>
          <w:sz w:val="21"/>
        </w:rPr>
        <w:t>3号             地址：</w:t>
      </w:r>
    </w:p>
    <w:p>
      <w:r>
        <w:rPr>
          <w:sz w:val="21"/>
        </w:rPr>
        <w:t>电话：</w:t>
      </w:r>
      <w:r>
        <w:rPr>
          <w:sz w:val="21"/>
        </w:rPr>
        <w:t xml:space="preserve">0760-89980328                     电话：  </w:t>
      </w:r>
    </w:p>
    <w:p>
      <w:r>
        <w:rPr>
          <w:sz w:val="21"/>
        </w:rPr>
        <w:t>传真：</w:t>
      </w:r>
      <w:r>
        <w:rPr>
          <w:sz w:val="21"/>
        </w:rPr>
        <w:t>0760-89980318                     传真：</w:t>
      </w:r>
    </w:p>
    <w:p>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r>
        <w:rPr>
          <w:sz w:val="22"/>
        </w:rPr>
        <w:t xml:space="preserve">                                                                                                                          </w:t>
      </w:r>
    </w:p>
    <w:p>
      <w:r>
        <w:rPr>
          <w:sz w:val="21"/>
        </w:rPr>
        <w:t>附件：设备配置清单及耗材价格</w:t>
      </w:r>
    </w:p>
    <w:p/>
    <w:p/>
    <w:p/>
    <w:p/>
    <w:p/>
    <w:p/>
    <w:p/>
    <w:p/>
    <w:p/>
    <w:p/>
    <w:p/>
    <w:p/>
    <w:p/>
    <w:p/>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sz w:val="21"/>
        </w:rPr>
        <w:t>廉洁购销协议</w:t>
      </w:r>
    </w:p>
    <w:p>
      <w:r>
        <w:rPr>
          <w:sz w:val="21"/>
        </w:rPr>
        <w:t>甲方（医疗机构）：中山市中医院</w:t>
      </w:r>
    </w:p>
    <w:p>
      <w:r>
        <w:rPr>
          <w:sz w:val="21"/>
        </w:rPr>
        <w:t>乙方（经销单位）：</w:t>
      </w:r>
    </w:p>
    <w:p>
      <w:pPr>
        <w:ind w:firstLine="420"/>
      </w:pPr>
      <w:r>
        <w:rPr>
          <w:sz w:val="21"/>
        </w:rPr>
        <w:t>为进一步规范医疗器械购销行为，维护正常的医疗产品经营秩序，建立健全防治商业贿赂长效机制，特制订《医疗器械购销廉洁协议》，并予以共同遵守：</w:t>
      </w:r>
    </w:p>
    <w:p>
      <w:pPr>
        <w:ind w:firstLine="420"/>
      </w:pPr>
      <w:r>
        <w:rPr>
          <w:sz w:val="21"/>
        </w:rPr>
        <w:t>一</w:t>
      </w:r>
      <w:r>
        <w:rPr>
          <w:sz w:val="21"/>
        </w:rPr>
        <w:t>.凡与我院进行医疗器械经销的生产、经营单位，必须严格按照上级制定的医用耗材集中招标采购的有关规定及政府采购招标的有关规定参与招标采购工作，保证医疗器械在购销过程中体现公开、公正、公平的原则。</w:t>
      </w:r>
    </w:p>
    <w:p>
      <w:pPr>
        <w:ind w:firstLine="420"/>
      </w:pPr>
      <w:r>
        <w:rPr>
          <w:sz w:val="21"/>
        </w:rPr>
        <w:t>二</w:t>
      </w:r>
      <w:r>
        <w:rPr>
          <w:sz w:val="21"/>
        </w:rPr>
        <w:t>.禁止甲方工作人员在医疗器械采购、招标及临床活动中，向经销人员索要或收受生产、经营企业及其经销人员以各种名义给予好处费</w:t>
      </w:r>
      <w:r>
        <w:rPr>
          <w:sz w:val="21"/>
        </w:rPr>
        <w:t>、财物、临床观察费和各种不正当利益。</w:t>
      </w:r>
    </w:p>
    <w:p>
      <w:pPr>
        <w:ind w:firstLine="420"/>
      </w:pPr>
      <w:r>
        <w:rPr>
          <w:sz w:val="21"/>
        </w:rPr>
        <w:t>三</w:t>
      </w:r>
      <w:r>
        <w:rPr>
          <w:sz w:val="21"/>
        </w:rPr>
        <w:t>.乙方在销售活动中，要自觉遵守国家和地方的有关法律、法规，严格执行合同条款，不以次充好，不降低产品质量，做到诚信经营。如发生医疗器械产品质量问题由乙方承担一切责任。</w:t>
      </w:r>
    </w:p>
    <w:p>
      <w:pPr>
        <w:ind w:firstLine="420"/>
      </w:pPr>
      <w:r>
        <w:rPr>
          <w:sz w:val="21"/>
        </w:rPr>
        <w:t>四</w:t>
      </w:r>
      <w:r>
        <w:rPr>
          <w:sz w:val="21"/>
        </w:rPr>
        <w:t>.乙方不得暗中给予甲方好处</w:t>
      </w:r>
      <w:r>
        <w:rPr>
          <w:sz w:val="21"/>
        </w:rPr>
        <w:t>，不得以提成和赠送有价证券、现金、购物卡、宴请、娱乐等手段影响甲方医生使用医疗器械产品的选择权。在医疗器械投标过程中，不发生采取不正当手段获取商业机会或商业利益的行为；不以各种名义给予现金、有价证券和支付凭证等方式，向甲方工作人员行贿。</w:t>
      </w:r>
    </w:p>
    <w:p>
      <w:pPr>
        <w:ind w:firstLine="420"/>
      </w:pPr>
      <w:r>
        <w:rPr>
          <w:sz w:val="21"/>
        </w:rPr>
        <w:t>五</w:t>
      </w:r>
      <w:r>
        <w:rPr>
          <w:sz w:val="21"/>
        </w:rPr>
        <w:t>.乙方不能进入医疗耗材仓库等工作场所了解耗材库存情况和销售信息，违反者，甲方有权停止业务往来。乙方洽谈业务，必须在工作时间到甲方指定科室联系商谈，不得到相关工作人员家中访谈或向介绍人提供任何好处费。 乙方工作人员不得违规私下接触甲方工作人员，一经发现并查证属实，将按暂停甚至终止合作协议处理。</w:t>
      </w:r>
    </w:p>
    <w:p>
      <w:pPr>
        <w:ind w:firstLine="420"/>
      </w:pPr>
      <w:r>
        <w:rPr>
          <w:sz w:val="21"/>
        </w:rPr>
        <w:t>六</w:t>
      </w:r>
      <w:r>
        <w:rPr>
          <w:sz w:val="21"/>
        </w:rPr>
        <w:t>.甲乙双方如违反以上条款，一经核实，将严肃处理，情节严重的，移交上级部门处理，构成犯罪的移交司法机构处理。</w:t>
      </w:r>
    </w:p>
    <w:p>
      <w:pPr>
        <w:ind w:firstLine="420"/>
      </w:pPr>
      <w:r>
        <w:rPr>
          <w:sz w:val="21"/>
        </w:rPr>
        <w:t>七．本协议书为医疗器械产品购销合同的附件，与购销合同一并执行，具有同等的法律效力，从签订之日起生效。</w:t>
      </w:r>
    </w:p>
    <w:p>
      <w:r>
        <w:rPr>
          <w:sz w:val="21"/>
        </w:rPr>
        <w:t>甲方（盖章）：</w:t>
      </w:r>
      <w:r>
        <w:rPr>
          <w:sz w:val="21"/>
        </w:rPr>
        <w:t>中山市中医院</w:t>
      </w:r>
      <w:r>
        <w:rPr>
          <w:sz w:val="21"/>
        </w:rPr>
        <w:t xml:space="preserve">      </w:t>
      </w:r>
      <w:r>
        <w:rPr>
          <w:sz w:val="21"/>
        </w:rPr>
        <w:t>乙方（盖章）：</w:t>
      </w:r>
    </w:p>
    <w:p>
      <w:r>
        <w:rPr>
          <w:sz w:val="21"/>
        </w:rPr>
        <w:t>法定代表人：</w:t>
      </w:r>
      <w:r>
        <w:rPr>
          <w:sz w:val="21"/>
        </w:rPr>
        <w:t xml:space="preserve">                </w:t>
      </w:r>
      <w:r>
        <w:rPr>
          <w:sz w:val="21"/>
        </w:rPr>
        <w:t>法定代表人：</w:t>
      </w:r>
    </w:p>
    <w:p>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442000-2023-06562</w:t>
      </w:r>
    </w:p>
    <w:p>
      <w:pPr>
        <w:jc w:val="center"/>
      </w:pPr>
      <w:r>
        <w:rPr>
          <w:b/>
          <w:sz w:val="24"/>
        </w:rPr>
        <w:t>采购项目编号：</w:t>
      </w:r>
      <w:r>
        <w:rPr>
          <w:b/>
          <w:sz w:val="24"/>
        </w:rPr>
        <w:t>442000-2023-06562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广东人信工程咨询有限公司中山分公司</w:t>
      </w:r>
    </w:p>
    <w:p>
      <w:pPr>
        <w:ind w:firstLine="480"/>
      </w:pPr>
      <w:r>
        <w:rPr/>
        <w:t>你方组织的</w:t>
      </w:r>
      <w:r>
        <w:rPr>
          <w:u w:val="single"/>
        </w:rPr>
        <w:t>“</w:t>
      </w:r>
      <w:r>
        <w:rPr>
          <w:u w:val="single"/>
        </w:rPr>
        <w:t>中山市中医院高效液相色谱质谱联用仪采购项目</w:t>
      </w:r>
      <w:r>
        <w:rPr>
          <w:u w:val="single"/>
        </w:rPr>
        <w:t>”</w:t>
      </w:r>
      <w:r>
        <w:rPr/>
        <w:t>项目的招标[采购项目编号为：</w:t>
      </w:r>
      <w:r>
        <w:rPr>
          <w:u w:val="single"/>
        </w:rPr>
        <w:t>442000-2023-06562</w:t>
      </w:r>
      <w:r>
        <w:rPr/>
        <w:t>]，我方愿参与投标。</w:t>
      </w:r>
    </w:p>
    <w:p>
      <w:pPr>
        <w:ind w:firstLine="480"/>
      </w:pPr>
      <w:r>
        <w:rPr/>
        <w:t>我方确认收到贵方提供的</w:t>
      </w:r>
      <w:r>
        <w:rPr>
          <w:u w:val="single"/>
        </w:rPr>
        <w:t>“</w:t>
      </w:r>
      <w:r>
        <w:rPr>
          <w:u w:val="single"/>
        </w:rPr>
        <w:t>中山市中医院高效液相色谱质谱联用仪采购项目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广东人信工程咨询有限公司中山分公司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中山市中医院高效液相色谱质谱联用仪采购项目</w:t>
      </w:r>
      <w:r>
        <w:rPr/>
        <w:t>”项目采购[采购项目编号为</w:t>
      </w:r>
      <w:r>
        <w:rPr/>
        <w:t>442000-2023-06562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广东人信工程咨询有限公司中山分公司</w:t>
      </w:r>
    </w:p>
    <w:p>
      <w:pPr>
        <w:ind w:firstLine="480"/>
      </w:pPr>
      <w:r>
        <w:rPr/>
        <w:t>如果我方在贵采购代理机构组织的</w:t>
      </w:r>
      <w:r>
        <w:rPr/>
        <w:t>中山市中医院高效液相色谱质谱联用仪采购项目</w:t>
      </w:r>
      <w:r>
        <w:rPr/>
        <w:t>招标中获中标（采购项目编号：</w:t>
      </w:r>
      <w:r>
        <w:rPr/>
        <w:t>442000-2023-06562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广东人信工程咨询有限公司中山分公司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广东人信工程咨询有限公司中山分公司</w:t>
      </w:r>
    </w:p>
    <w:p>
      <w:pPr>
        <w:ind w:firstLine="480"/>
      </w:pPr>
      <w:r>
        <w:rPr/>
        <w:t>我单位已登记并准备参与“</w:t>
      </w:r>
      <w:r>
        <w:rPr/>
        <w:t>中山市中医院高效液相色谱质谱联用仪采购项目</w:t>
      </w:r>
      <w:r>
        <w:rPr/>
        <w:t>”项目（采购项目编号：</w:t>
      </w:r>
      <w:r>
        <w:rPr/>
        <w:t>442000-2023-06562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