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440701-2023-03525</w:t>
      </w:r>
    </w:p>
    <w:p>
      <w:pPr>
        <w:jc w:val="center"/>
      </w:pPr>
      <w:r>
        <w:rPr>
          <w:b/>
          <w:sz w:val="24"/>
        </w:rPr>
        <w:t>采购项目编号：</w:t>
      </w:r>
      <w:r>
        <w:rPr>
          <w:b/>
          <w:sz w:val="24"/>
        </w:rPr>
        <w:t>440701-2023-03525</w:t>
      </w:r>
    </w:p>
    <w:p>
      <w:pPr>
        <w:jc w:val="center"/>
      </w:pPr>
      <w:r>
        <w:rPr>
          <w:b/>
          <w:sz w:val="24"/>
        </w:rPr>
        <w:t>项目名称：</w:t>
      </w:r>
      <w:r>
        <w:rPr>
          <w:b/>
          <w:sz w:val="24"/>
        </w:rPr>
        <w:t>江门市数字政府综合技术保障运维（2023-2024年）项目</w:t>
      </w:r>
    </w:p>
    <w:p>
      <w:pPr>
        <w:jc w:val="center"/>
      </w:pPr>
      <w:r>
        <w:rPr>
          <w:b/>
          <w:sz w:val="24"/>
        </w:rPr>
        <w:t>采购人：</w:t>
      </w:r>
      <w:r>
        <w:rPr>
          <w:b/>
          <w:sz w:val="24"/>
        </w:rPr>
        <w:t>江门市政务服务数据管理局</w:t>
      </w:r>
    </w:p>
    <w:p>
      <w:pPr>
        <w:jc w:val="center"/>
      </w:pPr>
      <w:r>
        <w:rPr>
          <w:b/>
          <w:sz w:val="24"/>
        </w:rPr>
        <w:t>采购代理机构：</w:t>
      </w:r>
      <w:r>
        <w:rPr>
          <w:b/>
          <w:sz w:val="24"/>
        </w:rPr>
        <w:t>江门市深联招标有限公司</w:t>
      </w:r>
    </w:p>
    <w:p>
      <w:pPr>
        <w:ind w:firstLine="480"/>
      </w:pPr>
    </w:p>
    <w:p>
      <w:r>
        <w:rPr/>
        <w:t xml:space="preserve"> </w:t>
      </w:r>
    </w:p>
    <w:p/>
    <w:p>
      <w:pPr>
        <w:jc w:val="center"/>
      </w:pPr>
      <w:r>
        <w:rPr>
          <w:b/>
          <w:sz w:val="36"/>
        </w:rPr>
        <w:t>第一章投标邀请</w:t>
      </w:r>
    </w:p>
    <w:p>
      <w:pPr>
        <w:ind w:firstLine="480"/>
      </w:pPr>
      <w:r>
        <w:rPr/>
        <w:t>江门市深联招标有限公司</w:t>
      </w:r>
      <w:r>
        <w:rPr/>
        <w:t>受</w:t>
      </w:r>
      <w:r>
        <w:rPr/>
        <w:t>江门市政务服务数据管理局</w:t>
      </w:r>
      <w:r>
        <w:rPr/>
        <w:t>的委托，采用</w:t>
      </w:r>
      <w:r>
        <w:rPr/>
        <w:t>公开招标</w:t>
      </w:r>
      <w:r>
        <w:rPr/>
        <w:t>方式组织采购</w:t>
      </w:r>
      <w:r>
        <w:rPr/>
        <w:t>江门市数字政府综合技术保障运维（2023-2024年）项目</w:t>
      </w:r>
      <w:r>
        <w:rPr/>
        <w:t>。欢迎符合资格条件的国内供应商参加投标。</w:t>
      </w:r>
    </w:p>
    <w:p>
      <w:r>
        <w:rPr>
          <w:b/>
          <w:sz w:val="28"/>
        </w:rPr>
        <w:t>一.项目概述</w:t>
      </w:r>
    </w:p>
    <w:p>
      <w:r>
        <w:rPr>
          <w:b/>
          <w:sz w:val="24"/>
        </w:rPr>
        <w:t>1.名称与编号</w:t>
      </w:r>
    </w:p>
    <w:p>
      <w:pPr>
        <w:ind w:firstLine="480"/>
      </w:pPr>
      <w:r>
        <w:rPr/>
        <w:t>项目名称：</w:t>
      </w:r>
      <w:r>
        <w:rPr/>
        <w:t>江门市数字政府综合技术保障运维（2023-2024年）项目</w:t>
      </w:r>
    </w:p>
    <w:p>
      <w:pPr>
        <w:ind w:firstLine="480"/>
      </w:pPr>
      <w:r>
        <w:rPr/>
        <w:t>采购计划编号：</w:t>
      </w:r>
      <w:r>
        <w:rPr/>
        <w:t>440701-2023-03525</w:t>
      </w:r>
    </w:p>
    <w:p>
      <w:pPr>
        <w:ind w:firstLine="480"/>
      </w:pPr>
      <w:r>
        <w:rPr/>
        <w:t>采购项目编号：</w:t>
      </w:r>
      <w:r>
        <w:rPr/>
        <w:t>440701-2023-03525</w:t>
      </w:r>
    </w:p>
    <w:p>
      <w:pPr>
        <w:ind w:firstLine="480"/>
      </w:pPr>
      <w:r>
        <w:rPr/>
        <w:t>采购方式：</w:t>
      </w:r>
      <w:r>
        <w:rPr/>
        <w:t>公开招标</w:t>
      </w:r>
    </w:p>
    <w:p>
      <w:pPr>
        <w:ind w:firstLine="480"/>
      </w:pPr>
      <w:r>
        <w:rPr/>
        <w:t>预算金额：</w:t>
      </w:r>
      <w:r>
        <w:rPr/>
        <w:t>1,993,580.00</w:t>
      </w:r>
      <w:r>
        <w:rPr/>
        <w:t>元</w:t>
      </w:r>
    </w:p>
    <w:p>
      <w:r>
        <w:rPr>
          <w:b/>
          <w:sz w:val="24"/>
        </w:rPr>
        <w:t>2.项目内容及需求情况（采购项目技术规格、参数及要求）</w:t>
      </w:r>
    </w:p>
    <w:p>
      <w:pPr>
        <w:ind w:firstLine="480"/>
      </w:pPr>
    </w:p>
    <w:p/>
    <w:p>
      <w:r>
        <w:rPr/>
        <w:t>采购包1(江门市数字政府综合技术保障运维（2023-2024年）采购):</w:t>
      </w:r>
    </w:p>
    <w:p>
      <w:r>
        <w:rPr/>
        <w:t>采购包预算金额：1,993,580.00元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其他运行维护服务</w:t>
            </w:r>
          </w:p>
        </w:tc>
        <w:tc>
          <w:tcPr>
            <w:tcW w:type="dxa" w:w="2136"/>
          </w:tcPr>
          <w:p>
            <w:r>
              <w:rPr/>
              <w:t>江门市数字政府综合技术保障运维（2023-2024年）</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合同履行期限：本期服务有效期为自合同签订之日起12个月。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p/>
    <w:p>
      <w:r>
        <w:rPr/>
        <w:t>2）有依法缴纳税收和社会保障资金的良好记录：提供2023年1月至今任意1个月的依法缴纳税收和社会保障资金的相关材料复印件；如依法免税或不需要缴纳社会保障资金的，应当提供相应证明文件复印件。</w:t>
      </w:r>
    </w:p>
    <w:p/>
    <w:p>
      <w:r>
        <w:rPr/>
        <w:t>3）具有良好的商业信誉和健全的财务会计制度：提供2022年度或2023年1月至今任意1个月的财务状况报告或银行出具的资信证明复印件。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采购包1（江门市数字政府综合技术保障运维（2023-2024年）采购）：</w:t>
      </w:r>
      <w:r>
        <w:rPr/>
        <w:t>本采购包整体预留专门面向中小企业采购，参与的供应商提供的服务全部由符合政策要求的中小企业承接（监狱企业、残疾人福利性单位视同小型、微型企业）；（提供《中小企业声明函》；若供应商为监狱企业、残疾人福利性单位的，则提供《残疾人福利性单位声明函》或省级以上监狱管理局、戒毒管理局（含新疆生产建设兵团）出具的《属于监狱企业的证明文件》复印件）。</w:t>
      </w:r>
    </w:p>
    <w:p/>
    <w:p>
      <w:r>
        <w:rPr>
          <w:b/>
          <w:sz w:val="24"/>
        </w:rPr>
        <w:t>3.本项目特定的资格要求：</w:t>
      </w:r>
    </w:p>
    <w:p>
      <w:pPr>
        <w:ind w:firstLine="480"/>
      </w:pPr>
    </w:p>
    <w:p/>
    <w:p>
      <w:r>
        <w:rPr/>
        <w:t>采购包1（江门市数字政府综合技术保障运维（2023-2024年）采购）：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3)本采购包不接受联合体投标（响应）。</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江门市政务服务数据管理局</w:t>
      </w:r>
    </w:p>
    <w:p>
      <w:pPr>
        <w:ind w:firstLine="480"/>
      </w:pPr>
      <w:r>
        <w:rPr/>
        <w:t>地址：</w:t>
      </w:r>
      <w:r>
        <w:rPr/>
        <w:t>江门市蓬江区龙湾西路30号</w:t>
      </w:r>
    </w:p>
    <w:p>
      <w:pPr>
        <w:ind w:firstLine="480"/>
      </w:pPr>
      <w:r>
        <w:rPr/>
        <w:t>联系方式：</w:t>
      </w:r>
      <w:r>
        <w:rPr/>
        <w:t>3950810</w:t>
      </w:r>
    </w:p>
    <w:p>
      <w:r>
        <w:rPr>
          <w:b/>
          <w:sz w:val="24"/>
        </w:rPr>
        <w:t>2.采购代理机构信息</w:t>
      </w:r>
    </w:p>
    <w:p>
      <w:pPr>
        <w:ind w:firstLine="480"/>
      </w:pPr>
      <w:r>
        <w:rPr/>
        <w:t>名称：</w:t>
      </w:r>
      <w:r>
        <w:rPr/>
        <w:t>江门市深联招标有限公司</w:t>
      </w:r>
    </w:p>
    <w:p>
      <w:pPr>
        <w:ind w:firstLine="480"/>
      </w:pPr>
      <w:r>
        <w:rPr/>
        <w:t>地址：</w:t>
      </w:r>
      <w:r>
        <w:rPr/>
        <w:t>广东省江门市蓬江区华园路21号101</w:t>
      </w:r>
    </w:p>
    <w:p>
      <w:pPr>
        <w:ind w:firstLine="480"/>
      </w:pPr>
      <w:r>
        <w:rPr/>
        <w:t>联系方式：</w:t>
      </w:r>
      <w:r>
        <w:rPr/>
        <w:t>0750-3503829</w:t>
      </w:r>
    </w:p>
    <w:p>
      <w:r>
        <w:rPr>
          <w:b/>
          <w:sz w:val="24"/>
        </w:rPr>
        <w:t>3.项目联系方式</w:t>
      </w:r>
    </w:p>
    <w:p>
      <w:pPr>
        <w:ind w:firstLine="480"/>
      </w:pPr>
      <w:r>
        <w:rPr/>
        <w:t>项目联系人：</w:t>
      </w:r>
      <w:r>
        <w:rPr/>
        <w:t>吴燕玲</w:t>
      </w:r>
    </w:p>
    <w:p>
      <w:pPr>
        <w:ind w:firstLine="480"/>
      </w:pPr>
      <w:r>
        <w:rPr/>
        <w:t>电话：</w:t>
      </w:r>
      <w:r>
        <w:rPr/>
        <w:t>0750-3503829</w:t>
      </w:r>
    </w:p>
    <w:p>
      <w:r>
        <w:rPr>
          <w:b/>
          <w:sz w:val="24"/>
        </w:rPr>
        <w:t>4.技术支持联系方式</w:t>
      </w:r>
    </w:p>
    <w:p>
      <w:pPr>
        <w:ind w:firstLine="480"/>
      </w:pPr>
      <w:r>
        <w:rPr/>
        <w:t>云平台联系方式：020-88696588</w:t>
      </w:r>
    </w:p>
    <w:p>
      <w:r>
        <w:rPr/>
        <w:t>采购代理机构：</w:t>
      </w:r>
      <w:r>
        <w:rPr/>
        <w:t>江门市深联招标有限公司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764"/>
        <w:gridCol w:w="6056"/>
        <w:gridCol w:w="1471"/>
      </w:tblGrid>
      <w:tr>
        <w:tc>
          <w:tcPr>
            <w:tcW w:type="dxa" w:w="764"/>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6056"/>
            <w:tcBorders>
              <w:top w:val="single" w:color="000000" w:sz="4"/>
              <w:left w:val="single" w:color="000000" w:sz="4"/>
              <w:bottom w:val="single" w:color="000000" w:sz="4"/>
              <w:right w:val="single" w:color="000000" w:sz="4"/>
            </w:tcBorders>
            <w:vAlign w:val="top"/>
          </w:tcPr>
          <w:p>
            <w:pPr>
              <w:jc w:val="center"/>
            </w:pPr>
            <w:r>
              <w:rPr>
                <w:b/>
                <w:sz w:val="24"/>
              </w:rPr>
              <w:t>名称</w:t>
            </w:r>
          </w:p>
        </w:tc>
        <w:tc>
          <w:tcPr>
            <w:tcW w:type="dxa" w:w="1471"/>
            <w:tcBorders>
              <w:top w:val="single" w:color="000000" w:sz="4"/>
              <w:left w:val="single" w:color="000000" w:sz="4"/>
              <w:bottom w:val="single" w:color="000000" w:sz="4"/>
              <w:right w:val="single" w:color="000000" w:sz="4"/>
            </w:tcBorders>
            <w:vAlign w:val="top"/>
          </w:tcPr>
          <w:p>
            <w:pPr>
              <w:jc w:val="center"/>
            </w:pPr>
            <w:r>
              <w:rPr>
                <w:b/>
                <w:sz w:val="24"/>
              </w:rPr>
              <w:t>数量（单位）</w:t>
            </w:r>
          </w:p>
        </w:tc>
      </w:tr>
      <w:tr>
        <w:tc>
          <w:tcPr>
            <w:tcW w:type="dxa" w:w="764"/>
            <w:tcBorders>
              <w:top w:val="none" w:color="000000" w:sz="4"/>
              <w:left w:val="single" w:color="000000" w:sz="4"/>
              <w:bottom w:val="single" w:color="000000" w:sz="4"/>
              <w:right w:val="single" w:color="000000" w:sz="4"/>
            </w:tcBorders>
            <w:vAlign w:val="top"/>
          </w:tcPr>
          <w:p>
            <w:pPr>
              <w:jc w:val="center"/>
            </w:pPr>
            <w:r>
              <w:rPr>
                <w:sz w:val="24"/>
              </w:rPr>
              <w:t>1</w:t>
            </w:r>
          </w:p>
        </w:tc>
        <w:tc>
          <w:tcPr>
            <w:tcW w:type="dxa" w:w="6056"/>
            <w:tcBorders>
              <w:top w:val="none" w:color="000000" w:sz="4"/>
              <w:left w:val="single" w:color="000000" w:sz="4"/>
              <w:bottom w:val="single" w:color="000000" w:sz="4"/>
              <w:right w:val="single" w:color="000000" w:sz="4"/>
            </w:tcBorders>
            <w:vAlign w:val="top"/>
          </w:tcPr>
          <w:p>
            <w:pPr>
              <w:jc w:val="left"/>
            </w:pPr>
            <w:r>
              <w:rPr>
                <w:sz w:val="24"/>
              </w:rPr>
              <w:t>江门市数字政府综合技术保障运维（</w:t>
            </w:r>
            <w:r>
              <w:rPr>
                <w:sz w:val="24"/>
              </w:rPr>
              <w:t>2023-2024年）</w:t>
            </w:r>
          </w:p>
        </w:tc>
        <w:tc>
          <w:tcPr>
            <w:tcW w:type="dxa" w:w="1471"/>
            <w:tcBorders>
              <w:top w:val="none" w:color="000000" w:sz="4"/>
              <w:left w:val="single" w:color="000000" w:sz="4"/>
              <w:bottom w:val="single" w:color="000000" w:sz="4"/>
              <w:right w:val="single" w:color="000000" w:sz="4"/>
            </w:tcBorders>
            <w:vAlign w:val="top"/>
          </w:tcPr>
          <w:p>
            <w:pPr>
              <w:jc w:val="center"/>
            </w:pPr>
            <w:r>
              <w:rPr>
                <w:sz w:val="24"/>
              </w:rPr>
              <w:t>1项</w:t>
            </w:r>
          </w:p>
        </w:tc>
      </w:tr>
    </w:tbl>
    <w:p/>
    <w:p>
      <w:pPr>
        <w:ind w:firstLine="480"/>
      </w:pPr>
    </w:p>
    <w:p/>
    <w:p>
      <w:r>
        <w:rPr/>
        <w:t>采购包1（江门市数字政府综合技术保障运维（2023-2024年）采购）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本期服务有效期为自合同签订之日起12个月。</w:t>
            </w:r>
          </w:p>
        </w:tc>
      </w:tr>
      <w:tr>
        <w:tc>
          <w:tcPr>
            <w:tcW w:type="dxa" w:w="4153"/>
          </w:tcPr>
          <w:p>
            <w:r>
              <w:rPr/>
              <w:t>标的提供的地点</w:t>
            </w:r>
          </w:p>
        </w:tc>
        <w:tc>
          <w:tcPr>
            <w:tcW w:type="dxa" w:w="4153"/>
          </w:tcPr>
          <w:p/>
          <w:p>
            <w:r>
              <w:rPr/>
              <w:t>江门市内采购人指定地点（以合同为准）</w:t>
            </w:r>
          </w:p>
        </w:tc>
      </w:tr>
      <w:tr>
        <w:tc>
          <w:tcPr>
            <w:tcW w:type="dxa" w:w="4153"/>
          </w:tcPr>
          <w:p>
            <w:r>
              <w:rPr/>
              <w:t>付款方式</w:t>
            </w:r>
          </w:p>
        </w:tc>
        <w:tc>
          <w:tcPr>
            <w:tcW w:type="dxa" w:w="4153"/>
          </w:tcPr>
          <w:p/>
          <w:p/>
          <w:p>
            <w:r>
              <w:rPr/>
              <w:t>1期：支付比例30%,合同签订生效且中标供应商向采购人提供符合国家财务规定的发票后，采购人办理申请付款手续。采购人收到财政拨付资金后的5个工作日内，视财政资金到位情况，将支付不高于项目合同总金额的 30%给中标供应商</w:t>
            </w:r>
          </w:p>
          <w:p/>
          <w:p>
            <w:r>
              <w:rPr/>
              <w:t>2期：支付比例60%,项目进度经采购人、监理方确认项目实际进度，中标供应商可向采购人提供符合国家财务规定的发票和申请付款手续。采购人收到财政拨付资金后的15个工作日内，视实际资金到位情况，向中标供应商支付项目进度款，但1期和2期支付累计不超过项目合同总金额的90%给中标供应商</w:t>
            </w:r>
          </w:p>
          <w:p/>
          <w:p>
            <w:r>
              <w:rPr/>
              <w:t>3期：支付比例10%,项目终验合格且服务期期满并经采购人确认，且中标供应商向采购人提供符合国家财务规定的发票后，采购人办理申请付款手续。采购人收到财政拨付资金后的15个工作日内，将余下款项支付给中标供应商。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实际付款到账时间及金额以支付单位支付时间及金额为准，采购人不承担任何逾期付款的违约责任。</w:t>
            </w:r>
          </w:p>
        </w:tc>
      </w:tr>
      <w:tr>
        <w:tc>
          <w:tcPr>
            <w:tcW w:type="dxa" w:w="4153"/>
          </w:tcPr>
          <w:p>
            <w:r>
              <w:rPr/>
              <w:t>验收要求</w:t>
            </w:r>
          </w:p>
        </w:tc>
        <w:tc>
          <w:tcPr>
            <w:tcW w:type="dxa" w:w="4153"/>
          </w:tcPr>
          <w:p/>
          <w:p/>
          <w:p/>
          <w:p>
            <w:r>
              <w:rPr/>
              <w:t>1期：1、验收标准：中标供应商根据合同相关条款要求，提供完善的项目服务，以国家、省和市现行相关规范为验收标准。 2、组织验收：由采购人组织验收，中标供应商进行验收材料提交及汇报。</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其他，1、本次招标采购内容为江门市数字政府综合技术保障运维（2023-2024年）项目。投标人不得将本项目中的内容拆散来投标。 2、投标人开展工作前必须成立项目组，项目组必须是一个高效、梯度的工作团队。投标人应在投标文件中提供项目组负责人和各成员的学历、职称、从事相关工作的时间，承担过类似项目名称、责任内容、完成日期以及其它业绩证明材料。 3、投标人应当说明与本项目类似的其它项目的业绩和服务情况等。 4、投标人应当在保证系统正常使用的基础上尽量满足采购人的维护及升级需求。 5、在中标后的整个项目实施期间，投标人若发生人身伤亡、财物或其它损失，无论何种原因所致，采购人和采购代理机构均不负责。 6、投标人必须接受采购人指定监理单位的监理，投标人应积极配合监理单位的工作，保证项目质量。 7、投标报价应为人民币含税全包价，包括所有服务费、人工费、交通费、食宿费、税费等一切费用。 8、采购合同由中标供应商与采购人双方签订。签订合同时，中标供应商须签订保密安全协议书及保证所供应服务或产品具有知识产权的承诺书。 9、本项目如涉及商品包装、快递包装，应当满足商品包装政府采购需求标准、快递包装政府采购需求标准。</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其他运行维护服务</w:t>
            </w:r>
          </w:p>
        </w:tc>
        <w:tc>
          <w:tcPr>
            <w:tcW w:type="dxa" w:w="933"/>
          </w:tcPr>
          <w:p>
            <w:pPr>
              <w:jc w:val="left"/>
            </w:pPr>
            <w:r>
              <w:rPr/>
              <w:t>江门市数字政府综合技术保障运维（2023-2024年）</w:t>
            </w:r>
          </w:p>
        </w:tc>
        <w:tc>
          <w:tcPr>
            <w:tcW w:type="dxa" w:w="933"/>
          </w:tcPr>
          <w:p>
            <w:pPr>
              <w:jc w:val="left"/>
            </w:pPr>
            <w:r>
              <w:rPr/>
              <w:t>项</w:t>
            </w:r>
          </w:p>
        </w:tc>
        <w:tc>
          <w:tcPr>
            <w:tcW w:type="dxa" w:w="933"/>
          </w:tcPr>
          <w:p>
            <w:pPr>
              <w:jc w:val="right"/>
            </w:pPr>
            <w:r>
              <w:rPr/>
              <w:t>1.00</w:t>
            </w:r>
          </w:p>
        </w:tc>
        <w:tc>
          <w:tcPr>
            <w:tcW w:type="dxa" w:w="933"/>
          </w:tcPr>
          <w:p>
            <w:pPr>
              <w:jc w:val="right"/>
            </w:pPr>
            <w:r>
              <w:rPr/>
              <w:t>1,993,580.00</w:t>
            </w:r>
          </w:p>
        </w:tc>
        <w:tc>
          <w:tcPr>
            <w:tcW w:type="dxa" w:w="933"/>
          </w:tcPr>
          <w:p>
            <w:pPr>
              <w:jc w:val="right"/>
            </w:pPr>
            <w:r>
              <w:rPr/>
              <w:t>1,993,580.00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江门市数字政府综合技术保障运维（2023-2024年）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522"/>
              <w:jc w:val="both"/>
            </w:pPr>
            <w:r>
              <w:rPr>
                <w:b/>
                <w:sz w:val="24"/>
              </w:rPr>
              <w:t>一、服务内容清单</w:t>
            </w:r>
          </w:p>
          <w:tbl>
            <w:tblPr>
              <w:tblBorders>
                <w:top w:val="none" w:color="000000" w:sz="4"/>
                <w:left w:val="none" w:color="000000" w:sz="4"/>
                <w:bottom w:val="none" w:color="000000" w:sz="4"/>
                <w:right w:val="none" w:color="000000" w:sz="4"/>
                <w:insideH w:val="none"/>
                <w:insideV w:val="none"/>
              </w:tblBorders>
            </w:tblPr>
            <w:tblGrid>
              <w:gridCol w:w="571"/>
              <w:gridCol w:w="4972"/>
            </w:tblGrid>
            <w:tr>
              <w:tc>
                <w:tcPr>
                  <w:tcW w:type="dxa" w:w="571"/>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4972"/>
                  <w:tcBorders>
                    <w:top w:val="single" w:color="000000" w:sz="4"/>
                    <w:left w:val="single" w:color="000000" w:sz="4"/>
                    <w:bottom w:val="single" w:color="000000" w:sz="4"/>
                    <w:right w:val="single" w:color="000000" w:sz="4"/>
                  </w:tcBorders>
                  <w:vAlign w:val="top"/>
                </w:tcPr>
                <w:p>
                  <w:pPr>
                    <w:jc w:val="center"/>
                  </w:pPr>
                  <w:r>
                    <w:rPr>
                      <w:sz w:val="24"/>
                    </w:rPr>
                    <w:t>服务内容</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2023年市政数局江门市人民政府门户网站运维项目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2023年市政数局江门市公共视频会议系统运维项目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2023年市政数局江门市政府网站与政务新媒体建设水平技术评估项目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2023年市政数局江门市政府网站与政务新媒体日常技术监测服务项目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2023年市政数局“粤政易”平台运维项目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2023年市政数局广东省政府网站集约化平台江门分平台防篡改系统运维项目</w:t>
                  </w:r>
                </w:p>
              </w:tc>
            </w:tr>
            <w:tr>
              <w:tc>
                <w:tcPr>
                  <w:tcW w:type="dxa" w:w="5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4972"/>
                  <w:tcBorders>
                    <w:top w:val="none" w:color="000000" w:sz="4"/>
                    <w:left w:val="single" w:color="000000" w:sz="4"/>
                    <w:bottom w:val="single" w:color="000000" w:sz="4"/>
                    <w:right w:val="single" w:color="000000" w:sz="4"/>
                  </w:tcBorders>
                  <w:vAlign w:val="top"/>
                </w:tcPr>
                <w:p>
                  <w:pPr>
                    <w:jc w:val="both"/>
                  </w:pPr>
                  <w:r>
                    <w:rPr>
                      <w:sz w:val="24"/>
                    </w:rPr>
                    <w:t>2023年市政数局江门市人大政协建议提案系统运维服务项目</w:t>
                  </w:r>
                </w:p>
              </w:tc>
            </w:tr>
          </w:tbl>
          <w:p>
            <w:pPr>
              <w:ind w:firstLine="522"/>
              <w:jc w:val="both"/>
            </w:pPr>
            <w:r>
              <w:rPr>
                <w:b/>
                <w:sz w:val="24"/>
              </w:rPr>
              <w:t>二、现状、需求概况及服务内容</w:t>
            </w:r>
          </w:p>
          <w:p>
            <w:pPr>
              <w:ind w:firstLine="482"/>
              <w:jc w:val="both"/>
            </w:pPr>
            <w:r>
              <w:rPr>
                <w:b/>
                <w:sz w:val="24"/>
              </w:rPr>
              <w:t>(一)2023年市政数局江门市人民政府门户网站运维项目</w:t>
            </w:r>
          </w:p>
          <w:p>
            <w:pPr>
              <w:ind w:firstLine="482"/>
              <w:jc w:val="both"/>
            </w:pPr>
            <w:r>
              <w:rPr>
                <w:b/>
                <w:sz w:val="24"/>
              </w:rPr>
              <w:t>一）现状</w:t>
            </w:r>
          </w:p>
          <w:p>
            <w:pPr>
              <w:ind w:firstLine="480"/>
              <w:jc w:val="both"/>
            </w:pPr>
            <w:r>
              <w:rPr>
                <w:sz w:val="24"/>
              </w:rPr>
              <w:t>江门市人民政府门户网站是江门市各级政府机关在互联网上公开政府信息、提供在线服务和开展互动交流的第一平台，目前设置了</w:t>
            </w:r>
            <w:r>
              <w:rPr>
                <w:sz w:val="24"/>
              </w:rPr>
              <w:t>“政务公开”“政务服务”“互动交流”“粤港澳大湾区”“走进侨乡”5个一级栏目，二、三级栏目共180多个。随着数字政府改革步伐的加快，政府网站要适应互联网发展变化，持续开拓创新，建设成为更加全面的政务公开平台、更加权威的政策发布解读和</w:t>
            </w:r>
            <w:r>
              <w:rPr>
                <w:sz w:val="24"/>
              </w:rPr>
              <w:t>言论</w:t>
            </w:r>
            <w:r>
              <w:rPr>
                <w:sz w:val="24"/>
              </w:rPr>
              <w:t>引导平台、更加及时的回应关切和便民服务平台。根据《国务院办公厅关于印发政府网站发展指引的通知》（国办发〔</w:t>
            </w:r>
            <w:r>
              <w:rPr>
                <w:sz w:val="24"/>
              </w:rPr>
              <w:t>2017〕47号）、《国务院办公厅秘书局关于印发政府网站与政务新媒体检查指标、监管工作年度考核指标的通知》（国办秘函〔2019〕19号）、《广东省人民政府办公厅关于印发广东省2019年度政府网站与政务新媒体考评方案的通知》（粤办函〔2019〕333号）相关文件要求，江门市人民政府门户网站要进一步加强发布信息、解读政策、回应关切、引导</w:t>
            </w:r>
            <w:r>
              <w:rPr>
                <w:sz w:val="24"/>
              </w:rPr>
              <w:t>言论</w:t>
            </w:r>
            <w:r>
              <w:rPr>
                <w:sz w:val="24"/>
              </w:rPr>
              <w:t>的能力。</w:t>
            </w:r>
          </w:p>
          <w:p>
            <w:pPr>
              <w:ind w:firstLine="480"/>
              <w:jc w:val="both"/>
            </w:pPr>
            <w:r>
              <w:rPr>
                <w:sz w:val="24"/>
              </w:rPr>
              <w:t>经过</w:t>
            </w:r>
            <w:r>
              <w:rPr>
                <w:sz w:val="24"/>
              </w:rPr>
              <w:t>2022年技术人员驻场运维服务，江门市人民政府门户网站服务社会公众、高效稳定运行，运维工作得到市政府相关部门的充分肯定，网站取得了很大的发展，受到社会公众的广泛关注和认同，无论是整体建设规模，还是绩效水平，都取得了进步。</w:t>
            </w:r>
          </w:p>
          <w:p>
            <w:pPr>
              <w:ind w:firstLine="480"/>
              <w:jc w:val="both"/>
            </w:pPr>
            <w:r>
              <w:rPr>
                <w:sz w:val="24"/>
              </w:rPr>
              <w:t>随着政府信息公开力度的不断深入以及网站信息整合手段的不断丰富，国家和省对政府网站内容保障、安全防护等诸多方面提出了更高的要求，对政府网站的建设和管理要求也不断提高。因此，需要购买社会服务，需要具有实力的软件公司及专门的技术人员进一步加强江门市人民政府门户网站技术运维和内容保障工作，保障门户网站能够正常、稳定地运行，继续为公众提供更加全面的政府服务。</w:t>
            </w:r>
          </w:p>
          <w:p>
            <w:pPr>
              <w:ind w:firstLine="482"/>
              <w:jc w:val="both"/>
            </w:pPr>
            <w:r>
              <w:rPr>
                <w:b/>
                <w:sz w:val="24"/>
              </w:rPr>
              <w:t>二）需求概况</w:t>
            </w:r>
          </w:p>
          <w:p>
            <w:pPr>
              <w:ind w:firstLine="520"/>
              <w:jc w:val="both"/>
            </w:pPr>
            <w:r>
              <w:rPr>
                <w:sz w:val="24"/>
              </w:rPr>
              <w:t>（</w:t>
            </w:r>
            <w:r>
              <w:rPr>
                <w:sz w:val="24"/>
              </w:rPr>
              <w:t xml:space="preserve">1）总体需求  </w:t>
            </w:r>
          </w:p>
          <w:p>
            <w:pPr>
              <w:ind w:firstLine="480"/>
              <w:jc w:val="both"/>
            </w:pPr>
            <w:r>
              <w:rPr>
                <w:sz w:val="24"/>
              </w:rPr>
              <w:t>江门市人民政府门户网站是江门市人民政府信息发布的主阵地、为民服务的主窗口、政民互动的主平台，以政务公开、政务服务、互动交流为核心、涵盖市直各政府部门频道的政府门户网站，是一个集政府信息公开平台、网上互动交流平台、全文检索平台和信息采集平台于一体的综合性服务平台。</w:t>
            </w:r>
          </w:p>
          <w:p>
            <w:pPr>
              <w:ind w:firstLine="480"/>
              <w:jc w:val="both"/>
            </w:pPr>
            <w:r>
              <w:rPr>
                <w:sz w:val="24"/>
              </w:rPr>
              <w:t>基于现有的系统架构，对纳入本项目范围的门户网站内容、相关接口应用软件，要保证正常的升级维护，并进行全天候的日常监控，及时发现问题，及时解决问题。</w:t>
            </w:r>
          </w:p>
          <w:p>
            <w:pPr>
              <w:ind w:firstLine="480"/>
              <w:jc w:val="both"/>
            </w:pPr>
            <w:r>
              <w:rPr>
                <w:sz w:val="24"/>
              </w:rPr>
              <w:t>保障网站内容的变更与发布的及时响应，有序实施；保障数据维护等工作的高效与安全；保障软件</w:t>
            </w:r>
            <w:r>
              <w:rPr>
                <w:sz w:val="24"/>
              </w:rPr>
              <w:t>BUG能够及时修复。</w:t>
            </w:r>
          </w:p>
          <w:p>
            <w:pPr>
              <w:ind w:firstLine="520"/>
              <w:jc w:val="both"/>
            </w:pPr>
            <w:r>
              <w:rPr>
                <w:sz w:val="24"/>
              </w:rPr>
              <w:t>本项目运维服务主要有以下几个方面：</w:t>
            </w:r>
          </w:p>
          <w:p>
            <w:pPr>
              <w:ind w:firstLine="520"/>
              <w:jc w:val="both"/>
            </w:pPr>
            <w:r>
              <w:rPr>
                <w:sz w:val="24"/>
              </w:rPr>
              <w:t>1）网站日常技术支撑以及维护。保障江门市政府网站系统的稳定运行，为江门市人民政府门户网站及各政府部门频道的稳定运行提供可靠的技术环境。开展日常巡检和维护、现场巡检和维护以及日常运维等服务。</w:t>
            </w:r>
          </w:p>
          <w:p>
            <w:pPr>
              <w:ind w:firstLine="520"/>
              <w:jc w:val="both"/>
            </w:pPr>
            <w:r>
              <w:rPr>
                <w:sz w:val="24"/>
              </w:rPr>
              <w:t>2）技术支持服务。提供疑难解答、故障定位、故障排除、集约化平台操作使用、模板和网页制作、应用功能开发、驻场服务、紧急现场服务等技术支持和咨询服务。</w:t>
            </w:r>
          </w:p>
          <w:p>
            <w:pPr>
              <w:ind w:firstLine="520"/>
              <w:jc w:val="both"/>
            </w:pPr>
            <w:r>
              <w:rPr>
                <w:sz w:val="24"/>
              </w:rPr>
              <w:t>3）故障处理服务。需及时处理系统运行故障，制定完善可行的常见故障处理方案，针对可能的突发故障制定应急处理预案。</w:t>
            </w:r>
          </w:p>
          <w:p>
            <w:pPr>
              <w:ind w:firstLine="520"/>
              <w:jc w:val="both"/>
            </w:pPr>
            <w:r>
              <w:rPr>
                <w:sz w:val="24"/>
              </w:rPr>
              <w:t>4）网站前端应用功能维护。对门户网站前端应用功能组件进行维护，及时发现和修改已有的功能组件问题，保证其能正常的运行。并及时增加或调整网站交互式功能组件（如政府热线、咨询投诉、互动交流、征集调查、领导信箱等组件）。网页动态模块维护、省集约化管理后台用户登录帐号维护等。</w:t>
            </w:r>
          </w:p>
          <w:p>
            <w:pPr>
              <w:ind w:firstLine="520"/>
              <w:jc w:val="both"/>
            </w:pPr>
            <w:r>
              <w:rPr>
                <w:sz w:val="24"/>
              </w:rPr>
              <w:t>5）网站内容维护服务。对江门市人民政府门户网站进行日常的内容维护，包括信息内容发布、图片制作、动画制作、网站框架（栏目）调整、网页布局调整、自定义页面的加工与制作、功能定制服务、网站交互式功能服务、用户权限的配置等维护服务。</w:t>
            </w:r>
          </w:p>
          <w:p>
            <w:pPr>
              <w:ind w:firstLine="520"/>
              <w:jc w:val="both"/>
            </w:pPr>
            <w:r>
              <w:rPr>
                <w:sz w:val="24"/>
              </w:rPr>
              <w:t>6）网站专题页面制作、维护。根据要求制作、维护专题栏目，对门户网站建设的频道、专题栏目、页面模板、图片、多媒体元素、首页风格、应用功能等进行更新、修改维护。</w:t>
            </w:r>
          </w:p>
          <w:p>
            <w:pPr>
              <w:ind w:firstLine="520"/>
              <w:jc w:val="both"/>
            </w:pPr>
            <w:r>
              <w:rPr>
                <w:sz w:val="24"/>
              </w:rPr>
              <w:t>7）市直部门频道维护。提供36个市直部门频道栏目页面模板、图片、首页和栏目风格、应用组件等进行更新、修改维护。</w:t>
            </w:r>
          </w:p>
          <w:p>
            <w:pPr>
              <w:ind w:firstLine="520"/>
              <w:jc w:val="both"/>
            </w:pPr>
            <w:r>
              <w:rPr>
                <w:sz w:val="24"/>
              </w:rPr>
              <w:t>8）门户网站手机版。根据运维要求，及时完成对手机版门户的全面维护，包括移动门户网站栏目进行结构性调整或栏目的增删改、内容同步等。</w:t>
            </w:r>
          </w:p>
          <w:p>
            <w:pPr>
              <w:ind w:firstLine="520"/>
              <w:jc w:val="both"/>
            </w:pPr>
            <w:r>
              <w:rPr>
                <w:sz w:val="24"/>
              </w:rPr>
              <w:t>9）英文版运维。提供英文网站运维、信息更新及文稿翻译工作。</w:t>
            </w:r>
          </w:p>
          <w:p>
            <w:pPr>
              <w:ind w:firstLine="520"/>
              <w:jc w:val="both"/>
            </w:pPr>
            <w:r>
              <w:rPr>
                <w:sz w:val="24"/>
              </w:rPr>
              <w:t>10）其他平台信息收集和政策解读服务，例如政府公报小程序、民生热线栏目节目信息、政策解读宣传等。</w:t>
            </w:r>
          </w:p>
          <w:p>
            <w:pPr>
              <w:ind w:firstLine="520"/>
              <w:jc w:val="both"/>
            </w:pPr>
            <w:r>
              <w:rPr>
                <w:sz w:val="24"/>
              </w:rPr>
              <w:t>11）提供网站适老化功能规范性及稳定性维护，保障适老化功能持续发挥作用，并达到国家评测标准要求。</w:t>
            </w:r>
          </w:p>
          <w:p>
            <w:pPr>
              <w:ind w:firstLine="520"/>
              <w:jc w:val="both"/>
            </w:pPr>
            <w:r>
              <w:rPr>
                <w:sz w:val="24"/>
              </w:rPr>
              <w:t>（</w:t>
            </w:r>
            <w:r>
              <w:rPr>
                <w:sz w:val="24"/>
              </w:rPr>
              <w:t>2）响应、处理时限</w:t>
            </w:r>
          </w:p>
          <w:p>
            <w:pPr>
              <w:ind w:firstLine="520"/>
              <w:jc w:val="both"/>
            </w:pPr>
            <w:r>
              <w:rPr>
                <w:sz w:val="24"/>
              </w:rPr>
              <w:t>1）服务商提供固定的7×24小时故障受理电话服务。</w:t>
            </w:r>
          </w:p>
          <w:p>
            <w:pPr>
              <w:ind w:firstLine="520"/>
              <w:jc w:val="both"/>
            </w:pPr>
            <w:r>
              <w:rPr>
                <w:sz w:val="24"/>
              </w:rPr>
              <w:t>2）工作日提供三名技术工程师每周5天的现场驻场服务。</w:t>
            </w:r>
          </w:p>
          <w:p>
            <w:pPr>
              <w:ind w:firstLine="520"/>
              <w:jc w:val="both"/>
            </w:pPr>
            <w:r>
              <w:rPr>
                <w:sz w:val="24"/>
              </w:rPr>
              <w:t>3）技术人员响应时限：接障后技术支持人员必须在5分钟内作出响应，详细记录故障现象。</w:t>
            </w:r>
          </w:p>
          <w:p>
            <w:pPr>
              <w:ind w:firstLine="520"/>
              <w:jc w:val="both"/>
            </w:pPr>
            <w:r>
              <w:rPr>
                <w:sz w:val="24"/>
              </w:rPr>
              <w:t>4）技术人员处理时限：在工作日时间，接障后现场常驻技术人员在5分钟内到达单位办公室现场响应服务请求，2小时内解决并完成服务需求。紧急、特殊的服务要求非驻场技术人员提供服务的，应能在3小时内到达现场，在4小时内提供服务至解决问题为止；在非工作日时间，接障后，现场常驻技术人员在1小时内到达单位办公室现场响应服务需求，3小时内解决并完成服务需求。紧急、特殊的服务要求非驻场技术人员提供服务的，应能在4小时内到达单位办公室现场响应服务需求，在5小时内提供服务至解决问题为止。</w:t>
            </w:r>
          </w:p>
          <w:p>
            <w:pPr>
              <w:ind w:firstLine="520"/>
              <w:jc w:val="both"/>
            </w:pPr>
            <w:r>
              <w:rPr>
                <w:sz w:val="24"/>
              </w:rPr>
              <w:t>5）巡检服务：对维护范围内的网站内容提供至少每月一次的巡检，并提交检查记录报告。通过内容检查对运行网站上的潜在的问题进行深入摸底排查。针对用户提出的问题作出回复，并定期组织双方进行业务交流。</w:t>
            </w:r>
          </w:p>
          <w:p>
            <w:pPr>
              <w:ind w:firstLine="520"/>
              <w:jc w:val="both"/>
            </w:pPr>
            <w:r>
              <w:rPr>
                <w:sz w:val="24"/>
              </w:rPr>
              <w:t>（</w:t>
            </w:r>
            <w:r>
              <w:rPr>
                <w:sz w:val="24"/>
              </w:rPr>
              <w:t>3）响应方式</w:t>
            </w:r>
          </w:p>
          <w:p>
            <w:pPr>
              <w:ind w:firstLine="520"/>
              <w:jc w:val="both"/>
            </w:pPr>
            <w:r>
              <w:rPr>
                <w:sz w:val="24"/>
              </w:rPr>
              <w:t>1）快速响应服务</w:t>
            </w:r>
          </w:p>
          <w:p>
            <w:pPr>
              <w:ind w:firstLine="520"/>
              <w:jc w:val="both"/>
            </w:pPr>
            <w:r>
              <w:rPr>
                <w:sz w:val="24"/>
              </w:rPr>
              <w:t>服务商对于紧急的问题在</w:t>
            </w:r>
            <w:r>
              <w:rPr>
                <w:sz w:val="24"/>
              </w:rPr>
              <w:t>5分钟内作出响应，以现场服务的方式解决问题。此类问题包括但不限于：应用系统严重错误、应用系统性能问题、信息系统安全隐患等。</w:t>
            </w:r>
          </w:p>
          <w:p>
            <w:pPr>
              <w:ind w:firstLine="520"/>
              <w:jc w:val="both"/>
            </w:pPr>
            <w:r>
              <w:rPr>
                <w:sz w:val="24"/>
              </w:rPr>
              <w:t>2）系统管理员的响应服务</w:t>
            </w:r>
          </w:p>
          <w:p>
            <w:pPr>
              <w:ind w:firstLine="520"/>
              <w:jc w:val="both"/>
            </w:pPr>
            <w:r>
              <w:rPr>
                <w:sz w:val="24"/>
              </w:rPr>
              <w:t>服务商在维护期内对于在使用过程中系统管理员及常驻技术人员无法解决的紧急问题，服务商应另外派出技术人员赶到用户现场，排除故障；对于一般性的问题，服务商应通过电话、传真或电子邮件方式为系统管理员提供技术支持。</w:t>
            </w:r>
          </w:p>
          <w:p>
            <w:pPr>
              <w:ind w:firstLine="520"/>
              <w:jc w:val="both"/>
            </w:pPr>
            <w:r>
              <w:rPr>
                <w:sz w:val="24"/>
              </w:rPr>
              <w:t>3）定期环境检修服务</w:t>
            </w:r>
          </w:p>
          <w:p>
            <w:pPr>
              <w:ind w:firstLine="520"/>
              <w:jc w:val="both"/>
            </w:pPr>
            <w:r>
              <w:rPr>
                <w:sz w:val="24"/>
              </w:rPr>
              <w:t>服务商在维护期内，应派出技术人员实施定期现场例行巡检服务。主要工作内容包括：收集用户使用信息，对网络环境的检查、清理，解答用户疑难，通报开发方近期相关项目的应用经验等工作，并将结果及时反馈给相关管理部门。</w:t>
            </w:r>
          </w:p>
          <w:p>
            <w:pPr>
              <w:ind w:firstLine="520"/>
              <w:jc w:val="both"/>
            </w:pPr>
            <w:r>
              <w:rPr>
                <w:sz w:val="24"/>
              </w:rPr>
              <w:t>4）热线技术支持服务</w:t>
            </w:r>
          </w:p>
          <w:p>
            <w:pPr>
              <w:ind w:firstLine="520"/>
              <w:jc w:val="both"/>
            </w:pPr>
            <w:r>
              <w:rPr>
                <w:sz w:val="24"/>
              </w:rPr>
              <w:t>维护期内为网站维护人员建立热线技术支持服务。对于用户在使用方面的疑难，以及系统方面的疑难将由服务商专项技术人员，建立专门的在线支持和问题解答。提供热线电话支持，传真和邮件响应（邮件回复时间不超过八小时）。</w:t>
            </w:r>
          </w:p>
          <w:p>
            <w:pPr>
              <w:ind w:firstLine="520"/>
              <w:jc w:val="both"/>
            </w:pPr>
            <w:r>
              <w:rPr>
                <w:sz w:val="24"/>
              </w:rPr>
              <w:t>（</w:t>
            </w:r>
            <w:r>
              <w:rPr>
                <w:sz w:val="24"/>
              </w:rPr>
              <w:t>4）人工技能标准需求</w:t>
            </w:r>
          </w:p>
          <w:p>
            <w:pPr>
              <w:ind w:firstLine="480"/>
              <w:jc w:val="both"/>
            </w:pPr>
            <w:r>
              <w:rPr>
                <w:sz w:val="24"/>
              </w:rPr>
              <w:t>系统的维护、排除故障及维修服务，必须由具备各专业资质的（或同等资质）专业工程师完成。</w:t>
            </w:r>
          </w:p>
          <w:p>
            <w:pPr>
              <w:ind w:firstLine="482"/>
              <w:jc w:val="both"/>
            </w:pPr>
            <w:r>
              <w:rPr>
                <w:b/>
                <w:sz w:val="24"/>
              </w:rPr>
              <w:t>三）服务内容</w:t>
            </w:r>
          </w:p>
          <w:p>
            <w:pPr>
              <w:ind w:firstLine="480"/>
              <w:jc w:val="both"/>
            </w:pPr>
            <w:r>
              <w:rPr>
                <w:sz w:val="24"/>
              </w:rPr>
              <w:t>针对江门市人民政府门户网站进行维护，运维工作主要内容包括：日常运维、网站内容保障、网站前端应用功能维护、专题栏目制作维护、市直部门频道维护、门户网站手机版、英文版运维、政府公报小程序、民生热线栏目、政策解读宣传服务、适老化功能维护等。</w:t>
            </w:r>
          </w:p>
          <w:p>
            <w:pPr>
              <w:ind w:firstLine="522"/>
              <w:jc w:val="both"/>
            </w:pPr>
            <w:r>
              <w:rPr>
                <w:b/>
                <w:sz w:val="24"/>
              </w:rPr>
              <w:t>1.日常运维</w:t>
            </w:r>
          </w:p>
          <w:p>
            <w:pPr>
              <w:ind w:firstLine="480"/>
              <w:jc w:val="both"/>
            </w:pPr>
            <w:r>
              <w:rPr>
                <w:sz w:val="24"/>
              </w:rPr>
              <w:t>提供对江门市人民政府门户网站一年的安全、稳定、高效运行的技术支持维护、网站安全检测、故障排除服务、定期服务、紧急服务、咨询服务、培训及权限赋予服务等技术维护服务内容。</w:t>
            </w:r>
          </w:p>
          <w:p>
            <w:pPr>
              <w:ind w:firstLine="522"/>
              <w:jc w:val="both"/>
            </w:pPr>
            <w:r>
              <w:rPr>
                <w:b/>
                <w:sz w:val="24"/>
              </w:rPr>
              <w:t>2.网站内容保障</w:t>
            </w:r>
          </w:p>
          <w:p>
            <w:pPr>
              <w:ind w:firstLine="520"/>
              <w:jc w:val="both"/>
            </w:pPr>
            <w:r>
              <w:rPr>
                <w:sz w:val="24"/>
              </w:rPr>
              <w:t>（</w:t>
            </w:r>
            <w:r>
              <w:rPr>
                <w:sz w:val="24"/>
              </w:rPr>
              <w:t>1）首页风格调整：根据不同时期的需要不定期对门户网站首页风格进行调整。</w:t>
            </w:r>
          </w:p>
          <w:p>
            <w:pPr>
              <w:ind w:firstLine="520"/>
              <w:jc w:val="both"/>
            </w:pPr>
            <w:r>
              <w:rPr>
                <w:sz w:val="24"/>
              </w:rPr>
              <w:t>（</w:t>
            </w:r>
            <w:r>
              <w:rPr>
                <w:sz w:val="24"/>
              </w:rPr>
              <w:t>2）按要求对网站的图片、文字、页面链接等内容进行增删改：对网站上的图片进行修改或添加一些图片链接、标题图片、首页图片、文字链接，制作节庆flash和宣传图片等维护工作。</w:t>
            </w:r>
          </w:p>
          <w:p>
            <w:pPr>
              <w:ind w:firstLine="520"/>
              <w:jc w:val="both"/>
            </w:pPr>
            <w:r>
              <w:rPr>
                <w:sz w:val="24"/>
              </w:rPr>
              <w:t>（</w:t>
            </w:r>
            <w:r>
              <w:rPr>
                <w:sz w:val="24"/>
              </w:rPr>
              <w:t>3）网站栏目维护：及时对门户网站的栏目进行结构性调整或栏目的增删改、栏目的重定向等维护工作。</w:t>
            </w:r>
          </w:p>
          <w:p>
            <w:pPr>
              <w:ind w:firstLine="520"/>
              <w:jc w:val="left"/>
            </w:pPr>
            <w:r>
              <w:rPr>
                <w:sz w:val="24"/>
              </w:rPr>
              <w:t>（</w:t>
            </w:r>
            <w:r>
              <w:rPr>
                <w:sz w:val="24"/>
              </w:rPr>
              <w:t>4）网站信息发布：7×24小时对门户网站所有栏目（一、二、三级栏目共180多个）信息发布，附件上传、信息审核、信息撤销等内容保障工作。</w:t>
            </w:r>
          </w:p>
          <w:p>
            <w:pPr>
              <w:ind w:firstLine="520"/>
              <w:jc w:val="left"/>
            </w:pPr>
            <w:r>
              <w:rPr>
                <w:sz w:val="24"/>
              </w:rPr>
              <w:t>（</w:t>
            </w:r>
            <w:r>
              <w:rPr>
                <w:sz w:val="24"/>
              </w:rPr>
              <w:t>5）7×24小时对门户网站进行内容/栏目监控、值班读网、系统日常监控等并做好值班日志记录，保障市政府门户网站平台的正常、稳定运行，若出现重大问题，确保能快速及时处理。</w:t>
            </w:r>
          </w:p>
          <w:p>
            <w:pPr>
              <w:ind w:firstLine="520"/>
              <w:jc w:val="left"/>
            </w:pPr>
            <w:r>
              <w:rPr>
                <w:sz w:val="24"/>
              </w:rPr>
              <w:t>（</w:t>
            </w:r>
            <w:r>
              <w:rPr>
                <w:sz w:val="24"/>
              </w:rPr>
              <w:t>6）问题整改服务：根据广东省政府网站年度考评报告、季度检测报告和江门市自行监测的网站报告中检查出的问题，组织人员进行复核确认，并对暴露出的问题进行针对性整改修复，包括错敏信息修改、错链死链修复、信息补充完善、栏目调整等。</w:t>
            </w:r>
          </w:p>
          <w:p>
            <w:pPr>
              <w:ind w:firstLine="522"/>
              <w:jc w:val="both"/>
            </w:pPr>
            <w:r>
              <w:rPr>
                <w:b/>
                <w:sz w:val="24"/>
              </w:rPr>
              <w:t>3.网站前端应用功能维护</w:t>
            </w:r>
          </w:p>
          <w:p>
            <w:pPr>
              <w:ind w:firstLine="520"/>
              <w:jc w:val="left"/>
            </w:pPr>
            <w:r>
              <w:rPr>
                <w:sz w:val="24"/>
              </w:rPr>
              <w:t>（</w:t>
            </w:r>
            <w:r>
              <w:rPr>
                <w:sz w:val="24"/>
              </w:rPr>
              <w:t>1）对门户网站前端应用功能组件进行维护，及时发现和修改已有的功能组件问题，保证其能正常的运行。及时按照要求增加或调整网站交互式功能组件（如在线访谈、咨询投诉、征集调查、领导信箱等组件）。</w:t>
            </w:r>
          </w:p>
          <w:p>
            <w:pPr>
              <w:ind w:firstLine="520"/>
              <w:jc w:val="left"/>
            </w:pPr>
            <w:r>
              <w:rPr>
                <w:sz w:val="24"/>
              </w:rPr>
              <w:t>（</w:t>
            </w:r>
            <w:r>
              <w:rPr>
                <w:sz w:val="24"/>
              </w:rPr>
              <w:t>2）网页动态模块维护（例：图片新闻、站内检索、系统登录、解读回应组件等功能的修改和维护）等。</w:t>
            </w:r>
          </w:p>
          <w:p>
            <w:pPr>
              <w:ind w:firstLine="520"/>
              <w:jc w:val="left"/>
            </w:pPr>
            <w:r>
              <w:rPr>
                <w:sz w:val="24"/>
              </w:rPr>
              <w:t>（</w:t>
            </w:r>
            <w:r>
              <w:rPr>
                <w:sz w:val="24"/>
              </w:rPr>
              <w:t>3）省集约化管理后台用户登录帐号的添加、开通，权限配置修改等。</w:t>
            </w:r>
          </w:p>
          <w:p>
            <w:pPr>
              <w:ind w:firstLine="522"/>
              <w:jc w:val="both"/>
            </w:pPr>
            <w:r>
              <w:rPr>
                <w:b/>
                <w:sz w:val="24"/>
              </w:rPr>
              <w:t>4.专题栏目制作维护</w:t>
            </w:r>
          </w:p>
          <w:p>
            <w:pPr>
              <w:ind w:firstLine="480"/>
              <w:jc w:val="both"/>
            </w:pPr>
            <w:r>
              <w:rPr>
                <w:sz w:val="24"/>
              </w:rPr>
              <w:t>根据要求制作、维护专题栏目，对门户网站建设的频道、专题栏目、页面模板、图片、多媒体、首页风格、应用功能等进行更新、修改维护。如重点领域信息公开专栏、数据发布、特色专题等。</w:t>
            </w:r>
          </w:p>
          <w:p>
            <w:pPr>
              <w:ind w:firstLine="480"/>
              <w:jc w:val="both"/>
            </w:pPr>
            <w:r>
              <w:rPr>
                <w:sz w:val="24"/>
              </w:rPr>
              <w:t>（</w:t>
            </w:r>
            <w:r>
              <w:rPr>
                <w:sz w:val="24"/>
              </w:rPr>
              <w:t>1）专题策划：根据需要制作专题，策划专题的风格、页面展现和内容等。</w:t>
            </w:r>
          </w:p>
          <w:p>
            <w:pPr>
              <w:ind w:firstLine="480"/>
              <w:jc w:val="both"/>
            </w:pPr>
            <w:r>
              <w:rPr>
                <w:sz w:val="24"/>
              </w:rPr>
              <w:t>（</w:t>
            </w:r>
            <w:r>
              <w:rPr>
                <w:sz w:val="24"/>
              </w:rPr>
              <w:t>2）栏目设计：按照“以用户为中心”的服务理念和“以需求为导向”的基本原则，策划专题的栏目。</w:t>
            </w:r>
          </w:p>
          <w:p>
            <w:pPr>
              <w:ind w:firstLine="480"/>
              <w:jc w:val="both"/>
            </w:pPr>
            <w:r>
              <w:rPr>
                <w:sz w:val="24"/>
              </w:rPr>
              <w:t>（</w:t>
            </w:r>
            <w:r>
              <w:rPr>
                <w:sz w:val="24"/>
              </w:rPr>
              <w:t>3）页面设计：提供所需专题页面设计，包括专题主页、列表页、细览页设计。</w:t>
            </w:r>
          </w:p>
          <w:p>
            <w:pPr>
              <w:ind w:firstLine="480"/>
              <w:jc w:val="both"/>
            </w:pPr>
            <w:r>
              <w:rPr>
                <w:sz w:val="24"/>
              </w:rPr>
              <w:t>（</w:t>
            </w:r>
            <w:r>
              <w:rPr>
                <w:sz w:val="24"/>
              </w:rPr>
              <w:t>4）专题实施：据所需专题专栏相关页面设计成果，采用HTML5技术制作页面模板，包括模板切割、模板制作及部署，并通过网站内容管理平台对外发布。</w:t>
            </w:r>
          </w:p>
          <w:p>
            <w:pPr>
              <w:ind w:firstLine="522"/>
              <w:jc w:val="both"/>
            </w:pPr>
            <w:r>
              <w:rPr>
                <w:b/>
                <w:sz w:val="24"/>
              </w:rPr>
              <w:t>5.市直部门频道维护</w:t>
            </w:r>
          </w:p>
          <w:p>
            <w:pPr>
              <w:ind w:firstLine="480"/>
              <w:jc w:val="both"/>
            </w:pPr>
            <w:r>
              <w:rPr>
                <w:sz w:val="24"/>
              </w:rPr>
              <w:t>提供</w:t>
            </w:r>
            <w:r>
              <w:rPr>
                <w:sz w:val="24"/>
              </w:rPr>
              <w:t>36个市直单位的部门频道栏目页面模板、图片、首页和栏目风格、应用组件等进行更新、修改维护。</w:t>
            </w:r>
          </w:p>
          <w:p>
            <w:pPr>
              <w:ind w:firstLine="520"/>
              <w:jc w:val="both"/>
            </w:pPr>
            <w:r>
              <w:rPr>
                <w:sz w:val="24"/>
              </w:rPr>
              <w:t>（</w:t>
            </w:r>
            <w:r>
              <w:rPr>
                <w:sz w:val="24"/>
              </w:rPr>
              <w:t>1）按市直单位的个性化要求对部门频道的图片、页面链接等内容进行增删改：制作宣传图片、对网站图片进行修改或添加一些图片链接、文字链接等维护工作。</w:t>
            </w:r>
          </w:p>
          <w:p>
            <w:pPr>
              <w:ind w:firstLine="520"/>
              <w:jc w:val="both"/>
            </w:pPr>
            <w:r>
              <w:rPr>
                <w:sz w:val="24"/>
              </w:rPr>
              <w:t>（</w:t>
            </w:r>
            <w:r>
              <w:rPr>
                <w:sz w:val="24"/>
              </w:rPr>
              <w:t>2）频道栏目维护：根据需要对36个市直单位的部门频道约1800个栏目进行结构性调整或栏目的增删改、栏目的重定向等维护工作。</w:t>
            </w:r>
          </w:p>
          <w:p>
            <w:pPr>
              <w:ind w:firstLine="520"/>
              <w:jc w:val="both"/>
            </w:pPr>
            <w:r>
              <w:rPr>
                <w:sz w:val="24"/>
              </w:rPr>
              <w:t>（</w:t>
            </w:r>
            <w:r>
              <w:rPr>
                <w:sz w:val="24"/>
              </w:rPr>
              <w:t>3）频道模版维护：根据需要对36个市直单位的部门频道约250个模版进行布局性调整或模板的增改、模板的更新等维护工作。</w:t>
            </w:r>
          </w:p>
          <w:p>
            <w:pPr>
              <w:ind w:firstLine="522"/>
              <w:jc w:val="both"/>
            </w:pPr>
            <w:r>
              <w:rPr>
                <w:b/>
                <w:sz w:val="24"/>
              </w:rPr>
              <w:t>6.门户网站手机版</w:t>
            </w:r>
          </w:p>
          <w:p>
            <w:pPr>
              <w:ind w:firstLine="480"/>
              <w:jc w:val="both"/>
            </w:pPr>
            <w:r>
              <w:rPr>
                <w:sz w:val="24"/>
              </w:rPr>
              <w:t>根据运维要求，及时完成对手机版门户网站的整体维护，包括移动门户网站栏目进行结构性调整或栏目的增删改、内容同步等。</w:t>
            </w:r>
          </w:p>
          <w:p>
            <w:pPr>
              <w:ind w:firstLine="522"/>
              <w:jc w:val="both"/>
            </w:pPr>
            <w:r>
              <w:rPr>
                <w:b/>
                <w:sz w:val="24"/>
              </w:rPr>
              <w:t>7.英文版运维</w:t>
            </w:r>
          </w:p>
          <w:p>
            <w:pPr>
              <w:ind w:firstLine="480"/>
              <w:jc w:val="both"/>
            </w:pPr>
            <w:r>
              <w:rPr>
                <w:sz w:val="24"/>
              </w:rPr>
              <w:t>提供英文网站运维、信息更新及稿件翻译工作。动态栏目每周翻译、更新</w:t>
            </w:r>
            <w:r>
              <w:rPr>
                <w:sz w:val="24"/>
              </w:rPr>
              <w:t>3篇，每月12篇；全站每年约150篇。</w:t>
            </w:r>
          </w:p>
          <w:p>
            <w:pPr>
              <w:ind w:firstLine="522"/>
              <w:jc w:val="both"/>
            </w:pPr>
            <w:r>
              <w:rPr>
                <w:b/>
                <w:sz w:val="24"/>
              </w:rPr>
              <w:t>8.政府公报微信小程序</w:t>
            </w:r>
          </w:p>
          <w:p>
            <w:pPr>
              <w:ind w:firstLine="480"/>
              <w:jc w:val="both"/>
            </w:pPr>
            <w:r>
              <w:rPr>
                <w:sz w:val="24"/>
              </w:rPr>
              <w:t>提供政府公报微信小程序一年基本运维服务，包括数据展示、故障处理、系统</w:t>
            </w:r>
            <w:r>
              <w:rPr>
                <w:sz w:val="24"/>
              </w:rPr>
              <w:t>BUG修复和日常操作使用技术咨询。</w:t>
            </w:r>
          </w:p>
          <w:p>
            <w:pPr>
              <w:ind w:firstLine="522"/>
              <w:jc w:val="both"/>
            </w:pPr>
            <w:r>
              <w:rPr>
                <w:b/>
                <w:sz w:val="24"/>
              </w:rPr>
              <w:t>9.民生热线栏目</w:t>
            </w:r>
          </w:p>
          <w:p>
            <w:pPr>
              <w:ind w:firstLine="480"/>
              <w:jc w:val="both"/>
            </w:pPr>
            <w:r>
              <w:rPr>
                <w:sz w:val="24"/>
              </w:rPr>
              <w:t>将每周一期《民生热线》节目的播出音频转换成内容与之相符的文字稿，为期一年，共约</w:t>
            </w:r>
            <w:r>
              <w:rPr>
                <w:sz w:val="24"/>
              </w:rPr>
              <w:t>46期。</w:t>
            </w:r>
          </w:p>
          <w:p>
            <w:pPr>
              <w:ind w:firstLine="522"/>
              <w:jc w:val="both"/>
            </w:pPr>
            <w:r>
              <w:rPr>
                <w:b/>
                <w:sz w:val="24"/>
              </w:rPr>
              <w:t>10.政策解读宣传服务</w:t>
            </w:r>
          </w:p>
          <w:p>
            <w:pPr>
              <w:ind w:firstLine="520"/>
              <w:jc w:val="left"/>
            </w:pPr>
            <w:r>
              <w:rPr>
                <w:sz w:val="24"/>
              </w:rPr>
              <w:t>（</w:t>
            </w:r>
            <w:r>
              <w:rPr>
                <w:sz w:val="24"/>
              </w:rPr>
              <w:t>1）根据提供的政策文字材料以及相关需求，制作成图解、音频或动画视频等宣传产品；</w:t>
            </w:r>
          </w:p>
          <w:p>
            <w:pPr>
              <w:ind w:firstLine="520"/>
              <w:jc w:val="left"/>
            </w:pPr>
            <w:r>
              <w:rPr>
                <w:sz w:val="24"/>
              </w:rPr>
              <w:t>（</w:t>
            </w:r>
            <w:r>
              <w:rPr>
                <w:sz w:val="24"/>
              </w:rPr>
              <w:t>2）制作数量：服务期内需制作2个动画视频（长度在3分钟左右）、2个解读音频（长度在3分钟左右）、6个政策图解，合计共10个政策解读宣传产品；为期一年。</w:t>
            </w:r>
          </w:p>
          <w:p>
            <w:pPr>
              <w:ind w:firstLine="522"/>
              <w:jc w:val="both"/>
            </w:pPr>
            <w:r>
              <w:rPr>
                <w:b/>
                <w:sz w:val="24"/>
              </w:rPr>
              <w:t>11.适老化功能维护</w:t>
            </w:r>
          </w:p>
          <w:p>
            <w:pPr>
              <w:ind w:firstLine="520"/>
              <w:jc w:val="both"/>
            </w:pPr>
            <w:r>
              <w:rPr>
                <w:sz w:val="24"/>
              </w:rPr>
              <w:t>对市政府门户网站、市直单位的部门频道栏目提供适老化功能维护服务，包括规范符合性维护、稳定性维护。</w:t>
            </w:r>
          </w:p>
          <w:p>
            <w:pPr>
              <w:ind w:firstLine="520"/>
              <w:jc w:val="both"/>
            </w:pPr>
            <w:r>
              <w:rPr>
                <w:sz w:val="24"/>
              </w:rPr>
              <w:t>（</w:t>
            </w:r>
            <w:r>
              <w:rPr>
                <w:sz w:val="24"/>
              </w:rPr>
              <w:t>1）规范符合性维护</w:t>
            </w:r>
          </w:p>
          <w:p>
            <w:pPr>
              <w:ind w:firstLine="520"/>
              <w:jc w:val="both"/>
            </w:pPr>
            <w:r>
              <w:rPr>
                <w:sz w:val="24"/>
              </w:rPr>
              <w:t>1）可感知性</w:t>
            </w:r>
            <w:r>
              <w:rPr>
                <w:sz w:val="24"/>
              </w:rPr>
              <w:t>维护</w:t>
            </w:r>
          </w:p>
          <w:p>
            <w:pPr>
              <w:ind w:firstLine="520"/>
              <w:jc w:val="both"/>
            </w:pPr>
            <w:r>
              <w:rPr>
                <w:sz w:val="24"/>
              </w:rPr>
              <w:t>A.实时监测网站或应用有无出现新的页面，如有检测页面中的非文本或组件及控件有无文字标注，如无做及时处理。</w:t>
            </w:r>
          </w:p>
          <w:p>
            <w:pPr>
              <w:ind w:firstLine="520"/>
              <w:jc w:val="both"/>
            </w:pPr>
            <w:r>
              <w:rPr>
                <w:sz w:val="24"/>
              </w:rPr>
              <w:t>B.实时监测网站或应用中的页面是否增加新的服务内容或版块，如有及时提供智能盲道。</w:t>
            </w:r>
          </w:p>
          <w:p>
            <w:pPr>
              <w:ind w:firstLine="520"/>
              <w:jc w:val="both"/>
            </w:pPr>
            <w:r>
              <w:rPr>
                <w:sz w:val="24"/>
              </w:rPr>
              <w:t>C.实时监测网站或应用是否增加新的服务项目、信息栏目或专题内容，如有全面解析和及时处理。</w:t>
            </w:r>
          </w:p>
          <w:p>
            <w:pPr>
              <w:ind w:firstLine="520"/>
              <w:jc w:val="both"/>
            </w:pPr>
            <w:r>
              <w:rPr>
                <w:sz w:val="24"/>
              </w:rPr>
              <w:t>2）可操作性</w:t>
            </w:r>
            <w:r>
              <w:rPr>
                <w:sz w:val="24"/>
              </w:rPr>
              <w:t>维护</w:t>
            </w:r>
          </w:p>
          <w:p>
            <w:pPr>
              <w:ind w:firstLine="520"/>
              <w:jc w:val="both"/>
            </w:pPr>
            <w:r>
              <w:rPr>
                <w:sz w:val="24"/>
              </w:rPr>
              <w:t>A.如网站或应用页面增加了新的内容，及时提供键盘或焦点操作支撑。</w:t>
            </w:r>
          </w:p>
          <w:p>
            <w:pPr>
              <w:ind w:firstLine="520"/>
              <w:jc w:val="both"/>
            </w:pPr>
            <w:r>
              <w:rPr>
                <w:sz w:val="24"/>
              </w:rPr>
              <w:t>B.如网站或应用增加新的栏目或页面，及时提供键盘或焦点操作支撑。</w:t>
            </w:r>
          </w:p>
          <w:p>
            <w:pPr>
              <w:ind w:firstLine="520"/>
              <w:jc w:val="both"/>
            </w:pPr>
            <w:r>
              <w:rPr>
                <w:sz w:val="24"/>
              </w:rPr>
              <w:t>3）兼容性</w:t>
            </w:r>
            <w:r>
              <w:rPr>
                <w:sz w:val="24"/>
              </w:rPr>
              <w:t>维护</w:t>
            </w:r>
          </w:p>
          <w:p>
            <w:pPr>
              <w:ind w:firstLine="520"/>
              <w:jc w:val="both"/>
            </w:pPr>
            <w:r>
              <w:rPr>
                <w:sz w:val="24"/>
              </w:rPr>
              <w:t>A.新增栏目或网页新增内容，对包括读屏软件在内的各类</w:t>
            </w:r>
            <w:r>
              <w:rPr>
                <w:sz w:val="24"/>
              </w:rPr>
              <w:t>辅助软件访问是否不友好，如有及时调整在线解析技术。</w:t>
            </w:r>
          </w:p>
          <w:p>
            <w:pPr>
              <w:ind w:firstLine="520"/>
              <w:jc w:val="both"/>
            </w:pPr>
            <w:r>
              <w:rPr>
                <w:sz w:val="24"/>
              </w:rPr>
              <w:t>B.在网站或应用增加新的服务或页面，或有关页面增加新的内容，在解析处理符合规范的同时，应为第三方智能控制及时提供操作接口。</w:t>
            </w:r>
          </w:p>
          <w:p>
            <w:pPr>
              <w:ind w:firstLine="520"/>
              <w:jc w:val="both"/>
            </w:pPr>
            <w:r>
              <w:rPr>
                <w:sz w:val="24"/>
              </w:rPr>
              <w:t>（</w:t>
            </w:r>
            <w:r>
              <w:rPr>
                <w:sz w:val="24"/>
              </w:rPr>
              <w:t>2）稳定性维护</w:t>
            </w:r>
          </w:p>
          <w:p>
            <w:pPr>
              <w:ind w:firstLine="520"/>
              <w:jc w:val="both"/>
            </w:pPr>
            <w:r>
              <w:rPr>
                <w:sz w:val="24"/>
              </w:rPr>
              <w:t>1）无障碍系统前端异常维护及服务升级（与系统同步）。</w:t>
            </w:r>
          </w:p>
          <w:p>
            <w:pPr>
              <w:ind w:firstLine="520"/>
              <w:jc w:val="both"/>
            </w:pPr>
            <w:r>
              <w:rPr>
                <w:sz w:val="24"/>
              </w:rPr>
              <w:t>2）无障碍系统应用软件维护与服务升级。服务内容：语音合成系统及语音包、服务版本调度系统等异常维护，以及服务升级。</w:t>
            </w:r>
          </w:p>
          <w:p>
            <w:pPr>
              <w:ind w:firstLine="520"/>
              <w:jc w:val="both"/>
            </w:pPr>
            <w:r>
              <w:rPr>
                <w:sz w:val="24"/>
              </w:rPr>
              <w:t>3）无障碍系统应用软件维护升级</w:t>
            </w:r>
            <w:r>
              <w:rPr>
                <w:sz w:val="24"/>
              </w:rPr>
              <w:t>（系统系列软件异常维护</w:t>
            </w:r>
            <w:r>
              <w:rPr>
                <w:sz w:val="24"/>
              </w:rPr>
              <w:t>）。</w:t>
            </w:r>
          </w:p>
          <w:p>
            <w:pPr>
              <w:ind w:firstLine="482"/>
              <w:jc w:val="both"/>
            </w:pPr>
            <w:r>
              <w:rPr>
                <w:b/>
                <w:sz w:val="24"/>
              </w:rPr>
              <w:t>(二)2023年市政数局江门市公共视频会议系统运维项目</w:t>
            </w:r>
          </w:p>
          <w:p>
            <w:pPr>
              <w:ind w:firstLine="482"/>
              <w:jc w:val="both"/>
            </w:pPr>
            <w:r>
              <w:rPr>
                <w:b/>
                <w:sz w:val="24"/>
              </w:rPr>
              <w:t>一）现状</w:t>
            </w:r>
          </w:p>
          <w:p>
            <w:pPr>
              <w:ind w:firstLine="480"/>
              <w:jc w:val="both"/>
            </w:pPr>
            <w:r>
              <w:rPr>
                <w:sz w:val="24"/>
              </w:rPr>
              <w:t>（</w:t>
            </w:r>
            <w:r>
              <w:rPr>
                <w:sz w:val="24"/>
              </w:rPr>
              <w:t>1）视频会议管理平台及主MCU</w:t>
            </w:r>
          </w:p>
          <w:p>
            <w:pPr>
              <w:ind w:firstLine="480"/>
              <w:jc w:val="both"/>
            </w:pPr>
            <w:r>
              <w:rPr>
                <w:sz w:val="24"/>
              </w:rPr>
              <w:t>江门市公共视频会议管理系统、</w:t>
            </w:r>
            <w:r>
              <w:rPr>
                <w:sz w:val="24"/>
              </w:rPr>
              <w:t>1套MCU、1套录播设备安装在市大数据管理中心机房里。</w:t>
            </w:r>
          </w:p>
          <w:p>
            <w:pPr>
              <w:ind w:firstLine="480"/>
              <w:jc w:val="both"/>
            </w:pPr>
            <w:r>
              <w:rPr>
                <w:sz w:val="24"/>
              </w:rPr>
              <w:t>（</w:t>
            </w:r>
            <w:r>
              <w:rPr>
                <w:sz w:val="24"/>
              </w:rPr>
              <w:t>2）市府办主会场</w:t>
            </w:r>
          </w:p>
          <w:p>
            <w:pPr>
              <w:ind w:firstLine="480"/>
              <w:jc w:val="both"/>
            </w:pPr>
            <w:r>
              <w:rPr>
                <w:sz w:val="24"/>
              </w:rPr>
              <w:t>主会场设在江门市政府大会堂、小会堂，</w:t>
            </w:r>
            <w:r>
              <w:rPr>
                <w:sz w:val="24"/>
              </w:rPr>
              <w:t>1号楼2楼、3楼、4楼和1号楼市委市政府总值班室分别部署了1套（共6套）视频会议硬终端。另外，1号楼2、3楼会议室分别部署了1套电视墙服务器。</w:t>
            </w:r>
          </w:p>
          <w:p>
            <w:pPr>
              <w:ind w:firstLine="480"/>
              <w:jc w:val="both"/>
            </w:pPr>
            <w:r>
              <w:rPr>
                <w:sz w:val="24"/>
              </w:rPr>
              <w:t>（</w:t>
            </w:r>
            <w:r>
              <w:rPr>
                <w:sz w:val="24"/>
              </w:rPr>
              <w:t>3） 各市区会场</w:t>
            </w:r>
          </w:p>
          <w:p>
            <w:pPr>
              <w:ind w:firstLine="480"/>
              <w:jc w:val="both"/>
            </w:pPr>
            <w:r>
              <w:rPr>
                <w:sz w:val="24"/>
              </w:rPr>
              <w:t>四市三区的市（区）府会议室和鹤山党校的大会议室各部署</w:t>
            </w:r>
            <w:r>
              <w:rPr>
                <w:sz w:val="24"/>
              </w:rPr>
              <w:t>1套（共8套）视频会议终端，四市三区分别部署有1套MCU（共7套），实现本市区的级联。</w:t>
            </w:r>
          </w:p>
          <w:p>
            <w:pPr>
              <w:ind w:firstLine="480"/>
              <w:jc w:val="both"/>
            </w:pPr>
            <w:r>
              <w:rPr>
                <w:sz w:val="24"/>
              </w:rPr>
              <w:t>（</w:t>
            </w:r>
            <w:r>
              <w:rPr>
                <w:sz w:val="24"/>
              </w:rPr>
              <w:t>4）市直单位会场</w:t>
            </w:r>
          </w:p>
          <w:p>
            <w:pPr>
              <w:ind w:firstLine="480"/>
              <w:jc w:val="both"/>
            </w:pPr>
            <w:r>
              <w:rPr>
                <w:sz w:val="24"/>
              </w:rPr>
              <w:t>江门市公安局、江门市海事局、江门市农业农村局、江门市交通运输局、江门市水利局、江门市生态环境局、江门市消防局、江门市自然资源局、江门市气象局、江门市政务服务数据管理局、江门市工业和信息化局、江门市信访局、江门市统计局、江门市发展和改革局</w:t>
            </w:r>
            <w:r>
              <w:rPr>
                <w:sz w:val="24"/>
              </w:rPr>
              <w:t>2楼和3楼、江门市供电局各部署1套（共16套）视频会议终端。</w:t>
            </w:r>
          </w:p>
          <w:p>
            <w:pPr>
              <w:ind w:firstLine="480"/>
              <w:jc w:val="left"/>
            </w:pPr>
            <w:r>
              <w:rPr>
                <w:sz w:val="24"/>
              </w:rPr>
              <w:t>（</w:t>
            </w:r>
            <w:r>
              <w:rPr>
                <w:sz w:val="24"/>
              </w:rPr>
              <w:t>5）四市三区的水利局会场</w:t>
            </w:r>
          </w:p>
          <w:p>
            <w:pPr>
              <w:ind w:firstLine="480"/>
              <w:jc w:val="both"/>
            </w:pPr>
            <w:r>
              <w:rPr>
                <w:sz w:val="24"/>
              </w:rPr>
              <w:t>四市三区的水利局各部署</w:t>
            </w:r>
            <w:r>
              <w:rPr>
                <w:sz w:val="24"/>
              </w:rPr>
              <w:t>1套（共7套）视频会议终端。</w:t>
            </w:r>
          </w:p>
          <w:p>
            <w:pPr>
              <w:ind w:firstLine="480"/>
              <w:jc w:val="left"/>
            </w:pPr>
            <w:r>
              <w:rPr>
                <w:sz w:val="24"/>
              </w:rPr>
              <w:t>（</w:t>
            </w:r>
            <w:r>
              <w:rPr>
                <w:sz w:val="24"/>
              </w:rPr>
              <w:t>6）四市三区的信访局会场</w:t>
            </w:r>
          </w:p>
          <w:p>
            <w:pPr>
              <w:ind w:firstLine="480"/>
              <w:jc w:val="both"/>
            </w:pPr>
            <w:r>
              <w:rPr>
                <w:sz w:val="24"/>
              </w:rPr>
              <w:t>四市三区的信访局各部署</w:t>
            </w:r>
            <w:r>
              <w:rPr>
                <w:sz w:val="24"/>
              </w:rPr>
              <w:t>1套（共7套）视频会议终端。</w:t>
            </w:r>
          </w:p>
          <w:p>
            <w:pPr>
              <w:ind w:firstLine="480"/>
              <w:jc w:val="left"/>
            </w:pPr>
            <w:r>
              <w:rPr>
                <w:sz w:val="24"/>
              </w:rPr>
              <w:t>（</w:t>
            </w:r>
            <w:r>
              <w:rPr>
                <w:sz w:val="24"/>
              </w:rPr>
              <w:t>7）四市三区的统计局会场</w:t>
            </w:r>
          </w:p>
          <w:p>
            <w:pPr>
              <w:ind w:firstLine="480"/>
              <w:jc w:val="both"/>
            </w:pPr>
            <w:r>
              <w:rPr>
                <w:sz w:val="24"/>
              </w:rPr>
              <w:t>四市三区的统计局各部署</w:t>
            </w:r>
            <w:r>
              <w:rPr>
                <w:sz w:val="24"/>
              </w:rPr>
              <w:t>1套（共7套）视频会议终端。</w:t>
            </w:r>
          </w:p>
          <w:p>
            <w:pPr>
              <w:ind w:firstLine="480"/>
              <w:jc w:val="left"/>
            </w:pPr>
            <w:r>
              <w:rPr>
                <w:sz w:val="24"/>
              </w:rPr>
              <w:t>（</w:t>
            </w:r>
            <w:r>
              <w:rPr>
                <w:sz w:val="24"/>
              </w:rPr>
              <w:t>8）四市三区的发展和改革局会场</w:t>
            </w:r>
          </w:p>
          <w:p>
            <w:pPr>
              <w:ind w:firstLine="480"/>
              <w:jc w:val="both"/>
            </w:pPr>
            <w:r>
              <w:rPr>
                <w:sz w:val="24"/>
              </w:rPr>
              <w:t>四市三区的发改局各部署</w:t>
            </w:r>
            <w:r>
              <w:rPr>
                <w:sz w:val="24"/>
              </w:rPr>
              <w:t>1套（共7套）视频会议终端。</w:t>
            </w:r>
          </w:p>
          <w:p>
            <w:pPr>
              <w:ind w:firstLine="480"/>
              <w:jc w:val="left"/>
            </w:pPr>
            <w:r>
              <w:rPr>
                <w:sz w:val="24"/>
              </w:rPr>
              <w:t>（</w:t>
            </w:r>
            <w:r>
              <w:rPr>
                <w:sz w:val="24"/>
              </w:rPr>
              <w:t>9）四市三区的政务服务数据管理局会场</w:t>
            </w:r>
          </w:p>
          <w:p>
            <w:pPr>
              <w:ind w:firstLine="520"/>
              <w:jc w:val="both"/>
            </w:pPr>
            <w:r>
              <w:rPr>
                <w:sz w:val="24"/>
              </w:rPr>
              <w:t>四市三区的发改局各部署</w:t>
            </w:r>
            <w:r>
              <w:rPr>
                <w:sz w:val="24"/>
              </w:rPr>
              <w:t>1套（共7套）视频会议终端。</w:t>
            </w:r>
          </w:p>
          <w:p>
            <w:pPr>
              <w:ind w:firstLine="482"/>
              <w:jc w:val="both"/>
            </w:pPr>
            <w:r>
              <w:rPr>
                <w:b/>
                <w:sz w:val="24"/>
              </w:rPr>
              <w:t>二）需求概况</w:t>
            </w:r>
          </w:p>
          <w:p>
            <w:pPr>
              <w:ind w:firstLine="480"/>
              <w:jc w:val="both"/>
            </w:pPr>
            <w:r>
              <w:rPr>
                <w:sz w:val="24"/>
              </w:rPr>
              <w:t>（</w:t>
            </w:r>
            <w:r>
              <w:rPr>
                <w:sz w:val="24"/>
              </w:rPr>
              <w:t>1）基础设施维护：提供市直和四市三区视频会议MCU 8套，视频会议硬终端 65套，电视墙服务器2套，录播服务器1套以及视频会议相关的设备维护管理。</w:t>
            </w:r>
          </w:p>
          <w:p>
            <w:pPr>
              <w:ind w:firstLine="480"/>
              <w:jc w:val="both"/>
            </w:pPr>
            <w:r>
              <w:rPr>
                <w:sz w:val="24"/>
              </w:rPr>
              <w:t>（</w:t>
            </w:r>
            <w:r>
              <w:rPr>
                <w:sz w:val="24"/>
              </w:rPr>
              <w:t>2）软件及信息资源维护：提供江门市公共视频会议管理平台和信息资源维护管理。</w:t>
            </w:r>
          </w:p>
          <w:p>
            <w:pPr>
              <w:ind w:firstLine="480"/>
              <w:jc w:val="both"/>
            </w:pPr>
            <w:r>
              <w:rPr>
                <w:sz w:val="24"/>
              </w:rPr>
              <w:t>（</w:t>
            </w:r>
            <w:r>
              <w:rPr>
                <w:sz w:val="24"/>
              </w:rPr>
              <w:t>3）其他内容与服务：提供应用市公共视频会议系统的视频会议综合管理、调研分析、视频会议专人组会联调服务和运维监管安排工作。</w:t>
            </w:r>
          </w:p>
          <w:p>
            <w:pPr>
              <w:ind w:firstLine="482"/>
              <w:jc w:val="both"/>
            </w:pPr>
            <w:r>
              <w:rPr>
                <w:b/>
                <w:sz w:val="24"/>
              </w:rPr>
              <w:t>三）服务内容</w:t>
            </w:r>
          </w:p>
          <w:p>
            <w:pPr>
              <w:ind w:firstLine="482"/>
              <w:jc w:val="left"/>
            </w:pPr>
            <w:r>
              <w:rPr>
                <w:b/>
                <w:sz w:val="24"/>
              </w:rPr>
              <w:t>1.基础设施维护</w:t>
            </w:r>
          </w:p>
          <w:p>
            <w:pPr>
              <w:ind w:firstLine="480"/>
              <w:jc w:val="both"/>
            </w:pPr>
            <w:r>
              <w:rPr>
                <w:sz w:val="24"/>
              </w:rPr>
              <w:t>（</w:t>
            </w:r>
            <w:r>
              <w:rPr>
                <w:sz w:val="24"/>
              </w:rPr>
              <w:t>1）</w:t>
            </w:r>
            <w:r>
              <w:rPr>
                <w:sz w:val="24"/>
              </w:rPr>
              <w:t>每月对市公共视频会议系统中的</w:t>
            </w:r>
            <w:r>
              <w:rPr>
                <w:sz w:val="24"/>
              </w:rPr>
              <w:t>8套MCU、2套电视墙服务器、1套录播服务器、65套视频会议终端和65套视频会议扩音设备及视频输出设备的软硬件功能进行一次定期巡检，检查内容主要包括设备状态检查、连接线缆检查，及时发现和排除各类隐患、故障保持视频会议系统良好状态。并根据客户使用情况不限制工作日进行远程或上门调试测试工作。</w:t>
            </w:r>
          </w:p>
          <w:p>
            <w:pPr>
              <w:ind w:firstLine="480"/>
              <w:jc w:val="left"/>
            </w:pPr>
            <w:r>
              <w:rPr>
                <w:sz w:val="24"/>
              </w:rPr>
              <w:t>（</w:t>
            </w:r>
            <w:r>
              <w:rPr>
                <w:sz w:val="24"/>
              </w:rPr>
              <w:t>2）</w:t>
            </w:r>
            <w:r>
              <w:rPr>
                <w:sz w:val="24"/>
              </w:rPr>
              <w:t>每季度提供主动预防性维护，进行一次全面的功能测试性检查。主要是对正在运行的设备进行周期性检测，通过检测发现设备潜在的问题，及早解决，防患于未然。根据设备本身运行情况以及设备在整个系统环境中的重要性不同，有针对性地制定相应的预防性维护方案，以保证设备正常运行。</w:t>
            </w:r>
          </w:p>
          <w:p>
            <w:pPr>
              <w:ind w:firstLine="520"/>
              <w:jc w:val="both"/>
            </w:pPr>
            <w:r>
              <w:rPr>
                <w:sz w:val="24"/>
              </w:rPr>
              <w:t>主动预防性维护工作流程：</w:t>
            </w:r>
          </w:p>
          <w:p>
            <w:pPr>
              <w:ind w:firstLine="520"/>
              <w:jc w:val="left"/>
            </w:pPr>
            <w:r>
              <w:rPr>
                <w:sz w:val="24"/>
              </w:rPr>
              <w:t>1）制定日程安排表。</w:t>
            </w:r>
          </w:p>
          <w:p>
            <w:pPr>
              <w:ind w:firstLine="520"/>
              <w:jc w:val="left"/>
            </w:pPr>
            <w:r>
              <w:rPr>
                <w:sz w:val="24"/>
              </w:rPr>
              <w:t>2）以电话、微信等方式提前与用户确认服务时间。</w:t>
            </w:r>
          </w:p>
          <w:p>
            <w:pPr>
              <w:ind w:firstLine="520"/>
              <w:jc w:val="left"/>
            </w:pPr>
            <w:r>
              <w:rPr>
                <w:sz w:val="24"/>
              </w:rPr>
              <w:t>3）按照制订的的具体维护保养服务内容，对系统（设备）进行逐项的检查、保养。</w:t>
            </w:r>
          </w:p>
          <w:p>
            <w:pPr>
              <w:ind w:firstLine="520"/>
              <w:jc w:val="left"/>
            </w:pPr>
            <w:r>
              <w:rPr>
                <w:sz w:val="24"/>
              </w:rPr>
              <w:t>4）记录预防维护结果，并交由客户进行确认并签字。</w:t>
            </w:r>
          </w:p>
          <w:p>
            <w:pPr>
              <w:ind w:firstLine="520"/>
              <w:jc w:val="both"/>
            </w:pPr>
            <w:r>
              <w:rPr>
                <w:sz w:val="24"/>
              </w:rPr>
              <w:t>具体的每项设备预防性维护服务内容如下：</w:t>
            </w:r>
          </w:p>
          <w:p>
            <w:pPr>
              <w:ind w:firstLine="520"/>
              <w:jc w:val="left"/>
            </w:pPr>
            <w:r>
              <w:rPr>
                <w:sz w:val="24"/>
              </w:rPr>
              <w:t>A.1套多点控制单元（MCU）预防性维护服务（江门市大数据管理中心机房）</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多点控制单元（</w:t>
                  </w:r>
                  <w:r>
                    <w:rPr>
                      <w:sz w:val="24"/>
                    </w:rPr>
                    <w:t>MCU）预防性维护服务</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2）设备工作日志的查阅。</w:t>
                  </w:r>
                </w:p>
                <w:p>
                  <w:pPr>
                    <w:jc w:val="left"/>
                  </w:pPr>
                  <w:r>
                    <w:rPr>
                      <w:sz w:val="24"/>
                    </w:rPr>
                    <w:t>（</w:t>
                  </w:r>
                  <w:r>
                    <w:rPr>
                      <w:sz w:val="24"/>
                    </w:rPr>
                    <w:t>3）设备系统温度。</w:t>
                  </w:r>
                </w:p>
                <w:p>
                  <w:pPr>
                    <w:jc w:val="left"/>
                  </w:pPr>
                  <w:r>
                    <w:rPr>
                      <w:sz w:val="24"/>
                    </w:rPr>
                    <w:t>（</w:t>
                  </w:r>
                  <w:r>
                    <w:rPr>
                      <w:sz w:val="24"/>
                    </w:rPr>
                    <w:t>4）设备风扇及电源运行状态。</w:t>
                  </w:r>
                </w:p>
                <w:p>
                  <w:pPr>
                    <w:jc w:val="left"/>
                  </w:pPr>
                  <w:r>
                    <w:rPr>
                      <w:sz w:val="24"/>
                    </w:rPr>
                    <w:t>（</w:t>
                  </w:r>
                  <w:r>
                    <w:rPr>
                      <w:sz w:val="24"/>
                    </w:rPr>
                    <w:t>5）设备工作状态及性能的检查。</w:t>
                  </w:r>
                </w:p>
                <w:p>
                  <w:pPr>
                    <w:jc w:val="left"/>
                  </w:pPr>
                  <w:r>
                    <w:rPr>
                      <w:sz w:val="24"/>
                    </w:rPr>
                    <w:t>（</w:t>
                  </w:r>
                  <w:r>
                    <w:rPr>
                      <w:sz w:val="24"/>
                    </w:rPr>
                    <w:t>6）设备功能的检查。</w:t>
                  </w:r>
                </w:p>
              </w:tc>
            </w:tr>
          </w:tbl>
          <w:p>
            <w:pPr>
              <w:jc w:val="left"/>
            </w:pPr>
            <w:r>
              <w:rPr>
                <w:sz w:val="24"/>
              </w:rPr>
              <w:t>B.7套多点控制单元（MCU）预防性维护服务（四市三区）</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多点控制单元（</w:t>
                  </w:r>
                  <w:r>
                    <w:rPr>
                      <w:sz w:val="24"/>
                    </w:rPr>
                    <w:t>MCU）预防性维护服务</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2）设备工作日志的查阅。</w:t>
                  </w:r>
                </w:p>
                <w:p>
                  <w:pPr>
                    <w:jc w:val="left"/>
                  </w:pPr>
                  <w:r>
                    <w:rPr>
                      <w:sz w:val="24"/>
                    </w:rPr>
                    <w:t>（</w:t>
                  </w:r>
                  <w:r>
                    <w:rPr>
                      <w:sz w:val="24"/>
                    </w:rPr>
                    <w:t>3）设备系统温度。</w:t>
                  </w:r>
                </w:p>
                <w:p>
                  <w:pPr>
                    <w:jc w:val="left"/>
                  </w:pPr>
                  <w:r>
                    <w:rPr>
                      <w:sz w:val="24"/>
                    </w:rPr>
                    <w:t>（</w:t>
                  </w:r>
                  <w:r>
                    <w:rPr>
                      <w:sz w:val="24"/>
                    </w:rPr>
                    <w:t>4）设备风扇及电源运行状态。</w:t>
                  </w:r>
                </w:p>
                <w:p>
                  <w:pPr>
                    <w:jc w:val="left"/>
                  </w:pPr>
                  <w:r>
                    <w:rPr>
                      <w:sz w:val="24"/>
                    </w:rPr>
                    <w:t>（</w:t>
                  </w:r>
                  <w:r>
                    <w:rPr>
                      <w:sz w:val="24"/>
                    </w:rPr>
                    <w:t>5）设备工作状态及性能的检查。</w:t>
                  </w:r>
                </w:p>
                <w:p>
                  <w:pPr>
                    <w:jc w:val="left"/>
                  </w:pPr>
                  <w:r>
                    <w:rPr>
                      <w:sz w:val="24"/>
                    </w:rPr>
                    <w:t>（</w:t>
                  </w:r>
                  <w:r>
                    <w:rPr>
                      <w:sz w:val="24"/>
                    </w:rPr>
                    <w:t>6）设备功能的检查。</w:t>
                  </w:r>
                </w:p>
              </w:tc>
            </w:tr>
          </w:tbl>
          <w:p>
            <w:pPr>
              <w:jc w:val="left"/>
            </w:pPr>
            <w:r>
              <w:rPr>
                <w:sz w:val="24"/>
              </w:rPr>
              <w:t>C.65套视频会议终端预防性维护服务（主会场及各分会场）</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视频会议终端预防性维护服务</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2）设备系统温度。</w:t>
                  </w:r>
                </w:p>
                <w:p>
                  <w:pPr>
                    <w:jc w:val="left"/>
                  </w:pPr>
                  <w:r>
                    <w:rPr>
                      <w:sz w:val="24"/>
                    </w:rPr>
                    <w:t>（</w:t>
                  </w:r>
                  <w:r>
                    <w:rPr>
                      <w:sz w:val="24"/>
                    </w:rPr>
                    <w:t>3）设备风扇及电源运行状态。</w:t>
                  </w:r>
                </w:p>
                <w:p>
                  <w:pPr>
                    <w:jc w:val="left"/>
                  </w:pPr>
                  <w:r>
                    <w:rPr>
                      <w:sz w:val="24"/>
                    </w:rPr>
                    <w:t>（</w:t>
                  </w:r>
                  <w:r>
                    <w:rPr>
                      <w:sz w:val="24"/>
                    </w:rPr>
                    <w:t>4）设备工作状态及性能的检查。</w:t>
                  </w:r>
                </w:p>
                <w:p>
                  <w:pPr>
                    <w:jc w:val="left"/>
                  </w:pPr>
                  <w:r>
                    <w:rPr>
                      <w:sz w:val="24"/>
                    </w:rPr>
                    <w:t>（</w:t>
                  </w:r>
                  <w:r>
                    <w:rPr>
                      <w:sz w:val="24"/>
                    </w:rPr>
                    <w:t>5）设备功能的检查。</w:t>
                  </w:r>
                </w:p>
                <w:p>
                  <w:pPr>
                    <w:jc w:val="left"/>
                  </w:pPr>
                  <w:r>
                    <w:rPr>
                      <w:sz w:val="24"/>
                    </w:rPr>
                    <w:t>（</w:t>
                  </w:r>
                  <w:r>
                    <w:rPr>
                      <w:sz w:val="24"/>
                    </w:rPr>
                    <w:t>6）硬件检查：对视频会议终端的硬件进行全面检查，包括主机、摄像头、等设备。检查硬件设备的连接状态，确保其稳固可靠。检查硬件设备的正常运行状态，包括是否有物理损坏或故障。</w:t>
                  </w:r>
                </w:p>
                <w:p>
                  <w:pPr>
                    <w:jc w:val="left"/>
                  </w:pPr>
                  <w:r>
                    <w:rPr>
                      <w:sz w:val="24"/>
                    </w:rPr>
                    <w:t>（</w:t>
                  </w:r>
                  <w:r>
                    <w:rPr>
                      <w:sz w:val="24"/>
                    </w:rPr>
                    <w:t>7）会议设置检查：检查视频会议终端的会议设置，确保会议室的布局、摄像头角度、麦克风灵敏度等参数设置正确。</w:t>
                  </w:r>
                </w:p>
                <w:p>
                  <w:pPr>
                    <w:jc w:val="left"/>
                  </w:pPr>
                  <w:r>
                    <w:rPr>
                      <w:sz w:val="24"/>
                    </w:rPr>
                    <w:t>（</w:t>
                  </w:r>
                  <w:r>
                    <w:rPr>
                      <w:sz w:val="24"/>
                    </w:rPr>
                    <w:t>8）对会议设备的连接进行检查，确保各设备之间的通信正常。</w:t>
                  </w:r>
                </w:p>
                <w:p>
                  <w:pPr>
                    <w:jc w:val="left"/>
                  </w:pPr>
                  <w:r>
                    <w:rPr>
                      <w:sz w:val="24"/>
                    </w:rPr>
                    <w:t>（</w:t>
                  </w:r>
                  <w:r>
                    <w:rPr>
                      <w:sz w:val="24"/>
                    </w:rPr>
                    <w:t>9）定期记录视频会议终端的运行日志，包括设备启动日志、异常日志等。对日志进行分析，发现异常情况并及时处理，以避免潜在的故障发生。</w:t>
                  </w:r>
                </w:p>
              </w:tc>
            </w:tr>
          </w:tbl>
          <w:p>
            <w:pPr>
              <w:jc w:val="left"/>
            </w:pPr>
            <w:r>
              <w:rPr>
                <w:sz w:val="24"/>
              </w:rPr>
              <w:t>D.2套电视墙服务器预防性维护服务（江门市政府1号楼）</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电视墙服务器预防性维护服务（市大数据管理中心机房）</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2）设备工作日志的查阅。</w:t>
                  </w:r>
                </w:p>
                <w:p>
                  <w:pPr>
                    <w:jc w:val="left"/>
                  </w:pPr>
                  <w:r>
                    <w:rPr>
                      <w:sz w:val="24"/>
                    </w:rPr>
                    <w:t>（</w:t>
                  </w:r>
                  <w:r>
                    <w:rPr>
                      <w:sz w:val="24"/>
                    </w:rPr>
                    <w:t>3）设备系统温度。</w:t>
                  </w:r>
                </w:p>
                <w:p>
                  <w:pPr>
                    <w:jc w:val="left"/>
                  </w:pPr>
                  <w:r>
                    <w:rPr>
                      <w:sz w:val="24"/>
                    </w:rPr>
                    <w:t>（</w:t>
                  </w:r>
                  <w:r>
                    <w:rPr>
                      <w:sz w:val="24"/>
                    </w:rPr>
                    <w:t>4）设备风扇及电源运行状态。</w:t>
                  </w:r>
                </w:p>
                <w:p>
                  <w:pPr>
                    <w:jc w:val="left"/>
                  </w:pPr>
                  <w:r>
                    <w:rPr>
                      <w:sz w:val="24"/>
                    </w:rPr>
                    <w:t>（</w:t>
                  </w:r>
                  <w:r>
                    <w:rPr>
                      <w:sz w:val="24"/>
                    </w:rPr>
                    <w:t>5）设备工作状态及性能的检查。</w:t>
                  </w:r>
                </w:p>
                <w:p>
                  <w:pPr>
                    <w:jc w:val="left"/>
                  </w:pPr>
                  <w:r>
                    <w:rPr>
                      <w:sz w:val="24"/>
                    </w:rPr>
                    <w:t>（</w:t>
                  </w:r>
                  <w:r>
                    <w:rPr>
                      <w:sz w:val="24"/>
                    </w:rPr>
                    <w:t>6）设备功能的检查。</w:t>
                  </w:r>
                </w:p>
              </w:tc>
            </w:tr>
          </w:tbl>
          <w:p>
            <w:pPr>
              <w:jc w:val="both"/>
            </w:pPr>
            <w:r>
              <w:rPr>
                <w:sz w:val="24"/>
              </w:rPr>
              <w:t>E.1套录播服务器预防性维护服务（江门市大数据管理中心机房）</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录播服务器预防性维护服务（市大数据管理中心机房）</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2）设备工作日志的查阅。</w:t>
                  </w:r>
                </w:p>
                <w:p>
                  <w:pPr>
                    <w:jc w:val="left"/>
                  </w:pPr>
                  <w:r>
                    <w:rPr>
                      <w:sz w:val="24"/>
                    </w:rPr>
                    <w:t>（</w:t>
                  </w:r>
                  <w:r>
                    <w:rPr>
                      <w:sz w:val="24"/>
                    </w:rPr>
                    <w:t>3）设备系统温度。</w:t>
                  </w:r>
                </w:p>
                <w:p>
                  <w:pPr>
                    <w:jc w:val="left"/>
                  </w:pPr>
                  <w:r>
                    <w:rPr>
                      <w:sz w:val="24"/>
                    </w:rPr>
                    <w:t>（</w:t>
                  </w:r>
                  <w:r>
                    <w:rPr>
                      <w:sz w:val="24"/>
                    </w:rPr>
                    <w:t>4）设备风扇及电源运行状态。</w:t>
                  </w:r>
                </w:p>
                <w:p>
                  <w:pPr>
                    <w:jc w:val="left"/>
                  </w:pPr>
                  <w:r>
                    <w:rPr>
                      <w:sz w:val="24"/>
                    </w:rPr>
                    <w:t>（</w:t>
                  </w:r>
                  <w:r>
                    <w:rPr>
                      <w:sz w:val="24"/>
                    </w:rPr>
                    <w:t>5）设备工作状态及性能的检查。</w:t>
                  </w:r>
                </w:p>
                <w:p>
                  <w:pPr>
                    <w:jc w:val="left"/>
                  </w:pPr>
                  <w:r>
                    <w:rPr>
                      <w:sz w:val="24"/>
                    </w:rPr>
                    <w:t>（</w:t>
                  </w:r>
                  <w:r>
                    <w:rPr>
                      <w:sz w:val="24"/>
                    </w:rPr>
                    <w:t>6）设备功能的检查。</w:t>
                  </w:r>
                </w:p>
              </w:tc>
            </w:tr>
          </w:tbl>
          <w:p>
            <w:pPr>
              <w:jc w:val="left"/>
            </w:pPr>
            <w:r>
              <w:rPr>
                <w:sz w:val="24"/>
              </w:rPr>
              <w:t>F.65套视频会议扩声设备及输出设备（主会场及各分会场）</w:t>
            </w:r>
          </w:p>
          <w:tbl>
            <w:tblPr>
              <w:tblBorders>
                <w:top w:val="none" w:color="000000" w:sz="4"/>
                <w:left w:val="none" w:color="000000" w:sz="4"/>
                <w:bottom w:val="none" w:color="000000" w:sz="4"/>
                <w:right w:val="none" w:color="000000" w:sz="4"/>
                <w:insideH w:val="none"/>
                <w:insideV w:val="none"/>
              </w:tblBorders>
            </w:tblPr>
            <w:tblGrid>
              <w:gridCol w:w="1139"/>
              <w:gridCol w:w="4448"/>
            </w:tblGrid>
            <w:tr>
              <w:tc>
                <w:tcPr>
                  <w:tcW w:type="dxa" w:w="1139"/>
                  <w:tcBorders>
                    <w:top w:val="single" w:color="000000" w:sz="4"/>
                    <w:left w:val="single" w:color="000000" w:sz="4"/>
                    <w:bottom w:val="single" w:color="000000" w:sz="4"/>
                    <w:right w:val="single" w:color="000000" w:sz="4"/>
                  </w:tcBorders>
                  <w:vAlign w:val="top"/>
                </w:tcPr>
                <w:p>
                  <w:pPr>
                    <w:jc w:val="center"/>
                  </w:pPr>
                  <w:r>
                    <w:rPr>
                      <w:sz w:val="24"/>
                    </w:rPr>
                    <w:t>服务描述</w:t>
                  </w:r>
                </w:p>
              </w:tc>
              <w:tc>
                <w:tcPr>
                  <w:tcW w:type="dxa" w:w="4448"/>
                  <w:tcBorders>
                    <w:top w:val="single" w:color="000000" w:sz="4"/>
                    <w:left w:val="single" w:color="000000" w:sz="4"/>
                    <w:bottom w:val="single" w:color="000000" w:sz="4"/>
                    <w:right w:val="single" w:color="000000" w:sz="4"/>
                  </w:tcBorders>
                  <w:vAlign w:val="top"/>
                </w:tcPr>
                <w:p>
                  <w:pPr>
                    <w:jc w:val="both"/>
                  </w:pPr>
                  <w:r>
                    <w:rPr>
                      <w:sz w:val="24"/>
                    </w:rPr>
                    <w:t>视频会议扩声设备及显示输出设备（主会场及各分会场）</w:t>
                  </w:r>
                </w:p>
              </w:tc>
            </w:tr>
            <w:tr>
              <w:tc>
                <w:tcPr>
                  <w:tcW w:type="dxa" w:w="1139"/>
                  <w:tcBorders>
                    <w:top w:val="none" w:color="000000" w:sz="4"/>
                    <w:left w:val="single" w:color="000000" w:sz="4"/>
                    <w:bottom w:val="single" w:color="000000" w:sz="4"/>
                    <w:right w:val="single" w:color="000000" w:sz="4"/>
                  </w:tcBorders>
                  <w:vAlign w:val="top"/>
                </w:tcPr>
                <w:p>
                  <w:pPr>
                    <w:jc w:val="center"/>
                  </w:pPr>
                  <w:r>
                    <w:rPr>
                      <w:sz w:val="24"/>
                    </w:rPr>
                    <w:t>服务内容</w:t>
                  </w:r>
                </w:p>
              </w:tc>
              <w:tc>
                <w:tcPr>
                  <w:tcW w:type="dxa" w:w="4448"/>
                  <w:tcBorders>
                    <w:top w:val="none" w:color="000000" w:sz="4"/>
                    <w:left w:val="single" w:color="000000" w:sz="4"/>
                    <w:bottom w:val="single" w:color="000000" w:sz="4"/>
                    <w:right w:val="single" w:color="000000" w:sz="4"/>
                  </w:tcBorders>
                  <w:vAlign w:val="top"/>
                </w:tcPr>
                <w:p>
                  <w:pPr>
                    <w:jc w:val="left"/>
                  </w:pPr>
                  <w:r>
                    <w:rPr>
                      <w:sz w:val="24"/>
                    </w:rPr>
                    <w:t>（</w:t>
                  </w:r>
                  <w:r>
                    <w:rPr>
                      <w:sz w:val="24"/>
                    </w:rPr>
                    <w:t>1）设备外观及指示灯。</w:t>
                  </w:r>
                </w:p>
                <w:p>
                  <w:pPr>
                    <w:jc w:val="left"/>
                  </w:pPr>
                  <w:r>
                    <w:rPr>
                      <w:sz w:val="24"/>
                    </w:rPr>
                    <w:t>（</w:t>
                  </w:r>
                  <w:r>
                    <w:rPr>
                      <w:sz w:val="24"/>
                    </w:rPr>
                    <w:t>2）设备工作日志的查阅。</w:t>
                  </w:r>
                </w:p>
                <w:p>
                  <w:pPr>
                    <w:jc w:val="left"/>
                  </w:pPr>
                  <w:r>
                    <w:rPr>
                      <w:sz w:val="24"/>
                    </w:rPr>
                    <w:t>（</w:t>
                  </w:r>
                  <w:r>
                    <w:rPr>
                      <w:sz w:val="24"/>
                    </w:rPr>
                    <w:t>3）设备系统温度。</w:t>
                  </w:r>
                </w:p>
                <w:p>
                  <w:pPr>
                    <w:jc w:val="left"/>
                  </w:pPr>
                  <w:r>
                    <w:rPr>
                      <w:sz w:val="24"/>
                    </w:rPr>
                    <w:t>（</w:t>
                  </w:r>
                  <w:r>
                    <w:rPr>
                      <w:sz w:val="24"/>
                    </w:rPr>
                    <w:t>4）设备风扇及电源运行状态。</w:t>
                  </w:r>
                </w:p>
                <w:p>
                  <w:pPr>
                    <w:jc w:val="left"/>
                  </w:pPr>
                  <w:r>
                    <w:rPr>
                      <w:sz w:val="24"/>
                    </w:rPr>
                    <w:t>（</w:t>
                  </w:r>
                  <w:r>
                    <w:rPr>
                      <w:sz w:val="24"/>
                    </w:rPr>
                    <w:t>5）设备工作状态及性能的检查。</w:t>
                  </w:r>
                </w:p>
                <w:p>
                  <w:pPr>
                    <w:jc w:val="left"/>
                  </w:pPr>
                  <w:r>
                    <w:rPr>
                      <w:sz w:val="24"/>
                    </w:rPr>
                    <w:t>（</w:t>
                  </w:r>
                  <w:r>
                    <w:rPr>
                      <w:sz w:val="24"/>
                    </w:rPr>
                    <w:t>6）设备功能的检查。</w:t>
                  </w:r>
                </w:p>
                <w:p>
                  <w:pPr>
                    <w:jc w:val="left"/>
                  </w:pPr>
                  <w:r>
                    <w:rPr>
                      <w:sz w:val="24"/>
                    </w:rPr>
                    <w:t>（</w:t>
                  </w:r>
                  <w:r>
                    <w:rPr>
                      <w:sz w:val="24"/>
                    </w:rPr>
                    <w:t>7）对视频会议扩声设备进行全面检查，包括音频接收器、扬声器、麦克风、音频混音器等。</w:t>
                  </w:r>
                </w:p>
                <w:p>
                  <w:pPr>
                    <w:jc w:val="left"/>
                  </w:pPr>
                  <w:r>
                    <w:rPr>
                      <w:sz w:val="24"/>
                    </w:rPr>
                    <w:t>（</w:t>
                  </w:r>
                  <w:r>
                    <w:rPr>
                      <w:sz w:val="24"/>
                    </w:rPr>
                    <w:t>8）检查扩声设备的外观和指示灯，确保设备没有物理损坏。</w:t>
                  </w:r>
                </w:p>
                <w:p>
                  <w:pPr>
                    <w:jc w:val="left"/>
                  </w:pPr>
                  <w:r>
                    <w:rPr>
                      <w:sz w:val="24"/>
                    </w:rPr>
                    <w:t>（</w:t>
                  </w:r>
                  <w:r>
                    <w:rPr>
                      <w:sz w:val="24"/>
                    </w:rPr>
                    <w:t>9）对视频会议输出设备进行检查，包括投影仪、显示器、屏幕、音频输出设备等。</w:t>
                  </w:r>
                </w:p>
                <w:p>
                  <w:pPr>
                    <w:jc w:val="left"/>
                  </w:pPr>
                  <w:r>
                    <w:rPr>
                      <w:sz w:val="24"/>
                    </w:rPr>
                    <w:t>（</w:t>
                  </w:r>
                  <w:r>
                    <w:rPr>
                      <w:sz w:val="24"/>
                    </w:rPr>
                    <w:t>10）检查视频会议扩声设备和输出设备的设置参数，确保其符合会议需求。</w:t>
                  </w:r>
                </w:p>
                <w:p>
                  <w:pPr>
                    <w:jc w:val="left"/>
                  </w:pPr>
                  <w:r>
                    <w:rPr>
                      <w:sz w:val="24"/>
                    </w:rPr>
                    <w:t>（</w:t>
                  </w:r>
                  <w:r>
                    <w:rPr>
                      <w:sz w:val="24"/>
                    </w:rPr>
                    <w:t>11）对扩声设备进行音频调节，包括音量、音调、音效等参数的调整。</w:t>
                  </w:r>
                </w:p>
                <w:p>
                  <w:pPr>
                    <w:jc w:val="left"/>
                  </w:pPr>
                  <w:r>
                    <w:rPr>
                      <w:sz w:val="24"/>
                    </w:rPr>
                    <w:t>（</w:t>
                  </w:r>
                  <w:r>
                    <w:rPr>
                      <w:sz w:val="24"/>
                    </w:rPr>
                    <w:t>12）进行扩声设备和输出设备的测试，包括声音测试、图像测试等。如有必要，进行故障排除，定位和修复可能存。</w:t>
                  </w:r>
                </w:p>
              </w:tc>
            </w:tr>
          </w:tbl>
          <w:p>
            <w:pPr>
              <w:ind w:firstLine="482"/>
              <w:jc w:val="left"/>
            </w:pPr>
            <w:r>
              <w:rPr>
                <w:b/>
                <w:sz w:val="24"/>
              </w:rPr>
              <w:t>2.软件及信息资源维护</w:t>
            </w:r>
          </w:p>
          <w:p>
            <w:pPr>
              <w:ind w:firstLine="480"/>
              <w:jc w:val="left"/>
            </w:pPr>
            <w:r>
              <w:rPr>
                <w:sz w:val="24"/>
              </w:rPr>
              <w:t>（</w:t>
            </w:r>
            <w:r>
              <w:rPr>
                <w:sz w:val="24"/>
              </w:rPr>
              <w:t>1）视频会议系统全面档案梳理服务</w:t>
            </w:r>
          </w:p>
          <w:p>
            <w:pPr>
              <w:ind w:firstLine="520"/>
              <w:jc w:val="both"/>
            </w:pPr>
            <w:r>
              <w:rPr>
                <w:sz w:val="24"/>
              </w:rPr>
              <w:t>系统档案的建立，主要包括原始状况的档案建立和维护过程的档案更新。通过完整的原始档案建立和过程动态档案更新，可以建立完善的系统档案，供实时了解系统的状况，并可提供随时查询，便于提供及时的技术支持。</w:t>
            </w:r>
          </w:p>
          <w:p>
            <w:pPr>
              <w:ind w:firstLine="520"/>
              <w:jc w:val="both"/>
            </w:pPr>
            <w:r>
              <w:rPr>
                <w:sz w:val="24"/>
              </w:rPr>
              <w:t>调查并记录当前系统涉及到的所有场所内设备的情况</w:t>
            </w:r>
          </w:p>
          <w:p>
            <w:pPr>
              <w:ind w:firstLine="520"/>
              <w:jc w:val="both"/>
            </w:pPr>
            <w:r>
              <w:rPr>
                <w:sz w:val="24"/>
              </w:rPr>
              <w:t>调查并记录每一个场所安装的设备名称、规格、型号。</w:t>
            </w:r>
          </w:p>
          <w:p>
            <w:pPr>
              <w:ind w:firstLine="520"/>
              <w:jc w:val="both"/>
            </w:pPr>
            <w:r>
              <w:rPr>
                <w:sz w:val="24"/>
              </w:rPr>
              <w:t>对江门市公共视频会议系统内的视频会议</w:t>
            </w:r>
            <w:r>
              <w:rPr>
                <w:sz w:val="24"/>
              </w:rPr>
              <w:t>MCU、视频会议硬终端、录播服务器设备设置进行调查，编制更新IP地址信息的一览表和网络拓扑图。</w:t>
            </w:r>
          </w:p>
          <w:p>
            <w:pPr>
              <w:ind w:firstLine="520"/>
              <w:jc w:val="both"/>
            </w:pPr>
            <w:r>
              <w:rPr>
                <w:sz w:val="24"/>
              </w:rPr>
              <w:t>检查测试当前系统的设备及网络运行状况</w:t>
            </w:r>
          </w:p>
          <w:p>
            <w:pPr>
              <w:ind w:firstLine="520"/>
              <w:jc w:val="both"/>
            </w:pPr>
            <w:r>
              <w:rPr>
                <w:sz w:val="24"/>
              </w:rPr>
              <w:t>检查每一个场所内安装的视频会议设备的运行情况、网络状况是否良好以及是否需要检修。在系统运行维护的过程中，将产生各种动态的信息如维修、维护、配置变更等，档案进行动态更新。</w:t>
            </w:r>
          </w:p>
          <w:p>
            <w:pPr>
              <w:ind w:firstLine="480"/>
              <w:jc w:val="left"/>
            </w:pPr>
            <w:r>
              <w:rPr>
                <w:sz w:val="24"/>
              </w:rPr>
              <w:t>（</w:t>
            </w:r>
            <w:r>
              <w:rPr>
                <w:sz w:val="24"/>
              </w:rPr>
              <w:t>2）视频会议运维工作报告</w:t>
            </w:r>
          </w:p>
          <w:p>
            <w:pPr>
              <w:ind w:firstLine="520"/>
              <w:jc w:val="both"/>
            </w:pPr>
            <w:r>
              <w:rPr>
                <w:sz w:val="24"/>
              </w:rPr>
              <w:t>会议保障、维护、每月巡检应作好书面记录，汇总编写提交《月运维报告》。每季度执行完成维护服务后，编写提交《季运维报告及预防性报告》。每个维护年度结束后，编写提交《年度系统运行报告及维护建议》。</w:t>
            </w:r>
          </w:p>
          <w:p>
            <w:pPr>
              <w:ind w:firstLine="482"/>
              <w:jc w:val="left"/>
            </w:pPr>
            <w:r>
              <w:rPr>
                <w:b/>
                <w:sz w:val="24"/>
              </w:rPr>
              <w:t>3.管理和其他服务</w:t>
            </w:r>
          </w:p>
          <w:p>
            <w:pPr>
              <w:ind w:firstLine="480"/>
              <w:jc w:val="left"/>
            </w:pPr>
            <w:r>
              <w:rPr>
                <w:sz w:val="24"/>
              </w:rPr>
              <w:t>（</w:t>
            </w:r>
            <w:r>
              <w:rPr>
                <w:sz w:val="24"/>
              </w:rPr>
              <w:t>1）运维项目综合管理</w:t>
            </w:r>
          </w:p>
          <w:p>
            <w:pPr>
              <w:ind w:firstLine="520"/>
              <w:jc w:val="left"/>
            </w:pPr>
            <w:r>
              <w:rPr>
                <w:sz w:val="24"/>
              </w:rPr>
              <w:t>1）规划咨询服务:提供项目内会议及配套设备等的咨询升级、运维规划等咨询服务。</w:t>
            </w:r>
          </w:p>
          <w:p>
            <w:pPr>
              <w:ind w:firstLine="520"/>
              <w:jc w:val="left"/>
            </w:pPr>
            <w:r>
              <w:rPr>
                <w:sz w:val="24"/>
              </w:rPr>
              <w:t>2）视频会议现有的管理规范，流程，责任人等信息整理，分析存在问题及可优化事项。</w:t>
            </w:r>
          </w:p>
          <w:p>
            <w:pPr>
              <w:ind w:firstLine="520"/>
              <w:jc w:val="left"/>
            </w:pPr>
            <w:r>
              <w:rPr>
                <w:sz w:val="24"/>
              </w:rPr>
              <w:t>3）资产管理登记，对使用单位的视频会议及其配套设备的信息进行统计登记，包括设备的生产日期，维保情况，设备型号参数等资料，形成设备登记表。</w:t>
            </w:r>
          </w:p>
          <w:p>
            <w:pPr>
              <w:ind w:firstLine="520"/>
              <w:jc w:val="left"/>
            </w:pPr>
            <w:r>
              <w:rPr>
                <w:sz w:val="24"/>
              </w:rPr>
              <w:t>4）编写运维服务成果，提交对项目运维的总结，对视频会议系统运行的整体影响及优化事项成果汇总。</w:t>
            </w:r>
          </w:p>
          <w:p>
            <w:pPr>
              <w:ind w:firstLine="480"/>
              <w:jc w:val="left"/>
            </w:pPr>
            <w:r>
              <w:rPr>
                <w:sz w:val="24"/>
              </w:rPr>
              <w:t>（</w:t>
            </w:r>
            <w:r>
              <w:rPr>
                <w:sz w:val="24"/>
              </w:rPr>
              <w:t>2）视频会议操作员培训服务</w:t>
            </w:r>
          </w:p>
          <w:p>
            <w:pPr>
              <w:ind w:firstLine="520"/>
              <w:jc w:val="both"/>
            </w:pPr>
            <w:r>
              <w:rPr>
                <w:sz w:val="24"/>
              </w:rPr>
              <w:t>对各单位的使用操作人员，进行不定期的培训或解答，在日常巡检过程，可以根据用户实际情况进行使用操作培训，平时提供远程的使用操作答疑或指导。</w:t>
            </w:r>
          </w:p>
          <w:p>
            <w:pPr>
              <w:ind w:firstLine="520"/>
              <w:jc w:val="both"/>
            </w:pPr>
            <w:r>
              <w:rPr>
                <w:sz w:val="24"/>
              </w:rPr>
              <w:t>远程支持方式：</w:t>
            </w:r>
          </w:p>
          <w:p>
            <w:pPr>
              <w:ind w:firstLine="520"/>
              <w:jc w:val="both"/>
            </w:pPr>
            <w:r>
              <w:rPr>
                <w:sz w:val="24"/>
              </w:rPr>
              <w:t>供应商将提供多种远程支持方式，包括电话、微信视频、远程桌面等，以便操作员能够选择最适合的方式进行沟通和协助。通过电话，我们的技术支持人员可以直接与操作员进行语音交流，了解问题并提供解决方案。通过微信视频，我们的技术支持人员可以实时观察操作员的屏幕，帮助他们定位问题并提供操作指导。通过远程桌面，我们的技术支持人员可以远程控制操作员的计算机，直接操作和调试视频会议系统，以解决问题。</w:t>
            </w:r>
          </w:p>
          <w:p>
            <w:pPr>
              <w:ind w:firstLine="520"/>
              <w:jc w:val="both"/>
            </w:pPr>
            <w:r>
              <w:rPr>
                <w:sz w:val="24"/>
              </w:rPr>
              <w:t>远程答疑服务：</w:t>
            </w:r>
          </w:p>
          <w:p>
            <w:pPr>
              <w:ind w:firstLine="520"/>
              <w:jc w:val="both"/>
            </w:pPr>
            <w:r>
              <w:rPr>
                <w:sz w:val="24"/>
              </w:rPr>
              <w:t>操作员可以通过电话或其他远程支持方式向我们的技术支持团队提出问题和疑虑。</w:t>
            </w:r>
          </w:p>
          <w:p>
            <w:pPr>
              <w:ind w:firstLine="520"/>
              <w:jc w:val="both"/>
            </w:pPr>
            <w:r>
              <w:rPr>
                <w:sz w:val="24"/>
              </w:rPr>
              <w:t>我们的技术支持人员将耐心倾听并解答操作员的疑问，提供相关的知识和操作指导，帮助他们解决问题。</w:t>
            </w:r>
          </w:p>
          <w:p>
            <w:pPr>
              <w:ind w:firstLine="520"/>
              <w:jc w:val="both"/>
            </w:pPr>
            <w:r>
              <w:rPr>
                <w:sz w:val="24"/>
              </w:rPr>
              <w:t>远程指导服务：</w:t>
            </w:r>
          </w:p>
          <w:p>
            <w:pPr>
              <w:ind w:firstLine="520"/>
              <w:jc w:val="both"/>
            </w:pPr>
            <w:r>
              <w:rPr>
                <w:sz w:val="24"/>
              </w:rPr>
              <w:t>如果操作员遇到使用上的困难或技术问题，我们的技术支持人员可以通过远程支持方式，实时观察他们的屏幕并提供操作指导。</w:t>
            </w:r>
          </w:p>
          <w:p>
            <w:pPr>
              <w:ind w:firstLine="520"/>
              <w:jc w:val="both"/>
            </w:pPr>
            <w:r>
              <w:rPr>
                <w:sz w:val="24"/>
              </w:rPr>
              <w:t>我们的技术支持人员可以通过远程桌面控制操作员的计算机，直接进行操作和调试，以解决问题。</w:t>
            </w:r>
          </w:p>
          <w:p>
            <w:pPr>
              <w:ind w:firstLine="520"/>
              <w:jc w:val="both"/>
            </w:pPr>
            <w:r>
              <w:rPr>
                <w:sz w:val="24"/>
              </w:rPr>
              <w:t>通过微信视频等方式，我们的技术支持人员可以演示操作步骤，并与操作员进行实时交流，确保他们能够正确操作视频会议系统。</w:t>
            </w:r>
          </w:p>
          <w:p>
            <w:pPr>
              <w:ind w:firstLine="520"/>
              <w:jc w:val="both"/>
            </w:pPr>
            <w:r>
              <w:rPr>
                <w:sz w:val="24"/>
              </w:rPr>
              <w:t>上门协助处理：</w:t>
            </w:r>
          </w:p>
          <w:p>
            <w:pPr>
              <w:ind w:firstLine="520"/>
              <w:jc w:val="both"/>
            </w:pPr>
            <w:r>
              <w:rPr>
                <w:sz w:val="24"/>
              </w:rPr>
              <w:t>如果在远程答疑和指导的过程中，问题仍无法解决，供应商将预约上门协助处理。</w:t>
            </w:r>
          </w:p>
          <w:p>
            <w:pPr>
              <w:ind w:firstLine="520"/>
              <w:jc w:val="both"/>
            </w:pPr>
            <w:r>
              <w:rPr>
                <w:sz w:val="24"/>
              </w:rPr>
              <w:t>我们的技术支持人员将前往现场，与操作员面对面沟通，对视频会议系统进行详细的检查和故障排除。</w:t>
            </w:r>
          </w:p>
          <w:p>
            <w:pPr>
              <w:ind w:firstLine="520"/>
              <w:jc w:val="both"/>
            </w:pPr>
            <w:r>
              <w:rPr>
                <w:sz w:val="24"/>
              </w:rPr>
              <w:t>我们将尽最大努力解决问题，并确保视频会议系统能够正常运行。</w:t>
            </w:r>
          </w:p>
          <w:p>
            <w:pPr>
              <w:ind w:firstLine="520"/>
              <w:jc w:val="both"/>
            </w:pPr>
            <w:r>
              <w:rPr>
                <w:sz w:val="24"/>
              </w:rPr>
              <w:t>通过提供远程答疑和指导服务，我们能够及时响应操作员的问题和需求，有效解决技术难题，提高操作员的技术水平和使用体验。</w:t>
            </w:r>
          </w:p>
          <w:p>
            <w:pPr>
              <w:ind w:firstLine="480"/>
              <w:jc w:val="left"/>
            </w:pPr>
            <w:r>
              <w:rPr>
                <w:sz w:val="24"/>
              </w:rPr>
              <w:t>（</w:t>
            </w:r>
            <w:r>
              <w:rPr>
                <w:sz w:val="24"/>
              </w:rPr>
              <w:t>3）视频会议专人组会联调服务</w:t>
            </w:r>
          </w:p>
          <w:p>
            <w:pPr>
              <w:ind w:firstLine="520"/>
              <w:jc w:val="both"/>
            </w:pPr>
            <w:r>
              <w:rPr>
                <w:sz w:val="24"/>
              </w:rPr>
              <w:t>视频会议专人组会联调服务是指专门负责视频会议系统的运维工程师在组织会议前提供支持和调试服务，确保视频会议系统的正常运行。接到江门市主会场组会联调服务通知后，供应商提供场运维服务，以下是该运维内容的具体工作量和人员安排：</w:t>
            </w:r>
          </w:p>
          <w:p>
            <w:pPr>
              <w:ind w:firstLine="520"/>
              <w:jc w:val="both"/>
            </w:pPr>
            <w:r>
              <w:rPr>
                <w:sz w:val="24"/>
              </w:rPr>
              <w:t>准备工作：</w:t>
            </w:r>
          </w:p>
          <w:p>
            <w:pPr>
              <w:ind w:firstLine="520"/>
              <w:jc w:val="both"/>
            </w:pPr>
            <w:r>
              <w:rPr>
                <w:sz w:val="24"/>
              </w:rPr>
              <w:t>1)</w:t>
            </w:r>
            <w:r>
              <w:rPr>
                <w:sz w:val="24"/>
              </w:rPr>
              <w:t>确保运维工程师熟悉视频会议系统的配置和操作。</w:t>
            </w:r>
          </w:p>
          <w:p>
            <w:pPr>
              <w:ind w:firstLine="520"/>
              <w:jc w:val="both"/>
            </w:pPr>
            <w:r>
              <w:rPr>
                <w:sz w:val="24"/>
              </w:rPr>
              <w:t>2)</w:t>
            </w:r>
            <w:r>
              <w:rPr>
                <w:sz w:val="24"/>
              </w:rPr>
              <w:t>掌握江门市主会场的视频会议系统架构和设备布局。</w:t>
            </w:r>
          </w:p>
          <w:p>
            <w:pPr>
              <w:ind w:firstLine="520"/>
              <w:jc w:val="both"/>
            </w:pPr>
            <w:r>
              <w:rPr>
                <w:sz w:val="24"/>
              </w:rPr>
              <w:t>3)</w:t>
            </w:r>
            <w:r>
              <w:rPr>
                <w:sz w:val="24"/>
              </w:rPr>
              <w:t>熟悉各会场的语音和视频对话调试流程。</w:t>
            </w:r>
          </w:p>
          <w:p>
            <w:pPr>
              <w:ind w:firstLine="520"/>
              <w:jc w:val="both"/>
            </w:pPr>
            <w:r>
              <w:rPr>
                <w:sz w:val="24"/>
              </w:rPr>
              <w:t>江门市主会场组会联调服务：</w:t>
            </w:r>
          </w:p>
          <w:p>
            <w:pPr>
              <w:ind w:firstLine="520"/>
              <w:jc w:val="both"/>
            </w:pPr>
            <w:r>
              <w:rPr>
                <w:sz w:val="24"/>
              </w:rPr>
              <w:t>1)</w:t>
            </w:r>
            <w:r>
              <w:rPr>
                <w:sz w:val="24"/>
              </w:rPr>
              <w:t>在接到组会联调服务通知后，及时安排运维工程师到场。</w:t>
            </w:r>
          </w:p>
          <w:p>
            <w:pPr>
              <w:ind w:firstLine="520"/>
              <w:jc w:val="both"/>
            </w:pPr>
            <w:r>
              <w:rPr>
                <w:sz w:val="24"/>
              </w:rPr>
              <w:t>2)</w:t>
            </w:r>
            <w:r>
              <w:rPr>
                <w:sz w:val="24"/>
              </w:rPr>
              <w:t>提前半天到达江门市主会场，确保有足够的时间进行准备工作。</w:t>
            </w:r>
          </w:p>
          <w:p>
            <w:pPr>
              <w:ind w:firstLine="520"/>
              <w:jc w:val="both"/>
            </w:pPr>
            <w:r>
              <w:rPr>
                <w:sz w:val="24"/>
              </w:rPr>
              <w:t>3)</w:t>
            </w:r>
            <w:r>
              <w:rPr>
                <w:sz w:val="24"/>
              </w:rPr>
              <w:t>在召开会议前</w:t>
            </w:r>
            <w:r>
              <w:rPr>
                <w:sz w:val="24"/>
              </w:rPr>
              <w:t>1小时内完成上线联调工作，包括会议音频、视频系统的自查自检。 及时排查并解决问题，确保视频会议系统正常运行。 根据视频会议联调时间要求，与各会场进行语音和视频对话调试，确保通信畅通。</w:t>
            </w:r>
          </w:p>
          <w:p>
            <w:pPr>
              <w:ind w:firstLine="520"/>
              <w:jc w:val="both"/>
            </w:pPr>
            <w:r>
              <w:rPr>
                <w:sz w:val="24"/>
              </w:rPr>
              <w:t>人员技能：</w:t>
            </w:r>
          </w:p>
          <w:p>
            <w:pPr>
              <w:ind w:firstLine="520"/>
              <w:jc w:val="both"/>
            </w:pPr>
            <w:r>
              <w:rPr>
                <w:sz w:val="24"/>
              </w:rPr>
              <w:t>1)</w:t>
            </w:r>
            <w:r>
              <w:rPr>
                <w:sz w:val="24"/>
              </w:rPr>
              <w:t>运维工程师提前了解江门市主会场的视频会议系统配置和设备布局，以便快速调试和解决问题。</w:t>
            </w:r>
          </w:p>
          <w:p>
            <w:pPr>
              <w:ind w:firstLine="520"/>
              <w:jc w:val="both"/>
            </w:pPr>
            <w:r>
              <w:rPr>
                <w:sz w:val="24"/>
              </w:rPr>
              <w:t>2)</w:t>
            </w:r>
            <w:r>
              <w:rPr>
                <w:sz w:val="24"/>
              </w:rPr>
              <w:t>运维工程师具备视频会议系统的专业知识和技能，熟悉常见的视频会议设备和软件。</w:t>
            </w:r>
          </w:p>
          <w:p>
            <w:pPr>
              <w:ind w:firstLine="520"/>
              <w:jc w:val="both"/>
            </w:pPr>
            <w:r>
              <w:rPr>
                <w:sz w:val="24"/>
              </w:rPr>
              <w:t>3)</w:t>
            </w:r>
            <w:r>
              <w:rPr>
                <w:sz w:val="24"/>
              </w:rPr>
              <w:t>运维工程师具备良好的沟通和协调能力，能够与各会场的技术人员进行有效的合作和调试。</w:t>
            </w:r>
          </w:p>
          <w:p>
            <w:pPr>
              <w:ind w:firstLine="520"/>
              <w:jc w:val="both"/>
            </w:pPr>
            <w:r>
              <w:rPr>
                <w:sz w:val="24"/>
              </w:rPr>
              <w:t>4)</w:t>
            </w:r>
            <w:r>
              <w:rPr>
                <w:sz w:val="24"/>
              </w:rPr>
              <w:t>运维工程师具备解决问题的能力，能够快速定位和解决视频会议系统中可能出现的故障和异常情况。</w:t>
            </w:r>
          </w:p>
          <w:p>
            <w:pPr>
              <w:ind w:firstLine="520"/>
              <w:jc w:val="both"/>
            </w:pPr>
            <w:r>
              <w:rPr>
                <w:sz w:val="24"/>
              </w:rPr>
              <w:t>5)</w:t>
            </w:r>
            <w:r>
              <w:rPr>
                <w:sz w:val="24"/>
              </w:rPr>
              <w:t>运维工程师具备时间管理能力，能够按照预定的时间节点完成联调工作。</w:t>
            </w:r>
          </w:p>
          <w:p>
            <w:pPr>
              <w:ind w:firstLine="520"/>
              <w:jc w:val="both"/>
            </w:pPr>
            <w:r>
              <w:rPr>
                <w:sz w:val="24"/>
              </w:rPr>
              <w:t>6)</w:t>
            </w:r>
            <w:r>
              <w:rPr>
                <w:sz w:val="24"/>
              </w:rPr>
              <w:t>运维工程师具备责任心和敬业精神，确保视频会议系统在会议开始前正常运行。视频会议保障服务</w:t>
            </w:r>
          </w:p>
          <w:p>
            <w:pPr>
              <w:ind w:firstLine="520"/>
              <w:jc w:val="both"/>
            </w:pPr>
            <w:r>
              <w:rPr>
                <w:sz w:val="24"/>
              </w:rPr>
              <w:t>将整个会议过程分为：会前、会中、会后三个阶段，分别采用会前测试流程、会中保障流程、会后分析流程。</w:t>
            </w:r>
          </w:p>
          <w:p>
            <w:pPr>
              <w:ind w:firstLine="520"/>
              <w:jc w:val="left"/>
            </w:pPr>
            <w:r>
              <w:rPr>
                <w:sz w:val="24"/>
              </w:rPr>
              <w:t>1）会前测试流程</w:t>
            </w:r>
          </w:p>
          <w:p>
            <w:pPr>
              <w:ind w:firstLine="520"/>
              <w:jc w:val="left"/>
            </w:pPr>
            <w:r>
              <w:rPr>
                <w:sz w:val="24"/>
              </w:rPr>
              <w:t>A.收到用户的会议通知后，与组会单位的视频会议操作负责人进行会前对接。</w:t>
            </w:r>
          </w:p>
          <w:p>
            <w:pPr>
              <w:ind w:firstLine="520"/>
              <w:jc w:val="left"/>
            </w:pPr>
            <w:r>
              <w:rPr>
                <w:sz w:val="24"/>
              </w:rPr>
              <w:t>B.如需举行重要会议，提前进行主会场各项设备的测试，对有故障设备进行故障排除。</w:t>
            </w:r>
          </w:p>
          <w:p>
            <w:pPr>
              <w:ind w:firstLine="520"/>
              <w:jc w:val="left"/>
            </w:pPr>
            <w:r>
              <w:rPr>
                <w:sz w:val="24"/>
              </w:rPr>
              <w:t>C.如需举行重大会议，提前一天召集各分会场操作人员，与主会场进行会议模拟，测试各分会场与主会场间的通道工作状况，音视频设备工作状况，对有故障的设备进行故障排除。</w:t>
            </w:r>
          </w:p>
          <w:p>
            <w:pPr>
              <w:ind w:firstLine="520"/>
              <w:jc w:val="left"/>
            </w:pPr>
            <w:r>
              <w:rPr>
                <w:sz w:val="24"/>
              </w:rPr>
              <w:t>D.协助会前点名，协助通知所有与会会场操作人员在正式会议开始前开启各自的会议设备，与主会场进行点名和响应的互动操作，确认设备正常工作，并及时排除故障点。</w:t>
            </w:r>
          </w:p>
          <w:p>
            <w:pPr>
              <w:ind w:firstLine="520"/>
              <w:jc w:val="left"/>
            </w:pPr>
            <w:r>
              <w:rPr>
                <w:sz w:val="24"/>
              </w:rPr>
              <w:t>E.提供做好相关的测试记录并存档。</w:t>
            </w:r>
          </w:p>
          <w:p>
            <w:pPr>
              <w:ind w:firstLine="520"/>
              <w:jc w:val="left"/>
            </w:pPr>
            <w:r>
              <w:rPr>
                <w:sz w:val="24"/>
              </w:rPr>
              <w:t>2）会中保障流程</w:t>
            </w:r>
          </w:p>
          <w:p>
            <w:pPr>
              <w:ind w:firstLine="520"/>
              <w:jc w:val="left"/>
            </w:pPr>
            <w:r>
              <w:rPr>
                <w:sz w:val="24"/>
              </w:rPr>
              <w:t>A.会议进行中，安排运维工程师全程在主会场视频会议现场提供技术保障（通信畅通）实时监控本地会场画面，应对会议期间出现各种问题或者突发紧急故障，保障会议系统正常运行。</w:t>
            </w:r>
          </w:p>
          <w:p>
            <w:pPr>
              <w:ind w:firstLine="520"/>
              <w:jc w:val="both"/>
            </w:pPr>
            <w:r>
              <w:rPr>
                <w:sz w:val="24"/>
              </w:rPr>
              <w:t>B.会议组会保障人员根据实际情况，在会议期间进行运行保障，并确保活动中系统的稳定运行。</w:t>
            </w:r>
          </w:p>
          <w:p>
            <w:pPr>
              <w:ind w:firstLine="520"/>
              <w:jc w:val="both"/>
            </w:pPr>
            <w:r>
              <w:rPr>
                <w:sz w:val="24"/>
              </w:rPr>
              <w:t>C.会议结束后，安排运维工程师填写会议过程中系统运行状况的相关记录。</w:t>
            </w:r>
          </w:p>
          <w:p>
            <w:pPr>
              <w:ind w:firstLine="520"/>
              <w:jc w:val="both"/>
            </w:pPr>
            <w:r>
              <w:rPr>
                <w:sz w:val="24"/>
              </w:rPr>
              <w:t>D.会议结束后将填好的设备登记表交由客户进行确认并签署意见。</w:t>
            </w:r>
          </w:p>
          <w:p>
            <w:pPr>
              <w:ind w:firstLine="520"/>
              <w:jc w:val="both"/>
            </w:pPr>
            <w:r>
              <w:rPr>
                <w:sz w:val="24"/>
              </w:rPr>
              <w:t>3）会后分析流程</w:t>
            </w:r>
          </w:p>
          <w:p>
            <w:pPr>
              <w:ind w:firstLine="520"/>
              <w:jc w:val="both"/>
            </w:pPr>
            <w:r>
              <w:rPr>
                <w:sz w:val="24"/>
              </w:rPr>
              <w:t>A.根据会前测试记录，会中保障记录，对过程中的问题进行汇总。</w:t>
            </w:r>
          </w:p>
          <w:p>
            <w:pPr>
              <w:ind w:firstLine="520"/>
              <w:jc w:val="both"/>
            </w:pPr>
            <w:r>
              <w:rPr>
                <w:sz w:val="24"/>
              </w:rPr>
              <w:t>B.根据问题汇总，结合设备状况进行分析和总结。</w:t>
            </w:r>
          </w:p>
          <w:p>
            <w:pPr>
              <w:ind w:firstLine="520"/>
              <w:jc w:val="both"/>
            </w:pPr>
            <w:r>
              <w:rPr>
                <w:sz w:val="24"/>
              </w:rPr>
              <w:t>C.再次排查会前会中出现问题的设备和现象，解决涉及市公共视频会议系统的有关故障。</w:t>
            </w:r>
          </w:p>
          <w:p>
            <w:pPr>
              <w:ind w:firstLine="520"/>
              <w:jc w:val="both"/>
            </w:pPr>
            <w:r>
              <w:rPr>
                <w:sz w:val="24"/>
              </w:rPr>
              <w:t>D.通过总结和分析，对需要改进的流程和环节进行修正。</w:t>
            </w:r>
          </w:p>
          <w:p>
            <w:pPr>
              <w:ind w:firstLine="482"/>
              <w:jc w:val="left"/>
            </w:pPr>
            <w:r>
              <w:rPr>
                <w:b/>
                <w:sz w:val="24"/>
              </w:rPr>
              <w:t>4.维护服务响应时间及服务质量</w:t>
            </w:r>
          </w:p>
          <w:p>
            <w:pPr>
              <w:ind w:firstLine="520"/>
              <w:jc w:val="left"/>
            </w:pPr>
            <w:r>
              <w:rPr>
                <w:sz w:val="24"/>
              </w:rPr>
              <w:t>（</w:t>
            </w:r>
            <w:r>
              <w:rPr>
                <w:sz w:val="24"/>
              </w:rPr>
              <w:t>1）系统在平时使用过程中出现故障，应在接到用户通知后30分钟响应，并在3小时内对视频会议系统排除故障或出具体解决方案。如用户方要求加急服务或晚上服务，可提前电话联系。</w:t>
            </w:r>
          </w:p>
          <w:p>
            <w:pPr>
              <w:ind w:firstLine="520"/>
              <w:jc w:val="left"/>
            </w:pPr>
            <w:r>
              <w:rPr>
                <w:sz w:val="24"/>
              </w:rPr>
              <w:t>（</w:t>
            </w:r>
            <w:r>
              <w:rPr>
                <w:sz w:val="24"/>
              </w:rPr>
              <w:t>2）必须设立维护热线电话。</w:t>
            </w:r>
          </w:p>
          <w:p>
            <w:pPr>
              <w:ind w:firstLine="520"/>
              <w:jc w:val="left"/>
            </w:pPr>
            <w:r>
              <w:rPr>
                <w:sz w:val="24"/>
              </w:rPr>
              <w:t>（</w:t>
            </w:r>
            <w:r>
              <w:rPr>
                <w:sz w:val="24"/>
              </w:rPr>
              <w:t>3）必须建立服务工作的监督机制，由用户方对服务质量进行监督和评定。</w:t>
            </w:r>
          </w:p>
          <w:p>
            <w:pPr>
              <w:ind w:firstLine="520"/>
              <w:jc w:val="left"/>
            </w:pPr>
            <w:r>
              <w:rPr>
                <w:sz w:val="24"/>
              </w:rPr>
              <w:t>（</w:t>
            </w:r>
            <w:r>
              <w:rPr>
                <w:sz w:val="24"/>
              </w:rPr>
              <w:t>4）服务质量的评定标准需要从以下几个方面进行衡量：服务响应速度，客户满意程度度，工作效率、故障判断准确度，故障排除所用时间。</w:t>
            </w:r>
          </w:p>
          <w:p>
            <w:pPr>
              <w:jc w:val="center"/>
            </w:pPr>
            <w:r>
              <w:rPr>
                <w:sz w:val="24"/>
              </w:rPr>
              <w:t>江门市公共视频会议系统维护服务设备分布表</w:t>
            </w:r>
          </w:p>
          <w:tbl>
            <w:tblPr>
              <w:tblBorders>
                <w:top w:val="none" w:color="000000" w:sz="4"/>
                <w:left w:val="none" w:color="000000" w:sz="4"/>
                <w:bottom w:val="none" w:color="000000" w:sz="4"/>
                <w:right w:val="none" w:color="000000" w:sz="4"/>
                <w:insideH w:val="none"/>
                <w:insideV w:val="none"/>
              </w:tblBorders>
            </w:tblPr>
            <w:tblGrid>
              <w:gridCol w:w="471"/>
              <w:gridCol w:w="760"/>
              <w:gridCol w:w="1312"/>
              <w:gridCol w:w="2280"/>
            </w:tblGrid>
            <w:tr>
              <w:tc>
                <w:tcPr>
                  <w:tcW w:type="dxa" w:w="471"/>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760"/>
                  <w:tcBorders>
                    <w:top w:val="single" w:color="000000" w:sz="4"/>
                    <w:left w:val="single" w:color="000000" w:sz="4"/>
                    <w:bottom w:val="single" w:color="000000" w:sz="4"/>
                    <w:right w:val="single" w:color="000000" w:sz="4"/>
                  </w:tcBorders>
                  <w:vAlign w:val="top"/>
                </w:tcPr>
                <w:p>
                  <w:pPr>
                    <w:jc w:val="center"/>
                  </w:pPr>
                  <w:r>
                    <w:rPr>
                      <w:sz w:val="24"/>
                    </w:rPr>
                    <w:t>单位名称</w:t>
                  </w:r>
                </w:p>
              </w:tc>
              <w:tc>
                <w:tcPr>
                  <w:tcW w:type="dxa" w:w="1312"/>
                  <w:tcBorders>
                    <w:top w:val="single" w:color="000000" w:sz="4"/>
                    <w:left w:val="single" w:color="000000" w:sz="4"/>
                    <w:bottom w:val="single" w:color="000000" w:sz="4"/>
                    <w:right w:val="single" w:color="000000" w:sz="4"/>
                  </w:tcBorders>
                  <w:vAlign w:val="top"/>
                </w:tcPr>
                <w:p>
                  <w:pPr>
                    <w:jc w:val="center"/>
                  </w:pPr>
                  <w:r>
                    <w:rPr>
                      <w:sz w:val="24"/>
                    </w:rPr>
                    <w:t>设备分布地址</w:t>
                  </w:r>
                </w:p>
              </w:tc>
              <w:tc>
                <w:tcPr>
                  <w:tcW w:type="dxa" w:w="2280"/>
                  <w:tcBorders>
                    <w:top w:val="single" w:color="000000" w:sz="4"/>
                    <w:left w:val="single" w:color="000000" w:sz="4"/>
                    <w:bottom w:val="single" w:color="000000" w:sz="4"/>
                    <w:right w:val="single" w:color="000000" w:sz="4"/>
                  </w:tcBorders>
                  <w:vAlign w:val="top"/>
                </w:tcPr>
                <w:p>
                  <w:pPr>
                    <w:jc w:val="center"/>
                  </w:pPr>
                  <w:r>
                    <w:rPr>
                      <w:sz w:val="24"/>
                    </w:rPr>
                    <w:t>运维设备类型及数量</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市、区政府</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w:t>
                  </w:r>
                  <w:r>
                    <w:rPr>
                      <w:sz w:val="24"/>
                    </w:rPr>
                    <w:t>1号楼2楼</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r>
                    <w:br/>
                  </w:r>
                  <w:r>
                    <w:rPr>
                      <w:sz w:val="24"/>
                    </w:rPr>
                    <w:t>电视墙服务器</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w:t>
                  </w:r>
                  <w:r>
                    <w:rPr>
                      <w:sz w:val="24"/>
                    </w:rPr>
                    <w:t>1号楼3楼</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r>
                    <w:br/>
                  </w:r>
                  <w:r>
                    <w:rPr>
                      <w:sz w:val="24"/>
                    </w:rPr>
                    <w:t>电视墙服务器</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w:t>
                  </w:r>
                  <w:r>
                    <w:rPr>
                      <w:sz w:val="24"/>
                    </w:rPr>
                    <w:t>1号楼4楼</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江门市政府大会堂</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江门市政府小会堂</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江门市政府值班室</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江门市大数据管理中心机房</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p>
                <w:p>
                  <w:pPr>
                    <w:jc w:val="both"/>
                  </w:pPr>
                  <w:r>
                    <w:rPr>
                      <w:sz w:val="24"/>
                    </w:rPr>
                    <w:t>录播服务器</w:t>
                  </w:r>
                  <w:r>
                    <w:rPr>
                      <w:sz w:val="24"/>
                    </w:rPr>
                    <w:t>1套</w:t>
                  </w:r>
                </w:p>
                <w:p>
                  <w:pPr>
                    <w:jc w:val="both"/>
                  </w:pPr>
                  <w:r>
                    <w:rPr>
                      <w:sz w:val="24"/>
                    </w:rPr>
                    <w:t>视频会议管理平台</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江门市蓬江区政府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9</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江门市江海区政府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江门市新会区政府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台山市政府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开平市政府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恩平市政府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鹤山市政府</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鹤山市党校</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市直单位</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江门市公安局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江门市海事局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江门市农业农村局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江门市交通运输局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江门市生态环境局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江门市消防局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江门市自然资源局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9</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江门市气象局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江门市政务服务数据管理局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江门市工业和信息化局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江门市发展和改革局</w:t>
                  </w:r>
                  <w:r>
                    <w:rPr>
                      <w:sz w:val="24"/>
                    </w:rPr>
                    <w:t>2楼</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江门市发展和改革局</w:t>
                  </w:r>
                  <w:r>
                    <w:rPr>
                      <w:sz w:val="24"/>
                    </w:rPr>
                    <w:t>3楼</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江门市供电局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四市三区</w:t>
                  </w:r>
                </w:p>
                <w:p>
                  <w:pPr>
                    <w:jc w:val="both"/>
                  </w:pPr>
                  <w:r>
                    <w:rPr>
                      <w:sz w:val="24"/>
                    </w:rPr>
                    <w:t>信访局</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江门市蓬江区信访局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江门市江海区信访局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江门市新会区信访局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台山市信访局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开平市信访局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恩平市信访局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四市三区</w:t>
                  </w:r>
                </w:p>
                <w:p>
                  <w:pPr>
                    <w:jc w:val="both"/>
                  </w:pPr>
                  <w:r>
                    <w:rPr>
                      <w:sz w:val="24"/>
                    </w:rPr>
                    <w:t>统计局</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江门市蓬江区统计局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江门市江海区统计局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江门市新会区统计局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台山市统计局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开平市统计局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恩平市统计局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none" w:color="000000" w:sz="4"/>
                    <w:bottom w:val="single" w:color="000000" w:sz="4"/>
                    <w:right w:val="single" w:color="000000" w:sz="4"/>
                  </w:tcBorders>
                  <w:vAlign w:val="top"/>
                </w:tcPr>
                <w:p>
                  <w:pPr>
                    <w:jc w:val="both"/>
                  </w:pPr>
                  <w:r>
                    <w:rPr>
                      <w:sz w:val="24"/>
                    </w:rPr>
                    <w:t>四市三区</w:t>
                  </w:r>
                </w:p>
                <w:p>
                  <w:pPr>
                    <w:jc w:val="both"/>
                  </w:pPr>
                  <w:r>
                    <w:rPr>
                      <w:sz w:val="24"/>
                    </w:rPr>
                    <w:t>发改局</w:t>
                  </w:r>
                </w:p>
              </w:tc>
              <w:tc>
                <w:tcPr>
                  <w:tcW w:type="dxa" w:w="1312"/>
                  <w:tcBorders>
                    <w:top w:val="none" w:color="000000" w:sz="4"/>
                    <w:left w:val="none" w:color="000000" w:sz="4"/>
                    <w:bottom w:val="single" w:color="000000" w:sz="4"/>
                    <w:right w:val="single" w:color="000000" w:sz="4"/>
                  </w:tcBorders>
                  <w:vAlign w:val="top"/>
                </w:tcPr>
                <w:p>
                  <w:pPr>
                    <w:jc w:val="both"/>
                  </w:pPr>
                  <w:r>
                    <w:rPr>
                      <w:sz w:val="24"/>
                    </w:rPr>
                    <w:t>江门市蓬江区发展和改革局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江门市江海区发展和改革局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江门市新会区发展和改革局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鹤山市发展和改革局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台山市发展和改革局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开平市发展和改革局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none" w:color="000000" w:sz="4"/>
                    <w:bottom w:val="single" w:color="000000" w:sz="4"/>
                    <w:right w:val="single" w:color="000000" w:sz="4"/>
                  </w:tcBorders>
                </w:tcPr>
                <w:p/>
              </w:tc>
              <w:tc>
                <w:tcPr>
                  <w:tcW w:type="dxa" w:w="1312"/>
                  <w:tcBorders>
                    <w:top w:val="none" w:color="000000" w:sz="4"/>
                    <w:left w:val="none" w:color="000000" w:sz="4"/>
                    <w:bottom w:val="single" w:color="000000" w:sz="4"/>
                    <w:right w:val="single" w:color="000000" w:sz="4"/>
                  </w:tcBorders>
                  <w:vAlign w:val="top"/>
                </w:tcPr>
                <w:p>
                  <w:pPr>
                    <w:jc w:val="both"/>
                  </w:pPr>
                  <w:r>
                    <w:rPr>
                      <w:sz w:val="24"/>
                    </w:rPr>
                    <w:t>恩平市发展和改革局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四市三区</w:t>
                  </w:r>
                </w:p>
                <w:p>
                  <w:pPr>
                    <w:jc w:val="both"/>
                  </w:pPr>
                  <w:r>
                    <w:rPr>
                      <w:sz w:val="24"/>
                    </w:rPr>
                    <w:t>水利局</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江门市蓬江区农业农村和水利局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江门市江海区农业农村和水利局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江门市新会区水利局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台山市水利局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开平市水利局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恩平市水利局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760"/>
                  <w:vMerge w:val="restart"/>
                  <w:tcBorders>
                    <w:top w:val="none" w:color="000000" w:sz="4"/>
                    <w:left w:val="single" w:color="000000" w:sz="4"/>
                    <w:bottom w:val="single" w:color="000000" w:sz="4"/>
                    <w:right w:val="single" w:color="000000" w:sz="4"/>
                  </w:tcBorders>
                  <w:vAlign w:val="top"/>
                </w:tcPr>
                <w:p>
                  <w:pPr>
                    <w:jc w:val="both"/>
                  </w:pPr>
                  <w:r>
                    <w:rPr>
                      <w:sz w:val="24"/>
                    </w:rPr>
                    <w:t>四市三区</w:t>
                  </w:r>
                </w:p>
                <w:p>
                  <w:pPr>
                    <w:jc w:val="both"/>
                  </w:pPr>
                  <w:r>
                    <w:rPr>
                      <w:sz w:val="24"/>
                    </w:rPr>
                    <w:t>政数局</w:t>
                  </w:r>
                </w:p>
              </w:tc>
              <w:tc>
                <w:tcPr>
                  <w:tcW w:type="dxa" w:w="1312"/>
                  <w:tcBorders>
                    <w:top w:val="none" w:color="000000" w:sz="4"/>
                    <w:left w:val="single" w:color="000000" w:sz="4"/>
                    <w:bottom w:val="single" w:color="000000" w:sz="4"/>
                    <w:right w:val="single" w:color="000000" w:sz="4"/>
                  </w:tcBorders>
                  <w:vAlign w:val="top"/>
                </w:tcPr>
                <w:p>
                  <w:pPr>
                    <w:jc w:val="both"/>
                  </w:pPr>
                  <w:r>
                    <w:rPr>
                      <w:sz w:val="24"/>
                    </w:rPr>
                    <w:t>蓬江区政务数据服务管理局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江海区政务数据服务管理局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新会区政务数据服务管理局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台山市政务数据服务管理局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开平市政务数据服务管理局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鹤山市政务数据服务管理局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w:t>
                  </w:r>
                  <w:r>
                    <w:rPr>
                      <w:sz w:val="24"/>
                    </w:rPr>
                    <w:t>MCU 1套</w:t>
                  </w:r>
                  <w:r>
                    <w:br/>
                  </w:r>
                  <w:r>
                    <w:rPr>
                      <w:sz w:val="24"/>
                    </w:rPr>
                    <w:t>视频会议硬终端</w:t>
                  </w:r>
                  <w:r>
                    <w:rPr>
                      <w:sz w:val="24"/>
                    </w:rPr>
                    <w:t>1套</w:t>
                  </w:r>
                  <w:r>
                    <w:br/>
                  </w:r>
                  <w:r>
                    <w:rPr>
                      <w:sz w:val="24"/>
                    </w:rPr>
                    <w:t>视频会议扩音设备及视频输出设备</w:t>
                  </w:r>
                  <w:r>
                    <w:rPr>
                      <w:sz w:val="24"/>
                    </w:rPr>
                    <w:t>1套</w:t>
                  </w:r>
                </w:p>
              </w:tc>
            </w:tr>
            <w:tr>
              <w:tc>
                <w:tcPr>
                  <w:tcW w:type="dxa" w:w="47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760"/>
                  <w:vMerge/>
                  <w:tcBorders>
                    <w:top w:val="none" w:color="000000" w:sz="4"/>
                    <w:left w:val="single" w:color="000000" w:sz="4"/>
                    <w:bottom w:val="single" w:color="000000" w:sz="4"/>
                    <w:right w:val="single" w:color="000000" w:sz="4"/>
                  </w:tcBorders>
                </w:tcPr>
                <w:p/>
              </w:tc>
              <w:tc>
                <w:tcPr>
                  <w:tcW w:type="dxa" w:w="1312"/>
                  <w:tcBorders>
                    <w:top w:val="none" w:color="000000" w:sz="4"/>
                    <w:left w:val="single" w:color="000000" w:sz="4"/>
                    <w:bottom w:val="single" w:color="000000" w:sz="4"/>
                    <w:right w:val="single" w:color="000000" w:sz="4"/>
                  </w:tcBorders>
                  <w:vAlign w:val="top"/>
                </w:tcPr>
                <w:p>
                  <w:pPr>
                    <w:jc w:val="both"/>
                  </w:pPr>
                  <w:r>
                    <w:rPr>
                      <w:sz w:val="24"/>
                    </w:rPr>
                    <w:t>恩平市政务数据服务管理局</w:t>
                  </w:r>
                </w:p>
              </w:tc>
              <w:tc>
                <w:tcPr>
                  <w:tcW w:type="dxa" w:w="2280"/>
                  <w:tcBorders>
                    <w:top w:val="none" w:color="000000" w:sz="4"/>
                    <w:left w:val="single" w:color="000000" w:sz="4"/>
                    <w:bottom w:val="single" w:color="000000" w:sz="4"/>
                    <w:right w:val="single" w:color="000000" w:sz="4"/>
                  </w:tcBorders>
                  <w:vAlign w:val="top"/>
                </w:tcPr>
                <w:p>
                  <w:pPr>
                    <w:jc w:val="both"/>
                  </w:pPr>
                  <w:r>
                    <w:rPr>
                      <w:sz w:val="24"/>
                    </w:rPr>
                    <w:t>视频会议硬终端</w:t>
                  </w:r>
                  <w:r>
                    <w:rPr>
                      <w:sz w:val="24"/>
                    </w:rPr>
                    <w:t>1套</w:t>
                  </w:r>
                  <w:r>
                    <w:br/>
                  </w:r>
                  <w:r>
                    <w:rPr>
                      <w:sz w:val="24"/>
                    </w:rPr>
                    <w:t>视频会议扩音设备及视频输出设备</w:t>
                  </w:r>
                  <w:r>
                    <w:rPr>
                      <w:sz w:val="24"/>
                    </w:rPr>
                    <w:t>1套</w:t>
                  </w:r>
                </w:p>
              </w:tc>
            </w:tr>
          </w:tbl>
          <w:p>
            <w:pPr>
              <w:jc w:val="both"/>
            </w:pPr>
          </w:p>
          <w:p>
            <w:pPr>
              <w:ind w:firstLine="482"/>
              <w:jc w:val="both"/>
            </w:pPr>
            <w:r>
              <w:rPr>
                <w:b/>
                <w:sz w:val="24"/>
              </w:rPr>
              <w:t>（三）</w:t>
            </w:r>
            <w:r>
              <w:rPr>
                <w:b/>
                <w:sz w:val="24"/>
              </w:rPr>
              <w:t>2023年市政数局江门市政府网站与政务新媒体建设水平技术评估项目</w:t>
            </w:r>
          </w:p>
          <w:p>
            <w:pPr>
              <w:ind w:firstLine="482"/>
              <w:jc w:val="both"/>
            </w:pPr>
            <w:r>
              <w:rPr>
                <w:b/>
                <w:sz w:val="24"/>
              </w:rPr>
              <w:t>一）现状</w:t>
            </w:r>
          </w:p>
          <w:p>
            <w:pPr>
              <w:ind w:firstLine="480"/>
              <w:jc w:val="both"/>
            </w:pPr>
            <w:r>
              <w:rPr>
                <w:sz w:val="24"/>
              </w:rPr>
              <w:t>通过往年的季度监测与年度考评结果显示，我市政府网站的运维工作逐年进步，检查合格率逐步提升，但随着考核指标的要求越来越严格、对栏目发布内容的考核越来越细致，网站栏目与内容越来越多、网民的成熟度越来越高，我市政府网站在内容运维的过程中，还存在较多疏漏，主要问题有：</w:t>
            </w:r>
          </w:p>
          <w:p>
            <w:pPr>
              <w:ind w:firstLine="480"/>
              <w:jc w:val="both"/>
            </w:pPr>
            <w:r>
              <w:rPr>
                <w:sz w:val="24"/>
              </w:rPr>
              <w:t>（</w:t>
            </w:r>
            <w:r>
              <w:rPr>
                <w:sz w:val="24"/>
              </w:rPr>
              <w:t>1）网站的监管力度有待加强。</w:t>
            </w:r>
          </w:p>
          <w:p>
            <w:pPr>
              <w:ind w:firstLine="480"/>
              <w:jc w:val="both"/>
            </w:pPr>
            <w:r>
              <w:rPr>
                <w:sz w:val="24"/>
              </w:rPr>
              <w:t>通过季度性监测与年终考评结果来看，个别单位网站的网页或图片存在打不开、链接不准确或者链接无法访问的情况。且对全市所有政府网站的错敏信息进行了全面监测，检查出大量的错敏信息。</w:t>
            </w:r>
          </w:p>
          <w:p>
            <w:pPr>
              <w:ind w:firstLine="480"/>
              <w:jc w:val="both"/>
            </w:pPr>
            <w:r>
              <w:rPr>
                <w:sz w:val="24"/>
              </w:rPr>
              <w:t>（</w:t>
            </w:r>
            <w:r>
              <w:rPr>
                <w:sz w:val="24"/>
              </w:rPr>
              <w:t>2）个别政府网站管理不到位。</w:t>
            </w:r>
          </w:p>
          <w:p>
            <w:pPr>
              <w:ind w:firstLine="480"/>
              <w:jc w:val="both"/>
            </w:pPr>
            <w:r>
              <w:rPr>
                <w:sz w:val="24"/>
              </w:rPr>
              <w:t>部分市（区）政府门户网站的日常运维与栏目信息更新检查工作不到位。个别市区网站上仍存在多个栏目长期未更新与空白栏目现象。</w:t>
            </w:r>
          </w:p>
          <w:p>
            <w:pPr>
              <w:ind w:firstLine="480"/>
              <w:jc w:val="both"/>
            </w:pPr>
            <w:r>
              <w:rPr>
                <w:sz w:val="24"/>
              </w:rPr>
              <w:t>（</w:t>
            </w:r>
            <w:r>
              <w:rPr>
                <w:sz w:val="24"/>
              </w:rPr>
              <w:t>3）政府信息公开目录和重点领域信息更新不及时。</w:t>
            </w:r>
          </w:p>
          <w:p>
            <w:pPr>
              <w:ind w:firstLine="480"/>
              <w:jc w:val="both"/>
            </w:pPr>
            <w:r>
              <w:rPr>
                <w:sz w:val="24"/>
              </w:rPr>
              <w:t>在检查中发现各单位在基本能够按照栏目更新频率要求进行更新，但部分单位仍存在更新不及时的栏目，且部分单位未根据《中华人民共和国政府信息公开条例》（国务院令第</w:t>
            </w:r>
            <w:r>
              <w:rPr>
                <w:sz w:val="24"/>
              </w:rPr>
              <w:t>711号）文件要求准确修订政府信息公开指南。个别市区单位“重点领域信息公开”专栏存在部分栏目更新不及时。</w:t>
            </w:r>
          </w:p>
          <w:p>
            <w:pPr>
              <w:ind w:firstLine="480"/>
              <w:jc w:val="both"/>
            </w:pPr>
            <w:r>
              <w:rPr>
                <w:sz w:val="24"/>
              </w:rPr>
              <w:t>（</w:t>
            </w:r>
            <w:r>
              <w:rPr>
                <w:sz w:val="24"/>
              </w:rPr>
              <w:t>4）政策解读形式单一、内容匮乏。</w:t>
            </w:r>
          </w:p>
          <w:p>
            <w:pPr>
              <w:ind w:firstLine="480"/>
              <w:jc w:val="both"/>
            </w:pPr>
            <w:r>
              <w:rPr>
                <w:sz w:val="24"/>
              </w:rPr>
              <w:t>按照《江门市人民政府办公室关于印发</w:t>
            </w:r>
            <w:r>
              <w:rPr>
                <w:sz w:val="24"/>
              </w:rPr>
              <w:t>&lt;江门市2020—2021年度政府网站与政务新媒体考评方案&gt;的通知》（江府办函〔2020〕167号）的要求，各单位要以新闻发布会、音视频、动漫等形式（不含图解）解读本地区、本部门最新政策，但从监测与考评结果来看，绝大部分单位对于此项工作落实情况不到位，多数市直部门以转载上级的解读材料为主，且解读形式仍停留在图解阶段，较为单一。</w:t>
            </w:r>
          </w:p>
          <w:p>
            <w:pPr>
              <w:ind w:firstLine="482"/>
              <w:jc w:val="both"/>
            </w:pPr>
            <w:r>
              <w:rPr>
                <w:b/>
                <w:sz w:val="24"/>
              </w:rPr>
              <w:t>二）需求概况</w:t>
            </w:r>
          </w:p>
          <w:p>
            <w:pPr>
              <w:ind w:firstLine="480"/>
              <w:jc w:val="both"/>
            </w:pPr>
            <w:r>
              <w:rPr>
                <w:sz w:val="24"/>
              </w:rPr>
              <w:t>（</w:t>
            </w:r>
            <w:r>
              <w:rPr>
                <w:sz w:val="24"/>
              </w:rPr>
              <w:t>1）贯彻政策。国办函〔2017〕47号文、国办秘函〔2019〕19号文、粤办函〔2015〕555号文、江府办函〔2016〕3号文等政府网站与政务新媒体相关文件均提及做好政府网站与政务新媒体监测与考评工作。</w:t>
            </w:r>
          </w:p>
          <w:p>
            <w:pPr>
              <w:ind w:firstLine="480"/>
              <w:jc w:val="both"/>
            </w:pPr>
            <w:r>
              <w:rPr>
                <w:sz w:val="24"/>
              </w:rPr>
              <w:t>（</w:t>
            </w:r>
            <w:r>
              <w:rPr>
                <w:sz w:val="24"/>
              </w:rPr>
              <w:t>2）把握现状。开展政府网站考评工作有利于准确把握江门市政府网站与政务新媒体工作执行与发展现状，为开展和管理本地区政府网站与政务新媒体工作提供决策参考。</w:t>
            </w:r>
          </w:p>
          <w:p>
            <w:pPr>
              <w:ind w:firstLine="480"/>
              <w:jc w:val="both"/>
            </w:pPr>
            <w:r>
              <w:rPr>
                <w:sz w:val="24"/>
              </w:rPr>
              <w:t>（</w:t>
            </w:r>
            <w:r>
              <w:rPr>
                <w:sz w:val="24"/>
              </w:rPr>
              <w:t>3）监督管理。通过对各单位的政府网站与政务新媒体工作进行监督和约束，推动政府网站与政务新媒体各项工作落到实处。</w:t>
            </w:r>
          </w:p>
          <w:p>
            <w:pPr>
              <w:ind w:firstLine="480"/>
              <w:jc w:val="both"/>
            </w:pPr>
            <w:r>
              <w:rPr>
                <w:sz w:val="24"/>
              </w:rPr>
              <w:t>（</w:t>
            </w:r>
            <w:r>
              <w:rPr>
                <w:sz w:val="24"/>
              </w:rPr>
              <w:t>4）民生所需。做好政府网站与政务新媒体建设水平技术评估工作是打造服务型政府、民主型政府的重要手段，通过规范化、常态化的技术评估手段，促使各单位不断提升政府网站运维与服务水平，提高公众满意度。</w:t>
            </w:r>
          </w:p>
          <w:p>
            <w:pPr>
              <w:ind w:firstLine="480"/>
              <w:jc w:val="both"/>
            </w:pPr>
            <w:r>
              <w:rPr>
                <w:sz w:val="24"/>
              </w:rPr>
              <w:t>（</w:t>
            </w:r>
            <w:r>
              <w:rPr>
                <w:sz w:val="24"/>
              </w:rPr>
              <w:t>5）提高成绩。实施政府网站与政务新媒体建设水平技术评估工作，不仅可以有效提高全市政府网站与政务新媒体服务水平，更能进一步提升我市在全省政府网站与政务新媒体考评中的竞争力，有助于取得更优良的成绩。</w:t>
            </w:r>
          </w:p>
          <w:p>
            <w:pPr>
              <w:ind w:firstLine="480"/>
              <w:jc w:val="both"/>
            </w:pPr>
            <w:r>
              <w:rPr>
                <w:sz w:val="24"/>
              </w:rPr>
              <w:t>基于目前我市政府网站存在的问题，以及结合上级的政策与考评要求，我市</w:t>
            </w:r>
            <w:r>
              <w:rPr>
                <w:sz w:val="24"/>
              </w:rPr>
              <w:t>2023年需通过继续开展江门市政府网站建设水平技术评估项目来持续推动我市政府网站的运维管理工作，从而确保我市政府网站的正常运行。</w:t>
            </w:r>
          </w:p>
          <w:p>
            <w:pPr>
              <w:ind w:firstLine="480"/>
              <w:jc w:val="both"/>
            </w:pPr>
            <w:r>
              <w:rPr>
                <w:sz w:val="24"/>
              </w:rPr>
              <w:t>评估范围：江门市政府门户网站，</w:t>
            </w:r>
            <w:r>
              <w:rPr>
                <w:sz w:val="24"/>
              </w:rPr>
              <w:t>9个政府网站，36个市直部门频道和考评单位的政务新媒体全覆盖。</w:t>
            </w:r>
          </w:p>
          <w:p>
            <w:pPr>
              <w:ind w:firstLine="482"/>
              <w:jc w:val="both"/>
            </w:pPr>
            <w:r>
              <w:rPr>
                <w:b/>
                <w:sz w:val="24"/>
              </w:rPr>
              <w:t>三）服务内容</w:t>
            </w:r>
          </w:p>
          <w:p>
            <w:pPr>
              <w:ind w:firstLine="482"/>
              <w:jc w:val="both"/>
            </w:pPr>
            <w:r>
              <w:rPr>
                <w:b/>
                <w:sz w:val="24"/>
              </w:rPr>
              <w:t>1.</w:t>
            </w:r>
            <w:r>
              <w:rPr>
                <w:b/>
                <w:sz w:val="24"/>
              </w:rPr>
              <w:t>服务要求</w:t>
            </w:r>
          </w:p>
          <w:p>
            <w:pPr>
              <w:ind w:firstLine="480"/>
              <w:jc w:val="both"/>
            </w:pPr>
            <w:r>
              <w:rPr>
                <w:sz w:val="24"/>
              </w:rPr>
              <w:t>（</w:t>
            </w:r>
            <w:r>
              <w:rPr>
                <w:sz w:val="24"/>
              </w:rPr>
              <w:t>1）网站建设水平季度技术监测：季度技术监测应在每季度最后一个月内完成（特殊情况除外）。</w:t>
            </w:r>
          </w:p>
          <w:p>
            <w:pPr>
              <w:ind w:firstLine="480"/>
              <w:jc w:val="both"/>
            </w:pPr>
            <w:r>
              <w:rPr>
                <w:sz w:val="24"/>
              </w:rPr>
              <w:t>（</w:t>
            </w:r>
            <w:r>
              <w:rPr>
                <w:sz w:val="24"/>
              </w:rPr>
              <w:t>2）网站建设水平年度技术评估：年度技术评估工作应在次年度第一季度开展（特殊情况除外）。</w:t>
            </w:r>
          </w:p>
          <w:p>
            <w:pPr>
              <w:ind w:firstLine="480"/>
              <w:jc w:val="both"/>
            </w:pPr>
            <w:r>
              <w:rPr>
                <w:sz w:val="24"/>
              </w:rPr>
              <w:t>具体要求如下：</w:t>
            </w:r>
          </w:p>
          <w:tbl>
            <w:tblPr>
              <w:tblBorders>
                <w:top w:val="none" w:color="000000" w:sz="4"/>
                <w:left w:val="none" w:color="000000" w:sz="4"/>
                <w:bottom w:val="none" w:color="000000" w:sz="4"/>
                <w:right w:val="none" w:color="000000" w:sz="4"/>
                <w:insideH w:val="none"/>
                <w:insideV w:val="none"/>
              </w:tblBorders>
            </w:tblPr>
            <w:tblGrid>
              <w:gridCol w:w="787"/>
              <w:gridCol w:w="2179"/>
              <w:gridCol w:w="1013"/>
              <w:gridCol w:w="931"/>
            </w:tblGrid>
            <w:tr>
              <w:tc>
                <w:tcPr>
                  <w:tcW w:type="dxa" w:w="787"/>
                  <w:tcBorders>
                    <w:top w:val="single" w:color="000000" w:sz="4"/>
                    <w:left w:val="single" w:color="000000" w:sz="4"/>
                    <w:bottom w:val="single" w:color="000000" w:sz="4"/>
                    <w:right w:val="single" w:color="000000" w:sz="4"/>
                  </w:tcBorders>
                  <w:vAlign w:val="top"/>
                </w:tcPr>
                <w:p>
                  <w:pPr>
                    <w:jc w:val="center"/>
                  </w:pPr>
                  <w:r>
                    <w:rPr>
                      <w:sz w:val="24"/>
                    </w:rPr>
                    <w:t>工作分类</w:t>
                  </w:r>
                </w:p>
              </w:tc>
              <w:tc>
                <w:tcPr>
                  <w:tcW w:type="dxa" w:w="2179"/>
                  <w:tcBorders>
                    <w:top w:val="single" w:color="000000" w:sz="4"/>
                    <w:left w:val="single" w:color="000000" w:sz="4"/>
                    <w:bottom w:val="single" w:color="000000" w:sz="4"/>
                    <w:right w:val="single" w:color="000000" w:sz="4"/>
                  </w:tcBorders>
                  <w:vAlign w:val="top"/>
                </w:tcPr>
                <w:p>
                  <w:pPr>
                    <w:jc w:val="center"/>
                  </w:pPr>
                  <w:r>
                    <w:rPr>
                      <w:sz w:val="24"/>
                    </w:rPr>
                    <w:t>具体工作</w:t>
                  </w:r>
                </w:p>
              </w:tc>
              <w:tc>
                <w:tcPr>
                  <w:tcW w:type="dxa" w:w="1013"/>
                  <w:tcBorders>
                    <w:top w:val="single" w:color="000000" w:sz="4"/>
                    <w:left w:val="single" w:color="000000" w:sz="4"/>
                    <w:bottom w:val="single" w:color="000000" w:sz="4"/>
                    <w:right w:val="single" w:color="000000" w:sz="4"/>
                  </w:tcBorders>
                  <w:vAlign w:val="top"/>
                </w:tcPr>
                <w:p>
                  <w:pPr>
                    <w:jc w:val="center"/>
                  </w:pPr>
                  <w:r>
                    <w:rPr>
                      <w:sz w:val="24"/>
                    </w:rPr>
                    <w:t>开始时间</w:t>
                  </w:r>
                </w:p>
              </w:tc>
              <w:tc>
                <w:tcPr>
                  <w:tcW w:type="dxa" w:w="931"/>
                  <w:tcBorders>
                    <w:top w:val="single" w:color="000000" w:sz="4"/>
                    <w:left w:val="single" w:color="000000" w:sz="4"/>
                    <w:bottom w:val="single" w:color="000000" w:sz="4"/>
                    <w:right w:val="single" w:color="000000" w:sz="4"/>
                  </w:tcBorders>
                  <w:vAlign w:val="top"/>
                </w:tcPr>
                <w:p>
                  <w:pPr>
                    <w:jc w:val="center"/>
                  </w:pPr>
                  <w:r>
                    <w:rPr>
                      <w:sz w:val="24"/>
                    </w:rPr>
                    <w:t>完成时间</w:t>
                  </w:r>
                </w:p>
              </w:tc>
            </w:tr>
            <w:tr>
              <w:tc>
                <w:tcPr>
                  <w:tcW w:type="dxa" w:w="787"/>
                  <w:tcBorders>
                    <w:top w:val="none" w:color="000000" w:sz="4"/>
                    <w:left w:val="single" w:color="000000" w:sz="4"/>
                    <w:bottom w:val="single" w:color="000000" w:sz="4"/>
                    <w:right w:val="single" w:color="000000" w:sz="4"/>
                  </w:tcBorders>
                  <w:vAlign w:val="top"/>
                </w:tcPr>
                <w:p>
                  <w:pPr>
                    <w:jc w:val="center"/>
                  </w:pPr>
                  <w:r>
                    <w:rPr>
                      <w:sz w:val="24"/>
                    </w:rPr>
                    <w:t>季度技术评估</w:t>
                  </w:r>
                </w:p>
              </w:tc>
              <w:tc>
                <w:tcPr>
                  <w:tcW w:type="dxa" w:w="2179"/>
                  <w:tcBorders>
                    <w:top w:val="none" w:color="000000" w:sz="4"/>
                    <w:left w:val="single" w:color="000000" w:sz="4"/>
                    <w:bottom w:val="single" w:color="000000" w:sz="4"/>
                    <w:right w:val="single" w:color="000000" w:sz="4"/>
                  </w:tcBorders>
                  <w:vAlign w:val="top"/>
                </w:tcPr>
                <w:p>
                  <w:pPr>
                    <w:jc w:val="both"/>
                  </w:pPr>
                  <w:r>
                    <w:rPr>
                      <w:sz w:val="24"/>
                    </w:rPr>
                    <w:t>根据《国务院办公厅秘书局关于印发政府网站与政务新媒体检查指标、监管工作年度考核指标的通知》，每季度评估江门市政府网站的运行健康情况（每季度抽检</w:t>
                  </w:r>
                  <w:r>
                    <w:rPr>
                      <w:sz w:val="24"/>
                    </w:rPr>
                    <w:t>40%）。</w:t>
                  </w: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4"/>
                    </w:rPr>
                    <w:t>2023年第四季度至2024年第三季度（每季度最后一个月，有特殊工作安排时除外）</w:t>
                  </w:r>
                </w:p>
              </w:tc>
            </w:tr>
            <w:tr>
              <w:tc>
                <w:tcPr>
                  <w:tcW w:type="dxa" w:w="787"/>
                  <w:tcBorders>
                    <w:top w:val="none" w:color="000000" w:sz="4"/>
                    <w:left w:val="single" w:color="000000" w:sz="4"/>
                    <w:bottom w:val="single" w:color="000000" w:sz="4"/>
                    <w:right w:val="single" w:color="000000" w:sz="4"/>
                  </w:tcBorders>
                  <w:vAlign w:val="top"/>
                </w:tcPr>
                <w:p>
                  <w:pPr>
                    <w:jc w:val="center"/>
                  </w:pPr>
                  <w:r>
                    <w:rPr>
                      <w:sz w:val="24"/>
                    </w:rPr>
                    <w:t>年终技术评估</w:t>
                  </w:r>
                </w:p>
              </w:tc>
              <w:tc>
                <w:tcPr>
                  <w:tcW w:type="dxa" w:w="2179"/>
                  <w:tcBorders>
                    <w:top w:val="none" w:color="000000" w:sz="4"/>
                    <w:left w:val="single" w:color="000000" w:sz="4"/>
                    <w:bottom w:val="single" w:color="000000" w:sz="4"/>
                    <w:right w:val="single" w:color="000000" w:sz="4"/>
                  </w:tcBorders>
                  <w:vAlign w:val="top"/>
                </w:tcPr>
                <w:p>
                  <w:pPr>
                    <w:jc w:val="both"/>
                  </w:pPr>
                  <w:r>
                    <w:rPr>
                      <w:sz w:val="24"/>
                    </w:rPr>
                    <w:t>根据《江门市</w:t>
                  </w:r>
                  <w:r>
                    <w:rPr>
                      <w:sz w:val="24"/>
                    </w:rPr>
                    <w:t>2023年度政府网站与政务新媒体考评方案》相关指标，对各网站与政务新媒体进行建设水平技术评估，形成年度技术评估结果（46个网站、频道）。</w:t>
                  </w:r>
                </w:p>
              </w:tc>
              <w:tc>
                <w:tcPr>
                  <w:tcW w:type="dxa" w:w="1013"/>
                  <w:tcBorders>
                    <w:top w:val="none" w:color="000000" w:sz="4"/>
                    <w:left w:val="single" w:color="000000" w:sz="4"/>
                    <w:bottom w:val="single" w:color="000000" w:sz="4"/>
                    <w:right w:val="single" w:color="000000" w:sz="4"/>
                  </w:tcBorders>
                  <w:vAlign w:val="top"/>
                </w:tcPr>
                <w:p>
                  <w:pPr>
                    <w:jc w:val="center"/>
                  </w:pPr>
                  <w:r>
                    <w:rPr>
                      <w:sz w:val="24"/>
                    </w:rPr>
                    <w:t>2024年1月</w:t>
                  </w:r>
                </w:p>
              </w:tc>
              <w:tc>
                <w:tcPr>
                  <w:tcW w:type="dxa" w:w="931"/>
                  <w:tcBorders>
                    <w:top w:val="single" w:color="000000" w:sz="4"/>
                    <w:left w:val="single" w:color="000000" w:sz="4"/>
                    <w:bottom w:val="single" w:color="000000" w:sz="4"/>
                    <w:right w:val="single" w:color="000000" w:sz="4"/>
                  </w:tcBorders>
                  <w:vAlign w:val="top"/>
                </w:tcPr>
                <w:p>
                  <w:pPr>
                    <w:jc w:val="center"/>
                  </w:pPr>
                  <w:r>
                    <w:rPr>
                      <w:sz w:val="24"/>
                    </w:rPr>
                    <w:t>2024年3月</w:t>
                  </w:r>
                </w:p>
              </w:tc>
            </w:tr>
            <w:tr>
              <w:tc>
                <w:tcPr>
                  <w:tcW w:type="dxa" w:w="787"/>
                  <w:tcBorders>
                    <w:top w:val="none" w:color="000000" w:sz="4"/>
                    <w:left w:val="single" w:color="000000" w:sz="4"/>
                    <w:bottom w:val="single" w:color="000000" w:sz="4"/>
                    <w:right w:val="single" w:color="000000" w:sz="4"/>
                  </w:tcBorders>
                  <w:vAlign w:val="top"/>
                </w:tcPr>
                <w:p>
                  <w:pPr>
                    <w:jc w:val="center"/>
                  </w:pPr>
                  <w:r>
                    <w:rPr>
                      <w:sz w:val="24"/>
                    </w:rPr>
                    <w:t>撰写考评结果通报代拟稿</w:t>
                  </w:r>
                </w:p>
              </w:tc>
              <w:tc>
                <w:tcPr>
                  <w:tcW w:type="dxa" w:w="2179"/>
                  <w:tcBorders>
                    <w:top w:val="none" w:color="000000" w:sz="4"/>
                    <w:left w:val="single" w:color="000000" w:sz="4"/>
                    <w:bottom w:val="single" w:color="000000" w:sz="4"/>
                    <w:right w:val="single" w:color="000000" w:sz="4"/>
                  </w:tcBorders>
                  <w:vAlign w:val="top"/>
                </w:tcPr>
                <w:p>
                  <w:pPr>
                    <w:jc w:val="both"/>
                  </w:pPr>
                  <w:r>
                    <w:rPr>
                      <w:sz w:val="24"/>
                    </w:rPr>
                    <w:t>根据各单位的考评结果与最终成绩，撰写《</w:t>
                  </w:r>
                  <w:r>
                    <w:rPr>
                      <w:sz w:val="24"/>
                    </w:rPr>
                    <w:t>2023年江门市政府网站与政务新媒体年终考评结果通报》。</w:t>
                  </w:r>
                </w:p>
              </w:tc>
              <w:tc>
                <w:tcPr>
                  <w:tcW w:type="dxa" w:w="1013"/>
                  <w:tcBorders>
                    <w:top w:val="none" w:color="000000" w:sz="4"/>
                    <w:left w:val="single" w:color="000000" w:sz="4"/>
                    <w:bottom w:val="single" w:color="000000" w:sz="4"/>
                    <w:right w:val="single" w:color="000000" w:sz="4"/>
                  </w:tcBorders>
                  <w:vAlign w:val="top"/>
                </w:tcPr>
                <w:p>
                  <w:pPr>
                    <w:jc w:val="center"/>
                  </w:pPr>
                  <w:r>
                    <w:rPr>
                      <w:sz w:val="24"/>
                    </w:rPr>
                    <w:t>2024年4月</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2024年4月</w:t>
                  </w:r>
                </w:p>
              </w:tc>
            </w:tr>
            <w:tr>
              <w:tc>
                <w:tcPr>
                  <w:tcW w:type="dxa" w:w="787"/>
                  <w:tcBorders>
                    <w:top w:val="none" w:color="000000" w:sz="4"/>
                    <w:left w:val="single" w:color="000000" w:sz="4"/>
                    <w:bottom w:val="single" w:color="000000" w:sz="4"/>
                    <w:right w:val="single" w:color="000000" w:sz="4"/>
                  </w:tcBorders>
                  <w:vAlign w:val="top"/>
                </w:tcPr>
                <w:p>
                  <w:pPr>
                    <w:jc w:val="center"/>
                  </w:pPr>
                  <w:r>
                    <w:rPr>
                      <w:sz w:val="24"/>
                    </w:rPr>
                    <w:t>建立专项咨询渠道</w:t>
                  </w:r>
                </w:p>
              </w:tc>
              <w:tc>
                <w:tcPr>
                  <w:tcW w:type="dxa" w:w="2179"/>
                  <w:tcBorders>
                    <w:top w:val="none" w:color="000000" w:sz="4"/>
                    <w:left w:val="single" w:color="000000" w:sz="4"/>
                    <w:bottom w:val="single" w:color="000000" w:sz="4"/>
                    <w:right w:val="single" w:color="000000" w:sz="4"/>
                  </w:tcBorders>
                  <w:vAlign w:val="top"/>
                </w:tcPr>
                <w:p>
                  <w:pPr>
                    <w:jc w:val="both"/>
                  </w:pPr>
                  <w:r>
                    <w:rPr>
                      <w:sz w:val="24"/>
                    </w:rPr>
                    <w:t>在网站抽查与考评各阶段，检测服务方应根据网站业务咨询需求，开通设立热线电话、即时通讯平台，如</w:t>
                  </w:r>
                  <w:r>
                    <w:rPr>
                      <w:sz w:val="24"/>
                    </w:rPr>
                    <w:t>QQ群、电子邮箱等业务咨询渠道，由专人负责咨询答疑工作。在自查整改与自评阶段，由考评服务方业务骨干对用户提出的业务咨询问题进行答疑。一般情况下，需要在1小时内对用户单位提出的咨询需求做出解答。</w:t>
                  </w: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4"/>
                    </w:rPr>
                    <w:t>贯穿项目全过程</w:t>
                  </w:r>
                </w:p>
              </w:tc>
            </w:tr>
          </w:tbl>
          <w:p>
            <w:pPr>
              <w:ind w:firstLine="482"/>
              <w:jc w:val="both"/>
            </w:pPr>
            <w:r>
              <w:rPr>
                <w:b/>
                <w:sz w:val="24"/>
              </w:rPr>
              <w:t>2.</w:t>
            </w:r>
            <w:r>
              <w:rPr>
                <w:b/>
                <w:sz w:val="24"/>
              </w:rPr>
              <w:t>服务内容</w:t>
            </w:r>
          </w:p>
          <w:p>
            <w:pPr>
              <w:ind w:firstLine="480"/>
              <w:jc w:val="both"/>
            </w:pPr>
            <w:r>
              <w:rPr>
                <w:sz w:val="24"/>
              </w:rPr>
              <w:t>（</w:t>
            </w:r>
            <w:r>
              <w:rPr>
                <w:sz w:val="24"/>
              </w:rPr>
              <w:t>1）</w:t>
            </w:r>
            <w:r>
              <w:rPr>
                <w:sz w:val="24"/>
              </w:rPr>
              <w:t>协助制定方案。根据广东省与江门市政府年度政府网站工作部署，供应方为用户制定《江门市</w:t>
            </w:r>
            <w:r>
              <w:rPr>
                <w:sz w:val="24"/>
              </w:rPr>
              <w:t>2023年度政府网站与政务新媒体考评方案》提供支持，在方案中明确考评时间安排、方式方法、程序步骤、指标体系、数据来源、评分标准。</w:t>
            </w:r>
          </w:p>
          <w:p>
            <w:pPr>
              <w:ind w:firstLine="480"/>
              <w:jc w:val="both"/>
            </w:pPr>
            <w:r>
              <w:rPr>
                <w:sz w:val="24"/>
              </w:rPr>
              <w:t>（</w:t>
            </w:r>
            <w:r>
              <w:rPr>
                <w:sz w:val="24"/>
              </w:rPr>
              <w:t>2）</w:t>
            </w:r>
            <w:r>
              <w:rPr>
                <w:sz w:val="24"/>
              </w:rPr>
              <w:t>培训解读。《江门市</w:t>
            </w:r>
            <w:r>
              <w:rPr>
                <w:sz w:val="24"/>
              </w:rPr>
              <w:t>2023年度政府网站与政务新媒体考评方案》出台后，供应商制作培训课件资料，对考评方案和指标体系进行详细解读，便于各被评单位理解。</w:t>
            </w:r>
          </w:p>
          <w:p>
            <w:pPr>
              <w:ind w:firstLine="480"/>
              <w:jc w:val="both"/>
            </w:pPr>
            <w:r>
              <w:rPr>
                <w:sz w:val="24"/>
              </w:rPr>
              <w:t>（</w:t>
            </w:r>
            <w:r>
              <w:rPr>
                <w:sz w:val="24"/>
              </w:rPr>
              <w:t>3）</w:t>
            </w:r>
            <w:r>
              <w:rPr>
                <w:sz w:val="24"/>
              </w:rPr>
              <w:t>季度抽检。根据《国务院办公厅秘书局关于印发政府网站与政务新媒体检查指标、监管工作年度考核指标的通知》，每季度监测江门市政府网站的运行健康情况（每季度抽检</w:t>
            </w:r>
            <w:r>
              <w:rPr>
                <w:sz w:val="24"/>
              </w:rPr>
              <w:t>40%），参照国办和省府办的通报文件内容，每季度形成抽检单位监测报告与抽检结果通报代拟稿。</w:t>
            </w:r>
          </w:p>
          <w:p>
            <w:pPr>
              <w:ind w:firstLine="480"/>
              <w:jc w:val="both"/>
            </w:pPr>
            <w:r>
              <w:rPr>
                <w:sz w:val="24"/>
              </w:rPr>
              <w:t>（</w:t>
            </w:r>
            <w:r>
              <w:rPr>
                <w:sz w:val="24"/>
              </w:rPr>
              <w:t>4）</w:t>
            </w:r>
            <w:r>
              <w:rPr>
                <w:sz w:val="24"/>
              </w:rPr>
              <w:t>年终考评（初评）。根据《江门市</w:t>
            </w:r>
            <w:r>
              <w:rPr>
                <w:sz w:val="24"/>
              </w:rPr>
              <w:t>2023年度政府网站与政务新媒体考评方案》中的考评指标，供应商对各被考评网站与政务新媒体进行初次考评，审核所有数据，计算各单位初评成绩，提交《2023年江门市政府网站与政务新媒体年终报告》（初评）46份。</w:t>
            </w:r>
          </w:p>
          <w:p>
            <w:pPr>
              <w:ind w:firstLine="480"/>
              <w:jc w:val="both"/>
            </w:pPr>
            <w:r>
              <w:rPr>
                <w:sz w:val="24"/>
              </w:rPr>
              <w:t>（</w:t>
            </w:r>
            <w:r>
              <w:rPr>
                <w:sz w:val="24"/>
              </w:rPr>
              <w:t>5）</w:t>
            </w:r>
            <w:r>
              <w:rPr>
                <w:sz w:val="24"/>
              </w:rPr>
              <w:t>撰写复核意见处理情况一览表。收集、整理各单位的复核反馈意见，根据反馈意见的采纳处理情况编写《</w:t>
            </w:r>
            <w:r>
              <w:rPr>
                <w:sz w:val="24"/>
              </w:rPr>
              <w:t>2023年江门市政府网站与政务新媒体考评复核意见处理情况一览表》1份。</w:t>
            </w:r>
          </w:p>
          <w:p>
            <w:pPr>
              <w:ind w:firstLine="480"/>
              <w:jc w:val="both"/>
            </w:pPr>
            <w:r>
              <w:rPr>
                <w:sz w:val="24"/>
              </w:rPr>
              <w:t>（</w:t>
            </w:r>
            <w:r>
              <w:rPr>
                <w:sz w:val="24"/>
              </w:rPr>
              <w:t>6）</w:t>
            </w:r>
            <w:r>
              <w:rPr>
                <w:sz w:val="24"/>
              </w:rPr>
              <w:t>年终考评（终评）。针对各单位的复核意见，对初评报告进行复核，计算各单位最终成绩，审核所有数据并提交《</w:t>
            </w:r>
            <w:r>
              <w:rPr>
                <w:sz w:val="24"/>
              </w:rPr>
              <w:t>2023年江门市政府网站与政务新媒体年终考评报告》46份、《2023年江门市政府网站与政务新媒体考评总排名表》1份。</w:t>
            </w:r>
          </w:p>
          <w:p>
            <w:pPr>
              <w:ind w:firstLine="480"/>
              <w:jc w:val="both"/>
            </w:pPr>
            <w:r>
              <w:rPr>
                <w:sz w:val="24"/>
              </w:rPr>
              <w:t>（</w:t>
            </w:r>
            <w:r>
              <w:rPr>
                <w:sz w:val="24"/>
              </w:rPr>
              <w:t>7）</w:t>
            </w:r>
            <w:r>
              <w:rPr>
                <w:sz w:val="24"/>
              </w:rPr>
              <w:t>撰写考评结果通报代拟稿。根据各单位的考评结果与最终成绩，撰写《</w:t>
            </w:r>
            <w:r>
              <w:rPr>
                <w:sz w:val="24"/>
              </w:rPr>
              <w:t>2023年江门市政府网站与政务新媒体年终考评结果通报》。</w:t>
            </w:r>
          </w:p>
          <w:p>
            <w:pPr>
              <w:ind w:firstLine="480"/>
              <w:jc w:val="both"/>
            </w:pPr>
            <w:r>
              <w:rPr>
                <w:sz w:val="24"/>
              </w:rPr>
              <w:t>（</w:t>
            </w:r>
            <w:r>
              <w:rPr>
                <w:sz w:val="24"/>
              </w:rPr>
              <w:t>8）</w:t>
            </w:r>
            <w:r>
              <w:rPr>
                <w:sz w:val="24"/>
              </w:rPr>
              <w:t>建立专项咨询渠道。在网站抽查与考评各阶段，检测服务方应根据网站业务咨询需求，开通设立热线电话、即时通讯平台，如</w:t>
            </w:r>
            <w:r>
              <w:rPr>
                <w:sz w:val="24"/>
              </w:rPr>
              <w:t>QQ群、电子邮箱等业务咨询渠道，由专人负责咨询答疑工作。在自查整改与自评阶段，由考评服务方业务骨干对用户提出的业务咨询问题进行答疑。一般情况下，需要在1小时内对用户单位提出的咨询需求做出解答。</w:t>
            </w:r>
          </w:p>
          <w:p>
            <w:pPr>
              <w:ind w:firstLine="482"/>
              <w:jc w:val="both"/>
            </w:pPr>
            <w:r>
              <w:rPr>
                <w:b/>
                <w:sz w:val="24"/>
              </w:rPr>
              <w:t>3.</w:t>
            </w:r>
            <w:r>
              <w:rPr>
                <w:b/>
                <w:sz w:val="24"/>
              </w:rPr>
              <w:t>监测与考评范围</w:t>
            </w:r>
          </w:p>
          <w:p>
            <w:pPr>
              <w:ind w:firstLine="480"/>
              <w:jc w:val="both"/>
            </w:pPr>
            <w:r>
              <w:rPr>
                <w:sz w:val="24"/>
              </w:rPr>
              <w:t>季度抽查范围包括：江门市政府门户网站，第一类与第二类考评对象的</w:t>
            </w:r>
            <w:r>
              <w:rPr>
                <w:sz w:val="24"/>
              </w:rPr>
              <w:t>9个政府网站全覆盖，第三类与第四类考评对象抽查约1</w:t>
            </w:r>
            <w:r>
              <w:rPr>
                <w:sz w:val="24"/>
              </w:rPr>
              <w:t>5</w:t>
            </w:r>
            <w:r>
              <w:rPr>
                <w:sz w:val="24"/>
              </w:rPr>
              <w:t>个市直部门频道（按</w:t>
            </w:r>
            <w:r>
              <w:rPr>
                <w:sz w:val="24"/>
              </w:rPr>
              <w:t>4</w:t>
            </w:r>
            <w:r>
              <w:rPr>
                <w:sz w:val="24"/>
              </w:rPr>
              <w:t>0%在36个市直部门频道中抽选）和相关抽查单位的政务新媒体。</w:t>
            </w:r>
          </w:p>
          <w:p>
            <w:pPr>
              <w:ind w:firstLine="480"/>
              <w:jc w:val="both"/>
            </w:pPr>
            <w:r>
              <w:rPr>
                <w:sz w:val="24"/>
              </w:rPr>
              <w:t>年度考评范围包括：江门市政府门户网站，</w:t>
            </w:r>
            <w:r>
              <w:rPr>
                <w:sz w:val="24"/>
              </w:rPr>
              <w:t>9个政府网站，3</w:t>
            </w:r>
            <w:r>
              <w:rPr>
                <w:sz w:val="24"/>
              </w:rPr>
              <w:t>6</w:t>
            </w:r>
            <w:r>
              <w:rPr>
                <w:sz w:val="24"/>
              </w:rPr>
              <w:t>个市直部门频道和考评单位的政务新媒体全覆盖。</w:t>
            </w:r>
          </w:p>
          <w:p>
            <w:pPr>
              <w:ind w:firstLine="480"/>
              <w:jc w:val="left"/>
            </w:pPr>
            <w:r>
              <w:rPr>
                <w:sz w:val="24"/>
              </w:rPr>
              <w:t>A.</w:t>
            </w:r>
            <w:r>
              <w:rPr>
                <w:sz w:val="24"/>
              </w:rPr>
              <w:t>第一类考评对象：各市（区）政府门户网站（共</w:t>
            </w:r>
            <w:r>
              <w:rPr>
                <w:sz w:val="24"/>
              </w:rPr>
              <w:t>7个）（每季度监测与年终考评全覆盖）</w:t>
            </w:r>
          </w:p>
          <w:tbl>
            <w:tblPr>
              <w:tblBorders>
                <w:top w:val="none" w:color="000000" w:sz="4"/>
                <w:left w:val="none" w:color="000000" w:sz="4"/>
                <w:bottom w:val="none" w:color="000000" w:sz="4"/>
                <w:right w:val="none" w:color="000000" w:sz="4"/>
                <w:insideH w:val="none"/>
                <w:insideV w:val="none"/>
              </w:tblBorders>
            </w:tblPr>
            <w:tblGrid>
              <w:gridCol w:w="504"/>
              <w:gridCol w:w="2584"/>
              <w:gridCol w:w="2509"/>
            </w:tblGrid>
            <w:tr>
              <w:tc>
                <w:tcPr>
                  <w:tcW w:type="dxa" w:w="504"/>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2584"/>
                  <w:tcBorders>
                    <w:top w:val="single" w:color="000000" w:sz="4"/>
                    <w:left w:val="single" w:color="000000" w:sz="4"/>
                    <w:bottom w:val="single" w:color="000000" w:sz="4"/>
                    <w:right w:val="single" w:color="000000" w:sz="4"/>
                  </w:tcBorders>
                  <w:vAlign w:val="top"/>
                </w:tcPr>
                <w:p>
                  <w:pPr>
                    <w:jc w:val="center"/>
                  </w:pPr>
                  <w:r>
                    <w:rPr>
                      <w:sz w:val="24"/>
                    </w:rPr>
                    <w:t>网站名称</w:t>
                  </w:r>
                </w:p>
              </w:tc>
              <w:tc>
                <w:tcPr>
                  <w:tcW w:type="dxa" w:w="2509"/>
                  <w:tcBorders>
                    <w:top w:val="single" w:color="000000" w:sz="4"/>
                    <w:left w:val="single" w:color="000000" w:sz="4"/>
                    <w:bottom w:val="single" w:color="000000" w:sz="4"/>
                    <w:right w:val="single" w:color="000000" w:sz="4"/>
                  </w:tcBorders>
                  <w:vAlign w:val="top"/>
                </w:tcPr>
                <w:p>
                  <w:pPr>
                    <w:jc w:val="center"/>
                  </w:pPr>
                  <w:r>
                    <w:rPr>
                      <w:sz w:val="24"/>
                    </w:rPr>
                    <w:t>网址</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1</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蓬江区政府网站</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http://www.pjq.gov.cn/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2</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江门高新区江海区政务信息网</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http://www.jianghai.gov.cn/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3</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新会区人民政府</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http://www.xinhui.gov.cn/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4</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中国</w:t>
                  </w:r>
                  <w:r>
                    <w:rPr>
                      <w:sz w:val="24"/>
                    </w:rPr>
                    <w:t>·台山政府网</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http://www.cnts.gov.cn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5</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中共开平市委市人民政府公众网</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http://www.kaiping.gov.cn/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6</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恩平市人民政府门户网站</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http://www.enping.gov.cn/</w:t>
                  </w:r>
                </w:p>
              </w:tc>
            </w:tr>
            <w:tr>
              <w:tc>
                <w:tcPr>
                  <w:tcW w:type="dxa" w:w="504"/>
                  <w:tcBorders>
                    <w:top w:val="none" w:color="000000" w:sz="4"/>
                    <w:left w:val="single" w:color="000000" w:sz="4"/>
                    <w:bottom w:val="single" w:color="000000" w:sz="4"/>
                    <w:right w:val="single" w:color="000000" w:sz="4"/>
                  </w:tcBorders>
                  <w:vAlign w:val="top"/>
                </w:tcPr>
                <w:p>
                  <w:pPr>
                    <w:jc w:val="center"/>
                  </w:pPr>
                  <w:r>
                    <w:rPr>
                      <w:sz w:val="24"/>
                    </w:rPr>
                    <w:t>7</w:t>
                  </w:r>
                </w:p>
              </w:tc>
              <w:tc>
                <w:tcPr>
                  <w:tcW w:type="dxa" w:w="2584"/>
                  <w:tcBorders>
                    <w:top w:val="none" w:color="000000" w:sz="4"/>
                    <w:left w:val="single" w:color="000000" w:sz="4"/>
                    <w:bottom w:val="single" w:color="000000" w:sz="4"/>
                    <w:right w:val="single" w:color="000000" w:sz="4"/>
                  </w:tcBorders>
                  <w:vAlign w:val="top"/>
                </w:tcPr>
                <w:p>
                  <w:pPr>
                    <w:jc w:val="center"/>
                  </w:pPr>
                  <w:r>
                    <w:rPr>
                      <w:sz w:val="24"/>
                    </w:rPr>
                    <w:t>鹤山市人民政府门户网站</w:t>
                  </w:r>
                </w:p>
              </w:tc>
              <w:tc>
                <w:tcPr>
                  <w:tcW w:type="dxa" w:w="2509"/>
                  <w:tcBorders>
                    <w:top w:val="none" w:color="000000" w:sz="4"/>
                    <w:left w:val="single" w:color="000000" w:sz="4"/>
                    <w:bottom w:val="single" w:color="000000" w:sz="4"/>
                    <w:right w:val="single" w:color="000000" w:sz="4"/>
                  </w:tcBorders>
                  <w:vAlign w:val="top"/>
                </w:tcPr>
                <w:p>
                  <w:pPr>
                    <w:jc w:val="center"/>
                  </w:pPr>
                  <w:r>
                    <w:rPr>
                      <w:sz w:val="24"/>
                    </w:rPr>
                    <w:t>http://www.heshan.gov.cn/</w:t>
                  </w:r>
                </w:p>
              </w:tc>
            </w:tr>
          </w:tbl>
          <w:p>
            <w:pPr>
              <w:ind w:firstLine="480"/>
              <w:jc w:val="left"/>
            </w:pPr>
            <w:r>
              <w:rPr>
                <w:sz w:val="24"/>
              </w:rPr>
              <w:t>B.</w:t>
            </w:r>
            <w:r>
              <w:rPr>
                <w:sz w:val="24"/>
              </w:rPr>
              <w:t>第二类考评对象：部门独立网站（共</w:t>
            </w:r>
            <w:r>
              <w:rPr>
                <w:sz w:val="24"/>
              </w:rPr>
              <w:t>2个）（每季度监测与年终考评全覆盖）</w:t>
            </w:r>
          </w:p>
          <w:tbl>
            <w:tblPr>
              <w:tblBorders>
                <w:top w:val="none" w:color="000000" w:sz="4"/>
                <w:left w:val="none" w:color="000000" w:sz="4"/>
                <w:bottom w:val="none" w:color="000000" w:sz="4"/>
                <w:right w:val="none" w:color="000000" w:sz="4"/>
                <w:insideH w:val="none"/>
                <w:insideV w:val="none"/>
              </w:tblBorders>
            </w:tblPr>
            <w:tblGrid>
              <w:gridCol w:w="527"/>
              <w:gridCol w:w="1551"/>
              <w:gridCol w:w="2038"/>
              <w:gridCol w:w="1480"/>
            </w:tblGrid>
            <w:tr>
              <w:tc>
                <w:tcPr>
                  <w:tcW w:type="dxa" w:w="527"/>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551"/>
                  <w:tcBorders>
                    <w:top w:val="single" w:color="000000" w:sz="4"/>
                    <w:left w:val="single" w:color="000000" w:sz="4"/>
                    <w:bottom w:val="single" w:color="000000" w:sz="4"/>
                    <w:right w:val="single" w:color="000000" w:sz="4"/>
                  </w:tcBorders>
                  <w:vAlign w:val="top"/>
                </w:tcPr>
                <w:p>
                  <w:pPr>
                    <w:jc w:val="center"/>
                  </w:pPr>
                  <w:r>
                    <w:rPr>
                      <w:sz w:val="24"/>
                    </w:rPr>
                    <w:t>网站名称</w:t>
                  </w:r>
                </w:p>
              </w:tc>
              <w:tc>
                <w:tcPr>
                  <w:tcW w:type="dxa" w:w="2038"/>
                  <w:tcBorders>
                    <w:top w:val="single" w:color="000000" w:sz="4"/>
                    <w:left w:val="single" w:color="000000" w:sz="4"/>
                    <w:bottom w:val="single" w:color="000000" w:sz="4"/>
                    <w:right w:val="single" w:color="000000" w:sz="4"/>
                  </w:tcBorders>
                  <w:vAlign w:val="top"/>
                </w:tcPr>
                <w:p>
                  <w:pPr>
                    <w:jc w:val="center"/>
                  </w:pPr>
                  <w:r>
                    <w:rPr>
                      <w:sz w:val="24"/>
                    </w:rPr>
                    <w:t>网址</w:t>
                  </w:r>
                </w:p>
              </w:tc>
              <w:tc>
                <w:tcPr>
                  <w:tcW w:type="dxa" w:w="1480"/>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551"/>
                  <w:tcBorders>
                    <w:top w:val="none" w:color="000000" w:sz="4"/>
                    <w:left w:val="none" w:color="000000" w:sz="4"/>
                    <w:bottom w:val="single" w:color="000000" w:sz="4"/>
                    <w:right w:val="single" w:color="000000" w:sz="4"/>
                  </w:tcBorders>
                  <w:vAlign w:val="top"/>
                </w:tcPr>
                <w:p>
                  <w:pPr>
                    <w:jc w:val="center"/>
                  </w:pPr>
                  <w:r>
                    <w:rPr>
                      <w:sz w:val="24"/>
                    </w:rPr>
                    <w:t>信用江门网</w:t>
                  </w:r>
                </w:p>
              </w:tc>
              <w:tc>
                <w:tcPr>
                  <w:tcW w:type="dxa" w:w="2038"/>
                  <w:tcBorders>
                    <w:top w:val="none" w:color="000000" w:sz="4"/>
                    <w:left w:val="none" w:color="000000" w:sz="4"/>
                    <w:bottom w:val="single" w:color="000000" w:sz="4"/>
                    <w:right w:val="single" w:color="000000" w:sz="4"/>
                  </w:tcBorders>
                  <w:vAlign w:val="top"/>
                </w:tcPr>
                <w:p>
                  <w:pPr>
                    <w:jc w:val="center"/>
                  </w:pPr>
                  <w:r>
                    <w:rPr>
                      <w:sz w:val="24"/>
                    </w:rPr>
                    <w:t>http://xyjm.jiangmen.gov.cn/</w:t>
                  </w:r>
                </w:p>
              </w:tc>
              <w:tc>
                <w:tcPr>
                  <w:tcW w:type="dxa" w:w="1480"/>
                  <w:tcBorders>
                    <w:top w:val="none" w:color="000000" w:sz="4"/>
                    <w:left w:val="none" w:color="000000" w:sz="4"/>
                    <w:bottom w:val="single" w:color="000000" w:sz="4"/>
                    <w:right w:val="single" w:color="000000" w:sz="4"/>
                  </w:tcBorders>
                  <w:vAlign w:val="top"/>
                </w:tcPr>
                <w:p>
                  <w:pPr>
                    <w:jc w:val="center"/>
                  </w:pPr>
                  <w:r>
                    <w:rPr>
                      <w:sz w:val="24"/>
                    </w:rPr>
                    <w:t>只考评单项否决指标</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551"/>
                  <w:tcBorders>
                    <w:top w:val="none" w:color="000000" w:sz="4"/>
                    <w:left w:val="none" w:color="000000" w:sz="4"/>
                    <w:bottom w:val="single" w:color="000000" w:sz="4"/>
                    <w:right w:val="single" w:color="000000" w:sz="4"/>
                  </w:tcBorders>
                  <w:vAlign w:val="top"/>
                </w:tcPr>
                <w:p>
                  <w:pPr>
                    <w:jc w:val="center"/>
                  </w:pPr>
                  <w:r>
                    <w:rPr>
                      <w:sz w:val="24"/>
                    </w:rPr>
                    <w:t>广东省政务服务网江门市</w:t>
                  </w:r>
                </w:p>
              </w:tc>
              <w:tc>
                <w:tcPr>
                  <w:tcW w:type="dxa" w:w="2038"/>
                  <w:tcBorders>
                    <w:top w:val="none" w:color="000000" w:sz="4"/>
                    <w:left w:val="none" w:color="000000" w:sz="4"/>
                    <w:bottom w:val="single" w:color="000000" w:sz="4"/>
                    <w:right w:val="single" w:color="000000" w:sz="4"/>
                  </w:tcBorders>
                  <w:vAlign w:val="top"/>
                </w:tcPr>
                <w:p>
                  <w:pPr>
                    <w:jc w:val="center"/>
                  </w:pPr>
                  <w:r>
                    <w:rPr>
                      <w:sz w:val="24"/>
                    </w:rPr>
                    <w:t>http://www.gdzwfw.gov.cn/portal/index?region=440700</w:t>
                  </w:r>
                </w:p>
              </w:tc>
              <w:tc>
                <w:tcPr>
                  <w:tcW w:type="dxa" w:w="1480"/>
                  <w:tcBorders>
                    <w:top w:val="none" w:color="000000" w:sz="4"/>
                    <w:left w:val="none" w:color="000000" w:sz="4"/>
                    <w:bottom w:val="single" w:color="000000" w:sz="4"/>
                    <w:right w:val="single" w:color="000000" w:sz="4"/>
                  </w:tcBorders>
                  <w:vAlign w:val="top"/>
                </w:tcPr>
                <w:p>
                  <w:pPr>
                    <w:jc w:val="center"/>
                  </w:pPr>
                  <w:r>
                    <w:rPr>
                      <w:sz w:val="24"/>
                    </w:rPr>
                    <w:t>只考评单项否决指标</w:t>
                  </w:r>
                </w:p>
              </w:tc>
            </w:tr>
          </w:tbl>
          <w:p>
            <w:pPr>
              <w:ind w:firstLine="480"/>
              <w:jc w:val="left"/>
            </w:pPr>
            <w:r>
              <w:rPr>
                <w:sz w:val="24"/>
              </w:rPr>
              <w:t>C.</w:t>
            </w:r>
            <w:r>
              <w:rPr>
                <w:sz w:val="24"/>
              </w:rPr>
              <w:t>第三类考评对象：承担对外服务职能较多的部门频道（共</w:t>
            </w:r>
            <w:r>
              <w:rPr>
                <w:sz w:val="24"/>
              </w:rPr>
              <w:t>25个）（每季度抽查</w:t>
            </w:r>
            <w:r>
              <w:rPr>
                <w:sz w:val="24"/>
              </w:rPr>
              <w:t>4</w:t>
            </w:r>
            <w:r>
              <w:rPr>
                <w:sz w:val="24"/>
              </w:rPr>
              <w:t>0%，年终考评全覆盖）</w:t>
            </w:r>
          </w:p>
          <w:tbl>
            <w:tblPr>
              <w:tblBorders>
                <w:top w:val="none" w:color="000000" w:sz="4"/>
                <w:left w:val="none" w:color="000000" w:sz="4"/>
                <w:bottom w:val="none" w:color="000000" w:sz="4"/>
                <w:right w:val="none" w:color="000000" w:sz="4"/>
                <w:insideH w:val="none"/>
                <w:insideV w:val="none"/>
              </w:tblBorders>
            </w:tblPr>
            <w:tblGrid>
              <w:gridCol w:w="485"/>
              <w:gridCol w:w="931"/>
              <w:gridCol w:w="2662"/>
              <w:gridCol w:w="1508"/>
            </w:tblGrid>
            <w:tr>
              <w:tc>
                <w:tcPr>
                  <w:tcW w:type="dxa" w:w="485"/>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931"/>
                  <w:tcBorders>
                    <w:top w:val="single" w:color="000000" w:sz="4"/>
                    <w:left w:val="single" w:color="000000" w:sz="4"/>
                    <w:bottom w:val="single" w:color="000000" w:sz="4"/>
                    <w:right w:val="single" w:color="000000" w:sz="4"/>
                  </w:tcBorders>
                  <w:vAlign w:val="top"/>
                </w:tcPr>
                <w:p>
                  <w:pPr>
                    <w:jc w:val="center"/>
                  </w:pPr>
                  <w:r>
                    <w:rPr>
                      <w:sz w:val="24"/>
                    </w:rPr>
                    <w:t>频道名称</w:t>
                  </w:r>
                </w:p>
              </w:tc>
              <w:tc>
                <w:tcPr>
                  <w:tcW w:type="dxa" w:w="2662"/>
                  <w:tcBorders>
                    <w:top w:val="single" w:color="000000" w:sz="4"/>
                    <w:left w:val="single" w:color="000000" w:sz="4"/>
                    <w:bottom w:val="single" w:color="000000" w:sz="4"/>
                    <w:right w:val="single" w:color="000000" w:sz="4"/>
                  </w:tcBorders>
                  <w:vAlign w:val="top"/>
                </w:tcPr>
                <w:p>
                  <w:pPr>
                    <w:jc w:val="center"/>
                  </w:pPr>
                  <w:r>
                    <w:rPr>
                      <w:sz w:val="24"/>
                    </w:rPr>
                    <w:t>网址</w:t>
                  </w:r>
                </w:p>
              </w:tc>
              <w:tc>
                <w:tcPr>
                  <w:tcW w:type="dxa" w:w="1508"/>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江门市发展和改革局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http://www.jiangmen.gov.cn/bmpd/jmsfzhggj/index.html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江门市教育局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http://www.jiangmen.gov.cn/bmpd/jmsjyj/index.html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3</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江门市科学技术局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http://www.jiangmen.gov.cn/bmpd/jmskxjsj/index.html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4</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江门市工业和信息化局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http://www.jiangmen.gov.cn/bmpd/jmsgyhxxhj/index.html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5</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江门市公安局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http://www.jiangmen.gov.cn/bmpd/jmsgaj/index.html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6</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江门市民政局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http://www.jiangmen.gov.cn/bmpd/jmsmzj/index.html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7</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江门市司法局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http://www.jiangmen.gov.cn/bmpd/jmssfj/index.html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8</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江门市财政局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http://www.jiangmen.gov.cn/bmpd/jmsczj/index.html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9</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江门市人力资源和社会保障局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http://www.jiangmen.gov.cn/bmpd/jmsrlzyhshbzj/index.html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江门市自然资源局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http://www.jiangmen.gov.cn/bmpd/jmszrzyj/index.html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江门市生态环境局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http://www.jiangmen.gov.cn/bmpd/jmssthjj/index.html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12</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江门市住房和城乡建设局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http://www.jiangmen.gov.cn/bmpd/jmszfhcxjsj/index.html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13</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江门市交通运输局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http://www.jiangmen.gov.cn/bmpd/jmsjtysj/index.html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14</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江门市水利局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http://www.jiangmen.gov.cn/bmpd/jmsslj/index.html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15</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江门市农业农村局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http://www.jiangmen.gov.cn/bmpd/jmsnyncj/index.html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16</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江门市商务局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http://www.jiangmen.gov.cn/bmpd/jmsswj/index.html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17</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江门市文化广电旅游体育局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http://www.jiangmen.gov.cn/bmpd/jmswhgdlytyj/index.html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18</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江门市卫生健康局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http://www.jiangmen.gov.cn/bmpd/jmswsjkj/index.html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19</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江门市应急管理局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http://www.jiangmen.gov.cn/bmpd/jmsyjglj/index.html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20</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江门市市场监督管理局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http://www.jiangmen.gov.cn/bmpd/jmsscjdglj/index.html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21</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江门市统计局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http://www.jiangmen.gov.cn/bmpd/jmstjj/index.html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22</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江门市医疗保障局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http://www.jiangmen.gov.cn/bmpd/jmsylbzj/index.html</w:t>
                  </w:r>
                </w:p>
              </w:tc>
              <w:tc>
                <w:tcPr>
                  <w:tcW w:type="dxa" w:w="1508"/>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23</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江门市金融工作局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http://www.jiangmen.gov.cn/bmpd/jmsjrgzj/index.html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24</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江门市城市管理和综合执法局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http://www.jiangmen.gov.cn/bmpd/jmscsglhzhzfj/index.html</w:t>
                  </w:r>
                </w:p>
              </w:tc>
              <w:tc>
                <w:tcPr>
                  <w:tcW w:type="dxa" w:w="1508"/>
                  <w:tcBorders>
                    <w:top w:val="none" w:color="000000" w:sz="4"/>
                    <w:left w:val="single" w:color="000000" w:sz="4"/>
                    <w:bottom w:val="single" w:color="000000" w:sz="4"/>
                    <w:right w:val="single" w:color="000000" w:sz="4"/>
                  </w:tcBorders>
                  <w:vAlign w:val="top"/>
                </w:tcPr>
                <w:p>
                  <w:pPr>
                    <w:jc w:val="center"/>
                  </w:pPr>
                </w:p>
              </w:tc>
            </w:tr>
            <w:tr>
              <w:tc>
                <w:tcPr>
                  <w:tcW w:type="dxa" w:w="485"/>
                  <w:tcBorders>
                    <w:top w:val="none" w:color="000000" w:sz="4"/>
                    <w:left w:val="single" w:color="000000" w:sz="4"/>
                    <w:bottom w:val="single" w:color="000000" w:sz="4"/>
                    <w:right w:val="single" w:color="000000" w:sz="4"/>
                  </w:tcBorders>
                  <w:vAlign w:val="top"/>
                </w:tcPr>
                <w:p>
                  <w:pPr>
                    <w:jc w:val="center"/>
                  </w:pPr>
                  <w:r>
                    <w:rPr>
                      <w:sz w:val="24"/>
                    </w:rPr>
                    <w:t>25</w:t>
                  </w:r>
                </w:p>
              </w:tc>
              <w:tc>
                <w:tcPr>
                  <w:tcW w:type="dxa" w:w="931"/>
                  <w:tcBorders>
                    <w:top w:val="none" w:color="000000" w:sz="4"/>
                    <w:left w:val="single" w:color="000000" w:sz="4"/>
                    <w:bottom w:val="single" w:color="000000" w:sz="4"/>
                    <w:right w:val="single" w:color="000000" w:sz="4"/>
                  </w:tcBorders>
                  <w:vAlign w:val="top"/>
                </w:tcPr>
                <w:p>
                  <w:pPr>
                    <w:jc w:val="center"/>
                  </w:pPr>
                  <w:r>
                    <w:rPr>
                      <w:sz w:val="24"/>
                    </w:rPr>
                    <w:t>江门市社会保险基金管理局</w:t>
                  </w:r>
                </w:p>
              </w:tc>
              <w:tc>
                <w:tcPr>
                  <w:tcW w:type="dxa" w:w="2662"/>
                  <w:tcBorders>
                    <w:top w:val="none" w:color="000000" w:sz="4"/>
                    <w:left w:val="single" w:color="000000" w:sz="4"/>
                    <w:bottom w:val="single" w:color="000000" w:sz="4"/>
                    <w:right w:val="single" w:color="000000" w:sz="4"/>
                  </w:tcBorders>
                  <w:vAlign w:val="top"/>
                </w:tcPr>
                <w:p>
                  <w:pPr>
                    <w:jc w:val="center"/>
                  </w:pPr>
                  <w:r>
                    <w:rPr>
                      <w:sz w:val="24"/>
                    </w:rPr>
                    <w:t>http://www.jiangmen.gov.cn/bmpd/jmsshbxjjglj/index.html</w:t>
                  </w:r>
                </w:p>
              </w:tc>
              <w:tc>
                <w:tcPr>
                  <w:tcW w:type="dxa" w:w="1508"/>
                  <w:tcBorders>
                    <w:top w:val="none" w:color="000000" w:sz="4"/>
                    <w:left w:val="single" w:color="000000" w:sz="4"/>
                    <w:bottom w:val="single" w:color="000000" w:sz="4"/>
                    <w:right w:val="single" w:color="000000" w:sz="4"/>
                  </w:tcBorders>
                  <w:vAlign w:val="top"/>
                </w:tcPr>
                <w:p>
                  <w:pPr>
                    <w:jc w:val="center"/>
                  </w:pPr>
                </w:p>
              </w:tc>
            </w:tr>
          </w:tbl>
          <w:p>
            <w:pPr>
              <w:ind w:firstLine="480"/>
              <w:jc w:val="left"/>
            </w:pPr>
            <w:r>
              <w:rPr>
                <w:sz w:val="24"/>
              </w:rPr>
              <w:t>D.</w:t>
            </w:r>
            <w:r>
              <w:rPr>
                <w:sz w:val="24"/>
              </w:rPr>
              <w:t>第四类考评对象：承担对外服务职能较少的部门频道（共</w:t>
            </w:r>
            <w:r>
              <w:rPr>
                <w:sz w:val="24"/>
              </w:rPr>
              <w:t>1</w:t>
            </w:r>
            <w:r>
              <w:rPr>
                <w:sz w:val="24"/>
              </w:rPr>
              <w:t>1</w:t>
            </w:r>
            <w:r>
              <w:rPr>
                <w:sz w:val="24"/>
              </w:rPr>
              <w:t>个）（每季度抽查</w:t>
            </w:r>
            <w:r>
              <w:rPr>
                <w:sz w:val="24"/>
              </w:rPr>
              <w:t>4</w:t>
            </w:r>
            <w:r>
              <w:rPr>
                <w:sz w:val="24"/>
              </w:rPr>
              <w:t>0%，年终考评全覆盖）</w:t>
            </w:r>
          </w:p>
          <w:tbl>
            <w:tblPr>
              <w:tblBorders>
                <w:top w:val="none" w:color="000000" w:sz="4"/>
                <w:left w:val="none" w:color="000000" w:sz="4"/>
                <w:bottom w:val="none" w:color="000000" w:sz="4"/>
                <w:right w:val="none" w:color="000000" w:sz="4"/>
                <w:insideH w:val="none"/>
                <w:insideV w:val="none"/>
              </w:tblBorders>
            </w:tblPr>
            <w:tblGrid>
              <w:gridCol w:w="493"/>
              <w:gridCol w:w="1242"/>
              <w:gridCol w:w="2639"/>
              <w:gridCol w:w="1212"/>
            </w:tblGrid>
            <w:tr>
              <w:tc>
                <w:tcPr>
                  <w:tcW w:type="dxa" w:w="493"/>
                  <w:tcBorders>
                    <w:top w:val="single" w:color="000000" w:sz="4"/>
                    <w:left w:val="single" w:color="000000" w:sz="4"/>
                    <w:bottom w:val="single" w:color="000000" w:sz="4"/>
                    <w:right w:val="single" w:color="000000" w:sz="4"/>
                  </w:tcBorders>
                  <w:vAlign w:val="top"/>
                </w:tcPr>
                <w:p>
                  <w:pPr>
                    <w:jc w:val="center"/>
                  </w:pPr>
                  <w:r>
                    <w:rPr>
                      <w:sz w:val="24"/>
                    </w:rPr>
                    <w:t>序号</w:t>
                  </w:r>
                </w:p>
              </w:tc>
              <w:tc>
                <w:tcPr>
                  <w:tcW w:type="dxa" w:w="1242"/>
                  <w:tcBorders>
                    <w:top w:val="single" w:color="000000" w:sz="4"/>
                    <w:left w:val="single" w:color="000000" w:sz="4"/>
                    <w:bottom w:val="single" w:color="000000" w:sz="4"/>
                    <w:right w:val="single" w:color="000000" w:sz="4"/>
                  </w:tcBorders>
                  <w:vAlign w:val="top"/>
                </w:tcPr>
                <w:p>
                  <w:pPr>
                    <w:jc w:val="center"/>
                  </w:pPr>
                  <w:r>
                    <w:rPr>
                      <w:sz w:val="24"/>
                    </w:rPr>
                    <w:t>频道名称</w:t>
                  </w:r>
                </w:p>
              </w:tc>
              <w:tc>
                <w:tcPr>
                  <w:tcW w:type="dxa" w:w="2639"/>
                  <w:tcBorders>
                    <w:top w:val="single" w:color="000000" w:sz="4"/>
                    <w:left w:val="single" w:color="000000" w:sz="4"/>
                    <w:bottom w:val="single" w:color="000000" w:sz="4"/>
                    <w:right w:val="single" w:color="000000" w:sz="4"/>
                  </w:tcBorders>
                  <w:vAlign w:val="top"/>
                </w:tcPr>
                <w:p>
                  <w:pPr>
                    <w:jc w:val="center"/>
                  </w:pPr>
                  <w:r>
                    <w:rPr>
                      <w:sz w:val="24"/>
                    </w:rPr>
                    <w:t>网址</w:t>
                  </w:r>
                </w:p>
              </w:tc>
              <w:tc>
                <w:tcPr>
                  <w:tcW w:type="dxa" w:w="1212"/>
                  <w:tcBorders>
                    <w:top w:val="single" w:color="000000" w:sz="4"/>
                    <w:left w:val="single" w:color="000000" w:sz="4"/>
                    <w:bottom w:val="single" w:color="000000" w:sz="4"/>
                    <w:right w:val="single" w:color="000000" w:sz="4"/>
                  </w:tcBorders>
                  <w:vAlign w:val="top"/>
                </w:tcPr>
                <w:p>
                  <w:pPr>
                    <w:jc w:val="center"/>
                  </w:pPr>
                  <w:r>
                    <w:rPr>
                      <w:sz w:val="24"/>
                    </w:rPr>
                    <w:t>备注</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江门市退役军人事务局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http://www.jiangmen.gov.cn/bmpd/jmstyjrswj/index.html</w:t>
                  </w:r>
                </w:p>
              </w:tc>
              <w:tc>
                <w:tcPr>
                  <w:tcW w:type="dxa" w:w="1212"/>
                  <w:tcBorders>
                    <w:top w:val="none" w:color="000000" w:sz="4"/>
                    <w:left w:val="single" w:color="000000" w:sz="4"/>
                    <w:bottom w:val="single" w:color="000000" w:sz="4"/>
                    <w:right w:val="single" w:color="000000" w:sz="4"/>
                  </w:tcBorders>
                  <w:vAlign w:val="top"/>
                </w:tcPr>
                <w:p>
                  <w:pPr>
                    <w:jc w:val="center"/>
                  </w:pP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江门市审计局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http://www.jiangmen.gov.cn/bmpd/jmssjj/index.html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需开设重点领域信息公开专栏</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江门市人民政府国有资产监督管理委员会</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http://www.jiangmen.gov.cn/bmpd/jmsgzw/index.html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需开设重点领域信息公开专栏，不考评扣分指标中办事服务指标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江门市信访局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http://www.jiangmen.gov.cn/bmpd/jmsxfj/index.html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江门市政务服务数据管理局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http://www.jiangmen.gov.cn/bmpd/jmszwfwsjglj/index.html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江门市供销合作联社</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http://www.jiangmen.gov.cn/bmpd/jmsgxhzls/index.html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江门市机关事务管理局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http://www.jiangmen.gov.cn/bmpd/jmsjgswglj/index.html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江门市政府投资工程建设管理中心</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http://www.jiangmen.gov.cn/bmpd/jmszftzgcjsglzx/index.html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需开设重点领域信息公开专栏，不考评扣分指标中办事服务指标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江门市土地储备中心</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http://www.jiangmen.gov.cn/bmpd/jmstdcbzx/index.html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10</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江门市公路事务中心</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http://www.jiangmen.gov.cn/bmpd/jmsglj/index.html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不考评扣分指标中办事服务指标</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4"/>
                    </w:rPr>
                    <w:t>11</w:t>
                  </w:r>
                </w:p>
              </w:tc>
              <w:tc>
                <w:tcPr>
                  <w:tcW w:type="dxa" w:w="1242"/>
                  <w:tcBorders>
                    <w:top w:val="none" w:color="000000" w:sz="4"/>
                    <w:left w:val="single" w:color="000000" w:sz="4"/>
                    <w:bottom w:val="single" w:color="000000" w:sz="4"/>
                    <w:right w:val="single" w:color="000000" w:sz="4"/>
                  </w:tcBorders>
                  <w:vAlign w:val="top"/>
                </w:tcPr>
                <w:p>
                  <w:pPr>
                    <w:jc w:val="center"/>
                  </w:pPr>
                  <w:r>
                    <w:rPr>
                      <w:sz w:val="24"/>
                    </w:rPr>
                    <w:t>江门市民族宗教事务局</w:t>
                  </w:r>
                </w:p>
              </w:tc>
              <w:tc>
                <w:tcPr>
                  <w:tcW w:type="dxa" w:w="2639"/>
                  <w:tcBorders>
                    <w:top w:val="none" w:color="000000" w:sz="4"/>
                    <w:left w:val="single" w:color="000000" w:sz="4"/>
                    <w:bottom w:val="single" w:color="000000" w:sz="4"/>
                    <w:right w:val="single" w:color="000000" w:sz="4"/>
                  </w:tcBorders>
                  <w:vAlign w:val="top"/>
                </w:tcPr>
                <w:p>
                  <w:pPr>
                    <w:jc w:val="center"/>
                  </w:pPr>
                  <w:r>
                    <w:rPr>
                      <w:sz w:val="24"/>
                    </w:rPr>
                    <w:t>http://www.jiangmen.gov.cn/bmpd/jmsmzzjswj/index.html</w:t>
                  </w:r>
                </w:p>
              </w:tc>
              <w:tc>
                <w:tcPr>
                  <w:tcW w:type="dxa" w:w="1212"/>
                  <w:tcBorders>
                    <w:top w:val="none" w:color="000000" w:sz="4"/>
                    <w:left w:val="single" w:color="000000" w:sz="4"/>
                    <w:bottom w:val="single" w:color="000000" w:sz="4"/>
                    <w:right w:val="single" w:color="000000" w:sz="4"/>
                  </w:tcBorders>
                  <w:vAlign w:val="top"/>
                </w:tcPr>
                <w:p>
                  <w:pPr>
                    <w:jc w:val="center"/>
                  </w:pPr>
                  <w:r>
                    <w:rPr>
                      <w:sz w:val="24"/>
                    </w:rPr>
                    <w:t>办事服务类指标以</w:t>
                  </w:r>
                  <w:r>
                    <w:rPr>
                      <w:sz w:val="24"/>
                    </w:rPr>
                    <w:t>“市委统战部”的指标为准</w:t>
                  </w:r>
                </w:p>
              </w:tc>
            </w:tr>
          </w:tbl>
          <w:p>
            <w:pPr>
              <w:ind w:firstLine="482"/>
              <w:jc w:val="left"/>
            </w:pPr>
            <w:r>
              <w:rPr>
                <w:b/>
                <w:sz w:val="24"/>
              </w:rPr>
              <w:t>4.</w:t>
            </w:r>
            <w:r>
              <w:rPr>
                <w:b/>
                <w:sz w:val="24"/>
              </w:rPr>
              <w:t>监测与考评指标</w:t>
            </w:r>
          </w:p>
          <w:p>
            <w:pPr>
              <w:ind w:firstLine="480"/>
              <w:jc w:val="left"/>
            </w:pPr>
            <w:r>
              <w:rPr>
                <w:sz w:val="24"/>
              </w:rPr>
              <w:t>（</w:t>
            </w:r>
            <w:r>
              <w:rPr>
                <w:sz w:val="24"/>
              </w:rPr>
              <w:t>1）</w:t>
            </w:r>
            <w:r>
              <w:rPr>
                <w:sz w:val="24"/>
              </w:rPr>
              <w:t>单项否决指标（含政务新媒体检查指标）（届时会参考国办与省办</w:t>
            </w:r>
            <w:r>
              <w:rPr>
                <w:sz w:val="24"/>
              </w:rPr>
              <w:t>202</w:t>
            </w:r>
            <w:r>
              <w:rPr>
                <w:sz w:val="24"/>
              </w:rPr>
              <w:t>3</w:t>
            </w:r>
            <w:r>
              <w:rPr>
                <w:sz w:val="24"/>
              </w:rPr>
              <w:t>年指标做适当调整）</w:t>
            </w:r>
          </w:p>
          <w:tbl>
            <w:tblPr>
              <w:tblBorders>
                <w:top w:val="none" w:color="000000" w:sz="4"/>
                <w:left w:val="none" w:color="000000" w:sz="4"/>
                <w:bottom w:val="none" w:color="000000" w:sz="4"/>
                <w:right w:val="none" w:color="000000" w:sz="4"/>
                <w:insideH w:val="none"/>
                <w:insideV w:val="none"/>
              </w:tblBorders>
            </w:tblPr>
            <w:tblGrid>
              <w:gridCol w:w="730"/>
              <w:gridCol w:w="841"/>
              <w:gridCol w:w="3861"/>
            </w:tblGrid>
            <w:tr>
              <w:tc>
                <w:tcPr>
                  <w:tcW w:type="dxa" w:w="730"/>
                  <w:tcBorders>
                    <w:top w:val="single" w:color="000000" w:sz="4"/>
                    <w:left w:val="single" w:color="000000" w:sz="4"/>
                    <w:bottom w:val="single" w:color="000000" w:sz="4"/>
                    <w:right w:val="single" w:color="000000" w:sz="4"/>
                  </w:tcBorders>
                  <w:vAlign w:val="top"/>
                </w:tcPr>
                <w:p>
                  <w:pPr>
                    <w:jc w:val="center"/>
                  </w:pPr>
                  <w:r>
                    <w:rPr>
                      <w:sz w:val="24"/>
                    </w:rPr>
                    <w:t>检查对象</w:t>
                  </w:r>
                </w:p>
              </w:tc>
              <w:tc>
                <w:tcPr>
                  <w:tcW w:type="dxa" w:w="841"/>
                  <w:tcBorders>
                    <w:top w:val="single" w:color="000000" w:sz="4"/>
                    <w:left w:val="none" w:color="000000" w:sz="4"/>
                    <w:bottom w:val="single" w:color="000000" w:sz="4"/>
                    <w:right w:val="single" w:color="000000" w:sz="4"/>
                  </w:tcBorders>
                  <w:vAlign w:val="top"/>
                </w:tcPr>
                <w:p>
                  <w:pPr>
                    <w:jc w:val="center"/>
                  </w:pPr>
                  <w:r>
                    <w:rPr>
                      <w:sz w:val="24"/>
                    </w:rPr>
                    <w:t>指标</w:t>
                  </w:r>
                </w:p>
              </w:tc>
              <w:tc>
                <w:tcPr>
                  <w:tcW w:type="dxa" w:w="3861"/>
                  <w:tcBorders>
                    <w:top w:val="single" w:color="000000" w:sz="4"/>
                    <w:left w:val="none" w:color="000000" w:sz="4"/>
                    <w:bottom w:val="single" w:color="000000" w:sz="4"/>
                    <w:right w:val="single" w:color="000000" w:sz="4"/>
                  </w:tcBorders>
                  <w:vAlign w:val="top"/>
                </w:tcPr>
                <w:p>
                  <w:pPr>
                    <w:jc w:val="center"/>
                  </w:pPr>
                  <w:r>
                    <w:rPr>
                      <w:sz w:val="24"/>
                    </w:rPr>
                    <w:t>评分细则</w:t>
                  </w:r>
                </w:p>
              </w:tc>
            </w:tr>
            <w:tr>
              <w:tc>
                <w:tcPr>
                  <w:tcW w:type="dxa" w:w="730"/>
                  <w:vMerge w:val="restart"/>
                  <w:tcBorders>
                    <w:top w:val="none" w:color="000000" w:sz="4"/>
                    <w:left w:val="single" w:color="000000" w:sz="4"/>
                    <w:bottom w:val="single" w:color="000000" w:sz="4"/>
                    <w:right w:val="single" w:color="000000" w:sz="4"/>
                  </w:tcBorders>
                  <w:vAlign w:val="top"/>
                </w:tcPr>
                <w:p>
                  <w:pPr>
                    <w:jc w:val="center"/>
                  </w:pPr>
                  <w:r>
                    <w:rPr>
                      <w:sz w:val="24"/>
                    </w:rPr>
                    <w:t>政府网站</w:t>
                  </w:r>
                </w:p>
              </w:tc>
              <w:tc>
                <w:tcPr>
                  <w:tcW w:type="dxa" w:w="841"/>
                  <w:tcBorders>
                    <w:top w:val="none" w:color="000000" w:sz="4"/>
                    <w:left w:val="none" w:color="000000" w:sz="4"/>
                    <w:bottom w:val="single" w:color="000000" w:sz="4"/>
                    <w:right w:val="single" w:color="000000" w:sz="4"/>
                  </w:tcBorders>
                  <w:vAlign w:val="top"/>
                </w:tcPr>
                <w:p>
                  <w:pPr>
                    <w:jc w:val="both"/>
                  </w:pPr>
                  <w:r>
                    <w:rPr>
                      <w:sz w:val="24"/>
                    </w:rPr>
                    <w:t>安全、泄密事故等严重问题</w:t>
                  </w:r>
                </w:p>
              </w:tc>
              <w:tc>
                <w:tcPr>
                  <w:tcW w:type="dxa" w:w="3861"/>
                  <w:tcBorders>
                    <w:top w:val="none" w:color="000000" w:sz="4"/>
                    <w:left w:val="none" w:color="000000" w:sz="4"/>
                    <w:bottom w:val="single" w:color="000000" w:sz="4"/>
                    <w:right w:val="single" w:color="000000" w:sz="4"/>
                  </w:tcBorders>
                  <w:vAlign w:val="top"/>
                </w:tcPr>
                <w:p>
                  <w:pPr>
                    <w:jc w:val="both"/>
                  </w:pPr>
                  <w:r>
                    <w:rPr>
                      <w:sz w:val="24"/>
                    </w:rPr>
                    <w:t>1.出现严重表述错误。</w:t>
                  </w:r>
                </w:p>
                <w:p>
                  <w:pPr>
                    <w:jc w:val="both"/>
                  </w:pPr>
                  <w:r>
                    <w:rPr>
                      <w:sz w:val="24"/>
                    </w:rPr>
                    <w:t>2.泄露国家秘密。</w:t>
                  </w:r>
                </w:p>
                <w:p>
                  <w:pPr>
                    <w:jc w:val="both"/>
                  </w:pPr>
                  <w:r>
                    <w:rPr>
                      <w:sz w:val="24"/>
                    </w:rPr>
                    <w:t>3.发布或链接反动、暴力、色情等内容。</w:t>
                  </w:r>
                </w:p>
                <w:p>
                  <w:pPr>
                    <w:jc w:val="both"/>
                  </w:pPr>
                  <w:r>
                    <w:rPr>
                      <w:sz w:val="24"/>
                    </w:rPr>
                    <w:t>4.对安全攻击（如页面被挂马、内容被篡改等）没有及时有效处置造成严重安全事故。</w:t>
                  </w:r>
                </w:p>
                <w:p>
                  <w:pPr>
                    <w:jc w:val="both"/>
                  </w:pPr>
                  <w:r>
                    <w:rPr>
                      <w:sz w:val="24"/>
                    </w:rPr>
                    <w:t>5.存在弄虚作假行为（如伪造发稿日期等）。</w:t>
                  </w:r>
                </w:p>
                <w:p>
                  <w:pPr>
                    <w:jc w:val="both"/>
                  </w:pPr>
                  <w:r>
                    <w:rPr>
                      <w:sz w:val="24"/>
                    </w:rPr>
                    <w:t>6.因网站建设管理工作不当引发严重负面</w:t>
                  </w:r>
                  <w:r>
                    <w:rPr>
                      <w:sz w:val="24"/>
                    </w:rPr>
                    <w:t>言论</w:t>
                  </w:r>
                  <w:r>
                    <w:rPr>
                      <w:sz w:val="24"/>
                    </w:rPr>
                    <w:t>。</w:t>
                  </w:r>
                </w:p>
                <w:p>
                  <w:pPr>
                    <w:jc w:val="both"/>
                  </w:pPr>
                  <w:r>
                    <w:rPr>
                      <w:sz w:val="24"/>
                    </w:rPr>
                    <w:t>上述情况出现任意一种，即单项否决。</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站点无法访问</w:t>
                  </w:r>
                </w:p>
              </w:tc>
              <w:tc>
                <w:tcPr>
                  <w:tcW w:type="dxa" w:w="3861"/>
                  <w:tcBorders>
                    <w:top w:val="none" w:color="000000" w:sz="4"/>
                    <w:left w:val="none" w:color="000000" w:sz="4"/>
                    <w:bottom w:val="single" w:color="000000" w:sz="4"/>
                    <w:right w:val="single" w:color="000000" w:sz="4"/>
                  </w:tcBorders>
                  <w:vAlign w:val="top"/>
                </w:tcPr>
                <w:p>
                  <w:pPr>
                    <w:jc w:val="both"/>
                  </w:pPr>
                  <w:r>
                    <w:rPr>
                      <w:sz w:val="24"/>
                    </w:rPr>
                    <w:t>监测</w:t>
                  </w:r>
                  <w:r>
                    <w:rPr>
                      <w:sz w:val="24"/>
                    </w:rPr>
                    <w:t>1周，每天间隔性访问20次以上，超过（含）15秒网站仍打不开的次数累计占比超过（含）5%，即单项否决。</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首页不更新</w:t>
                  </w:r>
                </w:p>
              </w:tc>
              <w:tc>
                <w:tcPr>
                  <w:tcW w:type="dxa" w:w="3861"/>
                  <w:tcBorders>
                    <w:top w:val="none" w:color="000000" w:sz="4"/>
                    <w:left w:val="none" w:color="000000" w:sz="4"/>
                    <w:bottom w:val="single" w:color="000000" w:sz="4"/>
                    <w:right w:val="single" w:color="000000" w:sz="4"/>
                  </w:tcBorders>
                  <w:vAlign w:val="top"/>
                </w:tcPr>
                <w:p>
                  <w:pPr>
                    <w:jc w:val="both"/>
                  </w:pPr>
                  <w:r>
                    <w:rPr>
                      <w:sz w:val="24"/>
                    </w:rPr>
                    <w:t>监测</w:t>
                  </w:r>
                  <w:r>
                    <w:rPr>
                      <w:sz w:val="24"/>
                    </w:rPr>
                    <w:t>2周，首页无信息更新的，即单项否决。</w:t>
                  </w:r>
                </w:p>
                <w:p>
                  <w:pPr>
                    <w:jc w:val="both"/>
                  </w:pPr>
                  <w:r>
                    <w:rPr>
                      <w:sz w:val="24"/>
                    </w:rPr>
                    <w:t>如首页仅为网站栏目导航入口，所有二级页面无信息更新的，即单项否决。</w:t>
                  </w:r>
                </w:p>
                <w:p>
                  <w:pPr>
                    <w:jc w:val="both"/>
                  </w:pPr>
                  <w:r>
                    <w:rPr>
                      <w:sz w:val="24"/>
                    </w:rPr>
                    <w:t>（注：稿件发布页未注明发布时间的视为不更新，下同。）</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栏目不更新</w:t>
                  </w:r>
                </w:p>
              </w:tc>
              <w:tc>
                <w:tcPr>
                  <w:tcW w:type="dxa" w:w="3861"/>
                  <w:tcBorders>
                    <w:top w:val="none" w:color="000000" w:sz="4"/>
                    <w:left w:val="none" w:color="000000" w:sz="4"/>
                    <w:bottom w:val="single" w:color="000000" w:sz="4"/>
                    <w:right w:val="single" w:color="000000" w:sz="4"/>
                  </w:tcBorders>
                  <w:vAlign w:val="top"/>
                </w:tcPr>
                <w:p>
                  <w:pPr>
                    <w:jc w:val="both"/>
                  </w:pPr>
                  <w:r>
                    <w:rPr>
                      <w:sz w:val="24"/>
                    </w:rPr>
                    <w:t>1.监测时间点前2周内的动态、要闻类栏目，以及监测时间点前6个月内的通知公告、政策文件类一级栏目，累计超过（含）5个未更新。</w:t>
                  </w:r>
                </w:p>
                <w:p>
                  <w:pPr>
                    <w:jc w:val="both"/>
                  </w:pPr>
                  <w:r>
                    <w:rPr>
                      <w:sz w:val="24"/>
                    </w:rPr>
                    <w:t>2.应更新但长期未更新的栏目数量超过（含）10个。</w:t>
                  </w:r>
                </w:p>
                <w:p>
                  <w:pPr>
                    <w:jc w:val="both"/>
                  </w:pPr>
                  <w:r>
                    <w:rPr>
                      <w:sz w:val="24"/>
                    </w:rPr>
                    <w:t>3.空白栏目数量超过（含）5个。</w:t>
                  </w:r>
                </w:p>
                <w:p>
                  <w:pPr>
                    <w:jc w:val="both"/>
                  </w:pPr>
                  <w:r>
                    <w:rPr>
                      <w:sz w:val="24"/>
                    </w:rPr>
                    <w:t>上述情况出现任意一种，即单项否决。</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互动回应差</w:t>
                  </w:r>
                </w:p>
              </w:tc>
              <w:tc>
                <w:tcPr>
                  <w:tcW w:type="dxa" w:w="3861"/>
                  <w:tcBorders>
                    <w:top w:val="none" w:color="000000" w:sz="4"/>
                    <w:left w:val="none" w:color="000000" w:sz="4"/>
                    <w:bottom w:val="single" w:color="000000" w:sz="4"/>
                    <w:right w:val="single" w:color="000000" w:sz="4"/>
                  </w:tcBorders>
                  <w:vAlign w:val="top"/>
                </w:tcPr>
                <w:p>
                  <w:pPr>
                    <w:jc w:val="both"/>
                  </w:pPr>
                  <w:r>
                    <w:rPr>
                      <w:sz w:val="24"/>
                    </w:rPr>
                    <w:t>1.未提供网上有效咨询建言渠道（网上信访、纪检举报等专门渠道除外）。</w:t>
                  </w:r>
                </w:p>
                <w:p>
                  <w:pPr>
                    <w:jc w:val="both"/>
                  </w:pPr>
                  <w:r>
                    <w:rPr>
                      <w:sz w:val="24"/>
                    </w:rPr>
                    <w:t>2.监测时间点前1年内，对网民留言应及时答复处理的政务咨询类栏目（在线访谈、调查征集、网上信访、纪检举报类栏目除外）存在超过3个月未回应有效留言的现象。</w:t>
                  </w:r>
                </w:p>
                <w:p>
                  <w:pPr>
                    <w:jc w:val="both"/>
                  </w:pPr>
                  <w:r>
                    <w:rPr>
                      <w:sz w:val="24"/>
                    </w:rPr>
                    <w:t>上述情况出现任意一种，即单项否决。</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服务不实用</w:t>
                  </w:r>
                </w:p>
              </w:tc>
              <w:tc>
                <w:tcPr>
                  <w:tcW w:type="dxa" w:w="3861"/>
                  <w:tcBorders>
                    <w:top w:val="none" w:color="000000" w:sz="4"/>
                    <w:left w:val="none" w:color="000000" w:sz="4"/>
                    <w:bottom w:val="single" w:color="000000" w:sz="4"/>
                    <w:right w:val="single" w:color="000000" w:sz="4"/>
                  </w:tcBorders>
                  <w:vAlign w:val="top"/>
                </w:tcPr>
                <w:p>
                  <w:pPr>
                    <w:jc w:val="both"/>
                  </w:pPr>
                  <w:r>
                    <w:rPr>
                      <w:sz w:val="24"/>
                    </w:rPr>
                    <w:t>1.未提供办事服务。</w:t>
                  </w:r>
                </w:p>
                <w:p>
                  <w:pPr>
                    <w:jc w:val="both"/>
                  </w:pPr>
                  <w:r>
                    <w:rPr>
                      <w:sz w:val="24"/>
                    </w:rPr>
                    <w:t>2.办事指南重点要素类别（包括事项名称、设定依据、申请条件、办理材料、办理地点、办理机构、收费标准、办理时间、联系电话、办理流程）缺失4类及以上的事项数量超过（含）5个。</w:t>
                  </w:r>
                </w:p>
                <w:p>
                  <w:pPr>
                    <w:jc w:val="both"/>
                  </w:pPr>
                  <w:r>
                    <w:rPr>
                      <w:sz w:val="24"/>
                    </w:rPr>
                    <w:t>3.事项总数不足5个的，每个事项办事指南重点要素类别（包括事项名称、设定依据、申请条件、办理材料、办理地点、办理机构、收费标准、办理时间、联系电话、办理流程）均缺失4类及以上。</w:t>
                  </w:r>
                </w:p>
                <w:p>
                  <w:pPr>
                    <w:jc w:val="both"/>
                  </w:pPr>
                  <w:r>
                    <w:rPr>
                      <w:sz w:val="24"/>
                    </w:rPr>
                    <w:t>上述情况出现任意一种，即单项否决。</w:t>
                  </w:r>
                </w:p>
                <w:p>
                  <w:pPr>
                    <w:jc w:val="both"/>
                  </w:pPr>
                  <w:r>
                    <w:rPr>
                      <w:sz w:val="24"/>
                    </w:rPr>
                    <w:t>（注：对没有对外服务职能的部门，不检查其网站该项指标。）</w:t>
                  </w:r>
                </w:p>
              </w:tc>
            </w:tr>
            <w:tr>
              <w:tc>
                <w:tcPr>
                  <w:tcW w:type="dxa" w:w="730"/>
                  <w:vMerge w:val="restart"/>
                  <w:tcBorders>
                    <w:top w:val="none" w:color="000000" w:sz="4"/>
                    <w:left w:val="single" w:color="000000" w:sz="4"/>
                    <w:bottom w:val="single" w:color="000000" w:sz="4"/>
                    <w:right w:val="single" w:color="000000" w:sz="4"/>
                  </w:tcBorders>
                  <w:vAlign w:val="top"/>
                </w:tcPr>
                <w:p>
                  <w:pPr>
                    <w:jc w:val="center"/>
                  </w:pPr>
                  <w:r>
                    <w:rPr>
                      <w:sz w:val="24"/>
                    </w:rPr>
                    <w:t>政务新媒体（新增指标，详见第三章政务新媒体监测）</w:t>
                  </w:r>
                </w:p>
              </w:tc>
              <w:tc>
                <w:tcPr>
                  <w:tcW w:type="dxa" w:w="841"/>
                  <w:tcBorders>
                    <w:top w:val="none" w:color="000000" w:sz="4"/>
                    <w:left w:val="none" w:color="000000" w:sz="4"/>
                    <w:bottom w:val="single" w:color="000000" w:sz="4"/>
                    <w:right w:val="single" w:color="000000" w:sz="4"/>
                  </w:tcBorders>
                  <w:vAlign w:val="top"/>
                </w:tcPr>
                <w:p>
                  <w:pPr>
                    <w:jc w:val="both"/>
                  </w:pPr>
                  <w:r>
                    <w:rPr>
                      <w:sz w:val="24"/>
                    </w:rPr>
                    <w:t>安全、泄密事故等严重问题</w:t>
                  </w:r>
                </w:p>
              </w:tc>
              <w:tc>
                <w:tcPr>
                  <w:tcW w:type="dxa" w:w="3861"/>
                  <w:tcBorders>
                    <w:top w:val="none" w:color="000000" w:sz="4"/>
                    <w:left w:val="none" w:color="000000" w:sz="4"/>
                    <w:bottom w:val="single" w:color="000000" w:sz="4"/>
                    <w:right w:val="single" w:color="000000" w:sz="4"/>
                  </w:tcBorders>
                  <w:vAlign w:val="top"/>
                </w:tcPr>
                <w:p>
                  <w:pPr>
                    <w:jc w:val="both"/>
                  </w:pPr>
                  <w:r>
                    <w:rPr>
                      <w:sz w:val="24"/>
                    </w:rPr>
                    <w:t>1.出现严重表述错误。</w:t>
                  </w:r>
                </w:p>
                <w:p>
                  <w:pPr>
                    <w:jc w:val="both"/>
                  </w:pPr>
                  <w:r>
                    <w:rPr>
                      <w:sz w:val="24"/>
                    </w:rPr>
                    <w:t>2.泄露国家秘密。</w:t>
                  </w:r>
                </w:p>
                <w:p>
                  <w:pPr>
                    <w:jc w:val="both"/>
                  </w:pPr>
                  <w:r>
                    <w:rPr>
                      <w:sz w:val="24"/>
                    </w:rPr>
                    <w:t>3.发布或链接反动、暴力、色情等内容。</w:t>
                  </w:r>
                </w:p>
                <w:p>
                  <w:pPr>
                    <w:jc w:val="both"/>
                  </w:pPr>
                  <w:r>
                    <w:rPr>
                      <w:sz w:val="24"/>
                    </w:rPr>
                    <w:t>4.因发布内容不当引发严重负面</w:t>
                  </w:r>
                  <w:r>
                    <w:rPr>
                      <w:sz w:val="24"/>
                    </w:rPr>
                    <w:t>言论</w:t>
                  </w:r>
                  <w:r>
                    <w:rPr>
                      <w:sz w:val="24"/>
                    </w:rPr>
                    <w:t>。</w:t>
                  </w:r>
                </w:p>
                <w:p>
                  <w:pPr>
                    <w:jc w:val="both"/>
                  </w:pPr>
                  <w:r>
                    <w:rPr>
                      <w:sz w:val="24"/>
                    </w:rPr>
                    <w:t>上述情况出现任意一种，即单项否决。</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内容不更新</w:t>
                  </w:r>
                </w:p>
              </w:tc>
              <w:tc>
                <w:tcPr>
                  <w:tcW w:type="dxa" w:w="3861"/>
                  <w:tcBorders>
                    <w:top w:val="none" w:color="000000" w:sz="4"/>
                    <w:left w:val="none" w:color="000000" w:sz="4"/>
                    <w:bottom w:val="single" w:color="000000" w:sz="4"/>
                    <w:right w:val="single" w:color="000000" w:sz="4"/>
                  </w:tcBorders>
                  <w:vAlign w:val="top"/>
                </w:tcPr>
                <w:p>
                  <w:pPr>
                    <w:jc w:val="both"/>
                  </w:pPr>
                  <w:r>
                    <w:rPr>
                      <w:sz w:val="24"/>
                    </w:rPr>
                    <w:t>1.监测时间点前2周内无更新。</w:t>
                  </w:r>
                </w:p>
                <w:p>
                  <w:pPr>
                    <w:jc w:val="both"/>
                  </w:pPr>
                  <w:r>
                    <w:rPr>
                      <w:sz w:val="24"/>
                    </w:rPr>
                    <w:t>2.移动客户端（APP）无法下载或使用，发生“僵尸”、“睡眠”情况。</w:t>
                  </w:r>
                </w:p>
              </w:tc>
            </w:tr>
            <w:tr>
              <w:tc>
                <w:tcPr>
                  <w:tcW w:type="dxa" w:w="73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both"/>
                  </w:pPr>
                  <w:r>
                    <w:rPr>
                      <w:sz w:val="24"/>
                    </w:rPr>
                    <w:t>互动回应差</w:t>
                  </w:r>
                </w:p>
              </w:tc>
              <w:tc>
                <w:tcPr>
                  <w:tcW w:type="dxa" w:w="3861"/>
                  <w:tcBorders>
                    <w:top w:val="none" w:color="000000" w:sz="4"/>
                    <w:left w:val="none" w:color="000000" w:sz="4"/>
                    <w:bottom w:val="single" w:color="000000" w:sz="4"/>
                    <w:right w:val="single" w:color="000000" w:sz="4"/>
                  </w:tcBorders>
                  <w:vAlign w:val="top"/>
                </w:tcPr>
                <w:p>
                  <w:pPr>
                    <w:jc w:val="both"/>
                  </w:pPr>
                  <w:r>
                    <w:rPr>
                      <w:sz w:val="24"/>
                    </w:rPr>
                    <w:t>1.未提供有效互动功能。</w:t>
                  </w:r>
                </w:p>
                <w:p>
                  <w:pPr>
                    <w:jc w:val="both"/>
                  </w:pPr>
                  <w:r>
                    <w:rPr>
                      <w:sz w:val="24"/>
                    </w:rPr>
                    <w:t>2.存在购买“粉丝”、强制要求群众点赞等弄虚作假行为。</w:t>
                  </w:r>
                </w:p>
                <w:p>
                  <w:pPr>
                    <w:jc w:val="both"/>
                  </w:pPr>
                  <w:r>
                    <w:rPr>
                      <w:sz w:val="24"/>
                    </w:rPr>
                    <w:t>上述情况出现任意一种，即单项否决。</w:t>
                  </w:r>
                </w:p>
              </w:tc>
            </w:tr>
          </w:tbl>
          <w:p>
            <w:pPr>
              <w:ind w:firstLine="480"/>
              <w:jc w:val="left"/>
            </w:pPr>
            <w:r>
              <w:rPr>
                <w:sz w:val="24"/>
              </w:rPr>
              <w:t>（</w:t>
            </w:r>
            <w:r>
              <w:rPr>
                <w:sz w:val="24"/>
              </w:rPr>
              <w:t>2）</w:t>
            </w:r>
            <w:r>
              <w:rPr>
                <w:sz w:val="24"/>
              </w:rPr>
              <w:t>扣分指标（届时会参考国办与省办</w:t>
            </w:r>
            <w:r>
              <w:rPr>
                <w:sz w:val="24"/>
              </w:rPr>
              <w:t>202</w:t>
            </w:r>
            <w:r>
              <w:rPr>
                <w:sz w:val="24"/>
              </w:rPr>
              <w:t>3</w:t>
            </w:r>
            <w:r>
              <w:rPr>
                <w:sz w:val="24"/>
              </w:rPr>
              <w:t>年指标做适当调整）</w:t>
            </w:r>
          </w:p>
          <w:tbl>
            <w:tblPr>
              <w:tblBorders>
                <w:top w:val="none" w:color="000000" w:sz="4"/>
                <w:left w:val="none" w:color="000000" w:sz="4"/>
                <w:bottom w:val="none" w:color="000000" w:sz="4"/>
                <w:right w:val="none" w:color="000000" w:sz="4"/>
                <w:insideH w:val="none"/>
                <w:insideV w:val="none"/>
              </w:tblBorders>
            </w:tblPr>
            <w:tblGrid>
              <w:gridCol w:w="720"/>
              <w:gridCol w:w="841"/>
              <w:gridCol w:w="3270"/>
              <w:gridCol w:w="590"/>
            </w:tblGrid>
            <w:tr>
              <w:tc>
                <w:tcPr>
                  <w:tcW w:type="dxa" w:w="720"/>
                  <w:tcBorders>
                    <w:top w:val="single" w:color="000000" w:sz="4"/>
                    <w:left w:val="single" w:color="000000" w:sz="4"/>
                    <w:bottom w:val="single" w:color="000000" w:sz="4"/>
                    <w:right w:val="single" w:color="000000" w:sz="4"/>
                  </w:tcBorders>
                  <w:vAlign w:val="top"/>
                </w:tcPr>
                <w:p>
                  <w:pPr>
                    <w:jc w:val="center"/>
                  </w:pPr>
                  <w:r>
                    <w:rPr>
                      <w:sz w:val="24"/>
                    </w:rPr>
                    <w:t>一级指标</w:t>
                  </w:r>
                </w:p>
              </w:tc>
              <w:tc>
                <w:tcPr>
                  <w:tcW w:type="dxa" w:w="841"/>
                  <w:tcBorders>
                    <w:top w:val="single" w:color="000000" w:sz="4"/>
                    <w:left w:val="none" w:color="000000" w:sz="4"/>
                    <w:bottom w:val="single" w:color="000000" w:sz="4"/>
                    <w:right w:val="single" w:color="000000" w:sz="4"/>
                  </w:tcBorders>
                  <w:vAlign w:val="top"/>
                </w:tcPr>
                <w:p>
                  <w:pPr>
                    <w:jc w:val="center"/>
                  </w:pPr>
                  <w:r>
                    <w:rPr>
                      <w:sz w:val="24"/>
                    </w:rPr>
                    <w:t>二级指标</w:t>
                  </w:r>
                </w:p>
              </w:tc>
              <w:tc>
                <w:tcPr>
                  <w:tcW w:type="dxa" w:w="3270"/>
                  <w:tcBorders>
                    <w:top w:val="single" w:color="000000" w:sz="4"/>
                    <w:left w:val="none" w:color="000000" w:sz="4"/>
                    <w:bottom w:val="single" w:color="000000" w:sz="4"/>
                    <w:right w:val="single" w:color="000000" w:sz="4"/>
                  </w:tcBorders>
                  <w:vAlign w:val="top"/>
                </w:tcPr>
                <w:p>
                  <w:pPr>
                    <w:jc w:val="center"/>
                  </w:pPr>
                  <w:r>
                    <w:rPr>
                      <w:sz w:val="24"/>
                    </w:rPr>
                    <w:t>评分细则</w:t>
                  </w:r>
                </w:p>
              </w:tc>
              <w:tc>
                <w:tcPr>
                  <w:tcW w:type="dxa" w:w="590"/>
                  <w:tcBorders>
                    <w:top w:val="single" w:color="000000" w:sz="4"/>
                    <w:left w:val="none" w:color="000000" w:sz="4"/>
                    <w:bottom w:val="single" w:color="000000" w:sz="4"/>
                    <w:right w:val="single" w:color="000000" w:sz="4"/>
                  </w:tcBorders>
                  <w:vAlign w:val="top"/>
                </w:tcPr>
                <w:p>
                  <w:pPr>
                    <w:jc w:val="center"/>
                  </w:pPr>
                  <w:r>
                    <w:rPr>
                      <w:sz w:val="24"/>
                    </w:rPr>
                    <w:t>分值</w:t>
                  </w:r>
                </w:p>
                <w:p>
                  <w:pPr>
                    <w:jc w:val="center"/>
                  </w:pPr>
                  <w:r>
                    <w:rPr>
                      <w:sz w:val="24"/>
                    </w:rPr>
                    <w:t>(共100)</w:t>
                  </w:r>
                </w:p>
              </w:tc>
            </w:tr>
            <w:tr>
              <w:tc>
                <w:tcPr>
                  <w:tcW w:type="dxa" w:w="720"/>
                  <w:vMerge w:val="restart"/>
                  <w:tcBorders>
                    <w:top w:val="none" w:color="000000" w:sz="4"/>
                    <w:left w:val="single" w:color="000000" w:sz="4"/>
                    <w:bottom w:val="single" w:color="000000" w:sz="4"/>
                    <w:right w:val="single" w:color="000000" w:sz="4"/>
                  </w:tcBorders>
                  <w:vAlign w:val="top"/>
                </w:tcPr>
                <w:p>
                  <w:pPr>
                    <w:jc w:val="center"/>
                  </w:pPr>
                  <w:r>
                    <w:rPr>
                      <w:sz w:val="24"/>
                    </w:rPr>
                    <w:t>发布解读</w:t>
                  </w:r>
                </w:p>
                <w:p>
                  <w:pPr>
                    <w:jc w:val="center"/>
                  </w:pPr>
                  <w:r>
                    <w:rPr>
                      <w:sz w:val="24"/>
                    </w:rPr>
                    <w:t>（</w:t>
                  </w:r>
                  <w:r>
                    <w:rPr>
                      <w:sz w:val="24"/>
                    </w:rPr>
                    <w:t>31分）</w:t>
                  </w:r>
                </w:p>
              </w:tc>
              <w:tc>
                <w:tcPr>
                  <w:tcW w:type="dxa" w:w="841"/>
                  <w:tcBorders>
                    <w:top w:val="none" w:color="000000" w:sz="4"/>
                    <w:left w:val="none" w:color="000000" w:sz="4"/>
                    <w:bottom w:val="single" w:color="000000" w:sz="4"/>
                    <w:right w:val="single" w:color="000000" w:sz="4"/>
                  </w:tcBorders>
                  <w:vAlign w:val="top"/>
                </w:tcPr>
                <w:p>
                  <w:pPr>
                    <w:jc w:val="center"/>
                  </w:pPr>
                  <w:r>
                    <w:rPr>
                      <w:sz w:val="24"/>
                    </w:rPr>
                    <w:t>概况信息</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1.未开设概况信息类栏目的，扣2分。</w:t>
                  </w:r>
                </w:p>
                <w:p>
                  <w:pPr>
                    <w:jc w:val="both"/>
                  </w:pPr>
                  <w:r>
                    <w:rPr>
                      <w:sz w:val="24"/>
                    </w:rPr>
                    <w:t>2.概况信息更新不及时或不准确的，每发现一处，扣1分。</w:t>
                  </w:r>
                </w:p>
                <w:p>
                  <w:pPr>
                    <w:jc w:val="both"/>
                  </w:pPr>
                  <w:r>
                    <w:rPr>
                      <w:sz w:val="24"/>
                    </w:rPr>
                    <w:t>（注：对国务院部门门户网站不检查该项指标。）</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机构职能</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1.未开设机构职能类栏目的，扣2分。</w:t>
                  </w:r>
                </w:p>
                <w:p>
                  <w:pPr>
                    <w:jc w:val="both"/>
                  </w:pPr>
                  <w:r>
                    <w:rPr>
                      <w:sz w:val="24"/>
                    </w:rPr>
                    <w:t>2.机构职能信息不准确的，每发现一处，扣1分。</w:t>
                  </w:r>
                </w:p>
                <w:p>
                  <w:pPr>
                    <w:jc w:val="both"/>
                  </w:pPr>
                  <w:r>
                    <w:rPr>
                      <w:sz w:val="24"/>
                    </w:rPr>
                    <w:t>（注：国务院部门门户网站未开设机构职能类栏目扣</w:t>
                  </w:r>
                  <w:r>
                    <w:rPr>
                      <w:sz w:val="24"/>
                    </w:rPr>
                    <w:t>4分，信息不准确的，每发现一处扣1分，最多扣4分。）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领导信息</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1.未开设领导信息类栏目的，扣2分。</w:t>
                  </w:r>
                </w:p>
                <w:p>
                  <w:pPr>
                    <w:jc w:val="both"/>
                  </w:pPr>
                  <w:r>
                    <w:rPr>
                      <w:sz w:val="24"/>
                    </w:rPr>
                    <w:t>2.领导姓名、简历等信息缺失或不准确的，每发现一处，扣1分。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动态要闻</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1.未开设动态要闻类栏目的，扣5分。</w:t>
                  </w:r>
                </w:p>
                <w:p>
                  <w:pPr>
                    <w:jc w:val="both"/>
                  </w:pPr>
                  <w:r>
                    <w:rPr>
                      <w:sz w:val="24"/>
                    </w:rPr>
                    <w:t>2.监测时间点前2周内未更新的，扣5分。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政策文件</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1.未开设政策文件类栏目的，扣5分。</w:t>
                  </w:r>
                </w:p>
                <w:p>
                  <w:pPr>
                    <w:jc w:val="both"/>
                  </w:pPr>
                  <w:r>
                    <w:rPr>
                      <w:sz w:val="24"/>
                    </w:rPr>
                    <w:t>2.监测时间点前6个月内政策文件类一级栏目未更新的，扣5分。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政策解读</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1.未开设政策解读类栏目的，扣5分。</w:t>
                  </w:r>
                </w:p>
                <w:p>
                  <w:pPr>
                    <w:jc w:val="both"/>
                  </w:pPr>
                  <w:r>
                    <w:rPr>
                      <w:sz w:val="24"/>
                    </w:rPr>
                    <w:t>2.监测时间点前6个月内政策解读类一级栏目未更新的，扣5分。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解读比例</w:t>
                  </w:r>
                </w:p>
              </w:tc>
              <w:tc>
                <w:tcPr>
                  <w:tcW w:type="dxa" w:w="3270"/>
                  <w:tcBorders>
                    <w:top w:val="none" w:color="000000" w:sz="4"/>
                    <w:left w:val="none" w:color="000000" w:sz="4"/>
                    <w:bottom w:val="single" w:color="000000" w:sz="4"/>
                    <w:right w:val="single" w:color="000000" w:sz="4"/>
                  </w:tcBorders>
                  <w:vAlign w:val="top"/>
                </w:tcPr>
                <w:p>
                  <w:pPr>
                    <w:jc w:val="both"/>
                  </w:pPr>
                  <w:r>
                    <w:rPr>
                      <w:sz w:val="24"/>
                    </w:rPr>
                    <w:t>随机抽查网站已发布的</w:t>
                  </w:r>
                  <w:r>
                    <w:rPr>
                      <w:sz w:val="24"/>
                    </w:rPr>
                    <w:t>3个以本地区本部门或本地区本部门办公厅（室）名义印发的涉及面广、社会关注度高的政策文件，被解读的文件数量每少一个，扣1分。</w:t>
                  </w:r>
                </w:p>
                <w:p>
                  <w:pPr>
                    <w:jc w:val="both"/>
                  </w:pPr>
                  <w:r>
                    <w:rPr>
                      <w:sz w:val="24"/>
                    </w:rPr>
                    <w:t>（注：不足</w:t>
                  </w:r>
                  <w:r>
                    <w:rPr>
                      <w:sz w:val="24"/>
                    </w:rPr>
                    <w:t>3个的则检查全部文件。）</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解读关联</w:t>
                  </w:r>
                </w:p>
              </w:tc>
              <w:tc>
                <w:tcPr>
                  <w:tcW w:type="dxa" w:w="3270"/>
                  <w:tcBorders>
                    <w:top w:val="none" w:color="000000" w:sz="4"/>
                    <w:left w:val="none" w:color="000000" w:sz="4"/>
                    <w:bottom w:val="single" w:color="000000" w:sz="4"/>
                    <w:right w:val="single" w:color="000000" w:sz="4"/>
                  </w:tcBorders>
                  <w:vAlign w:val="top"/>
                </w:tcPr>
                <w:p>
                  <w:pPr>
                    <w:jc w:val="both"/>
                  </w:pPr>
                  <w:r>
                    <w:rPr>
                      <w:sz w:val="24"/>
                    </w:rPr>
                    <w:t>随机抽查网站已发布的</w:t>
                  </w:r>
                  <w:r>
                    <w:rPr>
                      <w:sz w:val="24"/>
                    </w:rPr>
                    <w:t>3个解读稿：未与被解读的政策文件相关联的，每发现一处，扣0.5分；该政策文件未与被抽查解读稿相关联的，每发现一处，扣0.5分。</w:t>
                  </w:r>
                </w:p>
                <w:p>
                  <w:pPr>
                    <w:jc w:val="both"/>
                  </w:pPr>
                  <w:r>
                    <w:rPr>
                      <w:sz w:val="24"/>
                    </w:rPr>
                    <w:t>（注：不足</w:t>
                  </w:r>
                  <w:r>
                    <w:rPr>
                      <w:sz w:val="24"/>
                    </w:rPr>
                    <w:t>3个的则检查全部解读稿。）</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其他栏目</w:t>
                  </w:r>
                </w:p>
              </w:tc>
              <w:tc>
                <w:tcPr>
                  <w:tcW w:type="dxa" w:w="3270"/>
                  <w:tcBorders>
                    <w:top w:val="none" w:color="000000" w:sz="4"/>
                    <w:left w:val="none" w:color="000000" w:sz="4"/>
                    <w:bottom w:val="single" w:color="000000" w:sz="4"/>
                    <w:right w:val="single" w:color="000000" w:sz="4"/>
                  </w:tcBorders>
                  <w:vAlign w:val="top"/>
                </w:tcPr>
                <w:p>
                  <w:pPr>
                    <w:jc w:val="both"/>
                  </w:pPr>
                  <w:r>
                    <w:rPr>
                      <w:sz w:val="24"/>
                    </w:rPr>
                    <w:t>1.其他栏目存在空白的，每发现一个，扣2分。</w:t>
                  </w:r>
                </w:p>
                <w:p>
                  <w:pPr>
                    <w:jc w:val="both"/>
                  </w:pPr>
                  <w:r>
                    <w:rPr>
                      <w:sz w:val="24"/>
                    </w:rPr>
                    <w:t>2.其他栏目存在应更新未更新的，每发现一个，扣1分。</w:t>
                  </w:r>
                </w:p>
                <w:p>
                  <w:pPr>
                    <w:jc w:val="both"/>
                  </w:pPr>
                  <w:r>
                    <w:rPr>
                      <w:sz w:val="24"/>
                    </w:rPr>
                    <w:t>（注：因空白、应更新未更新等原因已按其他指标扣分的，本指标项下不重复扣分。）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720"/>
                  <w:vMerge w:val="restart"/>
                  <w:tcBorders>
                    <w:top w:val="none" w:color="000000" w:sz="4"/>
                    <w:left w:val="single" w:color="000000" w:sz="4"/>
                    <w:bottom w:val="single" w:color="000000" w:sz="4"/>
                    <w:right w:val="single" w:color="000000" w:sz="4"/>
                  </w:tcBorders>
                  <w:vAlign w:val="top"/>
                </w:tcPr>
                <w:p>
                  <w:pPr>
                    <w:jc w:val="center"/>
                  </w:pPr>
                  <w:r>
                    <w:rPr>
                      <w:sz w:val="24"/>
                    </w:rPr>
                    <w:t>办事服务</w:t>
                  </w:r>
                </w:p>
                <w:p>
                  <w:pPr>
                    <w:jc w:val="center"/>
                  </w:pPr>
                  <w:r>
                    <w:rPr>
                      <w:sz w:val="24"/>
                    </w:rPr>
                    <w:t>（</w:t>
                  </w:r>
                  <w:r>
                    <w:rPr>
                      <w:sz w:val="24"/>
                    </w:rPr>
                    <w:t>25分）</w:t>
                  </w:r>
                </w:p>
              </w:tc>
              <w:tc>
                <w:tcPr>
                  <w:tcW w:type="dxa" w:w="841"/>
                  <w:tcBorders>
                    <w:top w:val="none" w:color="000000" w:sz="4"/>
                    <w:left w:val="none" w:color="000000" w:sz="4"/>
                    <w:bottom w:val="single" w:color="000000" w:sz="4"/>
                    <w:right w:val="single" w:color="000000" w:sz="4"/>
                  </w:tcBorders>
                  <w:vAlign w:val="top"/>
                </w:tcPr>
                <w:p>
                  <w:pPr>
                    <w:jc w:val="center"/>
                  </w:pPr>
                  <w:r>
                    <w:rPr>
                      <w:sz w:val="24"/>
                    </w:rPr>
                    <w:t>事项公开</w:t>
                  </w:r>
                </w:p>
              </w:tc>
              <w:tc>
                <w:tcPr>
                  <w:tcW w:type="dxa" w:w="3270"/>
                  <w:tcBorders>
                    <w:top w:val="none" w:color="000000" w:sz="4"/>
                    <w:left w:val="none" w:color="000000" w:sz="4"/>
                    <w:bottom w:val="single" w:color="000000" w:sz="4"/>
                    <w:right w:val="single" w:color="000000" w:sz="4"/>
                  </w:tcBorders>
                  <w:vAlign w:val="top"/>
                </w:tcPr>
                <w:p>
                  <w:pPr>
                    <w:jc w:val="both"/>
                  </w:pPr>
                  <w:r>
                    <w:rPr>
                      <w:sz w:val="24"/>
                    </w:rPr>
                    <w:t>未对办事服务事项集中分类展示的，扣</w:t>
                  </w:r>
                  <w:r>
                    <w:rPr>
                      <w:sz w:val="24"/>
                    </w:rPr>
                    <w:t>3分。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在线申请</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1.未提供在线注册功能或提供注册功能但用户（含异地用户）无法注册的，扣5分。</w:t>
                  </w:r>
                </w:p>
                <w:p>
                  <w:pPr>
                    <w:jc w:val="both"/>
                  </w:pPr>
                  <w:r>
                    <w:rPr>
                      <w:sz w:val="24"/>
                    </w:rPr>
                    <w:t>2.注册用户无法在线办事的，扣5分。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办事统计</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1.未公开办事统计数据的，扣2分。</w:t>
                  </w:r>
                </w:p>
                <w:p>
                  <w:pPr>
                    <w:jc w:val="both"/>
                  </w:pPr>
                  <w:r>
                    <w:rPr>
                      <w:sz w:val="24"/>
                    </w:rPr>
                    <w:t>2.监测时间点前1个月内未更新的，扣1分；3个月内未更新的，扣2分。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办事指南</w:t>
                  </w:r>
                </w:p>
              </w:tc>
              <w:tc>
                <w:tcPr>
                  <w:tcW w:type="dxa" w:w="3270"/>
                  <w:tcBorders>
                    <w:top w:val="none" w:color="000000" w:sz="4"/>
                    <w:left w:val="none" w:color="000000" w:sz="4"/>
                    <w:bottom w:val="single" w:color="000000" w:sz="4"/>
                    <w:right w:val="single" w:color="000000" w:sz="4"/>
                  </w:tcBorders>
                  <w:vAlign w:val="top"/>
                </w:tcPr>
                <w:p>
                  <w:pPr>
                    <w:jc w:val="both"/>
                  </w:pPr>
                  <w:r>
                    <w:rPr>
                      <w:sz w:val="24"/>
                    </w:rPr>
                    <w:t>随机抽查</w:t>
                  </w:r>
                  <w:r>
                    <w:rPr>
                      <w:sz w:val="24"/>
                    </w:rPr>
                    <w:t>5个办事服务事项：</w:t>
                  </w:r>
                </w:p>
                <w:p>
                  <w:pPr>
                    <w:jc w:val="both"/>
                  </w:pPr>
                  <w:r>
                    <w:rPr>
                      <w:sz w:val="24"/>
                    </w:rPr>
                    <w:t>1.事项无办事指南的，每发现一个，扣4分；</w:t>
                  </w:r>
                </w:p>
                <w:p>
                  <w:pPr>
                    <w:jc w:val="both"/>
                  </w:pPr>
                  <w:r>
                    <w:rPr>
                      <w:sz w:val="24"/>
                    </w:rPr>
                    <w:t>2.提供办事指南，但重点要素类别（包括事项名称、设定依据、申请条件、办理材料、办理地点、办理机构、收费标准、办理时间、联系电话、办理流程）缺失的，每发现一处，扣0.5分；</w:t>
                  </w:r>
                </w:p>
                <w:p>
                  <w:pPr>
                    <w:jc w:val="both"/>
                  </w:pPr>
                  <w:r>
                    <w:rPr>
                      <w:sz w:val="24"/>
                    </w:rPr>
                    <w:t>3.办理材料格式要求不明确的（如未说明原件/复印件、纸质版/电子版、份数等），每发现一个存在该问题的事项，扣1分；</w:t>
                  </w:r>
                </w:p>
                <w:p>
                  <w:pPr>
                    <w:jc w:val="both"/>
                  </w:pPr>
                  <w:r>
                    <w:rPr>
                      <w:sz w:val="24"/>
                    </w:rPr>
                    <w:t>4.存在表述含糊不清的情形（如“根据有关法律法规规定应提交的其他材料”等表述），每发现一个存在该问题的事项，扣2分；</w:t>
                  </w:r>
                </w:p>
                <w:p>
                  <w:pPr>
                    <w:jc w:val="both"/>
                  </w:pPr>
                  <w:r>
                    <w:rPr>
                      <w:sz w:val="24"/>
                    </w:rPr>
                    <w:t>5.办事指南中提到的政策文件仅有名称、未说明具体内容的，每发现一个存在该问题的事项，扣0.5分。</w:t>
                  </w:r>
                </w:p>
                <w:p>
                  <w:pPr>
                    <w:jc w:val="both"/>
                  </w:pPr>
                  <w:r>
                    <w:rPr>
                      <w:sz w:val="24"/>
                    </w:rPr>
                    <w:t>（注：不足</w:t>
                  </w:r>
                  <w:r>
                    <w:rPr>
                      <w:sz w:val="24"/>
                    </w:rPr>
                    <w:t>5个的则检查全部事项。）</w:t>
                  </w:r>
                </w:p>
              </w:tc>
              <w:tc>
                <w:tcPr>
                  <w:tcW w:type="dxa" w:w="590"/>
                  <w:tcBorders>
                    <w:top w:val="none" w:color="000000" w:sz="4"/>
                    <w:left w:val="none" w:color="000000" w:sz="4"/>
                    <w:bottom w:val="single" w:color="000000" w:sz="4"/>
                    <w:right w:val="single" w:color="000000" w:sz="4"/>
                  </w:tcBorders>
                  <w:vAlign w:val="top"/>
                </w:tcPr>
                <w:p>
                  <w:pPr>
                    <w:jc w:val="center"/>
                  </w:pPr>
                  <w:r>
                    <w:rPr>
                      <w:sz w:val="24"/>
                    </w:rPr>
                    <w:t>8</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内容准确</w:t>
                  </w:r>
                </w:p>
              </w:tc>
              <w:tc>
                <w:tcPr>
                  <w:tcW w:type="dxa" w:w="3270"/>
                  <w:tcBorders>
                    <w:top w:val="none" w:color="000000" w:sz="4"/>
                    <w:left w:val="none" w:color="000000" w:sz="4"/>
                    <w:bottom w:val="single" w:color="000000" w:sz="4"/>
                    <w:right w:val="single" w:color="000000" w:sz="4"/>
                  </w:tcBorders>
                  <w:vAlign w:val="top"/>
                </w:tcPr>
                <w:p>
                  <w:pPr>
                    <w:jc w:val="both"/>
                  </w:pPr>
                  <w:r>
                    <w:rPr>
                      <w:sz w:val="24"/>
                    </w:rPr>
                    <w:t>随机抽查</w:t>
                  </w:r>
                  <w:r>
                    <w:rPr>
                      <w:sz w:val="24"/>
                    </w:rPr>
                    <w:t>5个办事指南，信息（如咨询电话、投诉电话等）存在错误，或与实际办事要求不一致的，每发现一处，扣1分。</w:t>
                  </w:r>
                </w:p>
                <w:p>
                  <w:pPr>
                    <w:jc w:val="both"/>
                  </w:pPr>
                  <w:r>
                    <w:rPr>
                      <w:sz w:val="24"/>
                    </w:rPr>
                    <w:t>（注：不足</w:t>
                  </w:r>
                  <w:r>
                    <w:rPr>
                      <w:sz w:val="24"/>
                    </w:rPr>
                    <w:t>5个的则检查全部指南。）</w:t>
                  </w:r>
                </w:p>
              </w:tc>
              <w:tc>
                <w:tcPr>
                  <w:tcW w:type="dxa" w:w="590"/>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表格样表</w:t>
                  </w:r>
                </w:p>
              </w:tc>
              <w:tc>
                <w:tcPr>
                  <w:tcW w:type="dxa" w:w="3270"/>
                  <w:tcBorders>
                    <w:top w:val="none" w:color="000000" w:sz="4"/>
                    <w:left w:val="none" w:color="000000" w:sz="4"/>
                    <w:bottom w:val="single" w:color="000000" w:sz="4"/>
                    <w:right w:val="single" w:color="000000" w:sz="4"/>
                  </w:tcBorders>
                  <w:vAlign w:val="top"/>
                </w:tcPr>
                <w:p>
                  <w:pPr>
                    <w:jc w:val="both"/>
                  </w:pPr>
                  <w:r>
                    <w:rPr>
                      <w:sz w:val="24"/>
                    </w:rPr>
                    <w:t>随机抽查</w:t>
                  </w:r>
                  <w:r>
                    <w:rPr>
                      <w:sz w:val="24"/>
                    </w:rPr>
                    <w:t>2个办事指南，要求办事人提供申请表、申请书等表单但未提供规范表格获取渠道的，每发现一个存在该问题的办事指南，扣1分。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val="restart"/>
                  <w:tcBorders>
                    <w:top w:val="none" w:color="000000" w:sz="4"/>
                    <w:left w:val="single" w:color="000000" w:sz="4"/>
                    <w:bottom w:val="single" w:color="000000" w:sz="4"/>
                    <w:right w:val="single" w:color="000000" w:sz="4"/>
                  </w:tcBorders>
                  <w:vAlign w:val="top"/>
                </w:tcPr>
                <w:p>
                  <w:pPr>
                    <w:jc w:val="center"/>
                  </w:pPr>
                  <w:r>
                    <w:rPr>
                      <w:sz w:val="24"/>
                    </w:rPr>
                    <w:t>互动交流</w:t>
                  </w:r>
                </w:p>
                <w:p>
                  <w:pPr>
                    <w:jc w:val="center"/>
                  </w:pPr>
                  <w:r>
                    <w:rPr>
                      <w:sz w:val="24"/>
                    </w:rPr>
                    <w:t>（</w:t>
                  </w:r>
                  <w:r>
                    <w:rPr>
                      <w:sz w:val="24"/>
                    </w:rPr>
                    <w:t>23分）</w:t>
                  </w:r>
                </w:p>
              </w:tc>
              <w:tc>
                <w:tcPr>
                  <w:tcW w:type="dxa" w:w="841"/>
                  <w:tcBorders>
                    <w:top w:val="none" w:color="000000" w:sz="4"/>
                    <w:left w:val="none" w:color="000000" w:sz="4"/>
                    <w:bottom w:val="single" w:color="000000" w:sz="4"/>
                    <w:right w:val="single" w:color="000000" w:sz="4"/>
                  </w:tcBorders>
                  <w:vAlign w:val="top"/>
                </w:tcPr>
                <w:p>
                  <w:pPr>
                    <w:jc w:val="center"/>
                  </w:pPr>
                  <w:r>
                    <w:rPr>
                      <w:sz w:val="24"/>
                    </w:rPr>
                    <w:t>信息提交</w:t>
                  </w:r>
                </w:p>
              </w:tc>
              <w:tc>
                <w:tcPr>
                  <w:tcW w:type="dxa" w:w="3270"/>
                  <w:tcBorders>
                    <w:top w:val="none" w:color="000000" w:sz="4"/>
                    <w:left w:val="none" w:color="000000" w:sz="4"/>
                    <w:bottom w:val="single" w:color="000000" w:sz="4"/>
                    <w:right w:val="single" w:color="000000" w:sz="4"/>
                  </w:tcBorders>
                  <w:vAlign w:val="top"/>
                </w:tcPr>
                <w:p>
                  <w:pPr>
                    <w:jc w:val="both"/>
                  </w:pPr>
                  <w:r>
                    <w:rPr>
                      <w:sz w:val="24"/>
                    </w:rPr>
                    <w:t>存在网民（含异地用户）无法使用网站互动交流功能提交信息问题的，扣</w:t>
                  </w:r>
                  <w:r>
                    <w:rPr>
                      <w:sz w:val="24"/>
                    </w:rPr>
                    <w:t>7分。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7</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统一登录</w:t>
                  </w:r>
                </w:p>
              </w:tc>
              <w:tc>
                <w:tcPr>
                  <w:tcW w:type="dxa" w:w="3270"/>
                  <w:tcBorders>
                    <w:top w:val="none" w:color="000000" w:sz="4"/>
                    <w:left w:val="none" w:color="000000" w:sz="4"/>
                    <w:bottom w:val="single" w:color="000000" w:sz="4"/>
                    <w:right w:val="single" w:color="000000" w:sz="4"/>
                  </w:tcBorders>
                  <w:vAlign w:val="top"/>
                </w:tcPr>
                <w:p>
                  <w:pPr>
                    <w:jc w:val="both"/>
                  </w:pPr>
                  <w:r>
                    <w:rPr>
                      <w:sz w:val="24"/>
                    </w:rPr>
                    <w:t>网站各个具有互动交流功能的栏目（网上信访、纪检举报等专门渠道除外）提供的注册登录功能，未实现统一注册登录的，扣</w:t>
                  </w:r>
                  <w:r>
                    <w:rPr>
                      <w:sz w:val="24"/>
                    </w:rPr>
                    <w:t>3分。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留言公开</w:t>
                  </w:r>
                </w:p>
              </w:tc>
              <w:tc>
                <w:tcPr>
                  <w:tcW w:type="dxa" w:w="3270"/>
                  <w:tcBorders>
                    <w:top w:val="none" w:color="000000" w:sz="4"/>
                    <w:left w:val="none" w:color="000000" w:sz="4"/>
                    <w:bottom w:val="single" w:color="000000" w:sz="4"/>
                    <w:right w:val="single" w:color="000000" w:sz="4"/>
                  </w:tcBorders>
                  <w:vAlign w:val="top"/>
                </w:tcPr>
                <w:p>
                  <w:pPr>
                    <w:jc w:val="both"/>
                  </w:pPr>
                  <w:r>
                    <w:rPr>
                      <w:sz w:val="24"/>
                    </w:rPr>
                    <w:t>1.咨询建言类栏目（网上信访、纪检举报等专门渠道除外）对所有网民留言都未公开的，扣6分。</w:t>
                  </w:r>
                </w:p>
                <w:p>
                  <w:pPr>
                    <w:jc w:val="both"/>
                  </w:pPr>
                  <w:r>
                    <w:rPr>
                      <w:sz w:val="24"/>
                    </w:rPr>
                    <w:t>2.随机抽查5条已公开的网民留言，未公开留言时间、答复时间、答复单位、答复内容的，每发现一处，扣1分。</w:t>
                  </w:r>
                </w:p>
                <w:p>
                  <w:pPr>
                    <w:jc w:val="both"/>
                  </w:pPr>
                  <w:r>
                    <w:rPr>
                      <w:sz w:val="24"/>
                    </w:rPr>
                    <w:t>3.监测时间点前2个月内未更新的，扣3分。</w:t>
                  </w:r>
                </w:p>
                <w:p>
                  <w:pPr>
                    <w:jc w:val="both"/>
                  </w:pPr>
                  <w:r>
                    <w:rPr>
                      <w:sz w:val="24"/>
                    </w:rPr>
                    <w:t>4.未公开留言受理反馈情况统计数据的，扣3分。</w:t>
                  </w:r>
                </w:p>
                <w:p>
                  <w:pPr>
                    <w:jc w:val="both"/>
                  </w:pPr>
                  <w:r>
                    <w:rPr>
                      <w:sz w:val="24"/>
                    </w:rPr>
                    <w:t>（注：不足</w:t>
                  </w:r>
                  <w:r>
                    <w:rPr>
                      <w:sz w:val="24"/>
                    </w:rPr>
                    <w:t>5条的则检查全部留言。）</w:t>
                  </w:r>
                </w:p>
              </w:tc>
              <w:tc>
                <w:tcPr>
                  <w:tcW w:type="dxa" w:w="590"/>
                  <w:tcBorders>
                    <w:top w:val="none" w:color="000000" w:sz="4"/>
                    <w:left w:val="none" w:color="000000" w:sz="4"/>
                    <w:bottom w:val="single" w:color="000000" w:sz="4"/>
                    <w:right w:val="single" w:color="000000" w:sz="4"/>
                  </w:tcBorders>
                  <w:vAlign w:val="top"/>
                </w:tcPr>
                <w:p>
                  <w:pPr>
                    <w:jc w:val="center"/>
                  </w:pPr>
                  <w:r>
                    <w:rPr>
                      <w:sz w:val="24"/>
                    </w:rPr>
                    <w:t>6</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办理答复</w:t>
                  </w:r>
                </w:p>
              </w:tc>
              <w:tc>
                <w:tcPr>
                  <w:tcW w:type="dxa" w:w="3270"/>
                  <w:tcBorders>
                    <w:top w:val="none" w:color="000000" w:sz="4"/>
                    <w:left w:val="none" w:color="000000" w:sz="4"/>
                    <w:bottom w:val="single" w:color="000000" w:sz="4"/>
                    <w:right w:val="single" w:color="000000" w:sz="4"/>
                  </w:tcBorders>
                  <w:vAlign w:val="top"/>
                </w:tcPr>
                <w:p>
                  <w:pPr>
                    <w:jc w:val="both"/>
                  </w:pPr>
                  <w:r>
                    <w:rPr>
                      <w:sz w:val="24"/>
                    </w:rPr>
                    <w:t>模拟用户进行</w:t>
                  </w:r>
                  <w:r>
                    <w:rPr>
                      <w:sz w:val="24"/>
                    </w:rPr>
                    <w:t>2次简单常见问题咨询：</w:t>
                  </w:r>
                </w:p>
                <w:p>
                  <w:pPr>
                    <w:jc w:val="both"/>
                  </w:pPr>
                  <w:r>
                    <w:rPr>
                      <w:sz w:val="24"/>
                    </w:rPr>
                    <w:t>1.未在5个工作日内收到网上答复意见的，每发现一次，扣4分；</w:t>
                  </w:r>
                </w:p>
                <w:p>
                  <w:pPr>
                    <w:jc w:val="both"/>
                  </w:pPr>
                  <w:r>
                    <w:rPr>
                      <w:sz w:val="24"/>
                    </w:rPr>
                    <w:t>2.答复内容质量不高，有推诿、敷衍等现象的，每发现一次，扣4分。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7</w:t>
                  </w:r>
                </w:p>
              </w:tc>
            </w:tr>
            <w:tr>
              <w:tc>
                <w:tcPr>
                  <w:tcW w:type="dxa" w:w="720"/>
                  <w:vMerge w:val="restart"/>
                  <w:tcBorders>
                    <w:top w:val="none" w:color="000000" w:sz="4"/>
                    <w:left w:val="single" w:color="000000" w:sz="4"/>
                    <w:bottom w:val="single" w:color="000000" w:sz="4"/>
                    <w:right w:val="single" w:color="000000" w:sz="4"/>
                  </w:tcBorders>
                  <w:vAlign w:val="top"/>
                </w:tcPr>
                <w:p>
                  <w:pPr>
                    <w:jc w:val="center"/>
                  </w:pPr>
                  <w:r>
                    <w:rPr>
                      <w:sz w:val="24"/>
                    </w:rPr>
                    <w:t>功能设计</w:t>
                  </w:r>
                </w:p>
                <w:p>
                  <w:pPr>
                    <w:jc w:val="center"/>
                  </w:pPr>
                  <w:r>
                    <w:rPr>
                      <w:sz w:val="24"/>
                    </w:rPr>
                    <w:t>（</w:t>
                  </w:r>
                  <w:r>
                    <w:rPr>
                      <w:sz w:val="24"/>
                    </w:rPr>
                    <w:t>21分）</w:t>
                  </w:r>
                </w:p>
              </w:tc>
              <w:tc>
                <w:tcPr>
                  <w:tcW w:type="dxa" w:w="841"/>
                  <w:tcBorders>
                    <w:top w:val="none" w:color="000000" w:sz="4"/>
                    <w:left w:val="none" w:color="000000" w:sz="4"/>
                    <w:bottom w:val="single" w:color="000000" w:sz="4"/>
                    <w:right w:val="single" w:color="000000" w:sz="4"/>
                  </w:tcBorders>
                  <w:vAlign w:val="top"/>
                </w:tcPr>
                <w:p>
                  <w:pPr>
                    <w:jc w:val="center"/>
                  </w:pPr>
                  <w:r>
                    <w:rPr>
                      <w:sz w:val="24"/>
                    </w:rPr>
                    <w:t>域名名称</w:t>
                  </w:r>
                </w:p>
              </w:tc>
              <w:tc>
                <w:tcPr>
                  <w:tcW w:type="dxa" w:w="3270"/>
                  <w:tcBorders>
                    <w:top w:val="none" w:color="000000" w:sz="4"/>
                    <w:left w:val="none" w:color="000000" w:sz="4"/>
                    <w:bottom w:val="single" w:color="000000" w:sz="4"/>
                    <w:right w:val="single" w:color="000000" w:sz="4"/>
                  </w:tcBorders>
                  <w:vAlign w:val="top"/>
                </w:tcPr>
                <w:p>
                  <w:pPr>
                    <w:jc w:val="both"/>
                  </w:pPr>
                  <w:r>
                    <w:rPr>
                      <w:sz w:val="24"/>
                    </w:rPr>
                    <w:t>1.域名不符合规范的，扣1分。</w:t>
                  </w:r>
                </w:p>
                <w:p>
                  <w:pPr>
                    <w:jc w:val="both"/>
                  </w:pPr>
                  <w:r>
                    <w:rPr>
                      <w:sz w:val="24"/>
                    </w:rPr>
                    <w:t>2.网站未以本地区本部门名称命名的，扣1分。</w:t>
                  </w:r>
                </w:p>
                <w:p>
                  <w:pPr>
                    <w:jc w:val="both"/>
                  </w:pPr>
                  <w:r>
                    <w:rPr>
                      <w:sz w:val="24"/>
                    </w:rPr>
                    <w:t>3.网站名称未在全站页面头部区域显著展示的，扣1分。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网站标识</w:t>
                  </w:r>
                </w:p>
              </w:tc>
              <w:tc>
                <w:tcPr>
                  <w:tcW w:type="dxa" w:w="3270"/>
                  <w:tcBorders>
                    <w:top w:val="none" w:color="000000" w:sz="4"/>
                    <w:left w:val="none" w:color="000000" w:sz="4"/>
                    <w:bottom w:val="single" w:color="000000" w:sz="4"/>
                    <w:right w:val="single" w:color="000000" w:sz="4"/>
                  </w:tcBorders>
                  <w:vAlign w:val="top"/>
                </w:tcPr>
                <w:p>
                  <w:pPr>
                    <w:jc w:val="both"/>
                  </w:pPr>
                  <w:r>
                    <w:rPr>
                      <w:sz w:val="24"/>
                    </w:rPr>
                    <w:t>未在全站页面底部功能区清晰列明党政机关网站标识、网站标识码、</w:t>
                  </w:r>
                  <w:r>
                    <w:rPr>
                      <w:sz w:val="24"/>
                    </w:rPr>
                    <w:t>ICP备案编号、公安机关备案标识、网站主办单位、联系方式的，每缺一项，扣0.5分。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可用性</w:t>
                  </w:r>
                </w:p>
              </w:tc>
              <w:tc>
                <w:tcPr>
                  <w:tcW w:type="dxa" w:w="3270"/>
                  <w:tcBorders>
                    <w:top w:val="none" w:color="000000" w:sz="4"/>
                    <w:left w:val="none" w:color="000000" w:sz="4"/>
                    <w:bottom w:val="single" w:color="000000" w:sz="4"/>
                    <w:right w:val="single" w:color="000000" w:sz="4"/>
                  </w:tcBorders>
                  <w:vAlign w:val="top"/>
                </w:tcPr>
                <w:p>
                  <w:pPr>
                    <w:jc w:val="both"/>
                  </w:pPr>
                  <w:r>
                    <w:rPr>
                      <w:sz w:val="24"/>
                    </w:rPr>
                    <w:t>1.首页上的链接（包括图片、附件、外部链接等）打不开或错误的，每发现一处，扣0.2分；如首页仅为网站栏目导航入口，则检查所有二级页面上的链接。</w:t>
                  </w:r>
                </w:p>
                <w:p>
                  <w:pPr>
                    <w:jc w:val="both"/>
                  </w:pPr>
                  <w:r>
                    <w:rPr>
                      <w:sz w:val="24"/>
                    </w:rPr>
                    <w:t>2.其他页面上的链接（包括图片、附件、外部链接等）打不开或错误的，每发现一处，扣0.1分。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720"/>
                  <w:vMerge/>
                  <w:tcBorders>
                    <w:top w:val="none" w:color="000000" w:sz="4"/>
                    <w:left w:val="single" w:color="000000" w:sz="4"/>
                    <w:bottom w:val="single" w:color="000000" w:sz="4"/>
                    <w:right w:val="single" w:color="000000" w:sz="4"/>
                  </w:tcBorders>
                </w:tcPr>
                <w:p/>
              </w:tc>
              <w:tc>
                <w:tcPr>
                  <w:tcW w:type="dxa" w:w="841"/>
                  <w:vMerge w:val="restart"/>
                  <w:tcBorders>
                    <w:top w:val="none" w:color="000000" w:sz="4"/>
                    <w:left w:val="none" w:color="000000" w:sz="4"/>
                    <w:bottom w:val="single" w:color="000000" w:sz="4"/>
                    <w:right w:val="single" w:color="000000" w:sz="4"/>
                  </w:tcBorders>
                  <w:vAlign w:val="top"/>
                </w:tcPr>
                <w:p>
                  <w:pPr>
                    <w:jc w:val="center"/>
                  </w:pPr>
                  <w:r>
                    <w:rPr>
                      <w:sz w:val="24"/>
                    </w:rPr>
                    <w:t>“我为政府网站找错”</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1.未在首页底部功能区规范添加“我为政府网站找错”入口的，扣1分。</w:t>
                  </w:r>
                </w:p>
                <w:p>
                  <w:pPr>
                    <w:jc w:val="both"/>
                  </w:pPr>
                  <w:r>
                    <w:rPr>
                      <w:sz w:val="24"/>
                    </w:rPr>
                    <w:t>2.未在其他页面底部功能区规范添加“我为政府网站找错”入口的，每发现一处，扣0.2分。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720"/>
                  <w:vMerge/>
                  <w:tcBorders>
                    <w:top w:val="none" w:color="000000" w:sz="4"/>
                    <w:left w:val="single" w:color="000000" w:sz="4"/>
                    <w:bottom w:val="single" w:color="000000" w:sz="4"/>
                    <w:right w:val="single" w:color="000000" w:sz="4"/>
                  </w:tcBorders>
                </w:tcPr>
                <w:p/>
              </w:tc>
              <w:tc>
                <w:tcPr>
                  <w:tcW w:type="dxa" w:w="841"/>
                  <w:vMerge/>
                  <w:tcBorders>
                    <w:top w:val="none" w:color="000000" w:sz="4"/>
                    <w:left w:val="none" w:color="000000" w:sz="4"/>
                    <w:bottom w:val="single" w:color="000000" w:sz="4"/>
                    <w:right w:val="single" w:color="000000" w:sz="4"/>
                  </w:tcBorders>
                </w:tcPr>
                <w:p/>
              </w:tc>
              <w:tc>
                <w:tcPr>
                  <w:tcW w:type="dxa" w:w="3270"/>
                  <w:tcBorders>
                    <w:top w:val="none" w:color="000000" w:sz="4"/>
                    <w:left w:val="none" w:color="000000" w:sz="4"/>
                    <w:bottom w:val="single" w:color="000000" w:sz="4"/>
                    <w:right w:val="single" w:color="000000" w:sz="4"/>
                  </w:tcBorders>
                  <w:vAlign w:val="top"/>
                </w:tcPr>
                <w:p>
                  <w:pPr>
                    <w:jc w:val="both"/>
                  </w:pPr>
                  <w:r>
                    <w:rPr>
                      <w:sz w:val="24"/>
                    </w:rPr>
                    <w:t>1.监测时间点前6个月内，存在网民留言超过3个工作日未答复的，每发现一条，扣1分。</w:t>
                  </w:r>
                </w:p>
                <w:p>
                  <w:pPr>
                    <w:jc w:val="both"/>
                  </w:pPr>
                  <w:r>
                    <w:rPr>
                      <w:sz w:val="24"/>
                    </w:rPr>
                    <w:t>2.监测时间点前6个月内，存在答复内容质量不高，有推诿、敷衍等现象的，每发现一条，扣1分。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站内搜索</w:t>
                  </w:r>
                </w:p>
              </w:tc>
              <w:tc>
                <w:tcPr>
                  <w:tcW w:type="dxa" w:w="3270"/>
                  <w:tcBorders>
                    <w:top w:val="none" w:color="000000" w:sz="4"/>
                    <w:left w:val="none" w:color="000000" w:sz="4"/>
                    <w:bottom w:val="single" w:color="000000" w:sz="4"/>
                    <w:right w:val="single" w:color="000000" w:sz="4"/>
                  </w:tcBorders>
                  <w:vAlign w:val="top"/>
                </w:tcPr>
                <w:p>
                  <w:pPr>
                    <w:jc w:val="both"/>
                  </w:pPr>
                  <w:r>
                    <w:rPr>
                      <w:sz w:val="24"/>
                    </w:rPr>
                    <w:t>1.未提供全站站内搜索功能或功能不可用的，扣4分。</w:t>
                  </w:r>
                </w:p>
                <w:p>
                  <w:pPr>
                    <w:jc w:val="both"/>
                  </w:pPr>
                  <w:r>
                    <w:rPr>
                      <w:sz w:val="24"/>
                    </w:rPr>
                    <w:t>2.随机选取4条网站已发布的信息或服务的标题进行测试，在搜索结果第一页无法找到该内容的，每条扣1分。</w:t>
                  </w:r>
                </w:p>
                <w:p>
                  <w:pPr>
                    <w:jc w:val="both"/>
                  </w:pPr>
                  <w:r>
                    <w:rPr>
                      <w:sz w:val="24"/>
                    </w:rPr>
                    <w:t>3.未对搜索结果进行分类展现的（如按照政策文件、办事指南等进行分类），扣1分。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一号登录</w:t>
                  </w:r>
                </w:p>
              </w:tc>
              <w:tc>
                <w:tcPr>
                  <w:tcW w:type="dxa" w:w="3270"/>
                  <w:tcBorders>
                    <w:top w:val="none" w:color="000000" w:sz="4"/>
                    <w:left w:val="none" w:color="000000" w:sz="4"/>
                    <w:bottom w:val="single" w:color="000000" w:sz="4"/>
                    <w:right w:val="single" w:color="000000" w:sz="4"/>
                  </w:tcBorders>
                  <w:vAlign w:val="top"/>
                </w:tcPr>
                <w:p>
                  <w:pPr>
                    <w:jc w:val="both"/>
                  </w:pPr>
                  <w:r>
                    <w:rPr>
                      <w:sz w:val="24"/>
                    </w:rPr>
                    <w:t>注册用户在各个功能板块（网上信访、纪检举报等专门渠道除外）无法一号登录的，扣</w:t>
                  </w:r>
                  <w:r>
                    <w:rPr>
                      <w:sz w:val="24"/>
                    </w:rPr>
                    <w:t>2分。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页面标签</w:t>
                  </w:r>
                </w:p>
              </w:tc>
              <w:tc>
                <w:tcPr>
                  <w:tcW w:type="dxa" w:w="3270"/>
                  <w:tcBorders>
                    <w:top w:val="none" w:color="000000" w:sz="4"/>
                    <w:left w:val="none" w:color="000000" w:sz="4"/>
                    <w:bottom w:val="single" w:color="000000" w:sz="4"/>
                    <w:right w:val="single" w:color="000000" w:sz="4"/>
                  </w:tcBorders>
                  <w:vAlign w:val="top"/>
                </w:tcPr>
                <w:p>
                  <w:pPr>
                    <w:jc w:val="both"/>
                  </w:pPr>
                  <w:r>
                    <w:rPr>
                      <w:sz w:val="24"/>
                    </w:rPr>
                    <w:t>1.随机抽查5个内容页面，无站点标签或内容标签的，每个扣0.1分。</w:t>
                  </w:r>
                </w:p>
                <w:p>
                  <w:pPr>
                    <w:jc w:val="both"/>
                  </w:pPr>
                  <w:r>
                    <w:rPr>
                      <w:sz w:val="24"/>
                    </w:rPr>
                    <w:t>2.随机抽查5个栏目页面，无站点标签或栏目标签的，每个扣0.1分。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1</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兼容性</w:t>
                  </w:r>
                </w:p>
              </w:tc>
              <w:tc>
                <w:tcPr>
                  <w:tcW w:type="dxa" w:w="3270"/>
                  <w:tcBorders>
                    <w:top w:val="none" w:color="000000" w:sz="4"/>
                    <w:left w:val="none" w:color="000000" w:sz="4"/>
                    <w:bottom w:val="single" w:color="000000" w:sz="4"/>
                    <w:right w:val="single" w:color="000000" w:sz="4"/>
                  </w:tcBorders>
                  <w:vAlign w:val="top"/>
                </w:tcPr>
                <w:p>
                  <w:pPr>
                    <w:jc w:val="both"/>
                  </w:pPr>
                  <w:r>
                    <w:rPr>
                      <w:sz w:val="24"/>
                    </w:rPr>
                    <w:t>使用主流浏览器访问网站，不能正常显示页面内容的，每类扣</w:t>
                  </w:r>
                  <w:r>
                    <w:rPr>
                      <w:sz w:val="24"/>
                    </w:rPr>
                    <w:t>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720"/>
                  <w:vMerge/>
                  <w:tcBorders>
                    <w:top w:val="none" w:color="000000" w:sz="4"/>
                    <w:left w:val="single" w:color="000000" w:sz="4"/>
                    <w:bottom w:val="single" w:color="000000" w:sz="4"/>
                    <w:right w:val="single" w:color="000000" w:sz="4"/>
                  </w:tcBorders>
                </w:tcPr>
                <w:p/>
              </w:tc>
              <w:tc>
                <w:tcPr>
                  <w:tcW w:type="dxa" w:w="841"/>
                  <w:tcBorders>
                    <w:top w:val="none" w:color="000000" w:sz="4"/>
                    <w:left w:val="none" w:color="000000" w:sz="4"/>
                    <w:bottom w:val="single" w:color="000000" w:sz="4"/>
                    <w:right w:val="single" w:color="000000" w:sz="4"/>
                  </w:tcBorders>
                  <w:vAlign w:val="top"/>
                </w:tcPr>
                <w:p>
                  <w:pPr>
                    <w:jc w:val="center"/>
                  </w:pPr>
                  <w:r>
                    <w:rPr>
                      <w:sz w:val="24"/>
                    </w:rPr>
                    <w:t>IPv6改造</w:t>
                  </w:r>
                </w:p>
              </w:tc>
              <w:tc>
                <w:tcPr>
                  <w:tcW w:type="dxa" w:w="3270"/>
                  <w:tcBorders>
                    <w:top w:val="none" w:color="000000" w:sz="4"/>
                    <w:left w:val="none" w:color="000000" w:sz="4"/>
                    <w:bottom w:val="single" w:color="000000" w:sz="4"/>
                    <w:right w:val="single" w:color="000000" w:sz="4"/>
                  </w:tcBorders>
                  <w:vAlign w:val="top"/>
                </w:tcPr>
                <w:p>
                  <w:pPr>
                    <w:jc w:val="both"/>
                  </w:pPr>
                  <w:r>
                    <w:rPr>
                      <w:sz w:val="24"/>
                    </w:rPr>
                    <w:t>未按照要求完成</w:t>
                  </w:r>
                  <w:r>
                    <w:rPr>
                      <w:sz w:val="24"/>
                    </w:rPr>
                    <w:t>IPv6改造的，扣1分。</w:t>
                  </w:r>
                </w:p>
              </w:tc>
              <w:tc>
                <w:tcPr>
                  <w:tcW w:type="dxa" w:w="590"/>
                  <w:tcBorders>
                    <w:top w:val="none" w:color="000000" w:sz="4"/>
                    <w:left w:val="none" w:color="000000" w:sz="4"/>
                    <w:bottom w:val="single" w:color="000000" w:sz="4"/>
                    <w:right w:val="single" w:color="000000" w:sz="4"/>
                  </w:tcBorders>
                  <w:vAlign w:val="top"/>
                </w:tcPr>
                <w:p>
                  <w:pPr>
                    <w:jc w:val="center"/>
                  </w:pPr>
                  <w:r>
                    <w:rPr>
                      <w:sz w:val="24"/>
                    </w:rPr>
                    <w:t>1</w:t>
                  </w:r>
                </w:p>
              </w:tc>
            </w:tr>
          </w:tbl>
          <w:p>
            <w:pPr>
              <w:ind w:firstLine="480"/>
              <w:jc w:val="left"/>
            </w:pPr>
            <w:r>
              <w:rPr>
                <w:sz w:val="24"/>
              </w:rPr>
              <w:t>（</w:t>
            </w:r>
            <w:r>
              <w:rPr>
                <w:sz w:val="24"/>
              </w:rPr>
              <w:t>3）</w:t>
            </w:r>
            <w:r>
              <w:rPr>
                <w:sz w:val="24"/>
              </w:rPr>
              <w:t>加分指标</w:t>
            </w:r>
            <w:r>
              <w:rPr>
                <w:sz w:val="24"/>
              </w:rPr>
              <w:t>(届时会参考国办与省办202</w:t>
            </w:r>
            <w:r>
              <w:rPr>
                <w:sz w:val="24"/>
              </w:rPr>
              <w:t>3</w:t>
            </w:r>
            <w:r>
              <w:rPr>
                <w:sz w:val="24"/>
              </w:rPr>
              <w:t>年指标做对应调整）</w:t>
            </w:r>
          </w:p>
          <w:tbl>
            <w:tblPr>
              <w:tblBorders>
                <w:top w:val="none" w:color="000000" w:sz="4"/>
                <w:left w:val="none" w:color="000000" w:sz="4"/>
                <w:bottom w:val="none" w:color="000000" w:sz="4"/>
                <w:right w:val="none" w:color="000000" w:sz="4"/>
                <w:insideH w:val="none"/>
                <w:insideV w:val="none"/>
              </w:tblBorders>
            </w:tblPr>
            <w:tblGrid>
              <w:gridCol w:w="684"/>
              <w:gridCol w:w="686"/>
              <w:gridCol w:w="3428"/>
              <w:gridCol w:w="729"/>
            </w:tblGrid>
            <w:tr>
              <w:tc>
                <w:tcPr>
                  <w:tcW w:type="dxa" w:w="684"/>
                  <w:tcBorders>
                    <w:top w:val="single" w:color="000000" w:sz="4"/>
                    <w:left w:val="single" w:color="000000" w:sz="4"/>
                    <w:bottom w:val="single" w:color="000000" w:sz="4"/>
                    <w:right w:val="single" w:color="000000" w:sz="4"/>
                  </w:tcBorders>
                  <w:vAlign w:val="top"/>
                </w:tcPr>
                <w:p>
                  <w:pPr>
                    <w:jc w:val="center"/>
                  </w:pPr>
                  <w:r>
                    <w:rPr>
                      <w:sz w:val="24"/>
                    </w:rPr>
                    <w:t>一级指标</w:t>
                  </w:r>
                </w:p>
              </w:tc>
              <w:tc>
                <w:tcPr>
                  <w:tcW w:type="dxa" w:w="686"/>
                  <w:tcBorders>
                    <w:top w:val="single" w:color="000000" w:sz="4"/>
                    <w:left w:val="none" w:color="000000" w:sz="4"/>
                    <w:bottom w:val="single" w:color="000000" w:sz="4"/>
                    <w:right w:val="single" w:color="000000" w:sz="4"/>
                  </w:tcBorders>
                  <w:vAlign w:val="top"/>
                </w:tcPr>
                <w:p>
                  <w:pPr>
                    <w:jc w:val="center"/>
                  </w:pPr>
                  <w:r>
                    <w:rPr>
                      <w:sz w:val="24"/>
                    </w:rPr>
                    <w:t>二级指标</w:t>
                  </w:r>
                </w:p>
              </w:tc>
              <w:tc>
                <w:tcPr>
                  <w:tcW w:type="dxa" w:w="3428"/>
                  <w:tcBorders>
                    <w:top w:val="single" w:color="000000" w:sz="4"/>
                    <w:left w:val="none" w:color="000000" w:sz="4"/>
                    <w:bottom w:val="single" w:color="000000" w:sz="4"/>
                    <w:right w:val="single" w:color="000000" w:sz="4"/>
                  </w:tcBorders>
                  <w:vAlign w:val="top"/>
                </w:tcPr>
                <w:p>
                  <w:pPr>
                    <w:jc w:val="center"/>
                  </w:pPr>
                  <w:r>
                    <w:rPr>
                      <w:sz w:val="24"/>
                    </w:rPr>
                    <w:t>评分细则</w:t>
                  </w:r>
                </w:p>
              </w:tc>
              <w:tc>
                <w:tcPr>
                  <w:tcW w:type="dxa" w:w="729"/>
                  <w:tcBorders>
                    <w:top w:val="single" w:color="000000" w:sz="4"/>
                    <w:left w:val="none" w:color="000000" w:sz="4"/>
                    <w:bottom w:val="single" w:color="000000" w:sz="4"/>
                    <w:right w:val="single" w:color="000000" w:sz="4"/>
                  </w:tcBorders>
                  <w:vAlign w:val="top"/>
                </w:tcPr>
                <w:p>
                  <w:pPr>
                    <w:jc w:val="center"/>
                  </w:pPr>
                  <w:r>
                    <w:rPr>
                      <w:sz w:val="24"/>
                    </w:rPr>
                    <w:t>分值</w:t>
                  </w:r>
                </w:p>
                <w:p>
                  <w:pPr>
                    <w:jc w:val="center"/>
                  </w:pPr>
                  <w:r>
                    <w:rPr>
                      <w:sz w:val="24"/>
                    </w:rPr>
                    <w:t>(共30)</w:t>
                  </w: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4"/>
                    </w:rPr>
                    <w:t>信息发布</w:t>
                  </w:r>
                </w:p>
                <w:p>
                  <w:pPr>
                    <w:jc w:val="center"/>
                  </w:pPr>
                  <w:r>
                    <w:rPr>
                      <w:sz w:val="24"/>
                    </w:rPr>
                    <w:t>（</w:t>
                  </w:r>
                  <w:r>
                    <w:rPr>
                      <w:sz w:val="24"/>
                    </w:rPr>
                    <w:t>7分）</w:t>
                  </w:r>
                </w:p>
              </w:tc>
              <w:tc>
                <w:tcPr>
                  <w:tcW w:type="dxa" w:w="686"/>
                  <w:tcBorders>
                    <w:top w:val="none" w:color="000000" w:sz="4"/>
                    <w:left w:val="none" w:color="000000" w:sz="4"/>
                    <w:bottom w:val="single" w:color="000000" w:sz="4"/>
                    <w:right w:val="single" w:color="000000" w:sz="4"/>
                  </w:tcBorders>
                  <w:vAlign w:val="top"/>
                </w:tcPr>
                <w:p>
                  <w:pPr>
                    <w:jc w:val="center"/>
                  </w:pPr>
                  <w:r>
                    <w:rPr>
                      <w:sz w:val="24"/>
                    </w:rPr>
                    <w:t>数据发布</w:t>
                  </w:r>
                </w:p>
              </w:tc>
              <w:tc>
                <w:tcPr>
                  <w:tcW w:type="dxa" w:w="3428"/>
                  <w:tcBorders>
                    <w:top w:val="none" w:color="000000" w:sz="4"/>
                    <w:left w:val="none" w:color="000000" w:sz="4"/>
                    <w:bottom w:val="single" w:color="000000" w:sz="4"/>
                    <w:right w:val="single" w:color="000000" w:sz="4"/>
                  </w:tcBorders>
                  <w:vAlign w:val="top"/>
                </w:tcPr>
                <w:p>
                  <w:pPr>
                    <w:jc w:val="both"/>
                  </w:pPr>
                  <w:r>
                    <w:rPr>
                      <w:sz w:val="24"/>
                    </w:rPr>
                    <w:t>1.开设数据发布类栏目并在监测时间点前3个月内有更新的，得2分；监测时间点前3—6个月内有更新的，得1分。</w:t>
                  </w:r>
                </w:p>
                <w:p>
                  <w:pPr>
                    <w:jc w:val="both"/>
                  </w:pPr>
                  <w:r>
                    <w:rPr>
                      <w:sz w:val="24"/>
                    </w:rPr>
                    <w:t>2.监测时间点前6个月内，通过图表图解等可视化方式展现和解读数据的，得1分。</w:t>
                  </w:r>
                </w:p>
                <w:p>
                  <w:pPr>
                    <w:jc w:val="both"/>
                  </w:pPr>
                  <w:r>
                    <w:rPr>
                      <w:sz w:val="24"/>
                    </w:rPr>
                    <w:t>3.定期更新数据集，并提供下载功能或可用数据接口的，得1分。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684"/>
                  <w:vMerge/>
                  <w:tcBorders>
                    <w:top w:val="none" w:color="000000" w:sz="4"/>
                    <w:left w:val="single" w:color="000000" w:sz="4"/>
                    <w:bottom w:val="single" w:color="000000" w:sz="4"/>
                    <w:right w:val="single" w:color="000000" w:sz="4"/>
                  </w:tcBorders>
                </w:tcPr>
                <w:p/>
              </w:tc>
              <w:tc>
                <w:tcPr>
                  <w:tcW w:type="dxa" w:w="686"/>
                  <w:tcBorders>
                    <w:top w:val="none" w:color="000000" w:sz="4"/>
                    <w:left w:val="none" w:color="000000" w:sz="4"/>
                    <w:bottom w:val="single" w:color="000000" w:sz="4"/>
                    <w:right w:val="single" w:color="000000" w:sz="4"/>
                  </w:tcBorders>
                  <w:vAlign w:val="top"/>
                </w:tcPr>
                <w:p>
                  <w:pPr>
                    <w:jc w:val="center"/>
                  </w:pPr>
                  <w:r>
                    <w:rPr>
                      <w:sz w:val="24"/>
                    </w:rPr>
                    <w:t>解读回应</w:t>
                  </w:r>
                </w:p>
              </w:tc>
              <w:tc>
                <w:tcPr>
                  <w:tcW w:type="dxa" w:w="3428"/>
                  <w:tcBorders>
                    <w:top w:val="none" w:color="000000" w:sz="4"/>
                    <w:left w:val="none" w:color="000000" w:sz="4"/>
                    <w:bottom w:val="single" w:color="000000" w:sz="4"/>
                    <w:right w:val="single" w:color="000000" w:sz="4"/>
                  </w:tcBorders>
                  <w:vAlign w:val="top"/>
                </w:tcPr>
                <w:p>
                  <w:pPr>
                    <w:jc w:val="both"/>
                  </w:pPr>
                  <w:r>
                    <w:rPr>
                      <w:sz w:val="24"/>
                    </w:rPr>
                    <w:t>随机抽查</w:t>
                  </w:r>
                  <w:r>
                    <w:rPr>
                      <w:sz w:val="24"/>
                    </w:rPr>
                    <w:t>3个不同文件的解读稿，通过新闻发布会、图表图解、音视频或动漫等形式解读的，每个得1分。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4"/>
                    </w:rPr>
                    <w:t>办事服务</w:t>
                  </w:r>
                </w:p>
                <w:p>
                  <w:pPr>
                    <w:jc w:val="center"/>
                  </w:pPr>
                  <w:r>
                    <w:rPr>
                      <w:sz w:val="24"/>
                    </w:rPr>
                    <w:t>（</w:t>
                  </w:r>
                  <w:r>
                    <w:rPr>
                      <w:sz w:val="24"/>
                    </w:rPr>
                    <w:t>6分）</w:t>
                  </w:r>
                </w:p>
              </w:tc>
              <w:tc>
                <w:tcPr>
                  <w:tcW w:type="dxa" w:w="686"/>
                  <w:tcBorders>
                    <w:top w:val="none" w:color="000000" w:sz="4"/>
                    <w:left w:val="none" w:color="000000" w:sz="4"/>
                    <w:bottom w:val="single" w:color="000000" w:sz="4"/>
                    <w:right w:val="single" w:color="000000" w:sz="4"/>
                  </w:tcBorders>
                  <w:vAlign w:val="top"/>
                </w:tcPr>
                <w:p>
                  <w:pPr>
                    <w:jc w:val="center"/>
                  </w:pPr>
                  <w:r>
                    <w:rPr>
                      <w:sz w:val="24"/>
                    </w:rPr>
                    <w:t>服务功能</w:t>
                  </w:r>
                </w:p>
              </w:tc>
              <w:tc>
                <w:tcPr>
                  <w:tcW w:type="dxa" w:w="3428"/>
                  <w:tcBorders>
                    <w:top w:val="none" w:color="000000" w:sz="4"/>
                    <w:left w:val="none" w:color="000000" w:sz="4"/>
                    <w:bottom w:val="single" w:color="000000" w:sz="4"/>
                    <w:right w:val="single" w:color="000000" w:sz="4"/>
                  </w:tcBorders>
                  <w:vAlign w:val="top"/>
                </w:tcPr>
                <w:p>
                  <w:pPr>
                    <w:jc w:val="both"/>
                  </w:pPr>
                  <w:r>
                    <w:rPr>
                      <w:sz w:val="24"/>
                    </w:rPr>
                    <w:t>1.提供服务评价功能的，得1分。</w:t>
                  </w:r>
                </w:p>
                <w:p>
                  <w:pPr>
                    <w:jc w:val="both"/>
                  </w:pPr>
                  <w:r>
                    <w:rPr>
                      <w:sz w:val="24"/>
                    </w:rPr>
                    <w:t>2.公布服务评价结果的，得1分。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684"/>
                  <w:vMerge/>
                  <w:tcBorders>
                    <w:top w:val="none" w:color="000000" w:sz="4"/>
                    <w:left w:val="single" w:color="000000" w:sz="4"/>
                    <w:bottom w:val="single" w:color="000000" w:sz="4"/>
                    <w:right w:val="single" w:color="000000" w:sz="4"/>
                  </w:tcBorders>
                </w:tcPr>
                <w:p/>
              </w:tc>
              <w:tc>
                <w:tcPr>
                  <w:tcW w:type="dxa" w:w="686"/>
                  <w:tcBorders>
                    <w:top w:val="none" w:color="000000" w:sz="4"/>
                    <w:left w:val="none" w:color="000000" w:sz="4"/>
                    <w:bottom w:val="single" w:color="000000" w:sz="4"/>
                    <w:right w:val="single" w:color="000000" w:sz="4"/>
                  </w:tcBorders>
                  <w:vAlign w:val="top"/>
                </w:tcPr>
                <w:p>
                  <w:pPr>
                    <w:jc w:val="center"/>
                  </w:pPr>
                  <w:r>
                    <w:rPr>
                      <w:sz w:val="24"/>
                    </w:rPr>
                    <w:t>服务内容</w:t>
                  </w:r>
                </w:p>
              </w:tc>
              <w:tc>
                <w:tcPr>
                  <w:tcW w:type="dxa" w:w="3428"/>
                  <w:tcBorders>
                    <w:top w:val="none" w:color="000000" w:sz="4"/>
                    <w:left w:val="none" w:color="000000" w:sz="4"/>
                    <w:bottom w:val="single" w:color="000000" w:sz="4"/>
                    <w:right w:val="single" w:color="000000" w:sz="4"/>
                  </w:tcBorders>
                  <w:vAlign w:val="top"/>
                </w:tcPr>
                <w:p>
                  <w:pPr>
                    <w:jc w:val="both"/>
                  </w:pPr>
                  <w:r>
                    <w:rPr>
                      <w:sz w:val="24"/>
                    </w:rPr>
                    <w:t>针对重点服务事项，整合相关资源，细化办理对象、条件、流程等，提供专题或集成服务。提供</w:t>
                  </w:r>
                  <w:r>
                    <w:rPr>
                      <w:sz w:val="24"/>
                    </w:rPr>
                    <w:t>3项及以上的，得2分；提供1至2项的，得1分。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684"/>
                  <w:vMerge/>
                  <w:tcBorders>
                    <w:top w:val="none" w:color="000000" w:sz="4"/>
                    <w:left w:val="single" w:color="000000" w:sz="4"/>
                    <w:bottom w:val="single" w:color="000000" w:sz="4"/>
                    <w:right w:val="single" w:color="000000" w:sz="4"/>
                  </w:tcBorders>
                </w:tcPr>
                <w:p/>
              </w:tc>
              <w:tc>
                <w:tcPr>
                  <w:tcW w:type="dxa" w:w="686"/>
                  <w:tcBorders>
                    <w:top w:val="none" w:color="000000" w:sz="4"/>
                    <w:left w:val="none" w:color="000000" w:sz="4"/>
                    <w:bottom w:val="single" w:color="000000" w:sz="4"/>
                    <w:right w:val="single" w:color="000000" w:sz="4"/>
                  </w:tcBorders>
                  <w:vAlign w:val="top"/>
                </w:tcPr>
                <w:p>
                  <w:pPr>
                    <w:jc w:val="center"/>
                  </w:pPr>
                  <w:r>
                    <w:rPr>
                      <w:sz w:val="24"/>
                    </w:rPr>
                    <w:t>服务关联</w:t>
                  </w:r>
                </w:p>
              </w:tc>
              <w:tc>
                <w:tcPr>
                  <w:tcW w:type="dxa" w:w="3428"/>
                  <w:tcBorders>
                    <w:top w:val="none" w:color="000000" w:sz="4"/>
                    <w:left w:val="none" w:color="000000" w:sz="4"/>
                    <w:bottom w:val="single" w:color="000000" w:sz="4"/>
                    <w:right w:val="single" w:color="000000" w:sz="4"/>
                  </w:tcBorders>
                  <w:vAlign w:val="top"/>
                </w:tcPr>
                <w:p>
                  <w:pPr>
                    <w:jc w:val="both"/>
                  </w:pPr>
                  <w:r>
                    <w:rPr>
                      <w:sz w:val="24"/>
                    </w:rPr>
                    <w:t>随机抽查</w:t>
                  </w:r>
                  <w:r>
                    <w:rPr>
                      <w:sz w:val="24"/>
                    </w:rPr>
                    <w:t>2个办事服务事项，涉及到的政策文件依据均准确关联至本网站政策文件库的，得2分。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4"/>
                    </w:rPr>
                    <w:t>互动交流</w:t>
                  </w:r>
                </w:p>
                <w:p>
                  <w:pPr>
                    <w:jc w:val="center"/>
                  </w:pPr>
                  <w:r>
                    <w:rPr>
                      <w:sz w:val="24"/>
                    </w:rPr>
                    <w:t>（</w:t>
                  </w:r>
                  <w:r>
                    <w:rPr>
                      <w:sz w:val="24"/>
                    </w:rPr>
                    <w:t>8分）</w:t>
                  </w:r>
                </w:p>
              </w:tc>
              <w:tc>
                <w:tcPr>
                  <w:tcW w:type="dxa" w:w="686"/>
                  <w:tcBorders>
                    <w:top w:val="none" w:color="000000" w:sz="4"/>
                    <w:left w:val="none" w:color="000000" w:sz="4"/>
                    <w:bottom w:val="single" w:color="000000" w:sz="4"/>
                    <w:right w:val="single" w:color="000000" w:sz="4"/>
                  </w:tcBorders>
                  <w:vAlign w:val="top"/>
                </w:tcPr>
                <w:p>
                  <w:pPr>
                    <w:jc w:val="center"/>
                  </w:pPr>
                  <w:r>
                    <w:rPr>
                      <w:sz w:val="24"/>
                    </w:rPr>
                    <w:t>实时互动</w:t>
                  </w:r>
                </w:p>
              </w:tc>
              <w:tc>
                <w:tcPr>
                  <w:tcW w:type="dxa" w:w="3428"/>
                  <w:tcBorders>
                    <w:top w:val="none" w:color="000000" w:sz="4"/>
                    <w:left w:val="none" w:color="000000" w:sz="4"/>
                    <w:bottom w:val="single" w:color="000000" w:sz="4"/>
                    <w:right w:val="single" w:color="000000" w:sz="4"/>
                  </w:tcBorders>
                  <w:vAlign w:val="top"/>
                </w:tcPr>
                <w:p>
                  <w:pPr>
                    <w:jc w:val="both"/>
                  </w:pPr>
                  <w:r>
                    <w:rPr>
                      <w:sz w:val="24"/>
                    </w:rPr>
                    <w:t>模拟用户进行</w:t>
                  </w:r>
                  <w:r>
                    <w:rPr>
                      <w:sz w:val="24"/>
                    </w:rPr>
                    <w:t>1次简单常见问题咨询：咨询后一个工作日内答复且内容准确的，得3分；提供实时智能答问功能且内容准确的，得2分。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5</w:t>
                  </w:r>
                </w:p>
              </w:tc>
            </w:tr>
            <w:tr>
              <w:tc>
                <w:tcPr>
                  <w:tcW w:type="dxa" w:w="684"/>
                  <w:vMerge/>
                  <w:tcBorders>
                    <w:top w:val="none" w:color="000000" w:sz="4"/>
                    <w:left w:val="single" w:color="000000" w:sz="4"/>
                    <w:bottom w:val="single" w:color="000000" w:sz="4"/>
                    <w:right w:val="single" w:color="000000" w:sz="4"/>
                  </w:tcBorders>
                </w:tcPr>
                <w:p/>
              </w:tc>
              <w:tc>
                <w:tcPr>
                  <w:tcW w:type="dxa" w:w="686"/>
                  <w:tcBorders>
                    <w:top w:val="none" w:color="000000" w:sz="4"/>
                    <w:left w:val="none" w:color="000000" w:sz="4"/>
                    <w:bottom w:val="single" w:color="000000" w:sz="4"/>
                    <w:right w:val="single" w:color="000000" w:sz="4"/>
                  </w:tcBorders>
                  <w:vAlign w:val="top"/>
                </w:tcPr>
                <w:p>
                  <w:pPr>
                    <w:jc w:val="center"/>
                  </w:pPr>
                  <w:r>
                    <w:rPr>
                      <w:sz w:val="24"/>
                    </w:rPr>
                    <w:t>调查征集</w:t>
                  </w:r>
                </w:p>
              </w:tc>
              <w:tc>
                <w:tcPr>
                  <w:tcW w:type="dxa" w:w="3428"/>
                  <w:tcBorders>
                    <w:top w:val="none" w:color="000000" w:sz="4"/>
                    <w:left w:val="none" w:color="000000" w:sz="4"/>
                    <w:bottom w:val="single" w:color="000000" w:sz="4"/>
                    <w:right w:val="single" w:color="000000" w:sz="4"/>
                  </w:tcBorders>
                  <w:vAlign w:val="top"/>
                </w:tcPr>
                <w:p>
                  <w:pPr>
                    <w:jc w:val="both"/>
                  </w:pPr>
                  <w:r>
                    <w:rPr>
                      <w:sz w:val="24"/>
                    </w:rPr>
                    <w:t>1.提供在线调查征集渠道（不含电子邮件形式），且监测时间点前1年内开展活动超过（含）6次的，得2分。</w:t>
                  </w:r>
                </w:p>
                <w:p>
                  <w:pPr>
                    <w:jc w:val="both"/>
                  </w:pPr>
                  <w:r>
                    <w:rPr>
                      <w:sz w:val="24"/>
                    </w:rPr>
                    <w:t>2.监测时间点前1年内开展的调查征集活动结束后1个月内均公开反馈结果的，得1分。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3</w:t>
                  </w:r>
                </w:p>
              </w:tc>
            </w:tr>
            <w:tr>
              <w:tc>
                <w:tcPr>
                  <w:tcW w:type="dxa" w:w="684"/>
                  <w:vMerge w:val="restart"/>
                  <w:tcBorders>
                    <w:top w:val="none" w:color="000000" w:sz="4"/>
                    <w:left w:val="single" w:color="000000" w:sz="4"/>
                    <w:bottom w:val="single" w:color="000000" w:sz="4"/>
                    <w:right w:val="single" w:color="000000" w:sz="4"/>
                  </w:tcBorders>
                  <w:vAlign w:val="top"/>
                </w:tcPr>
                <w:p>
                  <w:pPr>
                    <w:jc w:val="center"/>
                  </w:pPr>
                  <w:r>
                    <w:rPr>
                      <w:sz w:val="24"/>
                    </w:rPr>
                    <w:t>功能设计</w:t>
                  </w:r>
                </w:p>
                <w:p>
                  <w:pPr>
                    <w:jc w:val="center"/>
                  </w:pPr>
                  <w:r>
                    <w:rPr>
                      <w:sz w:val="24"/>
                    </w:rPr>
                    <w:t>（</w:t>
                  </w:r>
                  <w:r>
                    <w:rPr>
                      <w:sz w:val="24"/>
                    </w:rPr>
                    <w:t>6分）</w:t>
                  </w:r>
                </w:p>
              </w:tc>
              <w:tc>
                <w:tcPr>
                  <w:tcW w:type="dxa" w:w="686"/>
                  <w:tcBorders>
                    <w:top w:val="none" w:color="000000" w:sz="4"/>
                    <w:left w:val="none" w:color="000000" w:sz="4"/>
                    <w:bottom w:val="single" w:color="000000" w:sz="4"/>
                    <w:right w:val="single" w:color="000000" w:sz="4"/>
                  </w:tcBorders>
                  <w:vAlign w:val="top"/>
                </w:tcPr>
                <w:p>
                  <w:pPr>
                    <w:jc w:val="center"/>
                  </w:pPr>
                  <w:r>
                    <w:rPr>
                      <w:sz w:val="24"/>
                    </w:rPr>
                    <w:t>智能搜索</w:t>
                  </w:r>
                </w:p>
              </w:tc>
              <w:tc>
                <w:tcPr>
                  <w:tcW w:type="dxa" w:w="3428"/>
                  <w:tcBorders>
                    <w:top w:val="none" w:color="000000" w:sz="4"/>
                    <w:left w:val="none" w:color="000000" w:sz="4"/>
                    <w:bottom w:val="single" w:color="000000" w:sz="4"/>
                    <w:right w:val="single" w:color="000000" w:sz="4"/>
                  </w:tcBorders>
                  <w:vAlign w:val="top"/>
                </w:tcPr>
                <w:p>
                  <w:pPr>
                    <w:jc w:val="both"/>
                  </w:pPr>
                  <w:r>
                    <w:rPr>
                      <w:sz w:val="24"/>
                    </w:rPr>
                    <w:t>1.提供关键词模糊搜索功能的，得1分。</w:t>
                  </w:r>
                </w:p>
                <w:p>
                  <w:pPr>
                    <w:jc w:val="both"/>
                  </w:pPr>
                  <w:r>
                    <w:rPr>
                      <w:sz w:val="24"/>
                    </w:rPr>
                    <w:t>2.根据搜索关键词聚合相关信息和服务功能，实现“搜索即服务”的，得1分。</w:t>
                  </w:r>
                </w:p>
                <w:p>
                  <w:pPr>
                    <w:jc w:val="both"/>
                  </w:pPr>
                  <w:r>
                    <w:rPr>
                      <w:sz w:val="24"/>
                    </w:rPr>
                    <w:t>3.随机选取该地区、该部门下级网站上的2条信息或服务的标题：通过该地区、该部门政府门户网站搜索进行测试，能够在搜索结果第一页找到该内容的，每条得1分。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4</w:t>
                  </w:r>
                </w:p>
              </w:tc>
            </w:tr>
            <w:tr>
              <w:tc>
                <w:tcPr>
                  <w:tcW w:type="dxa" w:w="684"/>
                  <w:vMerge/>
                  <w:tcBorders>
                    <w:top w:val="none" w:color="000000" w:sz="4"/>
                    <w:left w:val="single" w:color="000000" w:sz="4"/>
                    <w:bottom w:val="single" w:color="000000" w:sz="4"/>
                    <w:right w:val="single" w:color="000000" w:sz="4"/>
                  </w:tcBorders>
                </w:tcPr>
                <w:p/>
              </w:tc>
              <w:tc>
                <w:tcPr>
                  <w:tcW w:type="dxa" w:w="686"/>
                  <w:tcBorders>
                    <w:top w:val="none" w:color="000000" w:sz="4"/>
                    <w:left w:val="none" w:color="000000" w:sz="4"/>
                    <w:bottom w:val="single" w:color="000000" w:sz="4"/>
                    <w:right w:val="single" w:color="000000" w:sz="4"/>
                  </w:tcBorders>
                  <w:vAlign w:val="top"/>
                </w:tcPr>
                <w:p>
                  <w:pPr>
                    <w:jc w:val="center"/>
                  </w:pPr>
                  <w:r>
                    <w:rPr>
                      <w:sz w:val="24"/>
                    </w:rPr>
                    <w:t>用户空间</w:t>
                  </w:r>
                </w:p>
              </w:tc>
              <w:tc>
                <w:tcPr>
                  <w:tcW w:type="dxa" w:w="3428"/>
                  <w:tcBorders>
                    <w:top w:val="none" w:color="000000" w:sz="4"/>
                    <w:left w:val="none" w:color="000000" w:sz="4"/>
                    <w:bottom w:val="single" w:color="000000" w:sz="4"/>
                    <w:right w:val="single" w:color="000000" w:sz="4"/>
                  </w:tcBorders>
                  <w:vAlign w:val="top"/>
                </w:tcPr>
                <w:p>
                  <w:pPr>
                    <w:jc w:val="both"/>
                  </w:pPr>
                  <w:r>
                    <w:rPr>
                      <w:sz w:val="24"/>
                    </w:rPr>
                    <w:t>注册用户可在用户主页下浏览其在本网站咨询问题、办事服务等历史信息的，得</w:t>
                  </w:r>
                  <w:r>
                    <w:rPr>
                      <w:sz w:val="24"/>
                    </w:rPr>
                    <w:t>2分。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2</w:t>
                  </w:r>
                </w:p>
              </w:tc>
            </w:tr>
            <w:tr>
              <w:tc>
                <w:tcPr>
                  <w:tcW w:type="dxa" w:w="684"/>
                  <w:tcBorders>
                    <w:top w:val="none" w:color="000000" w:sz="4"/>
                    <w:left w:val="single" w:color="000000" w:sz="4"/>
                    <w:bottom w:val="single" w:color="000000" w:sz="4"/>
                    <w:right w:val="single" w:color="000000" w:sz="4"/>
                  </w:tcBorders>
                  <w:vAlign w:val="top"/>
                </w:tcPr>
                <w:p>
                  <w:pPr>
                    <w:jc w:val="center"/>
                  </w:pPr>
                  <w:r>
                    <w:rPr>
                      <w:sz w:val="24"/>
                    </w:rPr>
                    <w:t>创新发展</w:t>
                  </w:r>
                </w:p>
                <w:p>
                  <w:pPr>
                    <w:jc w:val="center"/>
                  </w:pPr>
                  <w:r>
                    <w:rPr>
                      <w:sz w:val="24"/>
                    </w:rPr>
                    <w:t>（</w:t>
                  </w:r>
                  <w:r>
                    <w:rPr>
                      <w:sz w:val="24"/>
                    </w:rPr>
                    <w:t>3分）</w:t>
                  </w:r>
                </w:p>
              </w:tc>
              <w:tc>
                <w:tcPr>
                  <w:tcW w:type="dxa" w:w="686"/>
                  <w:tcBorders>
                    <w:top w:val="none" w:color="000000" w:sz="4"/>
                    <w:left w:val="none" w:color="000000" w:sz="4"/>
                    <w:bottom w:val="single" w:color="000000" w:sz="4"/>
                    <w:right w:val="single" w:color="000000" w:sz="4"/>
                  </w:tcBorders>
                  <w:vAlign w:val="top"/>
                </w:tcPr>
                <w:p>
                  <w:pPr>
                    <w:jc w:val="center"/>
                  </w:pPr>
                  <w:r>
                    <w:rPr>
                      <w:sz w:val="24"/>
                    </w:rPr>
                    <w:t>——</w:t>
                  </w:r>
                </w:p>
              </w:tc>
              <w:tc>
                <w:tcPr>
                  <w:tcW w:type="dxa" w:w="3428"/>
                  <w:tcBorders>
                    <w:top w:val="none" w:color="000000" w:sz="4"/>
                    <w:left w:val="none" w:color="000000" w:sz="4"/>
                    <w:bottom w:val="single" w:color="000000" w:sz="4"/>
                    <w:right w:val="single" w:color="000000" w:sz="4"/>
                  </w:tcBorders>
                  <w:vAlign w:val="top"/>
                </w:tcPr>
                <w:p>
                  <w:pPr>
                    <w:jc w:val="both"/>
                  </w:pPr>
                  <w:r>
                    <w:rPr>
                      <w:sz w:val="24"/>
                    </w:rPr>
                    <w:t>通过政府网站服务中心工作、方便社会公众的做法突出，并获得本地区、本部门主要领导同志肯定的，加</w:t>
                  </w:r>
                  <w:r>
                    <w:rPr>
                      <w:sz w:val="24"/>
                    </w:rPr>
                    <w:t>3分。</w:t>
                  </w:r>
                </w:p>
              </w:tc>
              <w:tc>
                <w:tcPr>
                  <w:tcW w:type="dxa" w:w="729"/>
                  <w:tcBorders>
                    <w:top w:val="none" w:color="000000" w:sz="4"/>
                    <w:left w:val="none" w:color="000000" w:sz="4"/>
                    <w:bottom w:val="single" w:color="000000" w:sz="4"/>
                    <w:right w:val="single" w:color="000000" w:sz="4"/>
                  </w:tcBorders>
                  <w:vAlign w:val="top"/>
                </w:tcPr>
                <w:p>
                  <w:pPr>
                    <w:jc w:val="center"/>
                  </w:pPr>
                  <w:r>
                    <w:rPr>
                      <w:sz w:val="24"/>
                    </w:rPr>
                    <w:t>3</w:t>
                  </w:r>
                </w:p>
              </w:tc>
            </w:tr>
          </w:tbl>
          <w:p>
            <w:pPr>
              <w:ind w:firstLine="482"/>
              <w:jc w:val="left"/>
            </w:pPr>
            <w:r>
              <w:rPr>
                <w:b/>
                <w:sz w:val="24"/>
              </w:rPr>
              <w:t>5.</w:t>
            </w:r>
            <w:r>
              <w:rPr>
                <w:b/>
                <w:sz w:val="24"/>
              </w:rPr>
              <w:t>服务成果</w:t>
            </w:r>
          </w:p>
          <w:p>
            <w:pPr>
              <w:ind w:firstLine="480"/>
              <w:jc w:val="left"/>
            </w:pPr>
            <w:r>
              <w:rPr>
                <w:sz w:val="24"/>
              </w:rPr>
              <w:t>（</w:t>
            </w:r>
            <w:r>
              <w:rPr>
                <w:sz w:val="24"/>
              </w:rPr>
              <w:t>1）</w:t>
            </w:r>
            <w:r>
              <w:rPr>
                <w:sz w:val="24"/>
              </w:rPr>
              <w:t>《江门市</w:t>
            </w:r>
            <w:r>
              <w:rPr>
                <w:sz w:val="24"/>
              </w:rPr>
              <w:t>2023年度政府网站与政务新媒体考评方案》：1份</w:t>
            </w:r>
          </w:p>
          <w:p>
            <w:pPr>
              <w:ind w:firstLine="480"/>
              <w:jc w:val="left"/>
            </w:pPr>
            <w:r>
              <w:rPr>
                <w:sz w:val="24"/>
              </w:rPr>
              <w:t>（</w:t>
            </w:r>
            <w:r>
              <w:rPr>
                <w:sz w:val="24"/>
              </w:rPr>
              <w:t>2）</w:t>
            </w:r>
            <w:r>
              <w:rPr>
                <w:sz w:val="24"/>
              </w:rPr>
              <w:t>《</w:t>
            </w:r>
            <w:r>
              <w:rPr>
                <w:sz w:val="24"/>
              </w:rPr>
              <w:t>2023年江门市政府网站与政务新媒体考评指标解读培训PPT》：1份</w:t>
            </w:r>
          </w:p>
          <w:p>
            <w:pPr>
              <w:ind w:firstLine="480"/>
              <w:jc w:val="left"/>
            </w:pPr>
            <w:r>
              <w:rPr>
                <w:sz w:val="24"/>
              </w:rPr>
              <w:t>（</w:t>
            </w:r>
            <w:r>
              <w:rPr>
                <w:sz w:val="24"/>
              </w:rPr>
              <w:t>3）</w:t>
            </w:r>
            <w:r>
              <w:rPr>
                <w:sz w:val="24"/>
              </w:rPr>
              <w:t>《</w:t>
            </w:r>
            <w:r>
              <w:rPr>
                <w:sz w:val="24"/>
              </w:rPr>
              <w:t>2023年～2024年江门市政府网站与政务新媒体季度监测报告》（含新媒体账号监测结果）：每季度约2</w:t>
            </w:r>
            <w:r>
              <w:rPr>
                <w:sz w:val="24"/>
              </w:rPr>
              <w:t>4</w:t>
            </w:r>
            <w:r>
              <w:rPr>
                <w:sz w:val="24"/>
              </w:rPr>
              <w:t>份</w:t>
            </w:r>
            <w:r>
              <w:rPr>
                <w:sz w:val="24"/>
              </w:rPr>
              <w:t>*4个季度（2023年第四季度至2024年第三季度）</w:t>
            </w:r>
          </w:p>
          <w:p>
            <w:pPr>
              <w:ind w:firstLine="480"/>
              <w:jc w:val="left"/>
            </w:pPr>
            <w:r>
              <w:rPr>
                <w:sz w:val="24"/>
              </w:rPr>
              <w:t>（</w:t>
            </w:r>
            <w:r>
              <w:rPr>
                <w:sz w:val="24"/>
              </w:rPr>
              <w:t>4）</w:t>
            </w:r>
            <w:r>
              <w:rPr>
                <w:sz w:val="24"/>
              </w:rPr>
              <w:t>《</w:t>
            </w:r>
            <w:r>
              <w:rPr>
                <w:sz w:val="24"/>
              </w:rPr>
              <w:t>2023年～2024年江门市政府网站与政务新媒体季度抽检结果通报文稿》（代拟稿）：4份（2023年第四季度至2024年第三季度）</w:t>
            </w:r>
          </w:p>
          <w:p>
            <w:pPr>
              <w:ind w:firstLine="480"/>
              <w:jc w:val="left"/>
            </w:pPr>
            <w:r>
              <w:rPr>
                <w:sz w:val="24"/>
              </w:rPr>
              <w:t>（</w:t>
            </w:r>
            <w:r>
              <w:rPr>
                <w:sz w:val="24"/>
              </w:rPr>
              <w:t>5）</w:t>
            </w:r>
            <w:r>
              <w:rPr>
                <w:sz w:val="24"/>
              </w:rPr>
              <w:t>《</w:t>
            </w:r>
            <w:r>
              <w:rPr>
                <w:sz w:val="24"/>
              </w:rPr>
              <w:t>2023年江门市政府网站与政务新媒体年终考评报告》（初评）：46份</w:t>
            </w:r>
          </w:p>
          <w:p>
            <w:pPr>
              <w:ind w:firstLine="480"/>
              <w:jc w:val="left"/>
            </w:pPr>
            <w:r>
              <w:rPr>
                <w:sz w:val="24"/>
              </w:rPr>
              <w:t>（</w:t>
            </w:r>
            <w:r>
              <w:rPr>
                <w:sz w:val="24"/>
              </w:rPr>
              <w:t>6）</w:t>
            </w:r>
            <w:r>
              <w:rPr>
                <w:sz w:val="24"/>
              </w:rPr>
              <w:t>《</w:t>
            </w:r>
            <w:r>
              <w:rPr>
                <w:sz w:val="24"/>
              </w:rPr>
              <w:t>2023年江门市政府网站与政务新媒体考评复核意见处理反馈表》：1份</w:t>
            </w:r>
          </w:p>
          <w:p>
            <w:pPr>
              <w:ind w:firstLine="480"/>
              <w:jc w:val="left"/>
            </w:pPr>
            <w:r>
              <w:rPr>
                <w:sz w:val="24"/>
              </w:rPr>
              <w:t>（</w:t>
            </w:r>
            <w:r>
              <w:rPr>
                <w:sz w:val="24"/>
              </w:rPr>
              <w:t>7）</w:t>
            </w:r>
            <w:r>
              <w:rPr>
                <w:sz w:val="24"/>
              </w:rPr>
              <w:t>《</w:t>
            </w:r>
            <w:r>
              <w:rPr>
                <w:sz w:val="24"/>
              </w:rPr>
              <w:t>2023年江门市政府网站与政务新媒体年终考评报告》（复核后的终评报告）：46份</w:t>
            </w:r>
          </w:p>
          <w:p>
            <w:pPr>
              <w:ind w:firstLine="480"/>
              <w:jc w:val="left"/>
            </w:pPr>
            <w:r>
              <w:rPr>
                <w:sz w:val="24"/>
              </w:rPr>
              <w:t>（</w:t>
            </w:r>
            <w:r>
              <w:rPr>
                <w:sz w:val="24"/>
              </w:rPr>
              <w:t>8）</w:t>
            </w:r>
            <w:r>
              <w:rPr>
                <w:sz w:val="24"/>
              </w:rPr>
              <w:t>《</w:t>
            </w:r>
            <w:r>
              <w:rPr>
                <w:sz w:val="24"/>
              </w:rPr>
              <w:t>2023年江门市政府网站与政务新媒体考评总排名表》：1份</w:t>
            </w:r>
          </w:p>
          <w:p>
            <w:pPr>
              <w:ind w:firstLine="480"/>
              <w:jc w:val="left"/>
            </w:pPr>
            <w:r>
              <w:rPr>
                <w:sz w:val="24"/>
              </w:rPr>
              <w:t>（</w:t>
            </w:r>
            <w:r>
              <w:rPr>
                <w:sz w:val="24"/>
              </w:rPr>
              <w:t>9）</w:t>
            </w:r>
            <w:r>
              <w:rPr>
                <w:sz w:val="24"/>
              </w:rPr>
              <w:t>《</w:t>
            </w:r>
            <w:r>
              <w:rPr>
                <w:sz w:val="24"/>
              </w:rPr>
              <w:t>2023年江门市政府网站与政务新媒体考评结果通报》（代拟稿）：1份</w:t>
            </w:r>
          </w:p>
          <w:p>
            <w:pPr>
              <w:ind w:firstLine="482"/>
              <w:jc w:val="both"/>
            </w:pPr>
            <w:r>
              <w:rPr>
                <w:b/>
                <w:sz w:val="24"/>
              </w:rPr>
              <w:t>6.</w:t>
            </w:r>
            <w:r>
              <w:rPr>
                <w:b/>
                <w:sz w:val="24"/>
              </w:rPr>
              <w:t>验收指标</w:t>
            </w:r>
          </w:p>
          <w:p>
            <w:pPr>
              <w:ind w:firstLine="480"/>
              <w:jc w:val="both"/>
            </w:pPr>
            <w:r>
              <w:rPr>
                <w:sz w:val="24"/>
              </w:rPr>
              <w:t>（</w:t>
            </w:r>
            <w:r>
              <w:rPr>
                <w:sz w:val="24"/>
              </w:rPr>
              <w:t>1</w:t>
            </w:r>
            <w:r>
              <w:rPr>
                <w:sz w:val="24"/>
              </w:rPr>
              <w:t>）根据《江门市</w:t>
            </w:r>
            <w:r>
              <w:rPr>
                <w:sz w:val="24"/>
              </w:rPr>
              <w:t>202</w:t>
            </w:r>
            <w:r>
              <w:rPr>
                <w:sz w:val="24"/>
              </w:rPr>
              <w:t>3</w:t>
            </w:r>
            <w:r>
              <w:rPr>
                <w:sz w:val="24"/>
              </w:rPr>
              <w:t>年度政府网站与政务新媒体考评方案》，</w:t>
            </w:r>
            <w:r>
              <w:rPr>
                <w:sz w:val="24"/>
              </w:rPr>
              <w:t>100%完成对江门市政府网站与政务新媒体的季度抽查与年终考评工作，按时提交所有项目成果。</w:t>
            </w:r>
          </w:p>
          <w:p>
            <w:pPr>
              <w:ind w:firstLine="480"/>
              <w:jc w:val="both"/>
            </w:pPr>
            <w:r>
              <w:rPr>
                <w:sz w:val="24"/>
              </w:rPr>
              <w:t>监测与考评结果客观、公正。</w:t>
            </w:r>
          </w:p>
          <w:p>
            <w:pPr>
              <w:ind w:firstLine="482"/>
              <w:jc w:val="both"/>
            </w:pPr>
            <w:r>
              <w:rPr>
                <w:b/>
                <w:sz w:val="24"/>
              </w:rPr>
              <w:t>（四）</w:t>
            </w:r>
            <w:r>
              <w:rPr>
                <w:b/>
                <w:sz w:val="24"/>
              </w:rPr>
              <w:t>2023年市政数局江门市政府网站与政务新媒体日常技术监测服务项目</w:t>
            </w:r>
          </w:p>
          <w:p>
            <w:pPr>
              <w:ind w:firstLine="482"/>
              <w:jc w:val="both"/>
            </w:pPr>
            <w:r>
              <w:rPr>
                <w:b/>
                <w:sz w:val="24"/>
              </w:rPr>
              <w:t>一）现状</w:t>
            </w:r>
          </w:p>
          <w:p>
            <w:pPr>
              <w:ind w:firstLine="480"/>
              <w:jc w:val="both"/>
            </w:pPr>
            <w:r>
              <w:rPr>
                <w:sz w:val="24"/>
              </w:rPr>
              <w:t>为进一步推动江门市政府网站和政务新媒体健康有序发展，响应《国务院办公厅秘书局关于印发政府网站与政务新媒体检查指标、监管工作年度考核指标的通知》（国办秘函〔</w:t>
            </w:r>
            <w:r>
              <w:rPr>
                <w:sz w:val="24"/>
              </w:rPr>
              <w:t>2019〕19号）《国务院办公厅关于印发2019年政务公开工作要点的通知国办发》（〔2019〕14号）《国务院办公厅关于推进政务新媒体健康有序发展的意见》（国办发〔2018〕123号）文的相关要求，我市需要继续提升江门市各级政府网站和政务新媒体的管理力度，充分发挥网站和新媒体在推进政务公开、优化政务服务、凝聚社会共识、创新社会治理等领域的重要作用，全面提升本地区政务传播力、引导力、影响力、公信力。</w:t>
            </w:r>
          </w:p>
          <w:p>
            <w:pPr>
              <w:ind w:firstLine="482"/>
              <w:jc w:val="both"/>
            </w:pPr>
            <w:r>
              <w:rPr>
                <w:b/>
                <w:sz w:val="24"/>
              </w:rPr>
              <w:t>二）需求概况</w:t>
            </w:r>
          </w:p>
          <w:p>
            <w:pPr>
              <w:ind w:firstLine="480"/>
              <w:jc w:val="both"/>
            </w:pPr>
            <w:r>
              <w:rPr>
                <w:sz w:val="24"/>
              </w:rPr>
              <w:t>国办新指标加强监测力度和监测要求</w:t>
            </w:r>
            <w:r>
              <w:rPr>
                <w:sz w:val="24"/>
              </w:rPr>
              <w:t>：</w:t>
            </w:r>
            <w:r>
              <w:rPr>
                <w:sz w:val="24"/>
              </w:rPr>
              <w:t>2015年以来江门全市政府网站监测是按照《国务院办公厅关于开展第一次全国政府网站普查工作通知》（国办发[2015]15号）文件中的《全国政府网站普查评分表》的要求进行监测，指标相对简单只包含一类指标5个一级指标、15个二级指标。而2019年《政府网站与政务新媒体检查指标、监管工作年度考核指标的通知》（国秘发〔2019〕19号）文件中的《政府网站与政务新媒体检查指标》大大增加监测指标要求，指标包括三类指标，单项否决指标包括6个二级指标；扣分指标包括4个一级指标、28个二级指标；加分指标包括5个一级指标，10个二级指标。</w:t>
            </w:r>
          </w:p>
          <w:p>
            <w:pPr>
              <w:ind w:firstLine="480"/>
              <w:jc w:val="both"/>
            </w:pPr>
            <w:r>
              <w:rPr>
                <w:sz w:val="24"/>
              </w:rPr>
              <w:t>政务新媒体监测属于第三方平台，监管难度大</w:t>
            </w:r>
            <w:r>
              <w:rPr>
                <w:sz w:val="24"/>
              </w:rPr>
              <w:t>：江门全市政务新媒体开设数量、种类较多，开设及管理较为随意，缺乏有效统一管理。许多账号没有专人负责，存在信息发布不及时、不严谨，监督管理不到位等多种问题。由于政务新媒体是在微信、微博等第三方平台开设，数据没有落地在本地集约化平台，单纯依靠人工，工作量大、耗时长、效率低，难以实现有效监管。国办对政务新媒体监测十分重视，设立了单项否决指标，如有不符合立即单项否决。</w:t>
            </w:r>
          </w:p>
          <w:p>
            <w:pPr>
              <w:ind w:firstLine="480"/>
              <w:jc w:val="both"/>
            </w:pPr>
            <w:r>
              <w:rPr>
                <w:sz w:val="24"/>
              </w:rPr>
              <w:t>安全监测需配备专业技术人员</w:t>
            </w:r>
            <w:r>
              <w:rPr>
                <w:sz w:val="24"/>
              </w:rPr>
              <w:t>：国办新指标中涉及到政府网站和政务新媒体的安全、泄密事故监测工作，例如，出现严重表述错误、泄露国家秘密、发布或链接反动、暴力、色情等内容对安全攻击（如页面被挂马、内容被篡改等）没有及时有效处置造成严重安全事故。如发现此类问题立即单项否决，这类内容安全的监管工作量太大，需应用自动化扫描、内容安全检查、实时预警等技术，非专业人员很难完成，技术门槛较高。建议采取第三方监测平台自动扫描排查更为安全。</w:t>
            </w:r>
          </w:p>
          <w:p>
            <w:pPr>
              <w:ind w:firstLine="480"/>
              <w:jc w:val="both"/>
            </w:pPr>
            <w:r>
              <w:rPr>
                <w:sz w:val="24"/>
              </w:rPr>
              <w:t>国办半年抽查考核制度</w:t>
            </w:r>
            <w:r>
              <w:rPr>
                <w:sz w:val="24"/>
              </w:rPr>
              <w:t>：国务院办公厅将每半年对全国政府网站及政务新媒体运行情况进行抽查，每年度对有关监管工作进行考核，抽查和考核结果将予以公开通报。</w:t>
            </w:r>
          </w:p>
          <w:p>
            <w:pPr>
              <w:ind w:firstLine="480"/>
              <w:jc w:val="both"/>
            </w:pPr>
            <w:r>
              <w:rPr>
                <w:sz w:val="24"/>
              </w:rPr>
              <w:t>广东省政务管理服务局季度抽查考核制度</w:t>
            </w:r>
            <w:r>
              <w:rPr>
                <w:sz w:val="24"/>
              </w:rPr>
              <w:t>：国办按照按半年的制度进行考核，广东省政务管理服务局对各市州的要求会更高，按照季度进行抽查政府网站和政务新媒体监测情况，发现问题会立即通报。所以我市的政府网站和政务新媒体的监测工作是非常有必要的。</w:t>
            </w:r>
          </w:p>
          <w:p>
            <w:pPr>
              <w:ind w:firstLine="480"/>
              <w:jc w:val="both"/>
            </w:pPr>
            <w:r>
              <w:rPr>
                <w:sz w:val="24"/>
              </w:rPr>
              <w:t>综上所述，为保障我市政府网站和政务新媒体的健康运行，总体需求包括对江门市政府门户网站</w:t>
            </w:r>
            <w:r>
              <w:rPr>
                <w:sz w:val="24"/>
              </w:rPr>
              <w:t>1个、江门市直部门网站（频道）36个、江门市区县政府门户网站7个和政务新媒体约200个进行日常监测，以及提供季度全面监测报告等。</w:t>
            </w:r>
          </w:p>
          <w:p>
            <w:pPr>
              <w:ind w:firstLine="482"/>
              <w:jc w:val="both"/>
            </w:pPr>
            <w:r>
              <w:rPr>
                <w:b/>
                <w:sz w:val="24"/>
              </w:rPr>
              <w:t>三）服务内容</w:t>
            </w:r>
          </w:p>
          <w:p>
            <w:pPr>
              <w:ind w:firstLine="482"/>
              <w:jc w:val="both"/>
            </w:pPr>
            <w:r>
              <w:rPr>
                <w:b/>
                <w:sz w:val="24"/>
              </w:rPr>
              <w:t>1.江门市政府门户网站、江门市直部门网站（频道）和江门市区县政府门户网站监测服务</w:t>
            </w:r>
          </w:p>
          <w:p>
            <w:pPr>
              <w:ind w:firstLine="480"/>
              <w:jc w:val="both"/>
            </w:pPr>
            <w:r>
              <w:rPr>
                <w:sz w:val="24"/>
              </w:rPr>
              <w:t>1.1日常监测</w:t>
            </w:r>
          </w:p>
          <w:p>
            <w:pPr>
              <w:ind w:firstLine="480"/>
              <w:jc w:val="both"/>
            </w:pPr>
            <w:r>
              <w:rPr>
                <w:sz w:val="24"/>
              </w:rPr>
              <w:t>系统常态化监测依托大数据平台对市政府网站的站点无法访问、网站不更新、栏目不更新、错断链、附件下载、网站响应等方面进行扫描监测。监测数据提供实时在线查看或下载。</w:t>
            </w:r>
          </w:p>
          <w:p>
            <w:pPr>
              <w:ind w:firstLine="480"/>
              <w:jc w:val="both"/>
            </w:pPr>
            <w:r>
              <w:rPr>
                <w:sz w:val="24"/>
              </w:rPr>
              <w:t>系统监测平台严格按照《国务院办公厅秘书局关于印发政府网站与政务新媒体检查指标、监管工作年度考核指标》（国办秘函〔</w:t>
            </w:r>
            <w:r>
              <w:rPr>
                <w:sz w:val="24"/>
              </w:rPr>
              <w:t>2019〕19号）文件中3类指标设计和检查，与国务院办公厅普查全国政府网站使用的软件功能及方法保持一致。</w:t>
            </w:r>
          </w:p>
          <w:p>
            <w:pPr>
              <w:ind w:firstLine="480"/>
              <w:jc w:val="both"/>
            </w:pPr>
            <w:r>
              <w:rPr>
                <w:sz w:val="24"/>
              </w:rPr>
              <w:t>通过大数据监测平台管辖网站，可了解整体网站的健康状况。为市政府提供整改通知和反馈的渠道，方便网站及时整改，提升工作效率。可对督办过程进行管理，掌握整改进度。</w:t>
            </w:r>
          </w:p>
          <w:p>
            <w:pPr>
              <w:ind w:firstLine="480"/>
              <w:jc w:val="both"/>
            </w:pPr>
            <w:r>
              <w:rPr>
                <w:sz w:val="24"/>
              </w:rPr>
              <w:t>1.2季度全面监测报告</w:t>
            </w:r>
          </w:p>
          <w:p>
            <w:pPr>
              <w:ind w:firstLine="480"/>
              <w:jc w:val="both"/>
            </w:pPr>
            <w:r>
              <w:rPr>
                <w:sz w:val="24"/>
              </w:rPr>
              <w:t>按照《国务院办公厅秘书局关于印发政府网站与政务新媒体检查指标、监管工作年度考核指标》（国办秘函〔</w:t>
            </w:r>
            <w:r>
              <w:rPr>
                <w:sz w:val="24"/>
              </w:rPr>
              <w:t>2019〕19号）文件中3类指标检查，针对门户栏目页面及信息公开目录系统，重点领域信息公开、五公开专栏等自动化监测不足的部分进行人工监测，监测新增稿件+历史稿件内容安全情况包括：领导人姓名、职务和领导人排序错误监测；领导人负面词监测；涉及港澳台领土、主权类词监测；迷信邪教类词监测；法律法规类词监测；广告法违禁词监测；民族宗教类词监测；国际关系类词监测；无法实现对办事服务、互动回应等方面的全面性、准确性监测，以及自动化扫描结果与业务工作的核对等，通过人工核查的方式进行核对及其他问题的监测。出具数据报告或问题清单，提交至各单位联系人。</w:t>
            </w:r>
          </w:p>
          <w:p>
            <w:pPr>
              <w:ind w:firstLine="480"/>
              <w:jc w:val="both"/>
            </w:pPr>
            <w:r>
              <w:rPr>
                <w:sz w:val="24"/>
              </w:rPr>
              <w:t>每季度提供江门市政府门户网站季度全面监测报告</w:t>
            </w:r>
            <w:r>
              <w:rPr>
                <w:sz w:val="24"/>
              </w:rPr>
              <w:t>1份、江门市直部门网站（频道）季度全面监测报告36份、江门市区县政府门户网站季度全面监测报告7份。</w:t>
            </w:r>
          </w:p>
          <w:p>
            <w:pPr>
              <w:ind w:firstLine="482"/>
              <w:jc w:val="both"/>
            </w:pPr>
            <w:r>
              <w:rPr>
                <w:b/>
                <w:sz w:val="24"/>
              </w:rPr>
              <w:t>2.政务新媒体监测服务</w:t>
            </w:r>
          </w:p>
          <w:p>
            <w:pPr>
              <w:ind w:firstLine="480"/>
              <w:jc w:val="both"/>
            </w:pPr>
            <w:r>
              <w:rPr>
                <w:sz w:val="24"/>
              </w:rPr>
              <w:t>2.1日常监测</w:t>
            </w:r>
          </w:p>
          <w:p>
            <w:pPr>
              <w:ind w:firstLine="480"/>
              <w:jc w:val="both"/>
            </w:pPr>
            <w:r>
              <w:rPr>
                <w:sz w:val="24"/>
              </w:rPr>
              <w:t>基于政务新媒体大数据监测平台实时监测本项目政务新媒体账号发布信息中是否出现严重表述错误、泄露国家秘密、发布或链接反动、暴力、色情等内容进行实时扫描，扫描结果可直接通过系统查看或下载。</w:t>
            </w:r>
          </w:p>
          <w:p>
            <w:pPr>
              <w:ind w:firstLine="480"/>
              <w:jc w:val="both"/>
            </w:pPr>
            <w:r>
              <w:rPr>
                <w:sz w:val="24"/>
              </w:rPr>
              <w:t>2.2季度全面监测报告</w:t>
            </w:r>
          </w:p>
          <w:p>
            <w:pPr>
              <w:ind w:firstLine="480"/>
              <w:jc w:val="both"/>
            </w:pPr>
            <w:r>
              <w:rPr>
                <w:sz w:val="24"/>
              </w:rPr>
              <w:t>针对系统自动化的不足，如无法实现对内容不更新、互动回应等方面的全面性、准确性监测，以及自动化扫描结果与业务工作的核对等问题，通过人工监测对监测时间点前</w:t>
            </w:r>
            <w:r>
              <w:rPr>
                <w:sz w:val="24"/>
              </w:rPr>
              <w:t>2周内无更新、移动客户端（APP）无法下载或使用，发生“僵尸”、“睡眠”情况、未提供有效互动功能、存在购买“粉丝”、强制要求群众点赞等弄虚作假行为。这样的问题在人工核查中将予以排查；按照《国务院办公厅关于推进政务新媒体健康有序发展的意见》（国办发〔2018〕123号）文件要求进行新媒体内容检查。</w:t>
            </w:r>
          </w:p>
          <w:p>
            <w:pPr>
              <w:ind w:firstLine="480"/>
              <w:jc w:val="both"/>
            </w:pPr>
            <w:r>
              <w:rPr>
                <w:sz w:val="24"/>
              </w:rPr>
              <w:t>每季度提供政务新媒体季度全面监测报告约</w:t>
            </w:r>
            <w:r>
              <w:rPr>
                <w:sz w:val="24"/>
              </w:rPr>
              <w:t>200份。</w:t>
            </w:r>
          </w:p>
          <w:p>
            <w:pPr>
              <w:ind w:firstLine="482"/>
              <w:jc w:val="both"/>
            </w:pPr>
            <w:r>
              <w:rPr>
                <w:b/>
                <w:sz w:val="24"/>
              </w:rPr>
              <w:t>（五）</w:t>
            </w:r>
            <w:r>
              <w:rPr>
                <w:b/>
                <w:sz w:val="24"/>
              </w:rPr>
              <w:t>2023年市政数局“粤政易”平台运维项目</w:t>
            </w:r>
          </w:p>
          <w:p>
            <w:pPr>
              <w:ind w:firstLine="482"/>
              <w:jc w:val="both"/>
            </w:pPr>
            <w:r>
              <w:rPr>
                <w:b/>
                <w:sz w:val="24"/>
              </w:rPr>
              <w:t>一）现状</w:t>
            </w:r>
          </w:p>
          <w:p>
            <w:pPr>
              <w:ind w:firstLine="480"/>
              <w:jc w:val="both"/>
            </w:pPr>
            <w:r>
              <w:rPr>
                <w:sz w:val="24"/>
              </w:rPr>
              <w:t>“粤政易”平台是由省政府办公厅、省政务服务数据管理局牵头建设的重要政务支撑系统，主要包括省电子公文交换系统和粤政易系统，可实现我省跨地市、跨单位、跨层级政务信息资源共享和及时沟通，具有电子公文交换、政务信息交流、语音和视频通话、视频会议、公务人员通讯录等常用功能，是我省“数字政府”改革建设的重要内容。根据《广东省人民政府办公厅关于充分运用数字政府一体化平台减少会议活动 减轻基层单位和企业群众填表报数压力的通知》《广东省政务服务数据管理局关于征求粤政易移动办公平台应用推广工作方案意见的函》《关于印发&lt;广东省统一身份认证平台（政务侧）优化升级工作方案&gt;的通知》等文件要求，我局统筹在全市党政机关和国有企事业单位中普及应用“粤政易”协同办公平台。目前，江门市已全面实现省、市、县、镇、村五级电子公文交换，全市2481个党政机关、国有企事业单位开通使用省电子公文交换系统，制作使用电子公章已达3933个，2022年1月至12月，我市累计发文34.14万份次、累计收文307.99万份，累计收、发文数量在广东省21个地市中排名前列。全市开通省粤政易的公职人员账户123995个。</w:t>
            </w:r>
          </w:p>
          <w:p>
            <w:pPr>
              <w:ind w:firstLine="482"/>
              <w:jc w:val="both"/>
            </w:pPr>
            <w:r>
              <w:rPr>
                <w:b/>
                <w:sz w:val="24"/>
              </w:rPr>
              <w:t>二）需求概况</w:t>
            </w:r>
          </w:p>
          <w:p>
            <w:pPr>
              <w:ind w:firstLine="480"/>
              <w:jc w:val="both"/>
            </w:pPr>
            <w:r>
              <w:rPr>
                <w:sz w:val="24"/>
              </w:rPr>
              <w:t>为了更好的推进</w:t>
            </w:r>
            <w:r>
              <w:rPr>
                <w:sz w:val="24"/>
              </w:rPr>
              <w:t>“粤政易”平台在我市的全面应用，切实提高我市的政务支撑能力，以及参考《粤政易协同办公平台应用推广工作方案》《广东省人民政府办公厅关于充分运用数字政府一体化平台减少会议活动 减轻基层单位和企业群众填表报数压力的通知》《关于印发&lt;广东省统一身份认证平台（政务侧）优化升级工作方案&gt;的通知》，结合我市实际情况，需要开展“粤政易”平台一年的本地维护服务。</w:t>
            </w:r>
          </w:p>
          <w:p>
            <w:pPr>
              <w:ind w:firstLine="480"/>
              <w:jc w:val="both"/>
            </w:pPr>
            <w:r>
              <w:rPr>
                <w:sz w:val="24"/>
              </w:rPr>
              <w:t>服务需求：</w:t>
            </w:r>
          </w:p>
          <w:p>
            <w:pPr>
              <w:ind w:firstLine="480"/>
              <w:jc w:val="both"/>
            </w:pPr>
            <w:r>
              <w:rPr>
                <w:sz w:val="24"/>
              </w:rPr>
              <w:t>1.提供“粤政易”APP运维服务，跟进“粤政易”APP运行情况，系统运维等；协助各县（市、区）、市直各部门在“粤基座”平台注册统一身份认证区域管理员、单位管理员，协助推动我市完成存量账户数据治理，指导各部门管理员完成本单位的账号管理与维护，推进各级单位统一认证账户实名率100%。</w:t>
            </w:r>
          </w:p>
          <w:p>
            <w:pPr>
              <w:ind w:firstLine="480"/>
              <w:jc w:val="both"/>
            </w:pPr>
            <w:r>
              <w:rPr>
                <w:sz w:val="24"/>
              </w:rPr>
              <w:t>2.省电子公文交换系统维护和机构调整服务，包括省电子公文交换系统的组织机构信息、人员账号新增、信息变更等；</w:t>
            </w:r>
          </w:p>
          <w:p>
            <w:pPr>
              <w:ind w:firstLine="480"/>
              <w:jc w:val="both"/>
            </w:pPr>
            <w:r>
              <w:rPr>
                <w:sz w:val="24"/>
              </w:rPr>
              <w:t>3.协助部门业务系统对接“粤政易”工作台，做好技术支撑和对接推进；</w:t>
            </w:r>
          </w:p>
          <w:p>
            <w:pPr>
              <w:ind w:firstLine="480"/>
              <w:jc w:val="both"/>
            </w:pPr>
            <w:r>
              <w:rPr>
                <w:sz w:val="24"/>
              </w:rPr>
              <w:t>4.提供“粤政易”工作台后台技术支持和上架应用的授权管理；</w:t>
            </w:r>
          </w:p>
          <w:p>
            <w:pPr>
              <w:ind w:firstLine="480"/>
              <w:jc w:val="both"/>
            </w:pPr>
            <w:r>
              <w:rPr>
                <w:sz w:val="24"/>
              </w:rPr>
              <w:t>5.协助推进电子印章推广、运维和管理工作。协助收集部门电子印章需求，及时跟进印章制作进度；协助推进业务系统对接省电子印章平台；协助各县（市、区）、市直各部门在”粤基座“平台注册电子印章区域管理员、单位管理员，推动电子印章业务全流程线上办理。</w:t>
            </w:r>
          </w:p>
          <w:p>
            <w:pPr>
              <w:ind w:firstLine="480"/>
              <w:jc w:val="both"/>
            </w:pPr>
            <w:r>
              <w:rPr>
                <w:sz w:val="24"/>
              </w:rPr>
              <w:t>6.系统使用情况分析：</w:t>
            </w:r>
          </w:p>
          <w:p>
            <w:pPr>
              <w:ind w:firstLine="480"/>
              <w:jc w:val="both"/>
            </w:pPr>
            <w:r>
              <w:rPr>
                <w:sz w:val="24"/>
              </w:rPr>
              <w:t>（</w:t>
            </w:r>
            <w:r>
              <w:rPr>
                <w:sz w:val="24"/>
              </w:rPr>
              <w:t>1）每天形成运维日报，包括粤政易的账号、机构和人员信息调整数。</w:t>
            </w:r>
          </w:p>
          <w:p>
            <w:pPr>
              <w:ind w:firstLine="480"/>
              <w:jc w:val="both"/>
            </w:pPr>
            <w:r>
              <w:rPr>
                <w:sz w:val="24"/>
              </w:rPr>
              <w:t>（</w:t>
            </w:r>
            <w:r>
              <w:rPr>
                <w:sz w:val="24"/>
              </w:rPr>
              <w:t>2）每周形成运维周报，包括：市直各单位、各市区平台的粤政易账号、机构和人员信息调整数、技术运维支撑工作情况，工作台对接需求情况汇总，系统对接省统一身份认证平台需求汇总；电子公文交换系统收发公文数量，电子印章制作和使用等情况。</w:t>
            </w:r>
          </w:p>
          <w:p>
            <w:pPr>
              <w:ind w:firstLine="480"/>
              <w:jc w:val="both"/>
            </w:pPr>
            <w:r>
              <w:rPr>
                <w:sz w:val="24"/>
              </w:rPr>
              <w:t>（</w:t>
            </w:r>
            <w:r>
              <w:rPr>
                <w:sz w:val="24"/>
              </w:rPr>
              <w:t>3）每月形成运维月报，包括：市直各单位、各市区平台的粤政易账号、机构和人员信息调整数、技术运维支撑工作情况，工作台对接需求情况汇总，系统对接省统一身份认证平台需求汇总和电子公文交换系统收发公文数量，电子印章制作和使用等情况。</w:t>
            </w:r>
          </w:p>
          <w:p>
            <w:pPr>
              <w:ind w:firstLine="480"/>
              <w:jc w:val="both"/>
            </w:pPr>
            <w:r>
              <w:rPr>
                <w:sz w:val="24"/>
              </w:rPr>
              <w:t>7.技术支持：提供7×12的服务（每周7天，每天12小时）。协助有关单位解答登陆问题、使用问题等。</w:t>
            </w:r>
          </w:p>
          <w:p>
            <w:pPr>
              <w:ind w:firstLine="482"/>
              <w:jc w:val="both"/>
            </w:pPr>
            <w:r>
              <w:rPr>
                <w:b/>
                <w:sz w:val="24"/>
              </w:rPr>
              <w:t>（三）服务内容</w:t>
            </w:r>
          </w:p>
          <w:tbl>
            <w:tblPr>
              <w:tblBorders>
                <w:top w:val="none" w:color="000000" w:sz="4"/>
                <w:left w:val="none" w:color="000000" w:sz="4"/>
                <w:bottom w:val="none" w:color="000000" w:sz="4"/>
                <w:right w:val="none" w:color="000000" w:sz="4"/>
                <w:insideH w:val="none"/>
                <w:insideV w:val="none"/>
              </w:tblBorders>
            </w:tblPr>
            <w:tblGrid>
              <w:gridCol w:w="443"/>
              <w:gridCol w:w="913"/>
              <w:gridCol w:w="3815"/>
            </w:tblGrid>
            <w:tr>
              <w:tc>
                <w:tcPr>
                  <w:tcW w:type="dxa" w:w="443"/>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913"/>
                  <w:tcBorders>
                    <w:top w:val="single" w:color="000000" w:sz="4"/>
                    <w:left w:val="single" w:color="000000" w:sz="4"/>
                    <w:bottom w:val="single" w:color="000000" w:sz="4"/>
                    <w:right w:val="single" w:color="000000" w:sz="4"/>
                  </w:tcBorders>
                  <w:vAlign w:val="top"/>
                </w:tcPr>
                <w:p>
                  <w:pPr>
                    <w:jc w:val="both"/>
                  </w:pPr>
                  <w:r>
                    <w:rPr>
                      <w:sz w:val="24"/>
                    </w:rPr>
                    <w:t>服务类型</w:t>
                  </w:r>
                </w:p>
              </w:tc>
              <w:tc>
                <w:tcPr>
                  <w:tcW w:type="dxa" w:w="3815"/>
                  <w:tcBorders>
                    <w:top w:val="single" w:color="000000" w:sz="4"/>
                    <w:left w:val="single" w:color="000000" w:sz="4"/>
                    <w:bottom w:val="single" w:color="000000" w:sz="4"/>
                    <w:right w:val="single" w:color="000000" w:sz="4"/>
                  </w:tcBorders>
                  <w:vAlign w:val="top"/>
                </w:tcPr>
                <w:p>
                  <w:pPr>
                    <w:jc w:val="both"/>
                  </w:pPr>
                  <w:r>
                    <w:rPr>
                      <w:sz w:val="24"/>
                    </w:rPr>
                    <w:t>服务内容</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1</w:t>
                  </w:r>
                </w:p>
              </w:tc>
              <w:tc>
                <w:tcPr>
                  <w:tcW w:type="dxa" w:w="913"/>
                  <w:tcBorders>
                    <w:top w:val="none" w:color="000000" w:sz="4"/>
                    <w:left w:val="single" w:color="000000" w:sz="4"/>
                    <w:bottom w:val="single" w:color="000000" w:sz="4"/>
                    <w:right w:val="single" w:color="000000" w:sz="4"/>
                  </w:tcBorders>
                  <w:vAlign w:val="top"/>
                </w:tcPr>
                <w:p>
                  <w:pPr>
                    <w:jc w:val="both"/>
                  </w:pPr>
                  <w:r>
                    <w:rPr>
                      <w:sz w:val="24"/>
                    </w:rPr>
                    <w:t>“粤政易”APP运维服务</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包括</w:t>
                  </w:r>
                  <w:r>
                    <w:rPr>
                      <w:sz w:val="24"/>
                    </w:rPr>
                    <w:t>“粤政易”APP账号日常开通与变更，“粤政易”标准应用指导，数据统计报告，定期提供数据分析，使用疑问解答汇总；协助各县（市、区）、市直各部门在“粤基座”平台注册统一身份认证区域管理员、单位管理员。</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2</w:t>
                  </w:r>
                </w:p>
              </w:tc>
              <w:tc>
                <w:tcPr>
                  <w:tcW w:type="dxa" w:w="913"/>
                  <w:tcBorders>
                    <w:top w:val="none" w:color="000000" w:sz="4"/>
                    <w:left w:val="single" w:color="000000" w:sz="4"/>
                    <w:bottom w:val="single" w:color="000000" w:sz="4"/>
                    <w:right w:val="single" w:color="000000" w:sz="4"/>
                  </w:tcBorders>
                  <w:vAlign w:val="top"/>
                </w:tcPr>
                <w:p>
                  <w:pPr>
                    <w:jc w:val="both"/>
                  </w:pPr>
                  <w:r>
                    <w:rPr>
                      <w:sz w:val="24"/>
                    </w:rPr>
                    <w:t>省电子公文交换系统运维服务</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包括江门市新增单位开设配置、电子公文交换系统管理员开通与变更等，系统新版本的更新；</w:t>
                  </w:r>
                </w:p>
                <w:p>
                  <w:pPr>
                    <w:jc w:val="left"/>
                  </w:pPr>
                  <w:r>
                    <w:rPr>
                      <w:sz w:val="24"/>
                    </w:rPr>
                    <w:t>定期进行系统的巡检服务、收集使用问题，及时报送系统故障等。</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3</w:t>
                  </w:r>
                </w:p>
              </w:tc>
              <w:tc>
                <w:tcPr>
                  <w:tcW w:type="dxa" w:w="913"/>
                  <w:tcBorders>
                    <w:top w:val="none" w:color="000000" w:sz="4"/>
                    <w:left w:val="single" w:color="000000" w:sz="4"/>
                    <w:bottom w:val="single" w:color="000000" w:sz="4"/>
                    <w:right w:val="single" w:color="000000" w:sz="4"/>
                  </w:tcBorders>
                  <w:vAlign w:val="top"/>
                </w:tcPr>
                <w:p>
                  <w:pPr>
                    <w:jc w:val="both"/>
                  </w:pPr>
                  <w:r>
                    <w:rPr>
                      <w:sz w:val="24"/>
                    </w:rPr>
                    <w:t>部门业务系统对接</w:t>
                  </w:r>
                  <w:r>
                    <w:rPr>
                      <w:sz w:val="24"/>
                    </w:rPr>
                    <w:t>“粤政易”</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协助收集有关需求，指导部门完成对接申请，协助开展系统对接，跟进对接进展，推动业务系统上线</w:t>
                  </w:r>
                  <w:r>
                    <w:rPr>
                      <w:sz w:val="24"/>
                    </w:rPr>
                    <w:t>“粤政易”工作台；进行相关需求统计；系统权限管理及维护跟踪工作。</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4</w:t>
                  </w:r>
                </w:p>
              </w:tc>
              <w:tc>
                <w:tcPr>
                  <w:tcW w:type="dxa" w:w="913"/>
                  <w:tcBorders>
                    <w:top w:val="none" w:color="000000" w:sz="4"/>
                    <w:left w:val="single" w:color="000000" w:sz="4"/>
                    <w:bottom w:val="single" w:color="000000" w:sz="4"/>
                    <w:right w:val="single" w:color="000000" w:sz="4"/>
                  </w:tcBorders>
                  <w:vAlign w:val="top"/>
                </w:tcPr>
                <w:p>
                  <w:pPr>
                    <w:jc w:val="both"/>
                  </w:pPr>
                  <w:r>
                    <w:rPr>
                      <w:sz w:val="24"/>
                    </w:rPr>
                    <w:t>部门业务系统对接统一身份认证</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协助收集有关需求，指导部门完成</w:t>
                  </w:r>
                  <w:r>
                    <w:rPr>
                      <w:sz w:val="24"/>
                    </w:rPr>
                    <w:t>“粤基座”对接申请以及规范“粤基座”平台的使用，协助开展系统对接，跟进对接进展。</w:t>
                  </w:r>
                </w:p>
                <w:p>
                  <w:pPr>
                    <w:jc w:val="left"/>
                  </w:pPr>
                  <w:r>
                    <w:rPr>
                      <w:sz w:val="24"/>
                    </w:rPr>
                    <w:t>根据广东省政务服务数据管理局《关于印发</w:t>
                  </w:r>
                  <w:r>
                    <w:rPr>
                      <w:sz w:val="24"/>
                    </w:rPr>
                    <w:t>&lt;广东省统一身份认证平台（政务侧）优化升级工作方案&gt;的通知》要求，协助推动我市完成存量账户数据治理，推进各级单位账户实名率100%。</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5</w:t>
                  </w:r>
                </w:p>
              </w:tc>
              <w:tc>
                <w:tcPr>
                  <w:tcW w:type="dxa" w:w="913"/>
                  <w:tcBorders>
                    <w:top w:val="none" w:color="000000" w:sz="4"/>
                    <w:left w:val="single" w:color="000000" w:sz="4"/>
                    <w:bottom w:val="single" w:color="000000" w:sz="4"/>
                    <w:right w:val="single" w:color="000000" w:sz="4"/>
                  </w:tcBorders>
                  <w:vAlign w:val="top"/>
                </w:tcPr>
                <w:p>
                  <w:pPr>
                    <w:jc w:val="both"/>
                  </w:pPr>
                  <w:r>
                    <w:rPr>
                      <w:sz w:val="24"/>
                    </w:rPr>
                    <w:t>电子印章推广、运维、管理</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协助收集部门电子印章需求，及时跟进印章制作进度。</w:t>
                  </w:r>
                </w:p>
                <w:p>
                  <w:pPr>
                    <w:jc w:val="left"/>
                  </w:pPr>
                  <w:r>
                    <w:rPr>
                      <w:sz w:val="24"/>
                    </w:rPr>
                    <w:t>协助部门开展业务系统对接省统一印章平台，并做好故障处理的协调、技术指导；协助各县（市、区）、市直各部门在</w:t>
                  </w:r>
                  <w:r>
                    <w:rPr>
                      <w:sz w:val="24"/>
                    </w:rPr>
                    <w:t>”粤基座“平台注册电子印章区域管理员、单位管理员。</w:t>
                  </w:r>
                </w:p>
              </w:tc>
            </w:tr>
            <w:tr>
              <w:tc>
                <w:tcPr>
                  <w:tcW w:type="dxa" w:w="443"/>
                  <w:tcBorders>
                    <w:top w:val="none" w:color="000000" w:sz="4"/>
                    <w:left w:val="single" w:color="000000" w:sz="4"/>
                    <w:bottom w:val="single" w:color="000000" w:sz="4"/>
                    <w:right w:val="single" w:color="000000" w:sz="4"/>
                  </w:tcBorders>
                  <w:vAlign w:val="top"/>
                </w:tcPr>
                <w:p>
                  <w:pPr>
                    <w:jc w:val="both"/>
                  </w:pPr>
                  <w:r>
                    <w:rPr>
                      <w:sz w:val="24"/>
                    </w:rPr>
                    <w:t>6</w:t>
                  </w:r>
                </w:p>
              </w:tc>
              <w:tc>
                <w:tcPr>
                  <w:tcW w:type="dxa" w:w="913"/>
                  <w:tcBorders>
                    <w:top w:val="none" w:color="000000" w:sz="4"/>
                    <w:left w:val="single" w:color="000000" w:sz="4"/>
                    <w:bottom w:val="single" w:color="000000" w:sz="4"/>
                    <w:right w:val="single" w:color="000000" w:sz="4"/>
                  </w:tcBorders>
                  <w:vAlign w:val="top"/>
                </w:tcPr>
                <w:p>
                  <w:pPr>
                    <w:jc w:val="both"/>
                  </w:pPr>
                  <w:r>
                    <w:rPr>
                      <w:sz w:val="24"/>
                    </w:rPr>
                    <w:t>“粤政易”工作台技术支持和应用授权</w:t>
                  </w:r>
                </w:p>
              </w:tc>
              <w:tc>
                <w:tcPr>
                  <w:tcW w:type="dxa" w:w="3815"/>
                  <w:tcBorders>
                    <w:top w:val="none" w:color="000000" w:sz="4"/>
                    <w:left w:val="single" w:color="000000" w:sz="4"/>
                    <w:bottom w:val="single" w:color="000000" w:sz="4"/>
                    <w:right w:val="single" w:color="000000" w:sz="4"/>
                  </w:tcBorders>
                  <w:vAlign w:val="top"/>
                </w:tcPr>
                <w:p>
                  <w:pPr>
                    <w:jc w:val="left"/>
                  </w:pPr>
                  <w:r>
                    <w:rPr>
                      <w:sz w:val="24"/>
                    </w:rPr>
                    <w:t>协助开展系统对接，与省跟进对接进展，推动业务系统上线</w:t>
                  </w:r>
                  <w:r>
                    <w:rPr>
                      <w:sz w:val="24"/>
                    </w:rPr>
                    <w:t>“粤政易”工作台。协助省团队在业务系统上线工作台时进行技术支持，问题答疑等。对工作台上应用进行授权，应用使用范围，权限等进行配置。</w:t>
                  </w:r>
                </w:p>
              </w:tc>
            </w:tr>
          </w:tbl>
          <w:p>
            <w:pPr>
              <w:ind w:firstLine="480"/>
              <w:jc w:val="both"/>
            </w:pPr>
            <w:r>
              <w:rPr>
                <w:sz w:val="24"/>
              </w:rPr>
              <w:t>结合我市工作实际，安排</w:t>
            </w:r>
            <w:r>
              <w:rPr>
                <w:sz w:val="24"/>
              </w:rPr>
              <w:t>1名专职技术员负责平台运维工作，人员需要调整时，需提前一个月报市政数局审批，专职技术员服务如下：</w:t>
            </w:r>
          </w:p>
          <w:p>
            <w:pPr>
              <w:ind w:firstLine="482"/>
              <w:jc w:val="both"/>
            </w:pPr>
            <w:r>
              <w:rPr>
                <w:b/>
                <w:sz w:val="24"/>
              </w:rPr>
              <w:t>1.</w:t>
            </w:r>
            <w:r>
              <w:rPr>
                <w:b/>
                <w:sz w:val="24"/>
              </w:rPr>
              <w:t>粤政易群技术支持。</w:t>
            </w:r>
          </w:p>
          <w:p>
            <w:pPr>
              <w:ind w:firstLine="480"/>
              <w:jc w:val="both"/>
            </w:pPr>
            <w:r>
              <w:rPr>
                <w:sz w:val="24"/>
              </w:rPr>
              <w:t>建立粤政易技术支持群，指导、帮助各使用单位进行账号开通及变更、答疑等工作。同时指导、帮助用户进行使用指引，快速上手，提高用户体验感。</w:t>
            </w:r>
          </w:p>
          <w:p>
            <w:pPr>
              <w:ind w:firstLine="482"/>
              <w:jc w:val="both"/>
            </w:pPr>
            <w:r>
              <w:rPr>
                <w:b/>
                <w:sz w:val="24"/>
              </w:rPr>
              <w:t>2.</w:t>
            </w:r>
            <w:r>
              <w:rPr>
                <w:b/>
                <w:sz w:val="24"/>
              </w:rPr>
              <w:t>技术服务热线电话支持。</w:t>
            </w:r>
          </w:p>
          <w:p>
            <w:pPr>
              <w:ind w:firstLine="480"/>
              <w:jc w:val="both"/>
            </w:pPr>
            <w:r>
              <w:rPr>
                <w:sz w:val="24"/>
              </w:rPr>
              <w:t>提供专人电话，对用户在使用平台中提出的问题进行及时处理、答疑。</w:t>
            </w:r>
          </w:p>
          <w:p>
            <w:pPr>
              <w:ind w:firstLine="482"/>
              <w:jc w:val="both"/>
            </w:pPr>
            <w:r>
              <w:rPr>
                <w:b/>
                <w:sz w:val="24"/>
              </w:rPr>
              <w:t>3.</w:t>
            </w:r>
            <w:r>
              <w:rPr>
                <w:b/>
                <w:sz w:val="24"/>
              </w:rPr>
              <w:t>软件及信息资源维护。</w:t>
            </w:r>
          </w:p>
          <w:p>
            <w:pPr>
              <w:ind w:firstLine="480"/>
              <w:jc w:val="both"/>
            </w:pPr>
            <w:r>
              <w:rPr>
                <w:sz w:val="24"/>
              </w:rPr>
              <w:t>粤政易平台部署于省政务云，平台由省专门维护人员进行维护，包括粤政易平台版本升级，粤政易平台定期巡检，故障响应，数据恢复等工作。项目运维人员与省专门维护人员对接，定期公布平台版本升级时间。当系统出现故障时，及时联系省专门运维人员进行排查，故障修复后及时通知各有关单位。</w:t>
            </w:r>
          </w:p>
          <w:p>
            <w:pPr>
              <w:ind w:firstLine="482"/>
              <w:jc w:val="both"/>
            </w:pPr>
            <w:r>
              <w:rPr>
                <w:b/>
                <w:sz w:val="24"/>
              </w:rPr>
              <w:t>4.</w:t>
            </w:r>
            <w:r>
              <w:rPr>
                <w:b/>
                <w:sz w:val="24"/>
              </w:rPr>
              <w:t>系统使用情况分析报告</w:t>
            </w:r>
          </w:p>
          <w:p>
            <w:pPr>
              <w:ind w:firstLine="480"/>
              <w:jc w:val="both"/>
            </w:pPr>
            <w:r>
              <w:rPr>
                <w:sz w:val="24"/>
              </w:rPr>
              <w:t>每天形成平台运维日报（包括粤政易的账号、机构和人员信息调整情况），每周、每月分析市直各单位、各市区的平台使用情况，工作台对接需求情况汇总，系统对接省统一身份认证平台需求汇总和电子公文交换系统收发公文数量，电子印章制作和使用等情况。</w:t>
            </w:r>
          </w:p>
          <w:p>
            <w:pPr>
              <w:ind w:firstLine="482"/>
              <w:jc w:val="both"/>
            </w:pPr>
            <w:r>
              <w:rPr>
                <w:b/>
                <w:sz w:val="24"/>
              </w:rPr>
              <w:t>5.</w:t>
            </w:r>
            <w:r>
              <w:rPr>
                <w:b/>
                <w:sz w:val="24"/>
              </w:rPr>
              <w:t>故障处理</w:t>
            </w:r>
          </w:p>
          <w:p>
            <w:pPr>
              <w:ind w:firstLine="480"/>
              <w:jc w:val="both"/>
            </w:pPr>
            <w:r>
              <w:rPr>
                <w:sz w:val="24"/>
              </w:rPr>
              <w:t>提供</w:t>
            </w:r>
            <w:r>
              <w:rPr>
                <w:sz w:val="24"/>
              </w:rPr>
              <w:t>7×12的服务（每周7天，每天12小时）。技术支持在收到单位的使用问题后，需要尽快完成故障处理，如账号登陆问题、印章使用问题等。如是省平台支撑问题，项目技术人员无法处理时，需马上反馈省技术人员，跟进后续处理结果，并及时反馈给有关单位。</w:t>
            </w:r>
          </w:p>
          <w:p>
            <w:pPr>
              <w:ind w:firstLine="482"/>
              <w:jc w:val="both"/>
            </w:pPr>
            <w:r>
              <w:rPr>
                <w:b/>
                <w:sz w:val="24"/>
              </w:rPr>
              <w:t>（六）</w:t>
            </w:r>
            <w:r>
              <w:rPr>
                <w:b/>
                <w:sz w:val="24"/>
              </w:rPr>
              <w:t>2023年市政数局广东省政府网站集约化平台江门分平台防篡改系统运维项目</w:t>
            </w:r>
          </w:p>
          <w:p>
            <w:pPr>
              <w:ind w:firstLine="482"/>
              <w:jc w:val="both"/>
            </w:pPr>
            <w:r>
              <w:rPr>
                <w:b/>
                <w:sz w:val="24"/>
              </w:rPr>
              <w:t>一）现状</w:t>
            </w:r>
          </w:p>
          <w:p>
            <w:pPr>
              <w:ind w:firstLine="480"/>
              <w:jc w:val="both"/>
            </w:pPr>
            <w:r>
              <w:rPr>
                <w:sz w:val="24"/>
              </w:rPr>
              <w:t>根据江门市政府网站集约化平台防篡改软件系统项目的建设目标中，要求按照《关于大力推进信息化发展和切实保障信息安全的若干意见》（国发〔</w:t>
            </w:r>
            <w:r>
              <w:rPr>
                <w:sz w:val="24"/>
              </w:rPr>
              <w:t>2012〕23号）、《计算机信息系统安全保护等级划分准则》（GB17859-1999）、《中华人民共和国网络安全法》、《信息安全技术信息系统通用安全技术要求》（GB/T20271-2006）、《信息安全技术操作系统安全技术要求》（GB/T20272-2006）、《广东省人民政府办公厅关于印发&lt;地级以上市政府网站集约化工作方案&gt;的通知》（粤办函〔2019〕2号）等政策依据，把实现政府机关实现政务信息公开、服务企业和社会公众、互动交流的重要渠道的江门市政府网站群的网站页面内容进行保护，防止非授权人员随意篡改内容。</w:t>
            </w:r>
          </w:p>
          <w:p>
            <w:pPr>
              <w:ind w:firstLine="480"/>
              <w:jc w:val="both"/>
            </w:pPr>
            <w:r>
              <w:rPr>
                <w:sz w:val="24"/>
              </w:rPr>
              <w:t>运行在江门市政府集约化平台上的政府网站因需要被公众访问而暴露于因特网上，因此容易成为黑客的攻击目标。虽然目前已有网络硬件防火墙等安全防范手段，但现代操作系统的复杂性和多样性导致系统漏洞层出不穷、防不胜防，黑客入侵和篡改页面的事件时有发生，因此确保门户的信息安全，以及网站门户系统的稳定性尤为重要。广东省政府网站集约化平台江门分平台防篡改软件系统项目工作总体目标是：依照江门市政府的总体要求，以政策法规与标准规范体系为指导，以项目服务保障体系为保障，进行江门市政府网站集约化平台的应用系统，即门户网站群的服务工作，保障门户网站的应用系统安全、稳定的运行，为江门市政府门户网站对外服务工作提供支撑。</w:t>
            </w:r>
          </w:p>
          <w:p>
            <w:pPr>
              <w:ind w:firstLine="482"/>
              <w:jc w:val="both"/>
            </w:pPr>
            <w:r>
              <w:rPr>
                <w:b/>
                <w:sz w:val="24"/>
              </w:rPr>
              <w:t>二）需求概况</w:t>
            </w:r>
          </w:p>
          <w:p>
            <w:pPr>
              <w:ind w:firstLine="480"/>
              <w:jc w:val="both"/>
            </w:pPr>
            <w:r>
              <w:rPr>
                <w:sz w:val="24"/>
              </w:rPr>
              <w:t>江门市政府网站集约化平台作为江门市人民政府及其下属各级政府机关履行职能、面向社会提供服务的官方网站，是政府机关实现政务信息公开、服务企业和社会公众、互动交流的重要渠道。同时，江门市政府网站集约化平台上运行的江门市各级政府网站仍担任直接面向社会公众处理与人们密切相关事务的功能，也是为提高政府行政效率、改善地方经济社会发展环境搭建虚拟平台。</w:t>
            </w:r>
          </w:p>
          <w:p>
            <w:pPr>
              <w:ind w:firstLine="480"/>
              <w:jc w:val="both"/>
            </w:pPr>
            <w:r>
              <w:rPr>
                <w:sz w:val="24"/>
              </w:rPr>
              <w:t>本项目通过购买网页防篡改系统运维服务，为网页文件数据提供保护，防止网页文件被恶意篡改，防止公众访问的浏览内容被非法篡改，保障政府网站上的信息内容准确、完整、有效。</w:t>
            </w:r>
          </w:p>
          <w:p>
            <w:pPr>
              <w:ind w:firstLine="482"/>
              <w:jc w:val="both"/>
            </w:pPr>
            <w:r>
              <w:rPr>
                <w:b/>
                <w:sz w:val="24"/>
              </w:rPr>
              <w:t>三）服务内容</w:t>
            </w:r>
          </w:p>
          <w:p>
            <w:pPr>
              <w:ind w:firstLine="480"/>
              <w:jc w:val="both"/>
            </w:pPr>
            <w:r>
              <w:rPr>
                <w:sz w:val="24"/>
              </w:rPr>
              <w:t>广东省政府网站集约化平台江门分平台防篡改系统采购于</w:t>
            </w:r>
            <w:r>
              <w:rPr>
                <w:sz w:val="24"/>
              </w:rPr>
              <w:t>2022年，该软件系统主要包括虚机发布节点的所有政府网页防篡改防护服务、网络校验中心等服务，通过网页防篡改系统直接对网页文件数据进行保护，防止网页文件被恶意篡改，防止被篡改的内容被公众访问浏览，以建立起门户网站正常访问的“最后一道防线”，保障江门市人民政府门户网站和下辖7个区市政府门户网站，保障政府网站上的信息内容准确、完整、有效，本期系统运维服务内容如下：</w:t>
            </w:r>
          </w:p>
          <w:p>
            <w:pPr>
              <w:ind w:firstLine="482"/>
              <w:jc w:val="both"/>
            </w:pPr>
            <w:r>
              <w:rPr>
                <w:b/>
                <w:sz w:val="24"/>
              </w:rPr>
              <w:t>1.无偿需提供1次重装及迁移服务。</w:t>
            </w:r>
          </w:p>
          <w:p>
            <w:pPr>
              <w:ind w:firstLine="482"/>
              <w:jc w:val="both"/>
            </w:pPr>
            <w:r>
              <w:rPr>
                <w:b/>
                <w:sz w:val="24"/>
              </w:rPr>
              <w:t>2.维护内容</w:t>
            </w:r>
          </w:p>
          <w:p>
            <w:pPr>
              <w:ind w:firstLine="480"/>
              <w:jc w:val="both"/>
            </w:pPr>
            <w:r>
              <w:rPr>
                <w:sz w:val="24"/>
              </w:rPr>
              <w:t>解答问题：解答在安装、配置和使用产品的过程中出现的疑问和问题；</w:t>
            </w:r>
          </w:p>
          <w:p>
            <w:pPr>
              <w:ind w:firstLine="480"/>
              <w:jc w:val="both"/>
            </w:pPr>
            <w:r>
              <w:rPr>
                <w:sz w:val="24"/>
              </w:rPr>
              <w:t>接受反馈：接收有关产品缺陷和错误报告，以及对产品提出的改进建议；</w:t>
            </w:r>
          </w:p>
          <w:p>
            <w:pPr>
              <w:ind w:firstLine="480"/>
              <w:jc w:val="both"/>
            </w:pPr>
            <w:r>
              <w:rPr>
                <w:sz w:val="24"/>
              </w:rPr>
              <w:t>提供补丁：对于本产品存在的缺陷或错误，将不定期提供最新的补丁；</w:t>
            </w:r>
          </w:p>
          <w:p>
            <w:pPr>
              <w:ind w:firstLine="480"/>
              <w:jc w:val="both"/>
            </w:pPr>
            <w:r>
              <w:rPr>
                <w:sz w:val="24"/>
              </w:rPr>
              <w:t>系统咨询：提供与产品相关的系统及</w:t>
            </w:r>
            <w:r>
              <w:rPr>
                <w:sz w:val="24"/>
              </w:rPr>
              <w:t>WEB应用安全方面的咨询；</w:t>
            </w:r>
          </w:p>
          <w:p>
            <w:pPr>
              <w:ind w:firstLine="480"/>
              <w:jc w:val="both"/>
            </w:pPr>
            <w:r>
              <w:rPr>
                <w:sz w:val="24"/>
              </w:rPr>
              <w:t>系统培训：提供与产品相关的系统安全方面的培训壹次。对于用户的新工程师，我们提供再培训服务；</w:t>
            </w:r>
          </w:p>
          <w:p>
            <w:pPr>
              <w:ind w:firstLine="480"/>
              <w:jc w:val="both"/>
            </w:pPr>
            <w:r>
              <w:rPr>
                <w:sz w:val="24"/>
              </w:rPr>
              <w:t>提供至少</w:t>
            </w:r>
            <w:r>
              <w:rPr>
                <w:sz w:val="24"/>
              </w:rPr>
              <w:t>1年4次主动上门或远程巡检服务；端午节、国庆节、春节前2周内也可根据要求提供上门巡检服务，并提供《巡检报告》。巡检项目如下：</w:t>
            </w:r>
          </w:p>
          <w:p>
            <w:pPr>
              <w:jc w:val="both"/>
            </w:pPr>
          </w:p>
          <w:tbl>
            <w:tblPr>
              <w:tblBorders>
                <w:top w:val="none" w:color="000000" w:sz="4"/>
                <w:left w:val="none" w:color="000000" w:sz="4"/>
                <w:bottom w:val="none" w:color="000000" w:sz="4"/>
                <w:right w:val="none" w:color="000000" w:sz="4"/>
                <w:insideH w:val="none"/>
                <w:insideV w:val="none"/>
              </w:tblBorders>
            </w:tblPr>
            <w:tblGrid>
              <w:gridCol w:w="2911"/>
              <w:gridCol w:w="2687"/>
            </w:tblGrid>
            <w:tr>
              <w:tc>
                <w:tcPr>
                  <w:tcW w:type="dxa" w:w="2911"/>
                  <w:tcBorders>
                    <w:top w:val="single" w:color="000000" w:sz="4"/>
                    <w:left w:val="single" w:color="000000" w:sz="4"/>
                    <w:bottom w:val="single" w:color="000000" w:sz="4"/>
                    <w:right w:val="single" w:color="000000" w:sz="4"/>
                  </w:tcBorders>
                  <w:vAlign w:val="top"/>
                </w:tcPr>
                <w:p>
                  <w:pPr>
                    <w:jc w:val="center"/>
                  </w:pPr>
                  <w:r>
                    <w:rPr>
                      <w:b/>
                      <w:sz w:val="24"/>
                    </w:rPr>
                    <w:t>巡检项</w:t>
                  </w:r>
                </w:p>
              </w:tc>
              <w:tc>
                <w:tcPr>
                  <w:tcW w:type="dxa" w:w="2687"/>
                  <w:tcBorders>
                    <w:top w:val="single" w:color="000000" w:sz="4"/>
                    <w:left w:val="single" w:color="000000" w:sz="4"/>
                    <w:bottom w:val="single" w:color="000000" w:sz="4"/>
                    <w:right w:val="single" w:color="000000" w:sz="4"/>
                  </w:tcBorders>
                  <w:vAlign w:val="top"/>
                </w:tcPr>
                <w:p>
                  <w:pPr>
                    <w:jc w:val="center"/>
                  </w:pPr>
                  <w:r>
                    <w:rPr>
                      <w:b/>
                      <w:sz w:val="24"/>
                    </w:rPr>
                    <w:t>巡检结果</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服务器</w:t>
                  </w:r>
                  <w:r>
                    <w:rPr>
                      <w:sz w:val="24"/>
                    </w:rPr>
                    <w:t>360 安全卫士</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□有     □无</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发布服务</w:t>
                  </w:r>
                  <w:r>
                    <w:rPr>
                      <w:sz w:val="24"/>
                    </w:rPr>
                    <w:t>stagingsvc运行状态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同步服务</w:t>
                  </w:r>
                  <w:r>
                    <w:rPr>
                      <w:sz w:val="24"/>
                    </w:rPr>
                    <w:t>syncsvc运行状态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发布服务与同步服务之间通信状态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文件同步删除</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□开启   □关闭</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多线程文件同步</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□支持   □不支持</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安装目录是否需要清理（剩余硬盘空间〉</w:t>
                  </w:r>
                  <w:r>
                    <w:rPr>
                      <w:sz w:val="24"/>
                    </w:rPr>
                    <w:t>1G）</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□需要清理   □不需要清理</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防篡改模块运行状态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   □没安装</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应用防护模块运行状态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   □没安装</w:t>
                  </w:r>
                </w:p>
              </w:tc>
            </w:tr>
            <w:tr>
              <w:tc>
                <w:tcPr>
                  <w:tcW w:type="dxa" w:w="2911"/>
                  <w:tcBorders>
                    <w:top w:val="none" w:color="000000" w:sz="4"/>
                    <w:left w:val="single" w:color="000000" w:sz="4"/>
                    <w:bottom w:val="single" w:color="000000" w:sz="4"/>
                    <w:right w:val="single" w:color="000000" w:sz="4"/>
                  </w:tcBorders>
                  <w:vAlign w:val="top"/>
                </w:tcPr>
                <w:p>
                  <w:pPr>
                    <w:jc w:val="both"/>
                  </w:pPr>
                  <w:r>
                    <w:rPr>
                      <w:sz w:val="24"/>
                    </w:rPr>
                    <w:t>写保护模块运行状态</w:t>
                  </w:r>
                </w:p>
              </w:tc>
              <w:tc>
                <w:tcPr>
                  <w:tcW w:type="dxa" w:w="2687"/>
                  <w:tcBorders>
                    <w:top w:val="none" w:color="000000" w:sz="4"/>
                    <w:left w:val="single" w:color="000000" w:sz="4"/>
                    <w:bottom w:val="single" w:color="000000" w:sz="4"/>
                    <w:right w:val="single" w:color="000000" w:sz="4"/>
                  </w:tcBorders>
                  <w:vAlign w:val="top"/>
                </w:tcPr>
                <w:p>
                  <w:pPr>
                    <w:jc w:val="both"/>
                  </w:pPr>
                  <w:r>
                    <w:rPr>
                      <w:sz w:val="24"/>
                    </w:rPr>
                    <w:t>□正常   □不正常   □没安装</w:t>
                  </w:r>
                </w:p>
              </w:tc>
            </w:tr>
            <w:tr>
              <w:tc>
                <w:tcPr>
                  <w:tcW w:type="dxa" w:w="2911"/>
                  <w:tcBorders>
                    <w:top w:val="none" w:color="000000" w:sz="4"/>
                    <w:left w:val="single" w:color="000000" w:sz="4"/>
                    <w:bottom w:val="single" w:color="000000" w:sz="4"/>
                    <w:right w:val="single" w:color="000000" w:sz="4"/>
                  </w:tcBorders>
                  <w:vAlign w:val="top"/>
                </w:tcPr>
                <w:p>
                  <w:pPr>
                    <w:jc w:val="left"/>
                  </w:pPr>
                  <w:r>
                    <w:rPr>
                      <w:sz w:val="24"/>
                    </w:rPr>
                    <w:t>日志记录状态</w:t>
                  </w:r>
                </w:p>
              </w:tc>
              <w:tc>
                <w:tcPr>
                  <w:tcW w:type="dxa" w:w="2687"/>
                  <w:tcBorders>
                    <w:top w:val="none" w:color="000000" w:sz="4"/>
                    <w:left w:val="single" w:color="000000" w:sz="4"/>
                    <w:bottom w:val="single" w:color="000000" w:sz="4"/>
                    <w:right w:val="single" w:color="000000" w:sz="4"/>
                  </w:tcBorders>
                  <w:vAlign w:val="top"/>
                </w:tcPr>
                <w:p>
                  <w:pPr>
                    <w:jc w:val="left"/>
                  </w:pPr>
                  <w:r>
                    <w:rPr>
                      <w:sz w:val="24"/>
                    </w:rPr>
                    <w:t>□正常   □不正常</w:t>
                  </w:r>
                </w:p>
              </w:tc>
            </w:tr>
          </w:tbl>
          <w:p>
            <w:pPr>
              <w:ind w:firstLine="482"/>
              <w:jc w:val="left"/>
            </w:pPr>
            <w:r>
              <w:rPr>
                <w:b/>
                <w:sz w:val="24"/>
              </w:rPr>
              <w:t>3.技术支持方式</w:t>
            </w:r>
          </w:p>
          <w:p>
            <w:pPr>
              <w:ind w:firstLine="480"/>
              <w:jc w:val="both"/>
            </w:pPr>
            <w:r>
              <w:rPr>
                <w:sz w:val="24"/>
              </w:rPr>
              <w:t>提供</w:t>
            </w:r>
            <w:r>
              <w:rPr>
                <w:sz w:val="24"/>
              </w:rPr>
              <w:t>7×24小时电话技术支持服务：由售后服务工程师协助和指导用户制定解决问题的方案，根据反馈解决方案是否有效，提出进一步的支持措施。</w:t>
            </w:r>
          </w:p>
          <w:p>
            <w:pPr>
              <w:ind w:firstLine="480"/>
              <w:jc w:val="both"/>
            </w:pPr>
            <w:r>
              <w:rPr>
                <w:sz w:val="24"/>
              </w:rPr>
              <w:t>提供电子邮件技术支持服务：可通过技术咨询信箱与售后服务工程师进行探讨和咨询。</w:t>
            </w:r>
          </w:p>
          <w:p>
            <w:pPr>
              <w:ind w:firstLine="480"/>
              <w:jc w:val="both"/>
            </w:pPr>
            <w:r>
              <w:rPr>
                <w:sz w:val="24"/>
              </w:rPr>
              <w:t>远程技术支持服务：可根据用户提供的权限远程为用户解决服务器或系统的疑难问题，并在调试后通知用户关闭相关权限。</w:t>
            </w:r>
          </w:p>
          <w:p>
            <w:pPr>
              <w:ind w:firstLine="482"/>
              <w:jc w:val="both"/>
            </w:pPr>
            <w:r>
              <w:rPr>
                <w:b/>
                <w:sz w:val="24"/>
              </w:rPr>
              <w:t>4.响应速度：</w:t>
            </w:r>
          </w:p>
          <w:p>
            <w:pPr>
              <w:ind w:firstLine="480"/>
              <w:jc w:val="both"/>
            </w:pPr>
            <w:r>
              <w:rPr>
                <w:sz w:val="24"/>
              </w:rPr>
              <w:t>一般响应：系统发生故障时，在接到用户的服务要求后</w:t>
            </w:r>
            <w:r>
              <w:rPr>
                <w:sz w:val="24"/>
              </w:rPr>
              <w:t>1小时内予以响应。</w:t>
            </w:r>
          </w:p>
          <w:p>
            <w:pPr>
              <w:ind w:firstLine="480"/>
              <w:jc w:val="both"/>
            </w:pPr>
            <w:r>
              <w:rPr>
                <w:sz w:val="24"/>
              </w:rPr>
              <w:t>紧急响应：对于紧急故障且远程方式无法解决的情况，售后工程师在</w:t>
            </w:r>
            <w:r>
              <w:rPr>
                <w:sz w:val="24"/>
              </w:rPr>
              <w:t>4个小时内赶到故障现场，进行故障排除。</w:t>
            </w:r>
          </w:p>
          <w:p>
            <w:pPr>
              <w:ind w:firstLine="480"/>
              <w:jc w:val="both"/>
            </w:pPr>
            <w:r>
              <w:rPr>
                <w:sz w:val="24"/>
              </w:rPr>
              <w:t>应急响应：如果</w:t>
            </w:r>
            <w:r>
              <w:rPr>
                <w:sz w:val="24"/>
              </w:rPr>
              <w:t>2小时内无法解决问题，向用户提出备用方案或回退方案，以保证用户的业务正常运行。</w:t>
            </w:r>
          </w:p>
          <w:p>
            <w:pPr>
              <w:ind w:firstLine="482"/>
              <w:jc w:val="both"/>
            </w:pPr>
            <w:r>
              <w:rPr>
                <w:b/>
                <w:sz w:val="24"/>
              </w:rPr>
              <w:t>（七）</w:t>
            </w:r>
            <w:r>
              <w:rPr>
                <w:b/>
                <w:sz w:val="24"/>
              </w:rPr>
              <w:t>2023年市政数局江门市人大政协建议提案系统运维服务项目</w:t>
            </w:r>
          </w:p>
          <w:p>
            <w:pPr>
              <w:ind w:firstLine="482"/>
              <w:jc w:val="both"/>
            </w:pPr>
            <w:r>
              <w:rPr>
                <w:b/>
                <w:sz w:val="24"/>
              </w:rPr>
              <w:t>一）现状</w:t>
            </w:r>
          </w:p>
          <w:p>
            <w:pPr>
              <w:ind w:firstLine="480"/>
              <w:jc w:val="both"/>
            </w:pPr>
            <w:r>
              <w:rPr>
                <w:sz w:val="24"/>
              </w:rPr>
              <w:t>江门市人大政协建议提案系统自</w:t>
            </w:r>
            <w:r>
              <w:rPr>
                <w:sz w:val="24"/>
              </w:rPr>
              <w:t>2009年开发建设以来，期间经历过几次升级改造，现有系统主要功能包括待办事项、人大建议（全部建议、建议交办签收、建议回复情况、建议办理沟通、会办评价、建议后续办理、建议反馈情况）、政协提案（会办评价、全部提案、提案交办签收、提案回复情况、提案办理沟通、提案后续办理、提案反馈情况）、计划与总结、工作量化自评、联络资料、本单位信息、资料查询等,该系统今年需委托专业的运维服务提供商提供维护服务。</w:t>
            </w:r>
          </w:p>
          <w:p>
            <w:pPr>
              <w:ind w:firstLine="482"/>
              <w:jc w:val="both"/>
            </w:pPr>
            <w:r>
              <w:rPr>
                <w:b/>
                <w:sz w:val="24"/>
              </w:rPr>
              <w:t>二）需求概况</w:t>
            </w:r>
          </w:p>
          <w:p>
            <w:pPr>
              <w:ind w:firstLine="480"/>
              <w:jc w:val="both"/>
            </w:pPr>
            <w:r>
              <w:rPr>
                <w:sz w:val="24"/>
              </w:rPr>
              <w:t>为紧贴工作需要，提升工作效率和质量，本项目将为江门市人大政协建议提案系统提供系统功能维护和安全维护服务，提高江门市人大政协电子政务信息化应用水平，提高该系统日常事务处理能力和水平，保障系统正常稳定运行。</w:t>
            </w:r>
          </w:p>
          <w:p>
            <w:pPr>
              <w:ind w:firstLine="482"/>
              <w:jc w:val="both"/>
            </w:pPr>
            <w:r>
              <w:rPr>
                <w:b/>
                <w:sz w:val="24"/>
              </w:rPr>
              <w:t>三）服务内容</w:t>
            </w:r>
          </w:p>
          <w:p>
            <w:pPr>
              <w:ind w:firstLine="482"/>
              <w:jc w:val="both"/>
            </w:pPr>
            <w:r>
              <w:rPr>
                <w:b/>
                <w:sz w:val="24"/>
              </w:rPr>
              <w:t>1.系统维护服务</w:t>
            </w:r>
          </w:p>
          <w:p>
            <w:pPr>
              <w:ind w:firstLine="482"/>
              <w:jc w:val="both"/>
            </w:pPr>
            <w:r>
              <w:rPr>
                <w:b/>
                <w:sz w:val="24"/>
              </w:rPr>
              <w:t>（</w:t>
            </w:r>
            <w:r>
              <w:rPr>
                <w:b/>
                <w:sz w:val="24"/>
              </w:rPr>
              <w:t>1）日常性维护</w:t>
            </w:r>
          </w:p>
          <w:p>
            <w:pPr>
              <w:ind w:firstLine="480"/>
              <w:jc w:val="both"/>
            </w:pPr>
            <w:r>
              <w:rPr>
                <w:sz w:val="24"/>
              </w:rPr>
              <w:t>江门市人大政协建议提案系统的日常性升级维护工作包括软件优化、软件测试、软件故障处理等工作；要求能够根据客户的临时需求，安排专人通过远程或到达现场进行系统的健康检查。</w:t>
            </w:r>
          </w:p>
          <w:p>
            <w:pPr>
              <w:ind w:firstLine="480"/>
              <w:jc w:val="both"/>
            </w:pPr>
            <w:r>
              <w:rPr>
                <w:sz w:val="24"/>
              </w:rPr>
              <w:t>在日常维护期内每周提交一次周报，每季度进行一次核查，并出具一次核查报告，具体内容包括检查网络连通性、网速如何、杀毒软件更新情况、备份文件是否正常，检查程序目录是否正常；详细记录下现在服务器运转的状态等情况，制作出合格巡验报告给到客户负责系统的部门。</w:t>
            </w:r>
          </w:p>
          <w:p>
            <w:pPr>
              <w:ind w:firstLine="482"/>
              <w:jc w:val="both"/>
            </w:pPr>
            <w:r>
              <w:rPr>
                <w:b/>
                <w:sz w:val="24"/>
              </w:rPr>
              <w:t>（</w:t>
            </w:r>
            <w:r>
              <w:rPr>
                <w:b/>
                <w:sz w:val="24"/>
              </w:rPr>
              <w:t>2）更正性维护</w:t>
            </w:r>
          </w:p>
          <w:p>
            <w:pPr>
              <w:ind w:firstLine="480"/>
              <w:jc w:val="both"/>
            </w:pPr>
            <w:r>
              <w:rPr>
                <w:sz w:val="24"/>
              </w:rPr>
              <w:t>由于系统测试不可能揭露系统存在的所有错误</w:t>
            </w:r>
            <w:r>
              <w:rPr>
                <w:sz w:val="24"/>
              </w:rPr>
              <w:t>,因此在系统投入运行后频繁的实际应用过程中，就有可能暴露出系统内隐藏的错误。诊断和修正系统中遗留的错误，就是改正性维护。改正性维护时在系统运行中发生异常或故障时进行的，这种错误往往是遇到了从未用过的输入数据组合或是在与其他部分接口处产生的，因此只是在某些特定的情况下发生，所以在交付使用的软件会存在隐藏的错误。改正性维护就是在发现这种隐藏的错误后，诊断和改正这些错误的维护活动。维护服务结束后提供维护报告。</w:t>
            </w:r>
          </w:p>
          <w:p>
            <w:pPr>
              <w:ind w:firstLine="482"/>
              <w:jc w:val="both"/>
            </w:pPr>
            <w:r>
              <w:rPr>
                <w:b/>
                <w:sz w:val="24"/>
              </w:rPr>
              <w:t>（</w:t>
            </w:r>
            <w:r>
              <w:rPr>
                <w:b/>
                <w:sz w:val="24"/>
              </w:rPr>
              <w:t>3）适应性维护</w:t>
            </w:r>
          </w:p>
          <w:p>
            <w:pPr>
              <w:ind w:firstLine="480"/>
              <w:jc w:val="both"/>
            </w:pPr>
            <w:r>
              <w:rPr>
                <w:sz w:val="24"/>
              </w:rPr>
              <w:t>由于计算机发展迅速，新机型、新操作系统、新的软件系统不断涌现升级，为适应发展，更新正在使用的运行环境。适应性维护就是为了适应变化了的环境而修改软件的活动。适应性维护可以按规划进行实施。维护服务结束后提供维护报告。</w:t>
            </w:r>
          </w:p>
          <w:p>
            <w:pPr>
              <w:ind w:firstLine="480"/>
              <w:jc w:val="both"/>
            </w:pPr>
            <w:r>
              <w:rPr>
                <w:sz w:val="24"/>
              </w:rPr>
              <w:t>主要内容包括：</w:t>
            </w:r>
          </w:p>
          <w:p>
            <w:pPr>
              <w:ind w:firstLine="480"/>
              <w:jc w:val="both"/>
            </w:pPr>
            <w:r>
              <w:rPr>
                <w:sz w:val="24"/>
              </w:rPr>
              <w:t>适应性测试：提供对硬件及操作系统较大版本更新后的软件适应性测试服务。</w:t>
            </w:r>
          </w:p>
          <w:p>
            <w:pPr>
              <w:ind w:firstLine="480"/>
              <w:jc w:val="both"/>
            </w:pPr>
            <w:r>
              <w:rPr>
                <w:sz w:val="24"/>
              </w:rPr>
              <w:t>适应性问题修复：测试存在影响核心使用问题的，提供版本修复服务。</w:t>
            </w:r>
          </w:p>
          <w:p>
            <w:pPr>
              <w:ind w:firstLine="482"/>
              <w:jc w:val="both"/>
            </w:pPr>
            <w:r>
              <w:rPr>
                <w:b/>
                <w:sz w:val="24"/>
              </w:rPr>
              <w:t>（</w:t>
            </w:r>
            <w:r>
              <w:rPr>
                <w:b/>
                <w:sz w:val="24"/>
              </w:rPr>
              <w:t>4）完善性维护</w:t>
            </w:r>
          </w:p>
          <w:p>
            <w:pPr>
              <w:ind w:firstLine="480"/>
              <w:jc w:val="both"/>
            </w:pPr>
            <w:r>
              <w:rPr>
                <w:sz w:val="24"/>
              </w:rPr>
              <w:t>在系统的使用过程中，用户往往要求扩充原有系统的功能，增加一些在软件需求规范书中没有规定的功能与性能特征，以及对处理效率和编写程序的改进。为了满足这些要求而进行的系统维护工作就是完善性维护。</w:t>
            </w:r>
          </w:p>
          <w:p>
            <w:pPr>
              <w:ind w:firstLine="480"/>
              <w:jc w:val="both"/>
            </w:pPr>
            <w:r>
              <w:rPr>
                <w:sz w:val="24"/>
              </w:rPr>
              <w:t>完善性维护是为了扩充及完善原有软件功能和性能而修改软件的活动。完善性维护按照规划进行实施，同时可以签订新的协议，按协议进行维护。维护服务结束后提供维护报告。</w:t>
            </w:r>
          </w:p>
          <w:p>
            <w:pPr>
              <w:ind w:firstLine="482"/>
              <w:jc w:val="both"/>
            </w:pPr>
            <w:r>
              <w:rPr>
                <w:b/>
                <w:sz w:val="24"/>
              </w:rPr>
              <w:t>（</w:t>
            </w:r>
            <w:r>
              <w:rPr>
                <w:b/>
                <w:sz w:val="24"/>
              </w:rPr>
              <w:t>5）其他维护</w:t>
            </w:r>
          </w:p>
          <w:p>
            <w:pPr>
              <w:ind w:firstLine="480"/>
              <w:jc w:val="both"/>
            </w:pPr>
            <w:r>
              <w:rPr>
                <w:sz w:val="24"/>
              </w:rPr>
              <w:t>提供标准接口（提案评价数据），供数字政协系统调用。</w:t>
            </w:r>
          </w:p>
          <w:p>
            <w:pPr>
              <w:ind w:firstLine="482"/>
              <w:jc w:val="both"/>
            </w:pPr>
            <w:r>
              <w:rPr>
                <w:b/>
                <w:sz w:val="24"/>
              </w:rPr>
              <w:t>2.安全性维护</w:t>
            </w:r>
          </w:p>
          <w:p>
            <w:pPr>
              <w:ind w:firstLine="482"/>
              <w:jc w:val="both"/>
            </w:pPr>
            <w:r>
              <w:rPr>
                <w:b/>
                <w:sz w:val="24"/>
              </w:rPr>
              <w:t>（</w:t>
            </w:r>
            <w:r>
              <w:rPr>
                <w:b/>
                <w:sz w:val="24"/>
              </w:rPr>
              <w:t>1）数据安全服务</w:t>
            </w:r>
          </w:p>
          <w:p>
            <w:pPr>
              <w:ind w:firstLine="480"/>
              <w:jc w:val="both"/>
            </w:pPr>
            <w:r>
              <w:rPr>
                <w:sz w:val="24"/>
              </w:rPr>
              <w:t>1）本地数据库备份</w:t>
            </w:r>
          </w:p>
          <w:p>
            <w:pPr>
              <w:ind w:firstLine="480"/>
              <w:jc w:val="both"/>
            </w:pPr>
            <w:r>
              <w:rPr>
                <w:sz w:val="24"/>
              </w:rPr>
              <w:t>提供本地数据库备份服务，完整备份至少保证</w:t>
            </w:r>
            <w:r>
              <w:rPr>
                <w:sz w:val="24"/>
              </w:rPr>
              <w:t>3-7天的备份存储空间，或差异备份至少两周的备份保留存储空间。</w:t>
            </w:r>
          </w:p>
          <w:p>
            <w:pPr>
              <w:ind w:firstLine="480"/>
              <w:jc w:val="both"/>
            </w:pPr>
            <w:r>
              <w:rPr>
                <w:sz w:val="24"/>
              </w:rPr>
              <w:t>2）系统补丁修复</w:t>
            </w:r>
          </w:p>
          <w:p>
            <w:pPr>
              <w:ind w:firstLine="480"/>
              <w:jc w:val="both"/>
            </w:pPr>
            <w:r>
              <w:rPr>
                <w:sz w:val="24"/>
              </w:rPr>
              <w:t>操作系统开启系统更新选项，以及时修复系统补丁，避免存在系统漏洞。如安装的安全防护软件带有系统补丁修复功能，也可以选择其进行修复补丁。</w:t>
            </w:r>
          </w:p>
          <w:p>
            <w:pPr>
              <w:ind w:firstLine="480"/>
              <w:jc w:val="both"/>
            </w:pPr>
            <w:r>
              <w:rPr>
                <w:sz w:val="24"/>
              </w:rPr>
              <w:t>3）操作系统密码管理</w:t>
            </w:r>
          </w:p>
          <w:p>
            <w:pPr>
              <w:ind w:firstLine="480"/>
              <w:jc w:val="both"/>
            </w:pPr>
            <w:r>
              <w:rPr>
                <w:sz w:val="24"/>
              </w:rPr>
              <w:t>建议用户采用足够复杂的登陆密码登陆服务器，避免使用弱口令，并定期更换密码，严格避免多台服务器共用相同密码。</w:t>
            </w:r>
          </w:p>
          <w:p>
            <w:pPr>
              <w:ind w:firstLine="480"/>
              <w:jc w:val="both"/>
            </w:pPr>
            <w:r>
              <w:rPr>
                <w:sz w:val="24"/>
              </w:rPr>
              <w:t>服务结束后提供服务报告。</w:t>
            </w:r>
          </w:p>
          <w:p>
            <w:pPr>
              <w:ind w:firstLine="482"/>
              <w:jc w:val="both"/>
            </w:pPr>
            <w:r>
              <w:rPr>
                <w:b/>
                <w:sz w:val="24"/>
              </w:rPr>
              <w:t>（</w:t>
            </w:r>
            <w:r>
              <w:rPr>
                <w:b/>
                <w:sz w:val="24"/>
              </w:rPr>
              <w:t>2）系统整改服务</w:t>
            </w:r>
          </w:p>
          <w:p>
            <w:pPr>
              <w:ind w:firstLine="480"/>
              <w:jc w:val="both"/>
            </w:pPr>
            <w:r>
              <w:rPr>
                <w:sz w:val="24"/>
              </w:rPr>
              <w:t>服务器漏洞是软硬件本身存在的一些纰漏和缺陷，当这些漏洞被有意或者无意的滥用的时候，会对服务器带来危害，或者导致其他的各种安全问题。因此，将根据公安部门每季度提供的系统漏洞扫描结果，定期提供进行针对性安全整改服务，做到防范于未然。服务结束后提供整改报告。</w:t>
            </w:r>
          </w:p>
          <w:p>
            <w:pPr>
              <w:ind w:firstLine="480"/>
              <w:jc w:val="both"/>
            </w:pPr>
            <w:r>
              <w:rPr>
                <w:sz w:val="24"/>
              </w:rPr>
              <w:t>整改类型主要包括：</w:t>
            </w:r>
          </w:p>
          <w:p>
            <w:pPr>
              <w:ind w:firstLine="480"/>
              <w:jc w:val="both"/>
            </w:pPr>
            <w:r>
              <w:rPr>
                <w:sz w:val="24"/>
              </w:rPr>
              <w:t>1）安全通信网络</w:t>
            </w:r>
          </w:p>
          <w:p>
            <w:pPr>
              <w:ind w:firstLine="480"/>
              <w:jc w:val="both"/>
            </w:pPr>
            <w:r>
              <w:rPr>
                <w:sz w:val="24"/>
              </w:rPr>
              <w:t>2）安全计算环境</w:t>
            </w:r>
          </w:p>
          <w:p>
            <w:pPr>
              <w:ind w:firstLine="480"/>
              <w:jc w:val="both"/>
            </w:pPr>
            <w:r>
              <w:rPr>
                <w:sz w:val="24"/>
              </w:rPr>
              <w:t>3）安全管理机构</w:t>
            </w:r>
          </w:p>
          <w:p>
            <w:pPr>
              <w:ind w:firstLine="480"/>
              <w:jc w:val="both"/>
            </w:pPr>
            <w:r>
              <w:rPr>
                <w:sz w:val="24"/>
              </w:rPr>
              <w:t>4）安全管理人员</w:t>
            </w:r>
          </w:p>
          <w:p>
            <w:pPr>
              <w:ind w:firstLine="480"/>
              <w:jc w:val="both"/>
            </w:pPr>
            <w:r>
              <w:rPr>
                <w:sz w:val="24"/>
              </w:rPr>
              <w:t>5）安全建设管理</w:t>
            </w:r>
          </w:p>
          <w:p>
            <w:pPr>
              <w:ind w:firstLine="480"/>
              <w:jc w:val="both"/>
            </w:pPr>
            <w:r>
              <w:rPr>
                <w:sz w:val="24"/>
              </w:rPr>
              <w:t>6）安全运维管理</w:t>
            </w:r>
          </w:p>
          <w:p>
            <w:pPr>
              <w:ind w:firstLine="480"/>
              <w:jc w:val="both"/>
            </w:pPr>
            <w:r>
              <w:rPr>
                <w:sz w:val="24"/>
              </w:rPr>
              <w:t>整改内容主要包括：</w:t>
            </w:r>
          </w:p>
          <w:p>
            <w:pPr>
              <w:ind w:firstLine="480"/>
              <w:jc w:val="both"/>
            </w:pPr>
            <w:r>
              <w:rPr>
                <w:sz w:val="24"/>
              </w:rPr>
              <w:t>1）操作系统</w:t>
            </w:r>
          </w:p>
          <w:p>
            <w:pPr>
              <w:ind w:firstLine="480"/>
              <w:jc w:val="both"/>
            </w:pPr>
            <w:r>
              <w:rPr>
                <w:sz w:val="24"/>
              </w:rPr>
              <w:t>2）sqlserver数据库</w:t>
            </w:r>
          </w:p>
          <w:p>
            <w:pPr>
              <w:ind w:firstLine="480"/>
              <w:jc w:val="both"/>
            </w:pPr>
            <w:r>
              <w:rPr>
                <w:sz w:val="24"/>
              </w:rPr>
              <w:t>3）中间件系统</w:t>
            </w:r>
          </w:p>
          <w:p>
            <w:pPr>
              <w:ind w:firstLine="480"/>
              <w:jc w:val="both"/>
            </w:pPr>
            <w:r>
              <w:rPr>
                <w:sz w:val="24"/>
              </w:rPr>
              <w:t>4）应用服务器</w:t>
            </w:r>
          </w:p>
          <w:p>
            <w:pPr>
              <w:ind w:firstLine="480"/>
              <w:jc w:val="both"/>
            </w:pPr>
            <w:r>
              <w:rPr>
                <w:sz w:val="24"/>
              </w:rPr>
              <w:t>5）数据安全及备份恢复</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p>
            <w:pPr>
              <w:ind w:firstLine="48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1.采购代理机构：本项目是指江门市深联招标有限公司，负责整个采购活动的组织，依法负责编制和发布招标文件，对招标文件拥有最终的解释权，不以任何身份出任评标委员会成员。</w:t>
      </w:r>
    </w:p>
    <w:p>
      <w:pPr>
        <w:ind w:firstLine="480"/>
      </w:pPr>
      <w:r>
        <w:rPr/>
        <w:t>2.采购人：本项目是指</w:t>
      </w:r>
      <w:r>
        <w:rPr/>
        <w:t>江门市政务服务数据管理局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采购机构代理服务收费标准：收费标准参照国家计委“计价格（2002）1980号”及国家发改委“发改价格[2011]534号”文件规定的“服务类”费率标准，以中标金额作为收费的计算依据，按差额定率累进法计算收取。 代理服务费请划入以下账户： 户    名：江门市深联招标有限公司； 开 户 行：中国银行江门城区支行； 账    号：721157748639。</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二、供应商如需办理政府采购合同融资，可通过“广东政府采购智慧云平台金融服务中心”(http://gdgpo.czt.gd.gov.cn/zcdservice/zcd/guangdong/）申请办理政府采购合同融资。</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吴燕玲</w:t>
      </w:r>
    </w:p>
    <w:p>
      <w:pPr>
        <w:ind w:firstLine="480"/>
      </w:pPr>
      <w:r>
        <w:rPr/>
        <w:t>电话：</w:t>
      </w:r>
      <w:r>
        <w:rPr/>
        <w:t>0750-3503829</w:t>
      </w:r>
    </w:p>
    <w:p>
      <w:pPr>
        <w:ind w:firstLine="480"/>
      </w:pPr>
      <w:r>
        <w:rPr/>
        <w:t>传真：</w:t>
      </w:r>
      <w:r>
        <w:rPr/>
        <w:t>0750-3503587</w:t>
      </w:r>
    </w:p>
    <w:p>
      <w:pPr>
        <w:ind w:firstLine="480"/>
      </w:pPr>
      <w:r>
        <w:rPr/>
        <w:t>邮箱：</w:t>
      </w:r>
      <w:r>
        <w:rPr/>
        <w:t>369217998@qq.com</w:t>
      </w:r>
    </w:p>
    <w:p>
      <w:pPr>
        <w:ind w:firstLine="480"/>
      </w:pPr>
      <w:r>
        <w:rPr/>
        <w:t>地址：</w:t>
      </w:r>
      <w:r>
        <w:rPr/>
        <w:t>广东省江门市蓬江区华园路21号101</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数字政府综合技术保障运维（2023-2024年）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江门市深联招标有限公司</w:t>
      </w:r>
      <w:r>
        <w:rPr/>
        <w:t>统一对外发布。</w:t>
      </w:r>
    </w:p>
    <w:p>
      <w:pPr>
        <w:ind w:firstLine="480"/>
      </w:pPr>
      <w:r>
        <w:rPr/>
        <w:t>（2）对</w:t>
      </w:r>
      <w:r>
        <w:rPr/>
        <w:t>江门市深联招标有限公司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采购包1（江门市数字政府综合技术保障运维（2023-2024年）采购）：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采购包1（江门市数字政府综合技术保障运维（2023-2024年）采购）：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w:t>
            </w:r>
          </w:p>
        </w:tc>
      </w:tr>
      <w:tr>
        <w:tc>
          <w:tcPr>
            <w:tcW w:type="dxa" w:w="890"/>
          </w:tcPr>
          <w:p>
            <w:r>
              <w:rPr/>
              <w:t>2</w:t>
            </w:r>
          </w:p>
        </w:tc>
        <w:tc>
          <w:tcPr>
            <w:tcW w:type="dxa" w:w="3178"/>
          </w:tcPr>
          <w:p>
            <w:r>
              <w:rPr/>
              <w:t>有依法缴纳税收和社会保障资金的良好记录</w:t>
            </w:r>
          </w:p>
        </w:tc>
        <w:tc>
          <w:tcPr>
            <w:tcW w:type="dxa" w:w="4238"/>
          </w:tcPr>
          <w:p>
            <w:r>
              <w:rPr/>
              <w:t>提供2023年1月至今任意1个月的依法缴纳税收和社会保障资金的相关材料复印件；如依法免税或不需要缴纳社会保障资金的，应当提供相应证明文件复印件。</w:t>
            </w:r>
          </w:p>
        </w:tc>
      </w:tr>
      <w:tr>
        <w:tc>
          <w:tcPr>
            <w:tcW w:type="dxa" w:w="890"/>
          </w:tcPr>
          <w:p>
            <w:r>
              <w:rPr/>
              <w:t>3</w:t>
            </w:r>
          </w:p>
        </w:tc>
        <w:tc>
          <w:tcPr>
            <w:tcW w:type="dxa" w:w="3178"/>
          </w:tcPr>
          <w:p>
            <w:r>
              <w:rPr/>
              <w:t>具有良好的商业信誉和健全的财务会计制度</w:t>
            </w:r>
          </w:p>
        </w:tc>
        <w:tc>
          <w:tcPr>
            <w:tcW w:type="dxa" w:w="4238"/>
          </w:tcPr>
          <w:p>
            <w:r>
              <w:rPr/>
              <w:t>提供2022年度或2023年1月至今任意1个月的财务状况报告或银行出具的资信证明复印件。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投标形式</w:t>
            </w:r>
          </w:p>
        </w:tc>
        <w:tc>
          <w:tcPr>
            <w:tcW w:type="dxa" w:w="4238"/>
          </w:tcPr>
          <w:p>
            <w:r>
              <w:rPr/>
              <w:t>本采购包不接受联合体投标（响应）。</w:t>
            </w:r>
          </w:p>
        </w:tc>
      </w:tr>
      <w:tr>
        <w:tc>
          <w:tcPr>
            <w:tcW w:type="dxa" w:w="890"/>
          </w:tcPr>
          <w:p>
            <w:r>
              <w:rPr/>
              <w:t>9</w:t>
            </w:r>
          </w:p>
        </w:tc>
        <w:tc>
          <w:tcPr>
            <w:tcW w:type="dxa" w:w="3178"/>
          </w:tcPr>
          <w:p>
            <w:r>
              <w:rPr/>
              <w:t>本采购包专门面向中小企业采购</w:t>
            </w:r>
          </w:p>
        </w:tc>
        <w:tc>
          <w:tcPr>
            <w:tcW w:type="dxa" w:w="4238"/>
          </w:tcPr>
          <w:p>
            <w:r>
              <w:rPr/>
              <w:t>本采购包整体预留专门面向中小企业采购，参与的供应商提供的服务全部由符合政策要求的中小企业承接（监狱企业、残疾人福利性单位视同小型、微型企业）；（提供《中小企业声明函》；若供应商为监狱企业、残疾人福利性单位的，则提供《残疾人福利性单位声明函》或省级以上监狱管理局、戒毒管理局（含新疆生产建设兵团）出具的《属于监狱企业的证明文件》复印件）。</w:t>
            </w:r>
          </w:p>
        </w:tc>
      </w:tr>
    </w:tbl>
    <w:p/>
    <w:p>
      <w:pPr>
        <w:ind w:firstLine="480"/>
      </w:pPr>
      <w:r>
        <w:rPr/>
        <w:t>表二符合性审查表：</w:t>
      </w:r>
    </w:p>
    <w:p>
      <w:pPr>
        <w:ind w:firstLine="480"/>
      </w:pPr>
    </w:p>
    <w:p/>
    <w:p>
      <w:r>
        <w:rPr/>
        <w:t>采购包1（江门市数字政府综合技术保障运维（2023-2024年）采购）：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投标报价未超过对应采购包的预算金额或最高限价，且投标报价是固定唯一</w:t>
            </w:r>
          </w:p>
        </w:tc>
      </w:tr>
      <w:tr>
        <w:tc>
          <w:tcPr>
            <w:tcW w:type="dxa" w:w="890"/>
          </w:tcPr>
          <w:p>
            <w:r>
              <w:rPr/>
              <w:t>2</w:t>
            </w:r>
          </w:p>
        </w:tc>
        <w:tc>
          <w:tcPr>
            <w:tcW w:type="dxa" w:w="3178"/>
          </w:tcPr>
          <w:p>
            <w:r>
              <w:rPr/>
              <w:t>投标文件签署、盖章</w:t>
            </w:r>
          </w:p>
        </w:tc>
        <w:tc>
          <w:tcPr>
            <w:tcW w:type="dxa" w:w="4238"/>
          </w:tcPr>
          <w:p>
            <w:r>
              <w:rPr/>
              <w:t>投标文件已按照招标文件规定要求签署、盖章</w:t>
            </w:r>
          </w:p>
        </w:tc>
      </w:tr>
      <w:tr>
        <w:tc>
          <w:tcPr>
            <w:tcW w:type="dxa" w:w="890"/>
          </w:tcPr>
          <w:p>
            <w:r>
              <w:rPr/>
              <w:t>3</w:t>
            </w:r>
          </w:p>
        </w:tc>
        <w:tc>
          <w:tcPr>
            <w:tcW w:type="dxa" w:w="3178"/>
          </w:tcPr>
          <w:p>
            <w:r>
              <w:rPr/>
              <w:t>法定代表人证明书及法定代表人授权书</w:t>
            </w:r>
          </w:p>
        </w:tc>
        <w:tc>
          <w:tcPr>
            <w:tcW w:type="dxa" w:w="4238"/>
          </w:tcPr>
          <w:p>
            <w:r>
              <w:rPr/>
              <w:t>投标文件中已提交有效的法定代表人证明书及法定代表人授权书（如果法定代表人直接参加本项目投标及签署投标文件的，可不提供法定代表人授权书）</w:t>
            </w:r>
          </w:p>
        </w:tc>
      </w:tr>
      <w:tr>
        <w:tc>
          <w:tcPr>
            <w:tcW w:type="dxa" w:w="890"/>
          </w:tcPr>
          <w:p>
            <w:r>
              <w:rPr/>
              <w:t>4</w:t>
            </w:r>
          </w:p>
        </w:tc>
        <w:tc>
          <w:tcPr>
            <w:tcW w:type="dxa" w:w="3178"/>
          </w:tcPr>
          <w:p>
            <w:r>
              <w:rPr/>
              <w:t>投标有效期</w:t>
            </w:r>
          </w:p>
        </w:tc>
        <w:tc>
          <w:tcPr>
            <w:tcW w:type="dxa" w:w="4238"/>
          </w:tcPr>
          <w:p>
            <w:r>
              <w:rPr/>
              <w:t>投标有效期符合招标文件要求</w:t>
            </w:r>
          </w:p>
        </w:tc>
      </w:tr>
      <w:tr>
        <w:tc>
          <w:tcPr>
            <w:tcW w:type="dxa" w:w="890"/>
          </w:tcPr>
          <w:p>
            <w:r>
              <w:rPr/>
              <w:t>5</w:t>
            </w:r>
          </w:p>
        </w:tc>
        <w:tc>
          <w:tcPr>
            <w:tcW w:type="dxa" w:w="3178"/>
          </w:tcPr>
          <w:p>
            <w:r>
              <w:rPr/>
              <w:t>其他无效投标情形</w:t>
            </w:r>
          </w:p>
        </w:tc>
        <w:tc>
          <w:tcPr>
            <w:tcW w:type="dxa" w:w="4238"/>
          </w:tcPr>
          <w:p>
            <w:r>
              <w:rPr/>
              <w:t>投标文件中不存在招标文件或法规明确规定的其他无效投标情形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采购包1(江门市数字政府综合技术保障运维（2023-2024年）采购):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项目整体的理解和认识 (10.0分)</w:t>
            </w:r>
          </w:p>
        </w:tc>
        <w:tc>
          <w:tcPr>
            <w:tcW w:type="dxa" w:w="5076"/>
          </w:tcPr>
          <w:p>
            <w:pPr>
              <w:jc w:val="left"/>
            </w:pPr>
            <w:r>
              <w:rPr/>
              <w:t>根据投标人对项目整体的理解和认识进行评审。 （一）评审内容包括： 1、对项目背景、目标的理解； 2、项目需求分析。 具有上述内容的，每项得2分，没有的不得分，最高得4分。 （二）在此基础上，按照下列要求进行加分： 1、对项目背景、目标的理解深刻； 2、项目需求分析全面合理。 满足上述内容要求的，每项加3分，其他的不加分，最高加6分。 （三）本项最高得分为10分。</w:t>
            </w:r>
          </w:p>
        </w:tc>
      </w:tr>
      <w:tr>
        <w:tc>
          <w:tcPr>
            <w:tcW w:type="dxa" w:w="922"/>
            <w:gridSpan w:val="2"/>
            <w:vMerge/>
          </w:tcPr>
          <w:p/>
        </w:tc>
        <w:tc>
          <w:tcPr>
            <w:tcW w:type="dxa" w:w="2307"/>
          </w:tcPr>
          <w:p>
            <w:pPr>
              <w:jc w:val="left"/>
            </w:pPr>
            <w:r>
              <w:rPr/>
              <w:t>整体维护服务方案 (20.0分)</w:t>
            </w:r>
          </w:p>
        </w:tc>
        <w:tc>
          <w:tcPr>
            <w:tcW w:type="dxa" w:w="5076"/>
          </w:tcPr>
          <w:p>
            <w:pPr>
              <w:jc w:val="left"/>
            </w:pPr>
            <w:r>
              <w:rPr/>
              <w:t>根据投标人所提供的整体维护服务方案进行评审。 （一）评审内容包括： 1、运行维护服务方案； 2、服务应急响应机制； 3、服务质量保证措施； 4、人员培训方案。 具有上述内容的，每项得2分，没有的不得分，最高得8分。 （二）在此基础上，按照下列要求进行加分： 1、运行维护服务方案详细、合理； 2、服务应急响应机制合理、科学； 3、服务质量保证措施合理、科学、具有实用性； 3、人员培训方案合理、科学。 满足上述内容要求的，每项加3分，其他的不加分，最高加12分。 （三）本项最高得分为20分。</w:t>
            </w:r>
          </w:p>
        </w:tc>
      </w:tr>
      <w:tr>
        <w:tc>
          <w:tcPr>
            <w:tcW w:type="dxa" w:w="922"/>
            <w:gridSpan w:val="2"/>
            <w:vMerge/>
          </w:tcPr>
          <w:p/>
        </w:tc>
        <w:tc>
          <w:tcPr>
            <w:tcW w:type="dxa" w:w="2307"/>
          </w:tcPr>
          <w:p>
            <w:pPr>
              <w:jc w:val="left"/>
            </w:pPr>
            <w:r>
              <w:rPr/>
              <w:t>运维服务管理措施 (15.0分)</w:t>
            </w:r>
          </w:p>
        </w:tc>
        <w:tc>
          <w:tcPr>
            <w:tcW w:type="dxa" w:w="5076"/>
          </w:tcPr>
          <w:p>
            <w:pPr>
              <w:jc w:val="left"/>
            </w:pPr>
            <w:r>
              <w:rPr/>
              <w:t>根据投标人所提供的运维服务管理措施进行评审。 （一）评审内容包括： 1、组织架构设计措施； 2、内部运作流程管理措施； 3、管理制度设计措施。 具有上述内容的，每项得2分，没有的不得分，最高得6分。 （二）在此基础上，按照下列要求进行加分： 1、组织架构设计措施合理、科学； 2、内部运作流程管理措施内容完整、合理可行； 3、管理制度设计措施内容完整、合理可行。 满足上述内容要求的，每项加3分，其他的不加分，最高加9分。 （三）本项最高得分为15分。</w:t>
            </w:r>
          </w:p>
        </w:tc>
      </w:tr>
      <w:tr>
        <w:tc>
          <w:tcPr>
            <w:tcW w:type="dxa" w:w="922"/>
            <w:gridSpan w:val="2"/>
            <w:vMerge w:val="restart"/>
          </w:tcPr>
          <w:p>
            <w:pPr>
              <w:jc w:val="center"/>
            </w:pPr>
            <w:r>
              <w:rPr/>
              <w:t>商务部分</w:t>
            </w:r>
          </w:p>
        </w:tc>
        <w:tc>
          <w:tcPr>
            <w:tcW w:type="dxa" w:w="2307"/>
          </w:tcPr>
          <w:p>
            <w:pPr>
              <w:jc w:val="left"/>
            </w:pPr>
            <w:r>
              <w:rPr/>
              <w:t>投标人服务团队资质情况 (10.0分)</w:t>
            </w:r>
          </w:p>
        </w:tc>
        <w:tc>
          <w:tcPr>
            <w:tcW w:type="dxa" w:w="5076"/>
          </w:tcPr>
          <w:p>
            <w:pPr>
              <w:jc w:val="left"/>
            </w:pPr>
            <w:r>
              <w:rPr/>
              <w:t>根据投标人拟投入服务团队资质情况进行评审： 1、具有人力资源和社会保障部门认证的网络工程师证书的，每人得2分，最高得4分；没有的不得分； 2、具有PMP项目管理专业人员资格证书的，每人得3分，最高得3分；没有的不得分； 3、具有人力资源和社会保障部门认证的系统集成项目管理工程师证书的，每人得3分，最高得3分；没有的不得分。 本项最高得分为10分。如一人具有多个证书的，按本项得分较高的一个证书评审，不重复计分。 需提供上述人员的证书复印件，在本单位任职的外部证明材料（加盖政府有关部门印章的2023年6月以来任意一个月的《投保单》或《社会保险参保人员证明》，或单位代缴个人所得税税单等）复印件，并加盖投标人单位公章，否则不得分。</w:t>
            </w:r>
          </w:p>
        </w:tc>
      </w:tr>
      <w:tr>
        <w:tc>
          <w:tcPr>
            <w:tcW w:type="dxa" w:w="922"/>
            <w:gridSpan w:val="2"/>
            <w:vMerge/>
          </w:tcPr>
          <w:p/>
        </w:tc>
        <w:tc>
          <w:tcPr>
            <w:tcW w:type="dxa" w:w="2307"/>
          </w:tcPr>
          <w:p>
            <w:pPr>
              <w:jc w:val="left"/>
            </w:pPr>
            <w:r>
              <w:rPr/>
              <w:t>经营业绩 (30.0分)</w:t>
            </w:r>
          </w:p>
        </w:tc>
        <w:tc>
          <w:tcPr>
            <w:tcW w:type="dxa" w:w="5076"/>
          </w:tcPr>
          <w:p>
            <w:pPr>
              <w:jc w:val="left"/>
            </w:pPr>
            <w:r>
              <w:rPr/>
              <w:t>投标人承担过同类项目的，每个项目得2分，没有的得0分。本项最高得分为30分。 需提供项目合同关键页（包含合同首页、合同内容页、签字盖章页）复印件，并加盖投标人单位公章，否则不得分。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440701-2023-03525</w:t>
      </w:r>
    </w:p>
    <w:p>
      <w:pPr>
        <w:jc w:val="center"/>
      </w:pPr>
      <w:r>
        <w:rPr>
          <w:b/>
          <w:sz w:val="24"/>
        </w:rPr>
        <w:t>采购项目编号：</w:t>
      </w:r>
      <w:r>
        <w:rPr>
          <w:b/>
          <w:sz w:val="24"/>
        </w:rPr>
        <w:t>440701-2023-03525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江门市深联招标有限公司</w:t>
      </w:r>
    </w:p>
    <w:p>
      <w:pPr>
        <w:ind w:firstLine="480"/>
      </w:pPr>
      <w:r>
        <w:rPr/>
        <w:t>你方组织的</w:t>
      </w:r>
      <w:r>
        <w:rPr>
          <w:u w:val="single"/>
        </w:rPr>
        <w:t>“</w:t>
      </w:r>
      <w:r>
        <w:rPr>
          <w:u w:val="single"/>
        </w:rPr>
        <w:t>江门市数字政府综合技术保障运维（2023-2024年）项目</w:t>
      </w:r>
      <w:r>
        <w:rPr>
          <w:u w:val="single"/>
        </w:rPr>
        <w:t>”</w:t>
      </w:r>
      <w:r>
        <w:rPr/>
        <w:t>项目的招标[采购项目编号为：</w:t>
      </w:r>
      <w:r>
        <w:rPr>
          <w:u w:val="single"/>
        </w:rPr>
        <w:t>440701-2023-03525</w:t>
      </w:r>
      <w:r>
        <w:rPr/>
        <w:t>]，我方愿参与投标。</w:t>
      </w:r>
    </w:p>
    <w:p>
      <w:pPr>
        <w:ind w:firstLine="480"/>
      </w:pPr>
      <w:r>
        <w:rPr/>
        <w:t>我方确认收到贵方提供的</w:t>
      </w:r>
      <w:r>
        <w:rPr>
          <w:u w:val="single"/>
        </w:rPr>
        <w:t>“</w:t>
      </w:r>
      <w:r>
        <w:rPr>
          <w:u w:val="single"/>
        </w:rPr>
        <w:t>江门市数字政府综合技术保障运维（2023-2024年）项目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江门市深联招标有限公司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江门市数字政府综合技术保障运维（2023-2024年）项目</w:t>
      </w:r>
      <w:r>
        <w:rPr/>
        <w:t>”项目采购[采购项目编号为</w:t>
      </w:r>
      <w:r>
        <w:rPr/>
        <w:t>440701-2023-03525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江门市政务服务数据管理局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江门市深联招标有限公司</w:t>
      </w:r>
    </w:p>
    <w:p>
      <w:pPr>
        <w:ind w:firstLine="480"/>
      </w:pPr>
      <w:r>
        <w:rPr/>
        <w:t>如果我方在贵采购代理机构组织的</w:t>
      </w:r>
      <w:r>
        <w:rPr/>
        <w:t>江门市数字政府综合技术保障运维（2023-2024年）项目</w:t>
      </w:r>
      <w:r>
        <w:rPr/>
        <w:t>招标中获中标（采购项目编号：</w:t>
      </w:r>
      <w:r>
        <w:rPr/>
        <w:t>440701-2023-03525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江门市深联招标有限公司</w:t>
      </w:r>
    </w:p>
    <w:p>
      <w:pPr>
        <w:ind w:firstLine="480"/>
      </w:pPr>
      <w:r>
        <w:rPr/>
        <w:t>我单位已登记并准备参与“</w:t>
      </w:r>
      <w:r>
        <w:rPr/>
        <w:t>江门市数字政府综合技术保障运维（2023-2024年）项目</w:t>
      </w:r>
      <w:r>
        <w:rPr/>
        <w:t>”项目（采购项目编号：</w:t>
      </w:r>
      <w:r>
        <w:rPr/>
        <w:t>440701-2023-03525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