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442000-2023-04561</w:t>
      </w:r>
    </w:p>
    <w:p>
      <w:pPr>
        <w:jc w:val="center"/>
      </w:pPr>
      <w:r>
        <w:rPr>
          <w:b/>
          <w:sz w:val="24"/>
        </w:rPr>
        <w:t>采购项目编号：</w:t>
      </w:r>
      <w:r>
        <w:rPr>
          <w:b/>
          <w:sz w:val="24"/>
        </w:rPr>
        <w:t>ZZ22316538</w:t>
      </w:r>
    </w:p>
    <w:p>
      <w:pPr>
        <w:jc w:val="center"/>
      </w:pPr>
      <w:r>
        <w:rPr>
          <w:b/>
          <w:sz w:val="24"/>
        </w:rPr>
        <w:t>项目名称：</w:t>
      </w:r>
      <w:r>
        <w:rPr>
          <w:b/>
          <w:sz w:val="24"/>
        </w:rPr>
        <w:t>中山市第二人民医院2024年-2025年辅助岗位购买服务项目(二次)</w:t>
      </w:r>
    </w:p>
    <w:p>
      <w:pPr>
        <w:jc w:val="center"/>
      </w:pPr>
      <w:r>
        <w:rPr>
          <w:b/>
          <w:sz w:val="24"/>
        </w:rPr>
        <w:t>采购人：</w:t>
      </w:r>
      <w:r>
        <w:rPr>
          <w:b/>
          <w:sz w:val="24"/>
        </w:rPr>
        <w:t>中山市第二人民医院</w:t>
      </w:r>
    </w:p>
    <w:p>
      <w:pPr>
        <w:jc w:val="center"/>
      </w:pPr>
      <w:r>
        <w:rPr>
          <w:b/>
          <w:sz w:val="24"/>
        </w:rPr>
        <w:t>采购代理机构：</w:t>
      </w:r>
      <w:r>
        <w:rPr>
          <w:b/>
          <w:sz w:val="24"/>
        </w:rPr>
        <w:t>广东志正招标有限公司中山分公司</w:t>
      </w:r>
    </w:p>
    <w:p>
      <w:pPr>
        <w:ind w:firstLine="480"/>
      </w:pPr>
    </w:p>
    <w:p>
      <w:r>
        <w:rPr/>
        <w:t xml:space="preserve"> </w:t>
      </w:r>
    </w:p>
    <w:p/>
    <w:p>
      <w:pPr>
        <w:jc w:val="center"/>
      </w:pPr>
      <w:r>
        <w:rPr>
          <w:b/>
          <w:sz w:val="36"/>
        </w:rPr>
        <w:t>第一章投标邀请</w:t>
      </w:r>
    </w:p>
    <w:p>
      <w:pPr>
        <w:ind w:firstLine="480"/>
      </w:pPr>
      <w:r>
        <w:rPr/>
        <w:t>广东志正招标有限公司中山分公司</w:t>
      </w:r>
      <w:r>
        <w:rPr/>
        <w:t>受</w:t>
      </w:r>
      <w:r>
        <w:rPr/>
        <w:t>中山市第二人民医院</w:t>
      </w:r>
      <w:r>
        <w:rPr/>
        <w:t>的委托，采用</w:t>
      </w:r>
      <w:r>
        <w:rPr/>
        <w:t>公开招标</w:t>
      </w:r>
      <w:r>
        <w:rPr/>
        <w:t>方式组织采购</w:t>
      </w:r>
      <w:r>
        <w:rPr/>
        <w:t>中山市第二人民医院2024年-2025年辅助岗位购买服务项目(二次)</w:t>
      </w:r>
      <w:r>
        <w:rPr/>
        <w:t>。欢迎符合资格条件的国内供应商参加投标。</w:t>
      </w:r>
    </w:p>
    <w:p>
      <w:r>
        <w:rPr>
          <w:b/>
          <w:sz w:val="28"/>
        </w:rPr>
        <w:t>一.项目概述</w:t>
      </w:r>
    </w:p>
    <w:p>
      <w:r>
        <w:rPr>
          <w:b/>
          <w:sz w:val="24"/>
        </w:rPr>
        <w:t>1.名称与编号</w:t>
      </w:r>
    </w:p>
    <w:p>
      <w:pPr>
        <w:ind w:firstLine="480"/>
      </w:pPr>
      <w:r>
        <w:rPr/>
        <w:t>项目名称：</w:t>
      </w:r>
      <w:r>
        <w:rPr/>
        <w:t>中山市第二人民医院2024年-2025年辅助岗位购买服务项目(二次)</w:t>
      </w:r>
    </w:p>
    <w:p>
      <w:pPr>
        <w:ind w:firstLine="480"/>
      </w:pPr>
      <w:r>
        <w:rPr/>
        <w:t>采购计划编号：</w:t>
      </w:r>
      <w:r>
        <w:rPr/>
        <w:t>442000-2023-04561</w:t>
      </w:r>
    </w:p>
    <w:p>
      <w:pPr>
        <w:ind w:firstLine="480"/>
      </w:pPr>
      <w:r>
        <w:rPr/>
        <w:t>采购项目编号：</w:t>
      </w:r>
      <w:r>
        <w:rPr/>
        <w:t>ZZ22316538</w:t>
      </w:r>
    </w:p>
    <w:p>
      <w:pPr>
        <w:ind w:firstLine="480"/>
      </w:pPr>
      <w:r>
        <w:rPr/>
        <w:t>采购方式：</w:t>
      </w:r>
      <w:r>
        <w:rPr/>
        <w:t>公开招标</w:t>
      </w:r>
    </w:p>
    <w:p>
      <w:pPr>
        <w:ind w:firstLine="480"/>
      </w:pPr>
      <w:r>
        <w:rPr/>
        <w:t>预算金额：</w:t>
      </w:r>
      <w:r>
        <w:rPr/>
        <w:t>10,900,000.00</w:t>
      </w:r>
      <w:r>
        <w:rPr/>
        <w:t>元</w:t>
      </w:r>
    </w:p>
    <w:p>
      <w:r>
        <w:rPr>
          <w:b/>
          <w:sz w:val="24"/>
        </w:rPr>
        <w:t>2.项目内容及需求情况（采购项目技术规格、参数及要求）</w:t>
      </w:r>
    </w:p>
    <w:p>
      <w:pPr>
        <w:ind w:firstLine="480"/>
      </w:pPr>
    </w:p>
    <w:p/>
    <w:p>
      <w:r>
        <w:rPr/>
        <w:t>采购包1(中山市第二人民医院2024年-2025年辅助岗位购买服务项目):</w:t>
      </w:r>
    </w:p>
    <w:p>
      <w:r>
        <w:rPr/>
        <w:t>采购包预算金额：10,900,000.00元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其他服务</w:t>
            </w:r>
          </w:p>
        </w:tc>
        <w:tc>
          <w:tcPr>
            <w:tcW w:type="dxa" w:w="2136"/>
          </w:tcPr>
          <w:p>
            <w:r>
              <w:rPr/>
              <w:t>对中山市第二人民医院2024年-2025年辅助岗位购买服务项目进行采购</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合同履行期限：服务期24个月（履约起止时间以合同签订时间为准，服务合同总金额用完或服务期满后合同自动终止）。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投标人必须具有良好的商业信誉和健全的财务会计制度（提供2022年财务报告（或2023年至今任意一个月份财务报表）关键页或由基本开户银行出具的资信证明或政府采购专业担保机构出具的投标担保函。）</w:t>
      </w:r>
    </w:p>
    <w:p/>
    <w:p>
      <w:r>
        <w:rPr/>
        <w:t>4）履行合同所必需的设备和专业技术能力：需同时提供设备及专业技术能力（人员）两类信息，或提供承诺函，格式自拟。</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采购包1（中山市第二人民医院2024年-2025年辅助岗位购买服务项目）：</w:t>
      </w:r>
      <w:r>
        <w:rPr/>
        <w:t>采购标的对应的中小企业划分标准所属行业为：租赁和商务服务业。供应商须符合本项目所属行业（租赁和商务服务业）政策划分标准的中小企业。监狱企业、残疾人福利单位视同小型、微型企业。注：中小企业以供应商填写的《中小企业声明函》为判定标准，残疾人福利性单位以供应商填写的《残疾人福利性单位声明函》为判定标准，监狱企业须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采购包1（中山市第二人民医院2024年-2025年辅助岗位购买服务项目）：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3)无围标、串标行为（出具《无围标、串标行为承诺书》）；</w:t>
      </w:r>
    </w:p>
    <w:p/>
    <w:p>
      <w:r>
        <w:rPr/>
        <w:t>4)本项目不接受联合体投标。</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中山市第二人民医院</w:t>
      </w:r>
    </w:p>
    <w:p>
      <w:pPr>
        <w:ind w:firstLine="480"/>
      </w:pPr>
      <w:r>
        <w:rPr/>
        <w:t>地址：</w:t>
      </w:r>
      <w:r>
        <w:rPr/>
        <w:t>中山市港口镇木河迳东路</w:t>
      </w:r>
    </w:p>
    <w:p>
      <w:pPr>
        <w:ind w:firstLine="480"/>
      </w:pPr>
      <w:r>
        <w:rPr/>
        <w:t>联系方式：</w:t>
      </w:r>
      <w:r>
        <w:rPr/>
        <w:t>0760-28143981</w:t>
      </w:r>
    </w:p>
    <w:p>
      <w:r>
        <w:rPr>
          <w:b/>
          <w:sz w:val="24"/>
        </w:rPr>
        <w:t>2.采购代理机构信息</w:t>
      </w:r>
    </w:p>
    <w:p>
      <w:pPr>
        <w:ind w:firstLine="480"/>
      </w:pPr>
      <w:r>
        <w:rPr/>
        <w:t>名称：</w:t>
      </w:r>
      <w:r>
        <w:rPr/>
        <w:t>广东志正招标有限公司中山分公司</w:t>
      </w:r>
    </w:p>
    <w:p>
      <w:pPr>
        <w:ind w:firstLine="480"/>
      </w:pPr>
      <w:r>
        <w:rPr/>
        <w:t>地址：</w:t>
      </w:r>
      <w:r>
        <w:rPr/>
        <w:t>广东省中山市东区中山四路亨尾大街3号软件园东园区2楼20室</w:t>
      </w:r>
    </w:p>
    <w:p>
      <w:pPr>
        <w:ind w:firstLine="480"/>
      </w:pPr>
      <w:r>
        <w:rPr/>
        <w:t>联系方式：</w:t>
      </w:r>
      <w:r>
        <w:rPr/>
        <w:t>0760-88811601</w:t>
      </w:r>
    </w:p>
    <w:p>
      <w:r>
        <w:rPr>
          <w:b/>
          <w:sz w:val="24"/>
        </w:rPr>
        <w:t>3.项目联系方式</w:t>
      </w:r>
    </w:p>
    <w:p>
      <w:pPr>
        <w:ind w:firstLine="480"/>
      </w:pPr>
      <w:r>
        <w:rPr/>
        <w:t>项目联系人：</w:t>
      </w:r>
      <w:r>
        <w:rPr/>
        <w:t>李先生</w:t>
      </w:r>
    </w:p>
    <w:p>
      <w:pPr>
        <w:ind w:firstLine="480"/>
      </w:pPr>
      <w:r>
        <w:rPr/>
        <w:t>电话：</w:t>
      </w:r>
      <w:r>
        <w:rPr/>
        <w:t>0760-88811601</w:t>
      </w:r>
    </w:p>
    <w:p>
      <w:r>
        <w:rPr>
          <w:b/>
          <w:sz w:val="24"/>
        </w:rPr>
        <w:t>4.技术支持联系方式</w:t>
      </w:r>
    </w:p>
    <w:p>
      <w:pPr>
        <w:ind w:firstLine="480"/>
      </w:pPr>
      <w:r>
        <w:rPr/>
        <w:t>云平台联系方式：020-88696588</w:t>
      </w:r>
    </w:p>
    <w:p>
      <w:r>
        <w:rPr/>
        <w:t>采购代理机构：</w:t>
      </w:r>
      <w:r>
        <w:rPr/>
        <w:t>广东志正招标有限公司中山分公司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b/>
        </w:rPr>
        <w:t>（一）总则</w:t>
      </w:r>
      <w:r>
        <w:br/>
      </w:r>
      <w:r>
        <w:rPr/>
        <w:t>1.项目及范围名称：中山市第二人民医院2024年-2025年辅助岗位购买服务项目。</w:t>
      </w:r>
      <w:r>
        <w:br/>
      </w:r>
      <w:r>
        <w:rPr/>
        <w:t>2.服务合同期为24个月，具体起止期限以采购人与中标人签订的合同约定为准。项目预算金额：1090万元。服务合同总金额用完或服务期满后合同自动终止。</w:t>
      </w:r>
      <w:r>
        <w:br/>
      </w:r>
      <w:r>
        <w:rPr/>
        <w:t>3.本项目由中标人负责招标文件对中标供应商要求的一切事宜及责任。</w:t>
      </w:r>
      <w:r>
        <w:br/>
      </w:r>
      <w:r>
        <w:rPr/>
        <w:t>4.中标人不得以任何方式转包或分包。</w:t>
      </w:r>
      <w:r>
        <w:br/>
      </w:r>
      <w:r>
        <w:rPr/>
        <w:t>5.本项目不接受联合体投标。</w:t>
      </w:r>
      <w:r>
        <w:br/>
      </w:r>
      <w:r>
        <w:rPr/>
        <w:t>6.供应商须对本项目的服务进行整体响应，任何只对其中一部分内容进行的响应都被视为无效投标处理。</w:t>
      </w:r>
    </w:p>
    <w:p/>
    <w:p>
      <w:pPr>
        <w:ind w:firstLine="480"/>
      </w:pPr>
    </w:p>
    <w:p/>
    <w:p>
      <w:r>
        <w:rPr/>
        <w:t>采购包1（中山市第二人民医院2024年-2025年辅助岗位购买服务项目）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服务合同期为24个月，具体起止期限以采购人与中标人签订的合同约定为准。合同试用期2个月，若中标人在试用期任何一个月考核不合格的则视为中标人主动违约，采购人有权终止合同。</w:t>
            </w:r>
          </w:p>
        </w:tc>
      </w:tr>
      <w:tr>
        <w:tc>
          <w:tcPr>
            <w:tcW w:type="dxa" w:w="4153"/>
          </w:tcPr>
          <w:p>
            <w:r>
              <w:rPr/>
              <w:t>标的提供的地点</w:t>
            </w:r>
          </w:p>
        </w:tc>
        <w:tc>
          <w:tcPr>
            <w:tcW w:type="dxa" w:w="4153"/>
          </w:tcPr>
          <w:p/>
          <w:p>
            <w:r>
              <w:rPr/>
              <w:t>中山市第二人民医院（含南区分院）</w:t>
            </w:r>
          </w:p>
        </w:tc>
      </w:tr>
      <w:tr>
        <w:tc>
          <w:tcPr>
            <w:tcW w:type="dxa" w:w="4153"/>
          </w:tcPr>
          <w:p>
            <w:r>
              <w:rPr/>
              <w:t>付款方式</w:t>
            </w:r>
          </w:p>
        </w:tc>
        <w:tc>
          <w:tcPr>
            <w:tcW w:type="dxa" w:w="4153"/>
          </w:tcPr>
          <w:p/>
          <w:p/>
          <w:p>
            <w:r>
              <w:rPr/>
              <w:t>1期：支付比例100%,1.按月度结算。中标人于每月10日前将上月实际服务人数、月工资额、月结总额等相关验收资料报请采购人审核结算，经采购人核实无误后，采购人收到中标人提供已核实无误的等额发票后，采购人于每月的 20 日前将上月总费用汇到中标人的帐户。未经采购人同意，中标人不得随意扣减派驻人员的工资、奖金及其他福利。 2.采购人对中标人每半年进行一次考核，并根据考核情况对中标人进行扣罚(依据《中山市第二人民医院2024年-2025年辅助岗位购买服务项目考核表》进行服务考核) ，具体扣罚如下 (如每半年度最后一个月的服务费费用不足以扣罚的，将在后续服务费中扣除或由中标人缴纳剩余金额的罚款) ： 1) 若服务考核低于90分的，采购人按该半年度服务款项的5%对中标人进行扣罚，即每半年度最后一个月的服务费结算金额=该月服务费用-该半年度服务费用×5%； 2)若服务考核低于80分的，采购人按该半年度服务款项的10%对中标人进行扣罚，即每半年度最后一个月的服务费结算金额=该月服务费用-该半年度服务费用×10% 。 3.中标人须提供结算服务费用相应金额的发票给采购人，采购人将按医院有关财务规定办理支付手续。</w:t>
            </w:r>
          </w:p>
        </w:tc>
      </w:tr>
      <w:tr>
        <w:tc>
          <w:tcPr>
            <w:tcW w:type="dxa" w:w="4153"/>
          </w:tcPr>
          <w:p>
            <w:r>
              <w:rPr/>
              <w:t>验收要求</w:t>
            </w:r>
          </w:p>
        </w:tc>
        <w:tc>
          <w:tcPr>
            <w:tcW w:type="dxa" w:w="4153"/>
          </w:tcPr>
          <w:p/>
          <w:p/>
          <w:p/>
          <w:p>
            <w:r>
              <w:rPr/>
              <w:t>1期：中标人应按服务要求按时保质保量地完成服务工作，本项目按用户需求书中的条款要求及“中山市第二人民医院2024年-2025年辅助岗位购买服务项目考核表”条款进行验收。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报价说明：，1.报价应包括：派驻服务人员工资、福利、五险一金、税费等与本次服务项目相关的所有费用。本项目由中标人承包及负责招标文件对中标人要求的一切事宜及责任。派驻服务人员的待遇标准须符合《劳动法》、国家及地方相关劳动法律法规的规定。</w:t>
            </w:r>
          </w:p>
          <w:p/>
          <w:p>
            <w:r>
              <w:rPr/>
              <w:t>二、其他要求：，1.中标人应在采购代理机构发出中标通知书之日起30天内完成合同签订及公示工作；如出现中标人不能按期完成合同签订工作，可视为放弃中标资格。采购人可以重新开展采购活动，也可以按照评标报告推荐的中标候选人名单排序，确定下一候选人为中标人。 2.若中标人遇上级部门税费减免，应履行返还约定，第三方应恪守信用，依法兑现成诺，维护双方合法权益。</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对中山市第二人民医院2024年-2025年辅助岗位购买服务项目进行采购</w:t>
            </w:r>
          </w:p>
        </w:tc>
        <w:tc>
          <w:tcPr>
            <w:tcW w:type="dxa" w:w="933"/>
          </w:tcPr>
          <w:p>
            <w:pPr>
              <w:jc w:val="left"/>
            </w:pPr>
            <w:r>
              <w:rPr/>
              <w:t>项</w:t>
            </w:r>
          </w:p>
        </w:tc>
        <w:tc>
          <w:tcPr>
            <w:tcW w:type="dxa" w:w="933"/>
          </w:tcPr>
          <w:p>
            <w:pPr>
              <w:jc w:val="right"/>
            </w:pPr>
            <w:r>
              <w:rPr/>
              <w:t>1.00</w:t>
            </w:r>
          </w:p>
        </w:tc>
        <w:tc>
          <w:tcPr>
            <w:tcW w:type="dxa" w:w="933"/>
          </w:tcPr>
          <w:p>
            <w:pPr>
              <w:jc w:val="right"/>
            </w:pPr>
            <w:r>
              <w:rPr/>
              <w:t>10,900,000.00</w:t>
            </w:r>
          </w:p>
        </w:tc>
        <w:tc>
          <w:tcPr>
            <w:tcW w:type="dxa" w:w="933"/>
          </w:tcPr>
          <w:p>
            <w:pPr>
              <w:jc w:val="right"/>
            </w:pPr>
            <w:r>
              <w:rPr/>
              <w:t>10,900,000.00</w:t>
            </w:r>
          </w:p>
        </w:tc>
        <w:tc>
          <w:tcPr>
            <w:tcW w:type="dxa" w:w="840"/>
          </w:tcPr>
          <w:p>
            <w:r>
              <w:rPr/>
              <w:t>租赁和商务服务业</w:t>
            </w:r>
          </w:p>
        </w:tc>
        <w:tc>
          <w:tcPr>
            <w:tcW w:type="dxa" w:w="933"/>
          </w:tcPr>
          <w:p>
            <w:r>
              <w:rPr/>
              <w:t>详见附表一</w:t>
            </w:r>
          </w:p>
        </w:tc>
      </w:tr>
    </w:tbl>
    <w:p/>
    <w:p>
      <w:r>
        <w:rPr>
          <w:b/>
        </w:rPr>
        <w:t>附表</w:t>
      </w:r>
      <w:r>
        <w:rPr>
          <w:b/>
        </w:rPr>
        <w:t>一</w:t>
      </w:r>
      <w:r>
        <w:rPr>
          <w:b/>
        </w:rPr>
        <w:t>：</w:t>
      </w:r>
      <w:r>
        <w:rPr>
          <w:b/>
        </w:rPr>
        <w:t>对中山市第二人民医院2024年-2025年辅助岗位购买服务项目进行采购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rPr>
              <w:t>一、项目基本要求</w:t>
            </w:r>
            <w:r>
              <w:br/>
            </w:r>
            <w:r>
              <w:rPr/>
              <w:t>1. 中标人须与被派驻服务人员签订劳动合同，建立规范的劳动合同关系，并负责劳动合同管理 (包括员工资料录入、招用工手续的办理、办理离职手续、员工离职面谈等)；</w:t>
            </w:r>
          </w:p>
        </w:tc>
      </w:tr>
      <w:tr>
        <w:tc>
          <w:tcPr>
            <w:tcW w:type="dxa" w:w="2076"/>
          </w:tcPr>
          <w:p>
            <w:r>
              <w:rPr/>
              <w:t>★</w:t>
            </w:r>
          </w:p>
        </w:tc>
        <w:tc>
          <w:tcPr>
            <w:tcW w:type="dxa" w:w="415"/>
          </w:tcPr>
          <w:p>
            <w:r>
              <w:rPr/>
              <w:t>2</w:t>
            </w:r>
          </w:p>
        </w:tc>
        <w:tc>
          <w:tcPr>
            <w:tcW w:type="dxa" w:w="5814"/>
          </w:tcPr>
          <w:p>
            <w:r>
              <w:rPr/>
              <w:t>2. 中标人派驻的服务人员须无犯罪记录。中标人与被派驻服务人员签订劳动合同前必须按照国家相关保密规定，分别与采购人、派驻服务人员签订保密的协议，保守采购人的工作秘密。派驻服务人员签订的保密协议，中标人需将复印件交给采购人备案；中标人确保派驻服务人员保守采购人所有与业务工作相关的秘密，严禁泄露给无关的第三人 (包括中标人与这工作无关的人员) 。因中标人保密履责不到位，造成不良影响和损失的，采购人有权追究中标人法律责任。</w:t>
            </w:r>
          </w:p>
        </w:tc>
      </w:tr>
      <w:tr>
        <w:tc>
          <w:tcPr>
            <w:tcW w:type="dxa" w:w="2076"/>
          </w:tcPr>
          <w:p/>
        </w:tc>
        <w:tc>
          <w:tcPr>
            <w:tcW w:type="dxa" w:w="415"/>
          </w:tcPr>
          <w:p>
            <w:r>
              <w:rPr/>
              <w:t>3</w:t>
            </w:r>
          </w:p>
        </w:tc>
        <w:tc>
          <w:tcPr>
            <w:tcW w:type="dxa" w:w="5814"/>
          </w:tcPr>
          <w:p>
            <w:r>
              <w:rPr/>
              <w:t xml:space="preserve">3. 中标人负责整理被派驻服务人员人事档案管理 (纸质档案材料的收集、鉴别、整理、归档和保管，办理查阅和传递) ，为派驻服务人员建立人员信息库，人员信息库内容基本包括：姓名、身份证号、出生日期、性别、籍贯、出生地，户口所在地，家庭住址、联系电话、学历 (位) 情况 (所学专业、毕业学校、毕业时间) 、婚育及配偶情况、政治面貌、来院日期、职称晋升情况、工作岗位和劳动合同、劳动关系档案编号等，应及时更新并维护人员信息，并交给采购人进行备案。 </w:t>
            </w:r>
            <w:r>
              <w:br/>
            </w:r>
            <w:r>
              <w:rPr/>
              <w:t>4.所有员工入院服务时都需体检，合格的才能上岗，疫情期间按医院规定健康申报。对于工作满一年的员工，中标人需为其提供年度体检，费用包含于本项目中标费用中。</w:t>
            </w:r>
            <w:r>
              <w:br/>
            </w:r>
            <w:r>
              <w:rPr/>
              <w:t>5.中标人应及时处理和协调采购人与派驻服务人员之间的工作管理纠纷。</w:t>
            </w:r>
            <w:r>
              <w:br/>
            </w:r>
            <w:r>
              <w:rPr/>
              <w:t>6.中标人负责派驻服务人员职称评审申报、教育培训、社会保险、住房公积金购买/办理/转移、计划生育管理、工伤办理以及所有相关保险理赔事务等人事劳资管理工作并承担相应的责任；</w:t>
            </w:r>
            <w:r>
              <w:br/>
            </w:r>
            <w:r>
              <w:rPr/>
              <w:t>7.服务期内发生各种事故：包括服务人员的人身及财产安全、交通、防火和劳资纠纷 (包括中标人与服务人员解除劳动合同的补偿或赔偿) 等事件均由中标人负责处理 (包括但不限于协商、调解、仲裁、诉讼等) ，并承担相应责任及费用，不得影响本项目的正常运作；如因此造成采购人损失的，中标人还应赔偿采购人遭受的一切损失。</w:t>
            </w:r>
          </w:p>
        </w:tc>
      </w:tr>
      <w:tr>
        <w:tc>
          <w:tcPr>
            <w:tcW w:type="dxa" w:w="2076"/>
          </w:tcPr>
          <w:p>
            <w:r>
              <w:rPr/>
              <w:t>★</w:t>
            </w:r>
          </w:p>
        </w:tc>
        <w:tc>
          <w:tcPr>
            <w:tcW w:type="dxa" w:w="415"/>
          </w:tcPr>
          <w:p>
            <w:r>
              <w:rPr/>
              <w:t>4</w:t>
            </w:r>
          </w:p>
        </w:tc>
        <w:tc>
          <w:tcPr>
            <w:tcW w:type="dxa" w:w="5814"/>
          </w:tcPr>
          <w:p>
            <w:r>
              <w:rPr/>
              <w:t>8.为确保服务人员能胜任工作岗位要求，拟派服务人员须经采购人审核确认后方能上岗。未经采购人审核确认的人员，采购人不接受其工作安排，中标人与其签订劳动合同而承担的法律责任和因此造成的一切损失与采购人无关。采购人辅助岗位现有外包人员，根据采购人工作需要及本人意愿，中标人应优先录用，直接划转入本项目中标人。</w:t>
            </w:r>
          </w:p>
        </w:tc>
      </w:tr>
      <w:tr>
        <w:tc>
          <w:tcPr>
            <w:tcW w:type="dxa" w:w="2076"/>
          </w:tcPr>
          <w:p>
            <w:r>
              <w:rPr/>
              <w:t>★</w:t>
            </w:r>
          </w:p>
        </w:tc>
        <w:tc>
          <w:tcPr>
            <w:tcW w:type="dxa" w:w="415"/>
          </w:tcPr>
          <w:p>
            <w:r>
              <w:rPr/>
              <w:t>5</w:t>
            </w:r>
          </w:p>
        </w:tc>
        <w:tc>
          <w:tcPr>
            <w:tcW w:type="dxa" w:w="5814"/>
          </w:tcPr>
          <w:p>
            <w:r>
              <w:rPr/>
              <w:t>9.在服务合作过程中，采购人有权随时对派驻服务人员进行岗位调配，且对不能胜任工作的人员出具书面通知要求进行更换，中标人在收到采购人书面通知1 5个工作日内无理由更换。如派驻服务人员3个月累计休假超过15天，采购人有权要求更换该人员。</w:t>
            </w:r>
          </w:p>
        </w:tc>
      </w:tr>
      <w:tr>
        <w:tc>
          <w:tcPr>
            <w:tcW w:type="dxa" w:w="2076"/>
          </w:tcPr>
          <w:p/>
        </w:tc>
        <w:tc>
          <w:tcPr>
            <w:tcW w:type="dxa" w:w="415"/>
          </w:tcPr>
          <w:p>
            <w:r>
              <w:rPr/>
              <w:t>6</w:t>
            </w:r>
          </w:p>
        </w:tc>
        <w:tc>
          <w:tcPr>
            <w:tcW w:type="dxa" w:w="5814"/>
          </w:tcPr>
          <w:p>
            <w:r>
              <w:rPr/>
              <w:t>10.若因选派人员劳动合同终止 (或解除) 所产生的经济补偿或经济赔偿等相关费用由中标人承担。</w:t>
            </w:r>
            <w:r>
              <w:br/>
            </w:r>
            <w:r>
              <w:rPr/>
              <w:t>11.因派驻服务人员辞职而须更换人员的，招聘工作以及由此产生的相关费用由中标人负责。</w:t>
            </w:r>
          </w:p>
        </w:tc>
      </w:tr>
      <w:tr>
        <w:tc>
          <w:tcPr>
            <w:tcW w:type="dxa" w:w="2076"/>
          </w:tcPr>
          <w:p>
            <w:r>
              <w:rPr/>
              <w:t>★</w:t>
            </w:r>
          </w:p>
        </w:tc>
        <w:tc>
          <w:tcPr>
            <w:tcW w:type="dxa" w:w="415"/>
          </w:tcPr>
          <w:p>
            <w:r>
              <w:rPr/>
              <w:t>7</w:t>
            </w:r>
          </w:p>
        </w:tc>
        <w:tc>
          <w:tcPr>
            <w:tcW w:type="dxa" w:w="5814"/>
          </w:tcPr>
          <w:p>
            <w:r>
              <w:rPr/>
              <w:t>12.中标人支付给派驻服务人员的薪酬必须公开透明，每个月支付的所有薪酬费用资料 (包括工资、社保、住房公积金以及相关福利待遇) 必须交由采购人备案。如采购人发现中标人所支付的薪酬不符合标准或支付的薪酬账目虚假，中标人将承担一切的法律责任或刑事责任，且采购人有权解除合同并要求中标人支付合同金额的1%作为违约金；如发现所支付的薪酬存在违反劳动合同法等相关法律法规损害劳动者合法权益行为，采购人可要求限期改正，若中标人不予以改正，采购人有权不予支付当月服务费，情节严重的，采购人有权解除合同。</w:t>
            </w:r>
          </w:p>
        </w:tc>
      </w:tr>
      <w:tr>
        <w:tc>
          <w:tcPr>
            <w:tcW w:type="dxa" w:w="2076"/>
          </w:tcPr>
          <w:p/>
        </w:tc>
        <w:tc>
          <w:tcPr>
            <w:tcW w:type="dxa" w:w="415"/>
          </w:tcPr>
          <w:p>
            <w:r>
              <w:rPr/>
              <w:t>8</w:t>
            </w:r>
          </w:p>
        </w:tc>
        <w:tc>
          <w:tcPr>
            <w:tcW w:type="dxa" w:w="5814"/>
          </w:tcPr>
          <w:p>
            <w:r>
              <w:rPr/>
              <w:t>13.服务期间，如采购人对个别派驻服务人员进行奖励的，中标人须将奖励全部给该服务人员。</w:t>
            </w:r>
            <w:r>
              <w:br/>
            </w:r>
            <w:r>
              <w:rPr/>
              <w:t>14.中标人负责被派驻服务人员在采购人单位服务期间出现意外伤害死亡、疾病住院、劳动关系解除等意外赔偿 (按照劳动合同法相关规定赔偿，中标人须负责办理相关手续) 。</w:t>
            </w:r>
            <w:r>
              <w:br/>
            </w:r>
            <w:r>
              <w:rPr/>
              <w:t>15.中标人有义务按采购人要求，督促派驻服务人员严格遵守国家法律法规以及采购人的规章制度、管理规范和劳动纪律、忠于职守、文明礼貌、服从和执行采购单位的工作安排和调度，并接受采购单位管理人员的检查监督。</w:t>
            </w:r>
            <w:r>
              <w:br/>
            </w:r>
            <w:r>
              <w:rPr/>
              <w:t>16.派驻服务人员不服从采购人日常管理的，采购人有权依据有关管理规定通知中标人进行相应的处罚。</w:t>
            </w:r>
            <w:r>
              <w:br/>
            </w:r>
            <w:r>
              <w:rPr/>
              <w:t>17.派驻服务人员违反采购人劳动纪律或规章制度，采购人可依据有关情况扣减中标人当月的服务费用。</w:t>
            </w:r>
            <w:r>
              <w:br/>
            </w:r>
            <w:r>
              <w:rPr/>
              <w:t>18.由于中标人工作失误的原因，造成派驻服务人员的经济损失，所产生的损失及后果由中标人承担。</w:t>
            </w:r>
            <w:r>
              <w:br/>
            </w:r>
            <w:r>
              <w:rPr/>
              <w:t>19.如因中标人引起的劳资纠纷问题，影响正常工作的，采购人有权要求中标人更换符合要求的派驻服务人员以确保正常提供服务，所产生的费用由中标人承担。</w:t>
            </w:r>
            <w:r>
              <w:br/>
            </w:r>
            <w:r>
              <w:rPr/>
              <w:t>20.采购人对中标人的服务实施活动进行全过程监督、检查和管理，负责项目的决策和总体监督，对项目宏观的把握和整体推进。</w:t>
            </w:r>
            <w:r>
              <w:br/>
            </w:r>
            <w:r>
              <w:rPr/>
              <w:t>21.中标人必须就采购人提供的全部内容和服务要求做出回应，提供切合该服务项目的整体解决方案，并在项目范围内完成指定的工作和负责解决全部的业务问题 。中标人必须对采购人提出的有关问题和置疑作出实质性的回应。</w:t>
            </w:r>
            <w:r>
              <w:br/>
            </w:r>
            <w:r>
              <w:rPr/>
              <w:t>22.服务期满后，中标人应妥善处理退场移交及人员安置，并配合采购人进行项目相关的交接工作，如辅助服务人员有意愿留下的，中标人应与下任供应商进行沟通协调安排。</w:t>
            </w:r>
            <w:r>
              <w:br/>
            </w:r>
            <w:r>
              <w:rPr/>
              <w:t>23.其他未尽事宜，以双方合同签订时约定为准。采购人有权确定服务人员的数量、名单， 且有权以书面形式向中标人提出服务的具体要求，以及服务人员的素质要求。中标人须按采购人要求提供符合实际需求和符合条件的服务人员。</w:t>
            </w:r>
          </w:p>
        </w:tc>
      </w:tr>
      <w:tr>
        <w:tc>
          <w:tcPr>
            <w:tcW w:type="dxa" w:w="2076"/>
          </w:tcPr>
          <w:p>
            <w:r>
              <w:rPr/>
              <w:t>★</w:t>
            </w:r>
          </w:p>
        </w:tc>
        <w:tc>
          <w:tcPr>
            <w:tcW w:type="dxa" w:w="415"/>
          </w:tcPr>
          <w:p>
            <w:r>
              <w:rPr/>
              <w:t>9</w:t>
            </w:r>
          </w:p>
        </w:tc>
        <w:tc>
          <w:tcPr>
            <w:tcW w:type="dxa" w:w="5814"/>
          </w:tcPr>
          <w:p>
            <w:r>
              <w:rPr/>
              <w:t>24. 项目成交后，服务期正式开始前一周内即有能力根据采购人的要求派出足够的服务人员与上一标的服务期的中标单位进行工作交接，确保有序入场。 （在投标文件中填写《技术和服务要求响应表》）</w:t>
            </w:r>
          </w:p>
        </w:tc>
      </w:tr>
      <w:tr>
        <w:tc>
          <w:tcPr>
            <w:tcW w:type="dxa" w:w="2076"/>
          </w:tcPr>
          <w:p>
            <w:r>
              <w:rPr/>
              <w:t>★</w:t>
            </w:r>
          </w:p>
        </w:tc>
        <w:tc>
          <w:tcPr>
            <w:tcW w:type="dxa" w:w="415"/>
          </w:tcPr>
          <w:p>
            <w:r>
              <w:rPr/>
              <w:t>10</w:t>
            </w:r>
          </w:p>
        </w:tc>
        <w:tc>
          <w:tcPr>
            <w:tcW w:type="dxa" w:w="5814"/>
          </w:tcPr>
          <w:p>
            <w:r>
              <w:rPr/>
              <w:t>25. 中标人应按照《中华人民共和国劳动法》的相关规定发放工资，服务人员工资不得低于中山市企业职工最低工资标准（工资不含按国家规定供应商必须支付的社会保险及其他应付费用）。（在投标文件中填写《技术和服务要求响应表》）</w:t>
            </w:r>
          </w:p>
        </w:tc>
      </w:tr>
      <w:tr>
        <w:tc>
          <w:tcPr>
            <w:tcW w:type="dxa" w:w="2076"/>
          </w:tcPr>
          <w:p>
            <w:r>
              <w:rPr/>
              <w:t>★</w:t>
            </w:r>
          </w:p>
        </w:tc>
        <w:tc>
          <w:tcPr>
            <w:tcW w:type="dxa" w:w="415"/>
          </w:tcPr>
          <w:p>
            <w:r>
              <w:rPr/>
              <w:t>11</w:t>
            </w:r>
          </w:p>
        </w:tc>
        <w:tc>
          <w:tcPr>
            <w:tcW w:type="dxa" w:w="5814"/>
          </w:tcPr>
          <w:p>
            <w:r>
              <w:rPr/>
              <w:t xml:space="preserve">26. 中标人应按照《中华人民共和国社会保险法》和《住房公积金管理条例》的相关规定，支付国家规定必须购买的社会保险费用和缴存住房公积金。（在投标文件中填写《技术和服务要求响应表》） </w:t>
            </w:r>
          </w:p>
        </w:tc>
      </w:tr>
      <w:tr>
        <w:tc>
          <w:tcPr>
            <w:tcW w:type="dxa" w:w="2076"/>
          </w:tcPr>
          <w:p>
            <w:r>
              <w:rPr/>
              <w:t>★</w:t>
            </w:r>
          </w:p>
        </w:tc>
        <w:tc>
          <w:tcPr>
            <w:tcW w:type="dxa" w:w="415"/>
          </w:tcPr>
          <w:p>
            <w:r>
              <w:rPr/>
              <w:t>12</w:t>
            </w:r>
          </w:p>
        </w:tc>
        <w:tc>
          <w:tcPr>
            <w:tcW w:type="dxa" w:w="5814"/>
          </w:tcPr>
          <w:p>
            <w:r>
              <w:rPr/>
              <w:t>27. 采购人作为新冠肺炎定点救治医院，在执行合同的过程中有权要求中标人按照突发公共卫生事件和传染病防治防控相关规定做好防控工作，如完成人员培训、岗位调配等。</w:t>
            </w:r>
          </w:p>
        </w:tc>
      </w:tr>
      <w:tr>
        <w:tc>
          <w:tcPr>
            <w:tcW w:type="dxa" w:w="2076"/>
          </w:tcPr>
          <w:p/>
        </w:tc>
        <w:tc>
          <w:tcPr>
            <w:tcW w:type="dxa" w:w="415"/>
          </w:tcPr>
          <w:p>
            <w:r>
              <w:rPr/>
              <w:t>13</w:t>
            </w:r>
          </w:p>
        </w:tc>
        <w:tc>
          <w:tcPr>
            <w:tcW w:type="dxa" w:w="5814"/>
          </w:tcPr>
          <w:p>
            <w:r>
              <w:rPr/>
              <w:t>28. 对本项目制定实施总体服务方案，具有成熟的管理模式，包括：</w:t>
            </w:r>
            <w:r>
              <w:br/>
            </w:r>
            <w:r>
              <w:rPr/>
              <w:t>（1）整体管理设想；</w:t>
            </w:r>
            <w:r>
              <w:br/>
            </w:r>
            <w:r>
              <w:rPr/>
              <w:t>（2）整体运作规划；</w:t>
            </w:r>
            <w:r>
              <w:br/>
            </w:r>
            <w:r>
              <w:rPr/>
              <w:t>（3）组织机构；</w:t>
            </w:r>
            <w:r>
              <w:br/>
            </w:r>
            <w:r>
              <w:rPr/>
              <w:t>（4）服务团队配置；</w:t>
            </w:r>
            <w:r>
              <w:br/>
            </w:r>
            <w:r>
              <w:rPr/>
              <w:t xml:space="preserve">（5）人员培训计划； </w:t>
            </w:r>
            <w:r>
              <w:br/>
            </w:r>
            <w:r>
              <w:rPr/>
              <w:t>29. 按照国家有关法律法规的相关规定，中标人做好服务人员的计划生育管理工作并承担相应的责任。</w:t>
            </w:r>
          </w:p>
        </w:tc>
      </w:tr>
      <w:tr>
        <w:tc>
          <w:tcPr>
            <w:tcW w:type="dxa" w:w="2076"/>
          </w:tcPr>
          <w:p/>
        </w:tc>
        <w:tc>
          <w:tcPr>
            <w:tcW w:type="dxa" w:w="415"/>
          </w:tcPr>
          <w:p>
            <w:r>
              <w:rPr/>
              <w:t>14</w:t>
            </w:r>
          </w:p>
        </w:tc>
        <w:tc>
          <w:tcPr>
            <w:tcW w:type="dxa" w:w="5814"/>
          </w:tcPr>
          <w:p>
            <w:r>
              <w:rPr>
                <w:b/>
              </w:rPr>
              <w:t>二、人员配置要求（下表为2024年-2025年要求）</w:t>
            </w:r>
          </w:p>
          <w:tbl>
            <w:tblPr>
              <w:tblBorders>
                <w:top w:val="none" w:color="000000" w:sz="4"/>
                <w:left w:val="none" w:color="000000" w:sz="4"/>
                <w:bottom w:val="none" w:color="000000" w:sz="4"/>
                <w:right w:val="none" w:color="000000" w:sz="4"/>
                <w:insideH w:val="none"/>
                <w:insideV w:val="none"/>
              </w:tblBorders>
            </w:tblPr>
            <w:tblGrid>
              <w:gridCol w:w="422"/>
              <w:gridCol w:w="945"/>
              <w:gridCol w:w="709"/>
              <w:gridCol w:w="1181"/>
              <w:gridCol w:w="1642"/>
              <w:gridCol w:w="709"/>
            </w:tblGrid>
            <w:tr>
              <w:tc>
                <w:tcPr>
                  <w:tcW w:type="dxa" w:w="422"/>
                  <w:tcBorders>
                    <w:top w:val="double" w:color="000000" w:sz="8"/>
                    <w:left w:val="double" w:color="000000" w:sz="8"/>
                    <w:bottom w:val="single" w:color="000000" w:sz="4"/>
                    <w:right w:val="single" w:color="000000" w:sz="4"/>
                  </w:tcBorders>
                </w:tcPr>
                <w:p>
                  <w:pPr>
                    <w:jc w:val="center"/>
                  </w:pPr>
                  <w:r>
                    <w:rPr>
                      <w:b/>
                      <w:color w:val="000000"/>
                      <w:sz w:val="19"/>
                    </w:rPr>
                    <w:t>序号</w:t>
                  </w:r>
                </w:p>
              </w:tc>
              <w:tc>
                <w:tcPr>
                  <w:tcW w:type="dxa" w:w="945"/>
                  <w:tcBorders>
                    <w:top w:val="double" w:color="000000" w:sz="8"/>
                    <w:left w:val="none" w:color="000000" w:sz="4"/>
                    <w:bottom w:val="single" w:color="000000" w:sz="4"/>
                    <w:right w:val="single" w:color="000000" w:sz="4"/>
                  </w:tcBorders>
                </w:tcPr>
                <w:p>
                  <w:pPr>
                    <w:jc w:val="center"/>
                  </w:pPr>
                  <w:r>
                    <w:rPr>
                      <w:b/>
                      <w:color w:val="000000"/>
                      <w:sz w:val="19"/>
                    </w:rPr>
                    <w:t>岗位</w:t>
                  </w:r>
                </w:p>
              </w:tc>
              <w:tc>
                <w:tcPr>
                  <w:tcW w:type="dxa" w:w="709"/>
                  <w:tcBorders>
                    <w:top w:val="double" w:color="000000" w:sz="8"/>
                    <w:left w:val="none" w:color="000000" w:sz="4"/>
                    <w:bottom w:val="single" w:color="000000" w:sz="4"/>
                    <w:right w:val="single" w:color="000000" w:sz="4"/>
                  </w:tcBorders>
                </w:tcPr>
                <w:p>
                  <w:pPr>
                    <w:jc w:val="center"/>
                  </w:pPr>
                  <w:r>
                    <w:rPr>
                      <w:b/>
                      <w:color w:val="000000"/>
                      <w:sz w:val="19"/>
                    </w:rPr>
                    <w:t>岗位数</w:t>
                  </w:r>
                </w:p>
              </w:tc>
              <w:tc>
                <w:tcPr>
                  <w:tcW w:type="dxa" w:w="1181"/>
                  <w:tcBorders>
                    <w:top w:val="double" w:color="000000" w:sz="8"/>
                    <w:left w:val="none" w:color="000000" w:sz="4"/>
                    <w:bottom w:val="single" w:color="000000" w:sz="4"/>
                    <w:right w:val="single" w:color="000000" w:sz="4"/>
                  </w:tcBorders>
                </w:tcPr>
                <w:p>
                  <w:pPr>
                    <w:jc w:val="center"/>
                  </w:pPr>
                  <w:r>
                    <w:rPr>
                      <w:b/>
                      <w:color w:val="000000"/>
                      <w:sz w:val="19"/>
                    </w:rPr>
                    <w:t>学历要求</w:t>
                  </w:r>
                </w:p>
              </w:tc>
              <w:tc>
                <w:tcPr>
                  <w:tcW w:type="dxa" w:w="1642"/>
                  <w:tcBorders>
                    <w:top w:val="double" w:color="000000" w:sz="8"/>
                    <w:left w:val="none" w:color="000000" w:sz="4"/>
                    <w:bottom w:val="single" w:color="000000" w:sz="4"/>
                    <w:right w:val="single" w:color="000000" w:sz="4"/>
                  </w:tcBorders>
                </w:tcPr>
                <w:p>
                  <w:pPr>
                    <w:jc w:val="center"/>
                  </w:pPr>
                  <w:r>
                    <w:rPr>
                      <w:b/>
                      <w:color w:val="000000"/>
                      <w:sz w:val="19"/>
                    </w:rPr>
                    <w:t>技能要求</w:t>
                  </w:r>
                </w:p>
              </w:tc>
              <w:tc>
                <w:tcPr>
                  <w:tcW w:type="dxa" w:w="709"/>
                  <w:tcBorders>
                    <w:top w:val="double" w:color="000000" w:sz="8"/>
                    <w:left w:val="none" w:color="000000" w:sz="4"/>
                    <w:bottom w:val="single" w:color="000000" w:sz="4"/>
                    <w:right w:val="double" w:color="000000" w:sz="8"/>
                  </w:tcBorders>
                </w:tcPr>
                <w:p>
                  <w:pPr>
                    <w:jc w:val="center"/>
                  </w:pPr>
                  <w:r>
                    <w:rPr>
                      <w:b/>
                      <w:color w:val="000000"/>
                      <w:sz w:val="19"/>
                    </w:rPr>
                    <w:t>备注</w:t>
                  </w:r>
                </w:p>
              </w:tc>
            </w:tr>
            <w:tr>
              <w:tc>
                <w:tcPr>
                  <w:tcW w:type="dxa" w:w="422"/>
                  <w:tcBorders>
                    <w:top w:val="none" w:color="000000" w:sz="4"/>
                    <w:left w:val="double" w:color="000000" w:sz="8"/>
                    <w:bottom w:val="single" w:color="000000" w:sz="4"/>
                    <w:right w:val="single" w:color="000000" w:sz="4"/>
                  </w:tcBorders>
                </w:tcPr>
                <w:p>
                  <w:pPr>
                    <w:jc w:val="center"/>
                  </w:pPr>
                  <w:r>
                    <w:rPr>
                      <w:color w:val="000000"/>
                      <w:sz w:val="19"/>
                    </w:rPr>
                    <w:t>1</w:t>
                  </w:r>
                </w:p>
              </w:tc>
              <w:tc>
                <w:tcPr>
                  <w:tcW w:type="dxa" w:w="945"/>
                  <w:tcBorders>
                    <w:top w:val="none" w:color="000000" w:sz="4"/>
                    <w:left w:val="none" w:color="000000" w:sz="4"/>
                    <w:bottom w:val="single" w:color="000000" w:sz="4"/>
                    <w:right w:val="single" w:color="000000" w:sz="4"/>
                  </w:tcBorders>
                </w:tcPr>
                <w:p>
                  <w:pPr>
                    <w:jc w:val="center"/>
                  </w:pPr>
                  <w:r>
                    <w:rPr>
                      <w:color w:val="000000"/>
                      <w:sz w:val="19"/>
                    </w:rPr>
                    <w:t>培训学员</w:t>
                  </w:r>
                </w:p>
              </w:tc>
              <w:tc>
                <w:tcPr>
                  <w:tcW w:type="dxa" w:w="709"/>
                  <w:tcBorders>
                    <w:top w:val="none" w:color="000000" w:sz="4"/>
                    <w:left w:val="none" w:color="000000" w:sz="4"/>
                    <w:bottom w:val="single" w:color="000000" w:sz="4"/>
                    <w:right w:val="single" w:color="000000" w:sz="4"/>
                  </w:tcBorders>
                </w:tcPr>
                <w:p>
                  <w:pPr>
                    <w:jc w:val="center"/>
                  </w:pPr>
                  <w:r>
                    <w:rPr>
                      <w:color w:val="000000"/>
                      <w:sz w:val="19"/>
                    </w:rPr>
                    <w:t>1</w:t>
                  </w:r>
                </w:p>
              </w:tc>
              <w:tc>
                <w:tcPr>
                  <w:tcW w:type="dxa" w:w="1181"/>
                  <w:tcBorders>
                    <w:top w:val="none" w:color="000000" w:sz="4"/>
                    <w:left w:val="none" w:color="000000" w:sz="4"/>
                    <w:bottom w:val="single" w:color="000000" w:sz="4"/>
                    <w:right w:val="single" w:color="000000" w:sz="4"/>
                  </w:tcBorders>
                </w:tcPr>
                <w:p>
                  <w:pPr>
                    <w:jc w:val="center"/>
                  </w:pPr>
                  <w:r>
                    <w:rPr>
                      <w:color w:val="000000"/>
                      <w:sz w:val="19"/>
                    </w:rPr>
                    <w:t>大专及以上</w:t>
                  </w:r>
                </w:p>
              </w:tc>
              <w:tc>
                <w:tcPr>
                  <w:tcW w:type="dxa" w:w="1642"/>
                  <w:tcBorders>
                    <w:top w:val="none" w:color="000000" w:sz="4"/>
                    <w:left w:val="none" w:color="000000" w:sz="4"/>
                    <w:bottom w:val="single" w:color="000000" w:sz="4"/>
                    <w:right w:val="single" w:color="000000" w:sz="4"/>
                  </w:tcBorders>
                </w:tcPr>
                <w:p>
                  <w:pPr>
                    <w:jc w:val="center"/>
                  </w:pPr>
                  <w:r>
                    <w:rPr>
                      <w:color w:val="000000"/>
                      <w:sz w:val="19"/>
                    </w:rPr>
                    <w:t>不限</w:t>
                  </w:r>
                </w:p>
              </w:tc>
              <w:tc>
                <w:tcPr>
                  <w:tcW w:type="dxa" w:w="709"/>
                  <w:tcBorders>
                    <w:top w:val="none" w:color="000000" w:sz="4"/>
                    <w:left w:val="none" w:color="000000" w:sz="4"/>
                    <w:bottom w:val="single" w:color="000000" w:sz="4"/>
                    <w:right w:val="double" w:color="000000" w:sz="8"/>
                  </w:tcBorders>
                </w:tcPr>
                <w:p>
                  <w:pPr>
                    <w:jc w:val="center"/>
                  </w:pPr>
                </w:p>
              </w:tc>
            </w:tr>
            <w:tr>
              <w:tc>
                <w:tcPr>
                  <w:tcW w:type="dxa" w:w="422"/>
                  <w:tcBorders>
                    <w:top w:val="none" w:color="000000" w:sz="4"/>
                    <w:left w:val="double" w:color="000000" w:sz="8"/>
                    <w:bottom w:val="single" w:color="000000" w:sz="4"/>
                    <w:right w:val="single" w:color="000000" w:sz="4"/>
                  </w:tcBorders>
                </w:tcPr>
                <w:p>
                  <w:pPr>
                    <w:jc w:val="center"/>
                  </w:pPr>
                  <w:r>
                    <w:rPr>
                      <w:color w:val="000000"/>
                      <w:sz w:val="19"/>
                    </w:rPr>
                    <w:t>2</w:t>
                  </w:r>
                </w:p>
              </w:tc>
              <w:tc>
                <w:tcPr>
                  <w:tcW w:type="dxa" w:w="945"/>
                  <w:tcBorders>
                    <w:top w:val="none" w:color="000000" w:sz="4"/>
                    <w:left w:val="none" w:color="000000" w:sz="4"/>
                    <w:bottom w:val="single" w:color="000000" w:sz="4"/>
                    <w:right w:val="single" w:color="000000" w:sz="4"/>
                  </w:tcBorders>
                </w:tcPr>
                <w:p>
                  <w:pPr>
                    <w:jc w:val="center"/>
                  </w:pPr>
                  <w:r>
                    <w:rPr>
                      <w:color w:val="000000"/>
                      <w:sz w:val="19"/>
                    </w:rPr>
                    <w:t>检验师</w:t>
                  </w:r>
                </w:p>
              </w:tc>
              <w:tc>
                <w:tcPr>
                  <w:tcW w:type="dxa" w:w="709"/>
                  <w:tcBorders>
                    <w:top w:val="none" w:color="000000" w:sz="4"/>
                    <w:left w:val="none" w:color="000000" w:sz="4"/>
                    <w:bottom w:val="single" w:color="000000" w:sz="4"/>
                    <w:right w:val="single" w:color="000000" w:sz="4"/>
                  </w:tcBorders>
                </w:tcPr>
                <w:p>
                  <w:pPr>
                    <w:jc w:val="center"/>
                  </w:pPr>
                  <w:r>
                    <w:rPr>
                      <w:color w:val="000000"/>
                      <w:sz w:val="19"/>
                    </w:rPr>
                    <w:t>3</w:t>
                  </w:r>
                </w:p>
              </w:tc>
              <w:tc>
                <w:tcPr>
                  <w:tcW w:type="dxa" w:w="1181"/>
                  <w:tcBorders>
                    <w:top w:val="none" w:color="000000" w:sz="4"/>
                    <w:left w:val="none" w:color="000000" w:sz="4"/>
                    <w:bottom w:val="single" w:color="000000" w:sz="4"/>
                    <w:right w:val="single" w:color="000000" w:sz="4"/>
                  </w:tcBorders>
                </w:tcPr>
                <w:p>
                  <w:pPr>
                    <w:jc w:val="center"/>
                  </w:pPr>
                  <w:r>
                    <w:rPr>
                      <w:color w:val="000000"/>
                      <w:sz w:val="19"/>
                    </w:rPr>
                    <w:t>大专及以上</w:t>
                  </w:r>
                </w:p>
              </w:tc>
              <w:tc>
                <w:tcPr>
                  <w:tcW w:type="dxa" w:w="1642"/>
                  <w:tcBorders>
                    <w:top w:val="none" w:color="000000" w:sz="4"/>
                    <w:left w:val="none" w:color="000000" w:sz="4"/>
                    <w:bottom w:val="single" w:color="000000" w:sz="4"/>
                    <w:right w:val="single" w:color="000000" w:sz="4"/>
                  </w:tcBorders>
                </w:tcPr>
                <w:p>
                  <w:pPr>
                    <w:jc w:val="center"/>
                  </w:pPr>
                  <w:r>
                    <w:rPr>
                      <w:color w:val="000000"/>
                      <w:sz w:val="19"/>
                    </w:rPr>
                    <w:t>取得检验师资格</w:t>
                  </w:r>
                </w:p>
              </w:tc>
              <w:tc>
                <w:tcPr>
                  <w:tcW w:type="dxa" w:w="709"/>
                  <w:tcBorders>
                    <w:top w:val="none" w:color="000000" w:sz="4"/>
                    <w:left w:val="none" w:color="000000" w:sz="4"/>
                    <w:bottom w:val="single" w:color="000000" w:sz="4"/>
                    <w:right w:val="double" w:color="000000" w:sz="8"/>
                  </w:tcBorders>
                </w:tcPr>
                <w:p>
                  <w:pPr>
                    <w:jc w:val="center"/>
                  </w:pPr>
                </w:p>
              </w:tc>
            </w:tr>
            <w:tr>
              <w:tc>
                <w:tcPr>
                  <w:tcW w:type="dxa" w:w="422"/>
                  <w:tcBorders>
                    <w:top w:val="none" w:color="000000" w:sz="4"/>
                    <w:left w:val="double" w:color="000000" w:sz="8"/>
                    <w:bottom w:val="single" w:color="000000" w:sz="4"/>
                    <w:right w:val="single" w:color="000000" w:sz="4"/>
                  </w:tcBorders>
                </w:tcPr>
                <w:p>
                  <w:pPr>
                    <w:jc w:val="center"/>
                  </w:pPr>
                  <w:r>
                    <w:rPr>
                      <w:color w:val="000000"/>
                      <w:sz w:val="19"/>
                    </w:rPr>
                    <w:t>3</w:t>
                  </w:r>
                </w:p>
              </w:tc>
              <w:tc>
                <w:tcPr>
                  <w:tcW w:type="dxa" w:w="945"/>
                  <w:tcBorders>
                    <w:top w:val="none" w:color="000000" w:sz="4"/>
                    <w:left w:val="none" w:color="000000" w:sz="4"/>
                    <w:bottom w:val="single" w:color="000000" w:sz="4"/>
                    <w:right w:val="single" w:color="000000" w:sz="4"/>
                  </w:tcBorders>
                </w:tcPr>
                <w:p>
                  <w:pPr>
                    <w:jc w:val="center"/>
                  </w:pPr>
                  <w:r>
                    <w:rPr>
                      <w:color w:val="000000"/>
                      <w:sz w:val="19"/>
                    </w:rPr>
                    <w:t>医师</w:t>
                  </w:r>
                </w:p>
              </w:tc>
              <w:tc>
                <w:tcPr>
                  <w:tcW w:type="dxa" w:w="709"/>
                  <w:tcBorders>
                    <w:top w:val="none" w:color="000000" w:sz="4"/>
                    <w:left w:val="none" w:color="000000" w:sz="4"/>
                    <w:bottom w:val="single" w:color="000000" w:sz="4"/>
                    <w:right w:val="single" w:color="000000" w:sz="4"/>
                  </w:tcBorders>
                </w:tcPr>
                <w:p>
                  <w:pPr>
                    <w:jc w:val="center"/>
                  </w:pPr>
                  <w:r>
                    <w:rPr>
                      <w:color w:val="000000"/>
                      <w:sz w:val="19"/>
                    </w:rPr>
                    <w:t>1</w:t>
                  </w:r>
                </w:p>
              </w:tc>
              <w:tc>
                <w:tcPr>
                  <w:tcW w:type="dxa" w:w="1181"/>
                  <w:tcBorders>
                    <w:top w:val="none" w:color="000000" w:sz="4"/>
                    <w:left w:val="none" w:color="000000" w:sz="4"/>
                    <w:bottom w:val="single" w:color="000000" w:sz="4"/>
                    <w:right w:val="single" w:color="000000" w:sz="4"/>
                  </w:tcBorders>
                </w:tcPr>
                <w:p>
                  <w:pPr>
                    <w:jc w:val="center"/>
                  </w:pPr>
                  <w:r>
                    <w:rPr>
                      <w:color w:val="000000"/>
                      <w:sz w:val="19"/>
                    </w:rPr>
                    <w:t>本科及以上</w:t>
                  </w:r>
                </w:p>
              </w:tc>
              <w:tc>
                <w:tcPr>
                  <w:tcW w:type="dxa" w:w="1642"/>
                  <w:tcBorders>
                    <w:top w:val="none" w:color="000000" w:sz="4"/>
                    <w:left w:val="none" w:color="000000" w:sz="4"/>
                    <w:bottom w:val="single" w:color="000000" w:sz="4"/>
                    <w:right w:val="single" w:color="000000" w:sz="4"/>
                  </w:tcBorders>
                </w:tcPr>
                <w:p>
                  <w:pPr>
                    <w:jc w:val="center"/>
                  </w:pPr>
                  <w:r>
                    <w:rPr>
                      <w:color w:val="000000"/>
                      <w:sz w:val="19"/>
                    </w:rPr>
                    <w:t>取得医师资格</w:t>
                  </w:r>
                </w:p>
              </w:tc>
              <w:tc>
                <w:tcPr>
                  <w:tcW w:type="dxa" w:w="709"/>
                  <w:tcBorders>
                    <w:top w:val="none" w:color="000000" w:sz="4"/>
                    <w:left w:val="none" w:color="000000" w:sz="4"/>
                    <w:bottom w:val="single" w:color="000000" w:sz="4"/>
                    <w:right w:val="double" w:color="000000" w:sz="8"/>
                  </w:tcBorders>
                </w:tcPr>
                <w:p>
                  <w:pPr>
                    <w:jc w:val="center"/>
                  </w:pPr>
                </w:p>
              </w:tc>
            </w:tr>
            <w:tr>
              <w:tc>
                <w:tcPr>
                  <w:tcW w:type="dxa" w:w="422"/>
                  <w:tcBorders>
                    <w:top w:val="none" w:color="000000" w:sz="4"/>
                    <w:left w:val="double" w:color="000000" w:sz="8"/>
                    <w:bottom w:val="single" w:color="000000" w:sz="4"/>
                    <w:right w:val="single" w:color="000000" w:sz="4"/>
                  </w:tcBorders>
                </w:tcPr>
                <w:p>
                  <w:pPr>
                    <w:jc w:val="center"/>
                  </w:pPr>
                  <w:r>
                    <w:rPr>
                      <w:color w:val="000000"/>
                      <w:sz w:val="19"/>
                    </w:rPr>
                    <w:t>4</w:t>
                  </w:r>
                </w:p>
              </w:tc>
              <w:tc>
                <w:tcPr>
                  <w:tcW w:type="dxa" w:w="945"/>
                  <w:tcBorders>
                    <w:top w:val="none" w:color="000000" w:sz="4"/>
                    <w:left w:val="none" w:color="000000" w:sz="4"/>
                    <w:bottom w:val="single" w:color="000000" w:sz="4"/>
                    <w:right w:val="single" w:color="000000" w:sz="4"/>
                  </w:tcBorders>
                </w:tcPr>
                <w:p>
                  <w:pPr>
                    <w:jc w:val="center"/>
                  </w:pPr>
                  <w:r>
                    <w:rPr>
                      <w:color w:val="000000"/>
                      <w:sz w:val="19"/>
                    </w:rPr>
                    <w:t>药剂人员</w:t>
                  </w:r>
                </w:p>
              </w:tc>
              <w:tc>
                <w:tcPr>
                  <w:tcW w:type="dxa" w:w="709"/>
                  <w:tcBorders>
                    <w:top w:val="none" w:color="000000" w:sz="4"/>
                    <w:left w:val="none" w:color="000000" w:sz="4"/>
                    <w:bottom w:val="single" w:color="000000" w:sz="4"/>
                    <w:right w:val="single" w:color="000000" w:sz="4"/>
                  </w:tcBorders>
                </w:tcPr>
                <w:p>
                  <w:pPr>
                    <w:jc w:val="center"/>
                  </w:pPr>
                  <w:r>
                    <w:rPr>
                      <w:color w:val="000000"/>
                      <w:sz w:val="19"/>
                    </w:rPr>
                    <w:t>6</w:t>
                  </w:r>
                </w:p>
              </w:tc>
              <w:tc>
                <w:tcPr>
                  <w:tcW w:type="dxa" w:w="1181"/>
                  <w:tcBorders>
                    <w:top w:val="none" w:color="000000" w:sz="4"/>
                    <w:left w:val="none" w:color="000000" w:sz="4"/>
                    <w:bottom w:val="single" w:color="000000" w:sz="4"/>
                    <w:right w:val="single" w:color="000000" w:sz="4"/>
                  </w:tcBorders>
                </w:tcPr>
                <w:p>
                  <w:pPr>
                    <w:jc w:val="center"/>
                  </w:pPr>
                  <w:r>
                    <w:rPr>
                      <w:color w:val="000000"/>
                      <w:sz w:val="19"/>
                    </w:rPr>
                    <w:t>大专及以上</w:t>
                  </w:r>
                </w:p>
              </w:tc>
              <w:tc>
                <w:tcPr>
                  <w:tcW w:type="dxa" w:w="1642"/>
                  <w:tcBorders>
                    <w:top w:val="none" w:color="000000" w:sz="4"/>
                    <w:left w:val="none" w:color="000000" w:sz="4"/>
                    <w:bottom w:val="single" w:color="000000" w:sz="4"/>
                    <w:right w:val="single" w:color="000000" w:sz="4"/>
                  </w:tcBorders>
                </w:tcPr>
                <w:p>
                  <w:pPr>
                    <w:jc w:val="center"/>
                  </w:pPr>
                  <w:r>
                    <w:rPr>
                      <w:color w:val="000000"/>
                      <w:sz w:val="19"/>
                    </w:rPr>
                    <w:t>取得药剂师资格</w:t>
                  </w:r>
                </w:p>
              </w:tc>
              <w:tc>
                <w:tcPr>
                  <w:tcW w:type="dxa" w:w="709"/>
                  <w:tcBorders>
                    <w:top w:val="none" w:color="000000" w:sz="4"/>
                    <w:left w:val="none" w:color="000000" w:sz="4"/>
                    <w:bottom w:val="single" w:color="000000" w:sz="4"/>
                    <w:right w:val="double" w:color="000000" w:sz="8"/>
                  </w:tcBorders>
                </w:tcPr>
                <w:p>
                  <w:pPr>
                    <w:jc w:val="center"/>
                  </w:pPr>
                </w:p>
              </w:tc>
            </w:tr>
            <w:tr>
              <w:tc>
                <w:tcPr>
                  <w:tcW w:type="dxa" w:w="422"/>
                  <w:tcBorders>
                    <w:top w:val="none" w:color="000000" w:sz="4"/>
                    <w:left w:val="double" w:color="000000" w:sz="8"/>
                    <w:bottom w:val="single" w:color="000000" w:sz="4"/>
                    <w:right w:val="single" w:color="000000" w:sz="4"/>
                  </w:tcBorders>
                </w:tcPr>
                <w:p>
                  <w:pPr>
                    <w:jc w:val="center"/>
                  </w:pPr>
                  <w:r>
                    <w:rPr>
                      <w:color w:val="000000"/>
                      <w:sz w:val="19"/>
                    </w:rPr>
                    <w:t>5</w:t>
                  </w:r>
                </w:p>
              </w:tc>
              <w:tc>
                <w:tcPr>
                  <w:tcW w:type="dxa" w:w="945"/>
                  <w:tcBorders>
                    <w:top w:val="none" w:color="000000" w:sz="4"/>
                    <w:left w:val="none" w:color="000000" w:sz="4"/>
                    <w:bottom w:val="single" w:color="000000" w:sz="4"/>
                    <w:right w:val="single" w:color="000000" w:sz="4"/>
                  </w:tcBorders>
                </w:tcPr>
                <w:p>
                  <w:pPr>
                    <w:jc w:val="center"/>
                  </w:pPr>
                  <w:r>
                    <w:rPr>
                      <w:color w:val="000000"/>
                      <w:sz w:val="19"/>
                    </w:rPr>
                    <w:t>文员</w:t>
                  </w:r>
                </w:p>
              </w:tc>
              <w:tc>
                <w:tcPr>
                  <w:tcW w:type="dxa" w:w="709"/>
                  <w:tcBorders>
                    <w:top w:val="none" w:color="000000" w:sz="4"/>
                    <w:left w:val="none" w:color="000000" w:sz="4"/>
                    <w:bottom w:val="single" w:color="000000" w:sz="4"/>
                    <w:right w:val="single" w:color="000000" w:sz="4"/>
                  </w:tcBorders>
                </w:tcPr>
                <w:p>
                  <w:pPr>
                    <w:jc w:val="center"/>
                  </w:pPr>
                  <w:r>
                    <w:rPr>
                      <w:color w:val="000000"/>
                      <w:sz w:val="19"/>
                    </w:rPr>
                    <w:t>14</w:t>
                  </w:r>
                </w:p>
              </w:tc>
              <w:tc>
                <w:tcPr>
                  <w:tcW w:type="dxa" w:w="1181"/>
                  <w:tcBorders>
                    <w:top w:val="none" w:color="000000" w:sz="4"/>
                    <w:left w:val="none" w:color="000000" w:sz="4"/>
                    <w:bottom w:val="single" w:color="000000" w:sz="4"/>
                    <w:right w:val="single" w:color="000000" w:sz="4"/>
                  </w:tcBorders>
                </w:tcPr>
                <w:p>
                  <w:pPr>
                    <w:jc w:val="center"/>
                  </w:pPr>
                  <w:r>
                    <w:rPr>
                      <w:color w:val="000000"/>
                      <w:sz w:val="19"/>
                    </w:rPr>
                    <w:t>大专及以上</w:t>
                  </w:r>
                </w:p>
              </w:tc>
              <w:tc>
                <w:tcPr>
                  <w:tcW w:type="dxa" w:w="1642"/>
                  <w:tcBorders>
                    <w:top w:val="none" w:color="000000" w:sz="4"/>
                    <w:left w:val="none" w:color="000000" w:sz="4"/>
                    <w:bottom w:val="single" w:color="000000" w:sz="4"/>
                    <w:right w:val="single" w:color="000000" w:sz="4"/>
                  </w:tcBorders>
                </w:tcPr>
                <w:p>
                  <w:pPr>
                    <w:jc w:val="center"/>
                  </w:pPr>
                  <w:r>
                    <w:rPr>
                      <w:color w:val="000000"/>
                      <w:sz w:val="19"/>
                    </w:rPr>
                    <w:t>取得相应岗位的资格</w:t>
                  </w:r>
                </w:p>
              </w:tc>
              <w:tc>
                <w:tcPr>
                  <w:tcW w:type="dxa" w:w="709"/>
                  <w:tcBorders>
                    <w:top w:val="none" w:color="000000" w:sz="4"/>
                    <w:left w:val="none" w:color="000000" w:sz="4"/>
                    <w:bottom w:val="single" w:color="000000" w:sz="4"/>
                    <w:right w:val="double" w:color="000000" w:sz="8"/>
                  </w:tcBorders>
                </w:tcPr>
                <w:p>
                  <w:pPr>
                    <w:jc w:val="center"/>
                  </w:pPr>
                </w:p>
              </w:tc>
            </w:tr>
            <w:tr>
              <w:tc>
                <w:tcPr>
                  <w:tcW w:type="dxa" w:w="422"/>
                  <w:tcBorders>
                    <w:top w:val="none" w:color="000000" w:sz="4"/>
                    <w:left w:val="double" w:color="000000" w:sz="8"/>
                    <w:bottom w:val="single" w:color="000000" w:sz="4"/>
                    <w:right w:val="single" w:color="000000" w:sz="4"/>
                  </w:tcBorders>
                </w:tcPr>
                <w:p>
                  <w:pPr>
                    <w:jc w:val="center"/>
                  </w:pPr>
                  <w:r>
                    <w:rPr>
                      <w:color w:val="000000"/>
                      <w:sz w:val="19"/>
                    </w:rPr>
                    <w:t>6</w:t>
                  </w:r>
                </w:p>
              </w:tc>
              <w:tc>
                <w:tcPr>
                  <w:tcW w:type="dxa" w:w="945"/>
                  <w:tcBorders>
                    <w:top w:val="none" w:color="000000" w:sz="4"/>
                    <w:left w:val="none" w:color="000000" w:sz="4"/>
                    <w:bottom w:val="single" w:color="000000" w:sz="4"/>
                    <w:right w:val="single" w:color="000000" w:sz="4"/>
                  </w:tcBorders>
                </w:tcPr>
                <w:p>
                  <w:pPr>
                    <w:jc w:val="center"/>
                  </w:pPr>
                  <w:r>
                    <w:rPr>
                      <w:color w:val="000000"/>
                      <w:sz w:val="19"/>
                    </w:rPr>
                    <w:t>资料员、导诊</w:t>
                  </w:r>
                </w:p>
              </w:tc>
              <w:tc>
                <w:tcPr>
                  <w:tcW w:type="dxa" w:w="709"/>
                  <w:tcBorders>
                    <w:top w:val="none" w:color="000000" w:sz="4"/>
                    <w:left w:val="none" w:color="000000" w:sz="4"/>
                    <w:bottom w:val="single" w:color="000000" w:sz="4"/>
                    <w:right w:val="single" w:color="000000" w:sz="4"/>
                  </w:tcBorders>
                </w:tcPr>
                <w:p>
                  <w:pPr>
                    <w:jc w:val="center"/>
                  </w:pPr>
                  <w:r>
                    <w:rPr>
                      <w:color w:val="000000"/>
                      <w:sz w:val="19"/>
                    </w:rPr>
                    <w:t>3</w:t>
                  </w:r>
                </w:p>
              </w:tc>
              <w:tc>
                <w:tcPr>
                  <w:tcW w:type="dxa" w:w="1181"/>
                  <w:tcBorders>
                    <w:top w:val="none" w:color="000000" w:sz="4"/>
                    <w:left w:val="none" w:color="000000" w:sz="4"/>
                    <w:bottom w:val="single" w:color="000000" w:sz="4"/>
                    <w:right w:val="single" w:color="000000" w:sz="4"/>
                  </w:tcBorders>
                </w:tcPr>
                <w:p>
                  <w:pPr>
                    <w:jc w:val="center"/>
                  </w:pPr>
                  <w:r>
                    <w:rPr>
                      <w:color w:val="000000"/>
                      <w:sz w:val="19"/>
                    </w:rPr>
                    <w:t>中专及以上</w:t>
                  </w:r>
                </w:p>
              </w:tc>
              <w:tc>
                <w:tcPr>
                  <w:tcW w:type="dxa" w:w="1642"/>
                  <w:tcBorders>
                    <w:top w:val="none" w:color="000000" w:sz="4"/>
                    <w:left w:val="none" w:color="000000" w:sz="4"/>
                    <w:bottom w:val="single" w:color="000000" w:sz="4"/>
                    <w:right w:val="single" w:color="000000" w:sz="4"/>
                  </w:tcBorders>
                </w:tcPr>
                <w:p>
                  <w:pPr>
                    <w:jc w:val="center"/>
                  </w:pPr>
                  <w:r>
                    <w:rPr>
                      <w:color w:val="000000"/>
                      <w:sz w:val="19"/>
                    </w:rPr>
                    <w:t>不限</w:t>
                  </w:r>
                </w:p>
              </w:tc>
              <w:tc>
                <w:tcPr>
                  <w:tcW w:type="dxa" w:w="709"/>
                  <w:tcBorders>
                    <w:top w:val="none" w:color="000000" w:sz="4"/>
                    <w:left w:val="none" w:color="000000" w:sz="4"/>
                    <w:bottom w:val="single" w:color="000000" w:sz="4"/>
                    <w:right w:val="double" w:color="000000" w:sz="8"/>
                  </w:tcBorders>
                </w:tcPr>
                <w:p>
                  <w:pPr>
                    <w:jc w:val="center"/>
                  </w:pPr>
                </w:p>
              </w:tc>
            </w:tr>
            <w:tr>
              <w:tc>
                <w:tcPr>
                  <w:tcW w:type="dxa" w:w="422"/>
                  <w:vMerge w:val="restart"/>
                  <w:tcBorders>
                    <w:top w:val="none" w:color="000000" w:sz="4"/>
                    <w:left w:val="double" w:color="000000" w:sz="8"/>
                    <w:bottom w:val="single" w:color="000000" w:sz="4"/>
                    <w:right w:val="single" w:color="000000" w:sz="4"/>
                  </w:tcBorders>
                </w:tcPr>
                <w:p>
                  <w:pPr>
                    <w:jc w:val="center"/>
                  </w:pPr>
                  <w:r>
                    <w:rPr>
                      <w:color w:val="000000"/>
                      <w:sz w:val="19"/>
                    </w:rPr>
                    <w:t>7</w:t>
                  </w:r>
                </w:p>
              </w:tc>
              <w:tc>
                <w:tcPr>
                  <w:tcW w:type="dxa" w:w="945"/>
                  <w:tcBorders>
                    <w:top w:val="none" w:color="000000" w:sz="4"/>
                    <w:left w:val="none" w:color="000000" w:sz="4"/>
                    <w:bottom w:val="single" w:color="000000" w:sz="4"/>
                    <w:right w:val="single" w:color="000000" w:sz="4"/>
                  </w:tcBorders>
                </w:tcPr>
                <w:p>
                  <w:pPr>
                    <w:jc w:val="center"/>
                  </w:pPr>
                  <w:r>
                    <w:rPr>
                      <w:color w:val="000000"/>
                      <w:sz w:val="19"/>
                    </w:rPr>
                    <w:t>收费（组长）</w:t>
                  </w:r>
                </w:p>
              </w:tc>
              <w:tc>
                <w:tcPr>
                  <w:tcW w:type="dxa" w:w="709"/>
                  <w:tcBorders>
                    <w:top w:val="none" w:color="000000" w:sz="4"/>
                    <w:left w:val="none" w:color="000000" w:sz="4"/>
                    <w:bottom w:val="single" w:color="000000" w:sz="4"/>
                    <w:right w:val="single" w:color="000000" w:sz="4"/>
                  </w:tcBorders>
                </w:tcPr>
                <w:p>
                  <w:pPr>
                    <w:jc w:val="center"/>
                  </w:pPr>
                  <w:r>
                    <w:rPr>
                      <w:color w:val="000000"/>
                      <w:sz w:val="19"/>
                    </w:rPr>
                    <w:t>1</w:t>
                  </w:r>
                </w:p>
              </w:tc>
              <w:tc>
                <w:tcPr>
                  <w:tcW w:type="dxa" w:w="1181"/>
                  <w:tcBorders>
                    <w:top w:val="none" w:color="000000" w:sz="4"/>
                    <w:left w:val="none" w:color="000000" w:sz="4"/>
                    <w:bottom w:val="single" w:color="000000" w:sz="4"/>
                    <w:right w:val="single" w:color="000000" w:sz="4"/>
                  </w:tcBorders>
                </w:tcPr>
                <w:p>
                  <w:pPr>
                    <w:jc w:val="center"/>
                  </w:pPr>
                  <w:r>
                    <w:rPr>
                      <w:color w:val="000000"/>
                      <w:sz w:val="19"/>
                    </w:rPr>
                    <w:t>大专及以上</w:t>
                  </w:r>
                </w:p>
              </w:tc>
              <w:tc>
                <w:tcPr>
                  <w:tcW w:type="dxa" w:w="1642"/>
                  <w:tcBorders>
                    <w:top w:val="none" w:color="000000" w:sz="4"/>
                    <w:left w:val="none" w:color="000000" w:sz="4"/>
                    <w:bottom w:val="single" w:color="000000" w:sz="4"/>
                    <w:right w:val="single" w:color="000000" w:sz="4"/>
                  </w:tcBorders>
                </w:tcPr>
                <w:p>
                  <w:pPr>
                    <w:jc w:val="center"/>
                  </w:pPr>
                  <w:r>
                    <w:rPr>
                      <w:color w:val="000000"/>
                      <w:sz w:val="19"/>
                    </w:rPr>
                    <w:t>具有财务专业或医院工作经验优先</w:t>
                  </w:r>
                </w:p>
              </w:tc>
              <w:tc>
                <w:tcPr>
                  <w:tcW w:type="dxa" w:w="709"/>
                  <w:tcBorders>
                    <w:top w:val="none" w:color="000000" w:sz="4"/>
                    <w:left w:val="none" w:color="000000" w:sz="4"/>
                    <w:bottom w:val="single" w:color="000000" w:sz="4"/>
                    <w:right w:val="double" w:color="000000" w:sz="8"/>
                  </w:tcBorders>
                </w:tcPr>
                <w:p>
                  <w:pPr>
                    <w:jc w:val="center"/>
                  </w:pPr>
                </w:p>
              </w:tc>
            </w:tr>
            <w:tr>
              <w:tc>
                <w:tcPr>
                  <w:tcW w:type="dxa" w:w="422"/>
                  <w:vMerge/>
                  <w:tcBorders>
                    <w:top w:val="none" w:color="000000" w:sz="4"/>
                    <w:left w:val="double" w:color="000000" w:sz="8"/>
                    <w:bottom w:val="single" w:color="000000" w:sz="4"/>
                    <w:right w:val="single" w:color="000000" w:sz="4"/>
                  </w:tcBorders>
                </w:tcPr>
                <w:p/>
              </w:tc>
              <w:tc>
                <w:tcPr>
                  <w:tcW w:type="dxa" w:w="945"/>
                  <w:tcBorders>
                    <w:top w:val="none" w:color="000000" w:sz="4"/>
                    <w:left w:val="none" w:color="000000" w:sz="4"/>
                    <w:bottom w:val="single" w:color="000000" w:sz="4"/>
                    <w:right w:val="single" w:color="000000" w:sz="4"/>
                  </w:tcBorders>
                </w:tcPr>
                <w:p>
                  <w:pPr>
                    <w:jc w:val="center"/>
                  </w:pPr>
                  <w:r>
                    <w:rPr>
                      <w:color w:val="000000"/>
                      <w:sz w:val="19"/>
                    </w:rPr>
                    <w:t>收费</w:t>
                  </w:r>
                </w:p>
              </w:tc>
              <w:tc>
                <w:tcPr>
                  <w:tcW w:type="dxa" w:w="709"/>
                  <w:tcBorders>
                    <w:top w:val="none" w:color="000000" w:sz="4"/>
                    <w:left w:val="none" w:color="000000" w:sz="4"/>
                    <w:bottom w:val="single" w:color="000000" w:sz="4"/>
                    <w:right w:val="single" w:color="000000" w:sz="4"/>
                  </w:tcBorders>
                </w:tcPr>
                <w:p>
                  <w:pPr>
                    <w:jc w:val="center"/>
                  </w:pPr>
                  <w:r>
                    <w:rPr>
                      <w:color w:val="000000"/>
                      <w:sz w:val="19"/>
                    </w:rPr>
                    <w:t>7</w:t>
                  </w:r>
                </w:p>
              </w:tc>
              <w:tc>
                <w:tcPr>
                  <w:tcW w:type="dxa" w:w="1181"/>
                  <w:tcBorders>
                    <w:top w:val="none" w:color="000000" w:sz="4"/>
                    <w:left w:val="none" w:color="000000" w:sz="4"/>
                    <w:bottom w:val="single" w:color="000000" w:sz="4"/>
                    <w:right w:val="single" w:color="000000" w:sz="4"/>
                  </w:tcBorders>
                </w:tcPr>
                <w:p>
                  <w:pPr>
                    <w:jc w:val="center"/>
                  </w:pPr>
                  <w:r>
                    <w:rPr>
                      <w:color w:val="000000"/>
                      <w:sz w:val="19"/>
                    </w:rPr>
                    <w:t>中专及以上</w:t>
                  </w:r>
                </w:p>
              </w:tc>
              <w:tc>
                <w:tcPr>
                  <w:tcW w:type="dxa" w:w="1642"/>
                  <w:tcBorders>
                    <w:top w:val="none" w:color="000000" w:sz="4"/>
                    <w:left w:val="none" w:color="000000" w:sz="4"/>
                    <w:bottom w:val="single" w:color="000000" w:sz="4"/>
                    <w:right w:val="single" w:color="000000" w:sz="4"/>
                  </w:tcBorders>
                </w:tcPr>
                <w:p>
                  <w:pPr>
                    <w:jc w:val="center"/>
                  </w:pPr>
                  <w:r>
                    <w:rPr>
                      <w:color w:val="000000"/>
                      <w:sz w:val="19"/>
                    </w:rPr>
                    <w:t>具有财务专业或医院工作经验优先</w:t>
                  </w:r>
                </w:p>
              </w:tc>
              <w:tc>
                <w:tcPr>
                  <w:tcW w:type="dxa" w:w="709"/>
                  <w:tcBorders>
                    <w:top w:val="none" w:color="000000" w:sz="4"/>
                    <w:left w:val="none" w:color="000000" w:sz="4"/>
                    <w:bottom w:val="single" w:color="000000" w:sz="4"/>
                    <w:right w:val="double" w:color="000000" w:sz="8"/>
                  </w:tcBorders>
                </w:tcPr>
                <w:p>
                  <w:pPr>
                    <w:jc w:val="center"/>
                  </w:pPr>
                </w:p>
              </w:tc>
            </w:tr>
            <w:tr>
              <w:tc>
                <w:tcPr>
                  <w:tcW w:type="dxa" w:w="422"/>
                  <w:tcBorders>
                    <w:top w:val="none" w:color="000000" w:sz="4"/>
                    <w:left w:val="double" w:color="000000" w:sz="8"/>
                    <w:bottom w:val="single" w:color="000000" w:sz="4"/>
                    <w:right w:val="single" w:color="000000" w:sz="4"/>
                  </w:tcBorders>
                </w:tcPr>
                <w:p>
                  <w:pPr>
                    <w:jc w:val="center"/>
                  </w:pPr>
                  <w:r>
                    <w:rPr>
                      <w:color w:val="000000"/>
                      <w:sz w:val="19"/>
                    </w:rPr>
                    <w:t>8</w:t>
                  </w:r>
                </w:p>
              </w:tc>
              <w:tc>
                <w:tcPr>
                  <w:tcW w:type="dxa" w:w="945"/>
                  <w:tcBorders>
                    <w:top w:val="none" w:color="000000" w:sz="4"/>
                    <w:left w:val="none" w:color="000000" w:sz="4"/>
                    <w:bottom w:val="single" w:color="000000" w:sz="4"/>
                    <w:right w:val="single" w:color="000000" w:sz="4"/>
                  </w:tcBorders>
                </w:tcPr>
                <w:p>
                  <w:pPr>
                    <w:jc w:val="center"/>
                  </w:pPr>
                  <w:r>
                    <w:rPr>
                      <w:color w:val="000000"/>
                      <w:sz w:val="19"/>
                    </w:rPr>
                    <w:t>司机</w:t>
                  </w:r>
                </w:p>
              </w:tc>
              <w:tc>
                <w:tcPr>
                  <w:tcW w:type="dxa" w:w="709"/>
                  <w:tcBorders>
                    <w:top w:val="none" w:color="000000" w:sz="4"/>
                    <w:left w:val="none" w:color="000000" w:sz="4"/>
                    <w:bottom w:val="single" w:color="000000" w:sz="4"/>
                    <w:right w:val="single" w:color="000000" w:sz="4"/>
                  </w:tcBorders>
                </w:tcPr>
                <w:p>
                  <w:pPr>
                    <w:jc w:val="center"/>
                  </w:pPr>
                  <w:r>
                    <w:rPr>
                      <w:color w:val="000000"/>
                      <w:sz w:val="19"/>
                    </w:rPr>
                    <w:t>5</w:t>
                  </w:r>
                </w:p>
              </w:tc>
              <w:tc>
                <w:tcPr>
                  <w:tcW w:type="dxa" w:w="1181"/>
                  <w:tcBorders>
                    <w:top w:val="none" w:color="000000" w:sz="4"/>
                    <w:left w:val="none" w:color="000000" w:sz="4"/>
                    <w:bottom w:val="single" w:color="000000" w:sz="4"/>
                    <w:right w:val="single" w:color="000000" w:sz="4"/>
                  </w:tcBorders>
                </w:tcPr>
                <w:p>
                  <w:pPr>
                    <w:jc w:val="center"/>
                  </w:pPr>
                  <w:r>
                    <w:rPr>
                      <w:color w:val="000000"/>
                      <w:sz w:val="19"/>
                    </w:rPr>
                    <w:t>初中以上</w:t>
                  </w:r>
                </w:p>
              </w:tc>
              <w:tc>
                <w:tcPr>
                  <w:tcW w:type="dxa" w:w="1642"/>
                  <w:tcBorders>
                    <w:top w:val="none" w:color="000000" w:sz="4"/>
                    <w:left w:val="none" w:color="000000" w:sz="4"/>
                    <w:bottom w:val="single" w:color="000000" w:sz="4"/>
                    <w:right w:val="single" w:color="000000" w:sz="4"/>
                  </w:tcBorders>
                </w:tcPr>
                <w:p>
                  <w:pPr>
                    <w:jc w:val="center"/>
                  </w:pPr>
                  <w:r>
                    <w:rPr>
                      <w:color w:val="000000"/>
                      <w:sz w:val="19"/>
                    </w:rPr>
                    <w:t>取得A类驾照证</w:t>
                  </w:r>
                </w:p>
              </w:tc>
              <w:tc>
                <w:tcPr>
                  <w:tcW w:type="dxa" w:w="709"/>
                  <w:tcBorders>
                    <w:top w:val="none" w:color="000000" w:sz="4"/>
                    <w:left w:val="none" w:color="000000" w:sz="4"/>
                    <w:bottom w:val="single" w:color="000000" w:sz="4"/>
                    <w:right w:val="double" w:color="000000" w:sz="8"/>
                  </w:tcBorders>
                </w:tcPr>
                <w:p>
                  <w:pPr>
                    <w:jc w:val="center"/>
                  </w:pPr>
                </w:p>
              </w:tc>
            </w:tr>
            <w:tr>
              <w:tc>
                <w:tcPr>
                  <w:tcW w:type="dxa" w:w="422"/>
                  <w:vMerge w:val="restart"/>
                  <w:tcBorders>
                    <w:top w:val="none" w:color="000000" w:sz="4"/>
                    <w:left w:val="double" w:color="000000" w:sz="8"/>
                    <w:bottom w:val="single" w:color="000000" w:sz="4"/>
                    <w:right w:val="single" w:color="000000" w:sz="4"/>
                  </w:tcBorders>
                </w:tcPr>
                <w:p>
                  <w:pPr>
                    <w:jc w:val="center"/>
                  </w:pPr>
                  <w:r>
                    <w:rPr>
                      <w:color w:val="000000"/>
                      <w:sz w:val="19"/>
                    </w:rPr>
                    <w:t>9</w:t>
                  </w:r>
                </w:p>
              </w:tc>
              <w:tc>
                <w:tcPr>
                  <w:tcW w:type="dxa" w:w="945"/>
                  <w:tcBorders>
                    <w:top w:val="none" w:color="000000" w:sz="4"/>
                    <w:left w:val="none" w:color="000000" w:sz="4"/>
                    <w:bottom w:val="single" w:color="000000" w:sz="4"/>
                    <w:right w:val="single" w:color="000000" w:sz="4"/>
                  </w:tcBorders>
                </w:tcPr>
                <w:p>
                  <w:pPr>
                    <w:jc w:val="center"/>
                  </w:pPr>
                  <w:r>
                    <w:rPr>
                      <w:color w:val="000000"/>
                      <w:sz w:val="19"/>
                    </w:rPr>
                    <w:t>技士或见习技师</w:t>
                  </w:r>
                </w:p>
              </w:tc>
              <w:tc>
                <w:tcPr>
                  <w:tcW w:type="dxa" w:w="709"/>
                  <w:tcBorders>
                    <w:top w:val="none" w:color="000000" w:sz="4"/>
                    <w:left w:val="none" w:color="000000" w:sz="4"/>
                    <w:bottom w:val="single" w:color="000000" w:sz="4"/>
                    <w:right w:val="single" w:color="000000" w:sz="4"/>
                  </w:tcBorders>
                </w:tcPr>
                <w:p>
                  <w:pPr>
                    <w:jc w:val="center"/>
                  </w:pPr>
                  <w:r>
                    <w:rPr>
                      <w:color w:val="000000"/>
                      <w:sz w:val="19"/>
                    </w:rPr>
                    <w:t>3</w:t>
                  </w:r>
                </w:p>
              </w:tc>
              <w:tc>
                <w:tcPr>
                  <w:tcW w:type="dxa" w:w="1181"/>
                  <w:tcBorders>
                    <w:top w:val="none" w:color="000000" w:sz="4"/>
                    <w:left w:val="none" w:color="000000" w:sz="4"/>
                    <w:bottom w:val="single" w:color="000000" w:sz="4"/>
                    <w:right w:val="single" w:color="000000" w:sz="4"/>
                  </w:tcBorders>
                </w:tcPr>
                <w:p>
                  <w:pPr>
                    <w:jc w:val="center"/>
                  </w:pPr>
                  <w:r>
                    <w:rPr>
                      <w:color w:val="000000"/>
                      <w:sz w:val="19"/>
                    </w:rPr>
                    <w:t>大专及以上</w:t>
                  </w:r>
                </w:p>
              </w:tc>
              <w:tc>
                <w:tcPr>
                  <w:tcW w:type="dxa" w:w="1642"/>
                  <w:tcBorders>
                    <w:top w:val="none" w:color="000000" w:sz="4"/>
                    <w:left w:val="none" w:color="000000" w:sz="4"/>
                    <w:bottom w:val="single" w:color="000000" w:sz="4"/>
                    <w:right w:val="single" w:color="000000" w:sz="4"/>
                  </w:tcBorders>
                </w:tcPr>
                <w:p>
                  <w:pPr>
                    <w:jc w:val="center"/>
                  </w:pPr>
                  <w:r>
                    <w:rPr>
                      <w:color w:val="000000"/>
                      <w:sz w:val="19"/>
                    </w:rPr>
                    <w:t>取得大专学历且有技士专业技术资格证或本科学历暂未取得资格证人员</w:t>
                  </w:r>
                </w:p>
              </w:tc>
              <w:tc>
                <w:tcPr>
                  <w:tcW w:type="dxa" w:w="709"/>
                  <w:tcBorders>
                    <w:top w:val="none" w:color="000000" w:sz="4"/>
                    <w:left w:val="none" w:color="000000" w:sz="4"/>
                    <w:bottom w:val="single" w:color="000000" w:sz="4"/>
                    <w:right w:val="double" w:color="000000" w:sz="8"/>
                  </w:tcBorders>
                </w:tcPr>
                <w:p>
                  <w:pPr>
                    <w:jc w:val="center"/>
                  </w:pPr>
                </w:p>
              </w:tc>
            </w:tr>
            <w:tr>
              <w:tc>
                <w:tcPr>
                  <w:tcW w:type="dxa" w:w="422"/>
                  <w:vMerge/>
                  <w:tcBorders>
                    <w:top w:val="none" w:color="000000" w:sz="4"/>
                    <w:left w:val="double" w:color="000000" w:sz="8"/>
                    <w:bottom w:val="single" w:color="000000" w:sz="4"/>
                    <w:right w:val="single" w:color="000000" w:sz="4"/>
                  </w:tcBorders>
                </w:tcPr>
                <w:p/>
              </w:tc>
              <w:tc>
                <w:tcPr>
                  <w:tcW w:type="dxa" w:w="945"/>
                  <w:tcBorders>
                    <w:top w:val="none" w:color="000000" w:sz="4"/>
                    <w:left w:val="none" w:color="000000" w:sz="4"/>
                    <w:bottom w:val="single" w:color="000000" w:sz="4"/>
                    <w:right w:val="single" w:color="000000" w:sz="4"/>
                  </w:tcBorders>
                </w:tcPr>
                <w:p>
                  <w:pPr>
                    <w:jc w:val="center"/>
                  </w:pPr>
                  <w:r>
                    <w:rPr>
                      <w:color w:val="000000"/>
                      <w:sz w:val="19"/>
                    </w:rPr>
                    <w:t>见习技士</w:t>
                  </w:r>
                </w:p>
              </w:tc>
              <w:tc>
                <w:tcPr>
                  <w:tcW w:type="dxa" w:w="709"/>
                  <w:tcBorders>
                    <w:top w:val="none" w:color="000000" w:sz="4"/>
                    <w:left w:val="none" w:color="000000" w:sz="4"/>
                    <w:bottom w:val="single" w:color="000000" w:sz="4"/>
                    <w:right w:val="single" w:color="000000" w:sz="4"/>
                  </w:tcBorders>
                </w:tcPr>
                <w:p>
                  <w:pPr>
                    <w:jc w:val="center"/>
                  </w:pPr>
                  <w:r>
                    <w:rPr>
                      <w:color w:val="000000"/>
                      <w:sz w:val="19"/>
                    </w:rPr>
                    <w:t>2</w:t>
                  </w:r>
                </w:p>
              </w:tc>
              <w:tc>
                <w:tcPr>
                  <w:tcW w:type="dxa" w:w="1181"/>
                  <w:tcBorders>
                    <w:top w:val="none" w:color="000000" w:sz="4"/>
                    <w:left w:val="none" w:color="000000" w:sz="4"/>
                    <w:bottom w:val="single" w:color="000000" w:sz="4"/>
                    <w:right w:val="single" w:color="000000" w:sz="4"/>
                  </w:tcBorders>
                </w:tcPr>
                <w:p>
                  <w:pPr>
                    <w:jc w:val="center"/>
                  </w:pPr>
                  <w:r>
                    <w:rPr>
                      <w:color w:val="000000"/>
                      <w:sz w:val="19"/>
                    </w:rPr>
                    <w:t>大专学历</w:t>
                  </w:r>
                </w:p>
              </w:tc>
              <w:tc>
                <w:tcPr>
                  <w:tcW w:type="dxa" w:w="1642"/>
                  <w:tcBorders>
                    <w:top w:val="none" w:color="000000" w:sz="4"/>
                    <w:left w:val="none" w:color="000000" w:sz="4"/>
                    <w:bottom w:val="single" w:color="000000" w:sz="4"/>
                    <w:right w:val="single" w:color="000000" w:sz="4"/>
                  </w:tcBorders>
                </w:tcPr>
                <w:p>
                  <w:pPr>
                    <w:jc w:val="center"/>
                  </w:pPr>
                  <w:r>
                    <w:rPr>
                      <w:color w:val="000000"/>
                      <w:sz w:val="19"/>
                    </w:rPr>
                    <w:t>大专学历暂未取得资格证人员</w:t>
                  </w:r>
                </w:p>
              </w:tc>
              <w:tc>
                <w:tcPr>
                  <w:tcW w:type="dxa" w:w="709"/>
                  <w:tcBorders>
                    <w:top w:val="none" w:color="000000" w:sz="4"/>
                    <w:left w:val="none" w:color="000000" w:sz="4"/>
                    <w:bottom w:val="single" w:color="000000" w:sz="4"/>
                    <w:right w:val="double" w:color="000000" w:sz="8"/>
                  </w:tcBorders>
                </w:tcPr>
                <w:p>
                  <w:pPr>
                    <w:jc w:val="center"/>
                  </w:pPr>
                </w:p>
              </w:tc>
            </w:tr>
            <w:tr>
              <w:tc>
                <w:tcPr>
                  <w:tcW w:type="dxa" w:w="422"/>
                  <w:tcBorders>
                    <w:top w:val="none" w:color="000000" w:sz="4"/>
                    <w:left w:val="double" w:color="000000" w:sz="8"/>
                    <w:bottom w:val="single" w:color="000000" w:sz="4"/>
                    <w:right w:val="single" w:color="000000" w:sz="4"/>
                  </w:tcBorders>
                </w:tcPr>
                <w:p>
                  <w:pPr>
                    <w:jc w:val="center"/>
                  </w:pPr>
                  <w:r>
                    <w:rPr>
                      <w:color w:val="000000"/>
                      <w:sz w:val="19"/>
                    </w:rPr>
                    <w:t>10</w:t>
                  </w:r>
                </w:p>
              </w:tc>
              <w:tc>
                <w:tcPr>
                  <w:tcW w:type="dxa" w:w="945"/>
                  <w:tcBorders>
                    <w:top w:val="none" w:color="000000" w:sz="4"/>
                    <w:left w:val="none" w:color="000000" w:sz="4"/>
                    <w:bottom w:val="single" w:color="000000" w:sz="4"/>
                    <w:right w:val="single" w:color="000000" w:sz="4"/>
                  </w:tcBorders>
                </w:tcPr>
                <w:p>
                  <w:pPr>
                    <w:jc w:val="center"/>
                  </w:pPr>
                  <w:r>
                    <w:rPr>
                      <w:color w:val="000000"/>
                      <w:sz w:val="19"/>
                    </w:rPr>
                    <w:t>护士</w:t>
                  </w:r>
                </w:p>
              </w:tc>
              <w:tc>
                <w:tcPr>
                  <w:tcW w:type="dxa" w:w="709"/>
                  <w:tcBorders>
                    <w:top w:val="none" w:color="000000" w:sz="4"/>
                    <w:left w:val="none" w:color="000000" w:sz="4"/>
                    <w:bottom w:val="single" w:color="000000" w:sz="4"/>
                    <w:right w:val="single" w:color="000000" w:sz="4"/>
                  </w:tcBorders>
                </w:tcPr>
                <w:p>
                  <w:pPr>
                    <w:jc w:val="center"/>
                  </w:pPr>
                  <w:r>
                    <w:rPr>
                      <w:color w:val="000000"/>
                      <w:sz w:val="19"/>
                    </w:rPr>
                    <w:t>8</w:t>
                  </w:r>
                </w:p>
              </w:tc>
              <w:tc>
                <w:tcPr>
                  <w:tcW w:type="dxa" w:w="1181"/>
                  <w:tcBorders>
                    <w:top w:val="none" w:color="000000" w:sz="4"/>
                    <w:left w:val="none" w:color="000000" w:sz="4"/>
                    <w:bottom w:val="single" w:color="000000" w:sz="4"/>
                    <w:right w:val="single" w:color="000000" w:sz="4"/>
                  </w:tcBorders>
                </w:tcPr>
                <w:p>
                  <w:pPr>
                    <w:jc w:val="center"/>
                  </w:pPr>
                  <w:r>
                    <w:rPr>
                      <w:color w:val="000000"/>
                      <w:sz w:val="19"/>
                    </w:rPr>
                    <w:t>大专学历以上</w:t>
                  </w:r>
                </w:p>
              </w:tc>
              <w:tc>
                <w:tcPr>
                  <w:tcW w:type="dxa" w:w="1642"/>
                  <w:tcBorders>
                    <w:top w:val="none" w:color="000000" w:sz="4"/>
                    <w:left w:val="none" w:color="000000" w:sz="4"/>
                    <w:bottom w:val="single" w:color="000000" w:sz="4"/>
                    <w:right w:val="single" w:color="000000" w:sz="4"/>
                  </w:tcBorders>
                </w:tcPr>
                <w:p>
                  <w:pPr>
                    <w:jc w:val="center"/>
                  </w:pPr>
                  <w:r>
                    <w:rPr>
                      <w:color w:val="000000"/>
                      <w:sz w:val="19"/>
                    </w:rPr>
                    <w:t>取得护士资格证</w:t>
                  </w:r>
                </w:p>
              </w:tc>
              <w:tc>
                <w:tcPr>
                  <w:tcW w:type="dxa" w:w="709"/>
                  <w:tcBorders>
                    <w:top w:val="none" w:color="000000" w:sz="4"/>
                    <w:left w:val="none" w:color="000000" w:sz="4"/>
                    <w:bottom w:val="single" w:color="000000" w:sz="4"/>
                    <w:right w:val="double" w:color="000000" w:sz="8"/>
                  </w:tcBorders>
                </w:tcPr>
                <w:p>
                  <w:pPr>
                    <w:jc w:val="center"/>
                  </w:pPr>
                </w:p>
              </w:tc>
            </w:tr>
            <w:tr>
              <w:tc>
                <w:tcPr>
                  <w:tcW w:type="dxa" w:w="422"/>
                  <w:tcBorders>
                    <w:top w:val="none" w:color="000000" w:sz="4"/>
                    <w:left w:val="double" w:color="000000" w:sz="8"/>
                    <w:bottom w:val="double" w:color="000000" w:sz="8"/>
                    <w:right w:val="single" w:color="000000" w:sz="4"/>
                  </w:tcBorders>
                </w:tcPr>
                <w:p>
                  <w:pPr>
                    <w:jc w:val="center"/>
                  </w:pPr>
                  <w:r>
                    <w:rPr>
                      <w:color w:val="000000"/>
                      <w:sz w:val="19"/>
                    </w:rPr>
                    <w:t>11</w:t>
                  </w:r>
                </w:p>
              </w:tc>
              <w:tc>
                <w:tcPr>
                  <w:tcW w:type="dxa" w:w="945"/>
                  <w:tcBorders>
                    <w:top w:val="none" w:color="000000" w:sz="4"/>
                    <w:left w:val="none" w:color="000000" w:sz="4"/>
                    <w:bottom w:val="double" w:color="000000" w:sz="8"/>
                    <w:right w:val="single" w:color="000000" w:sz="4"/>
                  </w:tcBorders>
                </w:tcPr>
                <w:p>
                  <w:pPr>
                    <w:jc w:val="center"/>
                  </w:pPr>
                  <w:r>
                    <w:rPr>
                      <w:color w:val="000000"/>
                      <w:sz w:val="19"/>
                    </w:rPr>
                    <w:t>护工</w:t>
                  </w:r>
                </w:p>
              </w:tc>
              <w:tc>
                <w:tcPr>
                  <w:tcW w:type="dxa" w:w="709"/>
                  <w:tcBorders>
                    <w:top w:val="none" w:color="000000" w:sz="4"/>
                    <w:left w:val="none" w:color="000000" w:sz="4"/>
                    <w:bottom w:val="double" w:color="000000" w:sz="8"/>
                    <w:right w:val="single" w:color="000000" w:sz="4"/>
                  </w:tcBorders>
                </w:tcPr>
                <w:p>
                  <w:pPr>
                    <w:jc w:val="center"/>
                  </w:pPr>
                  <w:r>
                    <w:rPr>
                      <w:color w:val="000000"/>
                      <w:sz w:val="19"/>
                    </w:rPr>
                    <w:t>3</w:t>
                  </w:r>
                </w:p>
              </w:tc>
              <w:tc>
                <w:tcPr>
                  <w:tcW w:type="dxa" w:w="1181"/>
                  <w:tcBorders>
                    <w:top w:val="none" w:color="000000" w:sz="4"/>
                    <w:left w:val="none" w:color="000000" w:sz="4"/>
                    <w:bottom w:val="double" w:color="000000" w:sz="8"/>
                    <w:right w:val="single" w:color="000000" w:sz="4"/>
                  </w:tcBorders>
                </w:tcPr>
                <w:p>
                  <w:pPr>
                    <w:jc w:val="center"/>
                  </w:pPr>
                  <w:r>
                    <w:rPr>
                      <w:color w:val="000000"/>
                      <w:sz w:val="19"/>
                    </w:rPr>
                    <w:t>不限</w:t>
                  </w:r>
                </w:p>
              </w:tc>
              <w:tc>
                <w:tcPr>
                  <w:tcW w:type="dxa" w:w="1642"/>
                  <w:tcBorders>
                    <w:top w:val="none" w:color="000000" w:sz="4"/>
                    <w:left w:val="none" w:color="000000" w:sz="4"/>
                    <w:bottom w:val="double" w:color="000000" w:sz="8"/>
                    <w:right w:val="single" w:color="000000" w:sz="4"/>
                  </w:tcBorders>
                </w:tcPr>
                <w:p>
                  <w:pPr>
                    <w:jc w:val="center"/>
                  </w:pPr>
                  <w:r>
                    <w:rPr>
                      <w:color w:val="000000"/>
                      <w:sz w:val="19"/>
                    </w:rPr>
                    <w:t>专业性强，沟通能力强，组织纪律性，能吃苦耐劳。年龄要求：45岁以下，身体健康（有健康证）的专业护工，男女不限。</w:t>
                  </w:r>
                </w:p>
              </w:tc>
              <w:tc>
                <w:tcPr>
                  <w:tcW w:type="dxa" w:w="709"/>
                  <w:tcBorders>
                    <w:top w:val="none" w:color="000000" w:sz="4"/>
                    <w:left w:val="none" w:color="000000" w:sz="4"/>
                    <w:bottom w:val="double" w:color="000000" w:sz="8"/>
                    <w:right w:val="double" w:color="000000" w:sz="8"/>
                  </w:tcBorders>
                </w:tcPr>
                <w:p>
                  <w:pPr>
                    <w:jc w:val="center"/>
                  </w:pPr>
                </w:p>
              </w:tc>
            </w:tr>
          </w:tbl>
          <w:p>
            <w:r>
              <w:rPr/>
              <w:t>注：以上岗位和岗位数为预估数量，采购人可根据医院发展、上级下达的任务指标和突发公共卫生应急需要对“人员配置要求”内容作适当增减调整，具体内容由双方协商确定。</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p>
            <w:r>
              <w:rPr/>
              <w:t xml:space="preserve"> </w:t>
            </w:r>
          </w:p>
        </w:tc>
      </w:tr>
      <w:tr>
        <w:tc>
          <w:tcPr>
            <w:tcW w:type="dxa" w:w="2076"/>
          </w:tcPr>
          <w:p/>
        </w:tc>
        <w:tc>
          <w:tcPr>
            <w:tcW w:type="dxa" w:w="415"/>
          </w:tcPr>
          <w:p>
            <w:r>
              <w:rPr/>
              <w:t>15</w:t>
            </w:r>
          </w:p>
        </w:tc>
        <w:tc>
          <w:tcPr>
            <w:tcW w:type="dxa" w:w="5814"/>
          </w:tcPr>
          <w:p>
            <w:r>
              <w:rPr>
                <w:b/>
              </w:rPr>
              <w:t>三、项目具体要求</w:t>
            </w:r>
            <w:r>
              <w:br/>
            </w:r>
            <w:r>
              <w:rPr/>
              <w:t>1.工作时间:每人每周工作时间40小时。因工作需要可要求工作人员加班，工作人员须服从工作安排，若超出40小时/周的，采购人可以对工作人员进行补休。中标人的服务人员必须遵守采购人的各项规章制度。</w:t>
            </w:r>
          </w:p>
        </w:tc>
      </w:tr>
      <w:tr>
        <w:tc>
          <w:tcPr>
            <w:tcW w:type="dxa" w:w="2076"/>
          </w:tcPr>
          <w:p>
            <w:r>
              <w:rPr/>
              <w:t>★</w:t>
            </w:r>
          </w:p>
        </w:tc>
        <w:tc>
          <w:tcPr>
            <w:tcW w:type="dxa" w:w="415"/>
          </w:tcPr>
          <w:p>
            <w:r>
              <w:rPr/>
              <w:t>16</w:t>
            </w:r>
          </w:p>
        </w:tc>
        <w:tc>
          <w:tcPr>
            <w:tcW w:type="dxa" w:w="5814"/>
          </w:tcPr>
          <w:p>
            <w:r>
              <w:rPr/>
              <w:t>2.中标人需设项目负责人1名，负责日常事务管理，协调处理与采购人之间的关系；设招聘专员1名，负责本项目的招聘工作。</w:t>
            </w:r>
          </w:p>
        </w:tc>
      </w:tr>
      <w:tr>
        <w:tc>
          <w:tcPr>
            <w:tcW w:type="dxa" w:w="2076"/>
          </w:tcPr>
          <w:p/>
        </w:tc>
        <w:tc>
          <w:tcPr>
            <w:tcW w:type="dxa" w:w="415"/>
          </w:tcPr>
          <w:p>
            <w:r>
              <w:rPr/>
              <w:t>17</w:t>
            </w:r>
          </w:p>
        </w:tc>
        <w:tc>
          <w:tcPr>
            <w:tcW w:type="dxa" w:w="5814"/>
          </w:tcPr>
          <w:p>
            <w:r>
              <w:rPr/>
              <w:t>3.根据派驻服务人员人数和服务项目配备专门的管理人员，每月不少于2次到采购人单位驻点负责派驻服务人员的日常事务，并协调处理派驻服务人员与采购人之间的关系，向采购人提供政策法规方面的咨询。</w:t>
            </w:r>
            <w:r>
              <w:br/>
            </w:r>
            <w:r>
              <w:rPr/>
              <w:t>4.中标人管理人员应定期 (每半年1次) 与采购单位就被派驻服务人员的品德、技能 、考勤等方面的相关信息进行沟通交流并交换意见。及时调查掌握被派驻服务人员的异常反应， 对遇有特殊困难的被派驻服务人员给予必要的关怀，及时处理采购单位与被派驻服务人员之间的管理矛盾。</w:t>
            </w:r>
            <w:r>
              <w:br/>
            </w:r>
            <w:r>
              <w:rPr/>
              <w:t>5.中标人承担服务项目需求所包含的具体实施工作及其他的配套服务，做好针对本项目的日常招聘和应急方案，常规岗位1个月以内招聘到岗，特殊、紧急岗位15日以内招聘到岗，如有人员离岗，需提前一个月向采购人报备。</w:t>
            </w:r>
            <w:r>
              <w:br/>
            </w:r>
            <w:r>
              <w:rPr/>
              <w:t>6.为确保外包人员能胜任服务要求，拟派外包人员须经采购人审核确认后方能安排工作。未经采购人审核确认的人员，采购人不接受其工作安排，中标人与其签订劳动合同而承担的法律责任与采购人无关。</w:t>
            </w:r>
            <w:r>
              <w:br/>
            </w:r>
            <w:r>
              <w:rPr/>
              <w:t>7.中标人不得随意更换服务人员，如派驻服务人员的休请假、撤换或辞退等，则必须征得采购人的同意，经试用符合要求方可更换。</w:t>
            </w:r>
            <w:r>
              <w:br/>
            </w:r>
            <w:r>
              <w:rPr/>
              <w:t>8.中标人必须就采购人提供的全部内容和服务要求做出回应，提供切合该服务项目的整体解决方案，并在项目范围内完成指定的工作和负责解决全部的服务中遇到的问题。</w:t>
            </w:r>
            <w:r>
              <w:br/>
            </w:r>
            <w:r>
              <w:rPr/>
              <w:t>9.其他涉及本项目的有关事项，在招标采购确定中标人后，按照双方合同约定执行；未尽事宜或遇客观情况变更，由采购人与中标人在合同期内以补充协议方式约定后执行。</w:t>
            </w:r>
            <w:r>
              <w:br/>
            </w:r>
            <w:r>
              <w:rPr/>
              <w:t>10.采购人或政府相关部门因专项任务对技术岗位服务人员发放的任何专项津贴，应足额及时发放给服务人员，中标人不得截留、克扣、挪用或从中抽取任何服务管理费用，并接受采购人的监督。</w:t>
            </w:r>
          </w:p>
        </w:tc>
      </w:tr>
      <w:tr>
        <w:tc>
          <w:tcPr>
            <w:tcW w:type="dxa" w:w="2076"/>
          </w:tcPr>
          <w:p>
            <w:r>
              <w:rPr/>
              <w:t>★</w:t>
            </w:r>
          </w:p>
        </w:tc>
        <w:tc>
          <w:tcPr>
            <w:tcW w:type="dxa" w:w="415"/>
          </w:tcPr>
          <w:p>
            <w:r>
              <w:rPr/>
              <w:t>18</w:t>
            </w:r>
          </w:p>
        </w:tc>
        <w:tc>
          <w:tcPr>
            <w:tcW w:type="dxa" w:w="5814"/>
          </w:tcPr>
          <w:p>
            <w:r>
              <w:rPr/>
              <w:t>11.服务人员的待遇标准应符合《劳动法》、国家及地方相关劳动法律法规的规定，中标人应根据当地有关规定，缴交所派人员五险一金单位负担部分。若国家、省、市政府在缴交期间有新的政策规定，中标人须按新规定进行调整， 相关费用由中标人自行负责。</w:t>
            </w:r>
          </w:p>
        </w:tc>
      </w:tr>
      <w:tr>
        <w:tc>
          <w:tcPr>
            <w:tcW w:type="dxa" w:w="2076"/>
          </w:tcPr>
          <w:p>
            <w:r>
              <w:rPr/>
              <w:t>★</w:t>
            </w:r>
          </w:p>
        </w:tc>
        <w:tc>
          <w:tcPr>
            <w:tcW w:type="dxa" w:w="415"/>
          </w:tcPr>
          <w:p>
            <w:r>
              <w:rPr/>
              <w:t>19</w:t>
            </w:r>
          </w:p>
        </w:tc>
        <w:tc>
          <w:tcPr>
            <w:tcW w:type="dxa" w:w="5814"/>
          </w:tcPr>
          <w:p>
            <w:r>
              <w:rPr/>
              <w:t>12.中标人选派的人员必须符合采购人对该岗位的要求并做好派驻服务人员的岗前培训工作，采购人有权提出更换不符合使用要求的派驻服务人员，中标人必须及时且无条件的为采购人更换合格的人员，相关费用由中标人自行负责。</w:t>
            </w:r>
          </w:p>
        </w:tc>
      </w:tr>
      <w:tr>
        <w:tc>
          <w:tcPr>
            <w:tcW w:type="dxa" w:w="2076"/>
          </w:tcPr>
          <w:p/>
        </w:tc>
        <w:tc>
          <w:tcPr>
            <w:tcW w:type="dxa" w:w="415"/>
          </w:tcPr>
          <w:p>
            <w:r>
              <w:rPr/>
              <w:t>20</w:t>
            </w:r>
          </w:p>
        </w:tc>
        <w:tc>
          <w:tcPr>
            <w:tcW w:type="dxa" w:w="5814"/>
          </w:tcPr>
          <w:p>
            <w:r>
              <w:rPr/>
              <w:t>13.对派驻服务人员的休请假、撤换或辞退等须经采购人同意方可执行。</w:t>
            </w:r>
          </w:p>
        </w:tc>
      </w:tr>
      <w:tr>
        <w:tc>
          <w:tcPr>
            <w:tcW w:type="dxa" w:w="2076"/>
          </w:tcPr>
          <w:p/>
        </w:tc>
        <w:tc>
          <w:tcPr>
            <w:tcW w:type="dxa" w:w="415"/>
          </w:tcPr>
          <w:p>
            <w:r>
              <w:rPr/>
              <w:t>21</w:t>
            </w:r>
          </w:p>
        </w:tc>
        <w:tc>
          <w:tcPr>
            <w:tcW w:type="dxa" w:w="5814"/>
          </w:tcPr>
          <w:p>
            <w:r>
              <w:rPr/>
              <w:t>14.护工具体工作要求：</w:t>
            </w:r>
            <w:r>
              <w:br/>
            </w:r>
            <w:r>
              <w:rPr/>
              <w:t>（1）工作地点：中山市第二人民医院南区分院住院部病区；</w:t>
            </w:r>
            <w:r>
              <w:br/>
            </w:r>
            <w:r>
              <w:rPr/>
              <w:t>（2）工作内容：</w:t>
            </w:r>
            <w:r>
              <w:br/>
            </w:r>
            <w:r>
              <w:rPr/>
              <w:t xml:space="preserve">  ①陪护人员严格按照传染病病区（特殊时期有特殊要求，如：新冠疫情防护）卫生、清洁消毒、垃圾分类处置。             </w:t>
            </w:r>
            <w:r>
              <w:br/>
            </w:r>
            <w:r>
              <w:rPr/>
              <w:t xml:space="preserve">  ②仓内住院患者协助完成生活护理，包括排泄物2便处理、擦身、洗漱等。</w:t>
            </w:r>
            <w:r>
              <w:br/>
            </w:r>
            <w:r>
              <w:rPr/>
              <w:t xml:space="preserve">  ③多管道床上护理（洗头，口腔护理等）。</w:t>
            </w:r>
            <w:r>
              <w:br/>
            </w:r>
            <w:r>
              <w:rPr/>
              <w:t xml:space="preserve">  ④气管插管的患者口腔护理。</w:t>
            </w:r>
            <w:r>
              <w:br/>
            </w:r>
            <w:r>
              <w:rPr/>
              <w:t xml:space="preserve">  ⑤不方便患者及重症患者更换床单、衣服，翻身与床上移动，预防压疮，叩背技术，约束工具及冷、热敷的使用等。</w:t>
            </w:r>
            <w:r>
              <w:br/>
            </w:r>
            <w:r>
              <w:rPr/>
              <w:t xml:space="preserve">  ⑥协助医生护士对危重症患者的运转工作，记录出入档等。</w:t>
            </w:r>
            <w:r>
              <w:br/>
            </w:r>
            <w:r>
              <w:rPr/>
              <w:t xml:space="preserve">  ⑦强制医疗专区患者日常护理，包括喂饭、洗浴等日常护理（陪护的角色）。</w:t>
            </w:r>
            <w:r>
              <w:br/>
            </w:r>
            <w:r>
              <w:rPr/>
              <w:t xml:space="preserve">  ⑧服成院内管理，协助护士完成患者基础护理。</w:t>
            </w:r>
            <w:r>
              <w:br/>
            </w:r>
            <w:r>
              <w:rPr/>
              <w:t>（3）工作时间：</w:t>
            </w:r>
            <w:r>
              <w:br/>
            </w:r>
            <w:r>
              <w:rPr/>
              <w:t xml:space="preserve">     早班：早上7:00--下午3:00；</w:t>
            </w:r>
            <w:r>
              <w:br/>
            </w:r>
            <w:r>
              <w:rPr/>
              <w:t xml:space="preserve">     中班：下午3:00-晚上11:00；</w:t>
            </w:r>
            <w:r>
              <w:br/>
            </w:r>
            <w:r>
              <w:rPr/>
              <w:t xml:space="preserve">     晚班：晚上11:00-次日7:00。</w:t>
            </w:r>
            <w:r>
              <w:br/>
            </w:r>
            <w:r>
              <w:rPr/>
              <w:t>备注：每月休息4天，每周休息1天，如需要加班按实际发生来计算加班费。</w:t>
            </w:r>
          </w:p>
        </w:tc>
      </w:tr>
      <w:tr>
        <w:tc>
          <w:tcPr>
            <w:tcW w:type="dxa" w:w="2076"/>
          </w:tcPr>
          <w:p/>
        </w:tc>
        <w:tc>
          <w:tcPr>
            <w:tcW w:type="dxa" w:w="415"/>
          </w:tcPr>
          <w:p>
            <w:r>
              <w:rPr/>
              <w:t>22</w:t>
            </w:r>
          </w:p>
        </w:tc>
        <w:tc>
          <w:tcPr>
            <w:tcW w:type="dxa" w:w="5814"/>
          </w:tcPr>
          <w:p>
            <w:r>
              <w:rPr/>
              <w:t>15.违约责任</w:t>
            </w:r>
            <w:r>
              <w:br/>
            </w:r>
            <w:r>
              <w:rPr/>
              <w:t>（1）采购人无正当理由拒绝接受服务，采购人向中标人偿付合同总额的5%的违约金。</w:t>
            </w:r>
            <w:r>
              <w:br/>
            </w:r>
            <w:r>
              <w:rPr/>
              <w:t>（2）采购人无正当理由逾期付款，则每日按合同总价的万分之五向中标人偿付违约金。</w:t>
            </w:r>
            <w:r>
              <w:br/>
            </w:r>
            <w:r>
              <w:rPr/>
              <w:t>（3）中标人未能按合同规定的时间提供服务成果，从逾期之日起每日按合同总价万分之五的数额向采购人支付违约金；逾期15日以上的，采购人有权解除合同，中标人须向采购人支付合同总价5%的违约金。</w:t>
            </w:r>
            <w:r>
              <w:br/>
            </w:r>
            <w:r>
              <w:rPr/>
              <w:t>（4）除合同另有约定外，因中标人在合同期限内提供的服务不符合招标文件、其投标文件或合同规定，采购人有权采用以下任一方式处理：</w:t>
            </w:r>
            <w:r>
              <w:br/>
            </w:r>
            <w:r>
              <w:rPr/>
              <w:t xml:space="preserve">   ①采购人有权拒收及解除合同，并且中标人须向采购人支付合同总价5%的违约金。</w:t>
            </w:r>
            <w:r>
              <w:br/>
            </w:r>
            <w:r>
              <w:rPr/>
              <w:t xml:space="preserve">   ②采购人向中标人发出整改意见或建议，若中标人没有在采购人规定的时间内完成整改的，每逾期一日按合同总价的万分之五向采购人偿付违约金，中标人逾期十五日仍未完成整改，采购人有权解除合同，且不承担任何责任与费用，中标人须一次性向采购人支付合同总价5%的违约金及需退还未履行服务期内的服务费，并承担对此给采购人造成的损失。</w:t>
            </w:r>
            <w:r>
              <w:br/>
            </w:r>
            <w:r>
              <w:rPr/>
              <w:t xml:space="preserve">   ③中标人提供的货物或服务，如影响采购人的使用或在规定的整改期限内未完成整改的，采购人有权自行寻找第三方单位提供相应的货物或服务，由此产生的一切费用均由中标人承担。</w:t>
            </w:r>
            <w:r>
              <w:br/>
            </w:r>
            <w:r>
              <w:rPr/>
              <w:t>（5）在合同履行期内，如中标人因自身原因而提出提前终止合同的，中标人应一次性向采购人支付合同总价的5%作为违约金及需退还未履行服务期内的服务费（如采购人已支付），并承担对此给采购人造成的损失（包括但不限于采购人为保障如期供货或连续服务所产生的一切费用）及维权费用（案件受理费、诉讼保全申请费、诉讼保全保险费、律师费、公证费、鉴定费、评估费、差旅费等）。</w:t>
            </w:r>
            <w:r>
              <w:br/>
            </w:r>
            <w:r>
              <w:rPr/>
              <w:t>（6）因不可抗力因素造成中标人或双方违约，经双方协议达成共识的，由双方协商解决。</w:t>
            </w:r>
            <w:r>
              <w:br/>
            </w:r>
            <w:r>
              <w:rPr/>
              <w:t>（7）其它违约责任按《中华人民共和国政府采购法》及其实施条例、《中华人民共和国民法典》等法律法规处理。</w:t>
            </w:r>
          </w:p>
          <w:p>
            <w:r>
              <w:rPr/>
              <w:t>（8）未尽事宜以及因项目合同引起的或与项目有关的任何纠纷，由双方友好协商解决。协商不能解决的，双方同意提交广州仲裁委员会中山分会，依照该委员会仲裁规则进行仲裁。仲裁裁决是终局的，对双方均具有约束力。</w:t>
            </w:r>
          </w:p>
        </w:tc>
      </w:tr>
      <w:tr>
        <w:tc>
          <w:tcPr>
            <w:tcW w:type="dxa" w:w="2076"/>
          </w:tcPr>
          <w:p/>
        </w:tc>
        <w:tc>
          <w:tcPr>
            <w:tcW w:type="dxa" w:w="415"/>
          </w:tcPr>
          <w:p>
            <w:r>
              <w:rPr/>
              <w:t>23</w:t>
            </w:r>
          </w:p>
        </w:tc>
        <w:tc>
          <w:tcPr>
            <w:tcW w:type="dxa" w:w="5814"/>
          </w:tcPr>
          <w:p>
            <w:r>
              <w:rPr/>
              <w:t>16.中标人签订合同前必须按照国家相关保密规定和采购人签订《保密协议》，对违反《保密协议》 相关内容规定的，采购人有权追究其法律责任。</w:t>
            </w:r>
          </w:p>
        </w:tc>
      </w:tr>
      <w:tr>
        <w:tc>
          <w:tcPr>
            <w:tcW w:type="dxa" w:w="2076"/>
          </w:tcPr>
          <w:p/>
        </w:tc>
        <w:tc>
          <w:tcPr>
            <w:tcW w:type="dxa" w:w="415"/>
          </w:tcPr>
          <w:p>
            <w:r>
              <w:rPr/>
              <w:t>24</w:t>
            </w:r>
          </w:p>
        </w:tc>
        <w:tc>
          <w:tcPr>
            <w:tcW w:type="dxa" w:w="5814"/>
          </w:tcPr>
          <w:p>
            <w:r>
              <w:rPr/>
              <w:t>17.针对上述要求，投标人需在投标文件中提供项目管理方案（包括但不限于管理设置、资源配置、项目质量保证措施）。</w:t>
            </w:r>
          </w:p>
        </w:tc>
      </w:tr>
      <w:tr>
        <w:tc>
          <w:tcPr>
            <w:tcW w:type="dxa" w:w="2076"/>
          </w:tcPr>
          <w:p/>
        </w:tc>
        <w:tc>
          <w:tcPr>
            <w:tcW w:type="dxa" w:w="415"/>
          </w:tcPr>
          <w:p>
            <w:r>
              <w:rPr/>
              <w:t>25</w:t>
            </w:r>
          </w:p>
        </w:tc>
        <w:tc>
          <w:tcPr>
            <w:tcW w:type="dxa" w:w="5814"/>
          </w:tcPr>
          <w:p>
            <w:r>
              <w:rPr/>
              <w:t>18.针对项目、人员配置及人员储备内容就项目提出应急方案（包括但不限于可能出现的应急情况及人员投入、应急措施等）。</w:t>
            </w:r>
          </w:p>
        </w:tc>
      </w:tr>
      <w:tr>
        <w:tc>
          <w:tcPr>
            <w:tcW w:type="dxa" w:w="2076"/>
          </w:tcPr>
          <w:p/>
        </w:tc>
        <w:tc>
          <w:tcPr>
            <w:tcW w:type="dxa" w:w="415"/>
          </w:tcPr>
          <w:p>
            <w:r>
              <w:rPr/>
              <w:t>26</w:t>
            </w:r>
          </w:p>
        </w:tc>
        <w:tc>
          <w:tcPr>
            <w:tcW w:type="dxa" w:w="5814"/>
          </w:tcPr>
          <w:p>
            <w:r>
              <w:rPr>
                <w:b/>
              </w:rPr>
              <w:t>四、考核及扣罚要求</w:t>
            </w:r>
            <w:r>
              <w:br/>
            </w:r>
            <w:r>
              <w:rPr/>
              <w:t>1.合同签订后，采购人按照相关法律法规、招标文件、中标人的投标文件、合同及《中山市第二人民医院2024年-2025年辅助岗位购买服务项目考核表》等进行考核。采购人有权根据实际工作需要对监督考核方案进行调整并通知中标人，中标人应配合采购人的考核，不得以任何理由拒绝或阻挠采购人的考核。</w:t>
            </w:r>
            <w:r>
              <w:br/>
            </w:r>
            <w:r>
              <w:rPr/>
              <w:t>2.采购人每半年对中标人服务质量进行量化考核，规范化管理。若半年度考核低于90分的，采购人按该半年度服务款项的5%对中标人进行扣罚；若半年度考核低于80分的，采购人按该半年度服务款项的10%对中标人进行扣罚；如该半年度考核分数低于80分的，采购人提出在一个月内整改后仍不达标，采购人有权提前终止合同而不承担法律责任。</w:t>
            </w:r>
            <w:r>
              <w:br/>
            </w:r>
            <w:r>
              <w:rPr/>
              <w:t>3.中标人对采购人提出的问题须及时改进，处理率为100%。</w:t>
            </w:r>
          </w:p>
        </w:tc>
      </w:tr>
      <w:tr>
        <w:tc>
          <w:tcPr>
            <w:tcW w:type="dxa" w:w="2076"/>
          </w:tcPr>
          <w:p>
            <w:r>
              <w:rPr/>
              <w:t>★</w:t>
            </w:r>
          </w:p>
        </w:tc>
        <w:tc>
          <w:tcPr>
            <w:tcW w:type="dxa" w:w="415"/>
          </w:tcPr>
          <w:p>
            <w:r>
              <w:rPr/>
              <w:t>27</w:t>
            </w:r>
          </w:p>
        </w:tc>
        <w:tc>
          <w:tcPr>
            <w:tcW w:type="dxa" w:w="5814"/>
          </w:tcPr>
          <w:p>
            <w:r>
              <w:rPr/>
              <w:t>4.中标后如发生拖欠员工工资、不依法为员工购买社会保险等违反劳动法律法规的问题，一经发现，采购人有权解除（或中止）合同且不承担由此造成的任何损失。（在投标文件中填写《技术和服务要求响应表》）</w:t>
            </w:r>
          </w:p>
        </w:tc>
      </w:tr>
      <w:tr>
        <w:tc>
          <w:tcPr>
            <w:tcW w:type="dxa" w:w="2076"/>
          </w:tcPr>
          <w:p/>
        </w:tc>
        <w:tc>
          <w:tcPr>
            <w:tcW w:type="dxa" w:w="415"/>
          </w:tcPr>
          <w:p>
            <w:r>
              <w:rPr/>
              <w:t>28</w:t>
            </w:r>
          </w:p>
        </w:tc>
        <w:tc>
          <w:tcPr>
            <w:tcW w:type="dxa" w:w="5814"/>
          </w:tcPr>
          <w:p>
            <w:r>
              <w:rPr/>
              <w:t>5.若采购人使用科室核心小组有3/4或以上人数对中标人的服务质量不满意的，且使用科室核心小组已对其发出书面通报两次或以上的，采购人有权终止合同。</w:t>
            </w:r>
            <w:r>
              <w:br/>
            </w:r>
            <w:r>
              <w:rPr/>
              <w:t>6.中标人在响应文件中已对本采购文件需求等条款进行响应的，在合同执行过程中，如出现违反其响应文件内容或执行不到位，且采购人已对其发出书面通报两次或以上的，采购人有权终止合同，并有权拒绝支付剩余未支付的服务费。</w:t>
            </w:r>
          </w:p>
        </w:tc>
      </w:tr>
      <w:tr>
        <w:tc>
          <w:tcPr>
            <w:tcW w:type="dxa" w:w="2076"/>
          </w:tcPr>
          <w:p/>
        </w:tc>
        <w:tc>
          <w:tcPr>
            <w:tcW w:type="dxa" w:w="415"/>
          </w:tcPr>
          <w:p>
            <w:r>
              <w:rPr/>
              <w:t>29</w:t>
            </w:r>
          </w:p>
        </w:tc>
        <w:tc>
          <w:tcPr>
            <w:tcW w:type="dxa" w:w="5814"/>
          </w:tcPr>
          <w:p>
            <w:r>
              <w:rPr>
                <w:b/>
              </w:rPr>
              <w:t>附件：中山市第二人民医院2024年-2025年辅助岗位购买服务项目考核表</w:t>
            </w:r>
          </w:p>
          <w:tbl>
            <w:tblPr>
              <w:tblBorders>
                <w:top w:val="none" w:color="000000" w:sz="4"/>
                <w:left w:val="none" w:color="000000" w:sz="4"/>
                <w:bottom w:val="none" w:color="000000" w:sz="4"/>
                <w:right w:val="none" w:color="000000" w:sz="4"/>
                <w:insideH w:val="none"/>
                <w:insideV w:val="none"/>
              </w:tblBorders>
            </w:tblPr>
            <w:tblGrid>
              <w:gridCol w:w="387"/>
              <w:gridCol w:w="1326"/>
              <w:gridCol w:w="1443"/>
              <w:gridCol w:w="2441"/>
            </w:tblGrid>
            <w:tr>
              <w:tc>
                <w:tcPr>
                  <w:tcW w:type="dxa" w:w="387"/>
                  <w:tcBorders>
                    <w:top w:val="double" w:color="000000" w:sz="8"/>
                    <w:left w:val="double" w:color="000000" w:sz="8"/>
                    <w:bottom w:val="single" w:color="000000" w:sz="4"/>
                    <w:right w:val="single" w:color="000000" w:sz="4"/>
                  </w:tcBorders>
                </w:tcPr>
                <w:p>
                  <w:pPr>
                    <w:jc w:val="center"/>
                  </w:pPr>
                  <w:r>
                    <w:rPr>
                      <w:b/>
                      <w:color w:val="000000"/>
                      <w:sz w:val="19"/>
                    </w:rPr>
                    <w:t>考核项目</w:t>
                  </w:r>
                </w:p>
              </w:tc>
              <w:tc>
                <w:tcPr>
                  <w:tcW w:type="dxa" w:w="1326"/>
                  <w:tcBorders>
                    <w:top w:val="double" w:color="000000" w:sz="8"/>
                    <w:left w:val="none" w:color="000000" w:sz="4"/>
                    <w:bottom w:val="single" w:color="000000" w:sz="4"/>
                    <w:right w:val="single" w:color="000000" w:sz="4"/>
                  </w:tcBorders>
                </w:tcPr>
                <w:p>
                  <w:pPr>
                    <w:jc w:val="center"/>
                  </w:pPr>
                  <w:r>
                    <w:rPr>
                      <w:b/>
                      <w:color w:val="000000"/>
                      <w:sz w:val="19"/>
                    </w:rPr>
                    <w:t>考核内容</w:t>
                  </w:r>
                </w:p>
              </w:tc>
              <w:tc>
                <w:tcPr>
                  <w:tcW w:type="dxa" w:w="1443"/>
                  <w:tcBorders>
                    <w:top w:val="double" w:color="000000" w:sz="8"/>
                    <w:left w:val="none" w:color="000000" w:sz="4"/>
                    <w:bottom w:val="single" w:color="000000" w:sz="4"/>
                    <w:right w:val="single" w:color="000000" w:sz="4"/>
                  </w:tcBorders>
                </w:tcPr>
                <w:p>
                  <w:pPr>
                    <w:jc w:val="center"/>
                  </w:pPr>
                  <w:r>
                    <w:rPr>
                      <w:b/>
                      <w:color w:val="000000"/>
                      <w:sz w:val="19"/>
                    </w:rPr>
                    <w:t>扣分或加分标准</w:t>
                  </w:r>
                </w:p>
              </w:tc>
              <w:tc>
                <w:tcPr>
                  <w:tcW w:type="dxa" w:w="2441"/>
                  <w:tcBorders>
                    <w:top w:val="double" w:color="000000" w:sz="8"/>
                    <w:left w:val="none" w:color="000000" w:sz="4"/>
                    <w:bottom w:val="single" w:color="000000" w:sz="4"/>
                    <w:right w:val="double" w:color="000000" w:sz="8"/>
                  </w:tcBorders>
                </w:tcPr>
                <w:p>
                  <w:pPr>
                    <w:jc w:val="center"/>
                  </w:pPr>
                  <w:r>
                    <w:rPr>
                      <w:b/>
                      <w:color w:val="000000"/>
                      <w:sz w:val="19"/>
                    </w:rPr>
                    <w:t>经济扣罚或奖励标准及其他补充说明</w:t>
                  </w:r>
                </w:p>
              </w:tc>
            </w:tr>
            <w:tr>
              <w:tc>
                <w:tcPr>
                  <w:tcW w:type="dxa" w:w="387"/>
                  <w:vMerge w:val="restart"/>
                  <w:tcBorders>
                    <w:top w:val="none" w:color="000000" w:sz="4"/>
                    <w:left w:val="double" w:color="000000" w:sz="8"/>
                    <w:bottom w:val="single" w:color="000000" w:sz="4"/>
                    <w:right w:val="single" w:color="000000" w:sz="4"/>
                  </w:tcBorders>
                </w:tcPr>
                <w:p>
                  <w:pPr>
                    <w:jc w:val="center"/>
                  </w:pPr>
                  <w:r>
                    <w:rPr>
                      <w:color w:val="000000"/>
                      <w:sz w:val="19"/>
                    </w:rPr>
                    <w:t>一、服务团队建设</w:t>
                  </w:r>
                </w:p>
              </w:tc>
              <w:tc>
                <w:tcPr>
                  <w:tcW w:type="dxa" w:w="1326"/>
                  <w:tcBorders>
                    <w:top w:val="none" w:color="000000" w:sz="4"/>
                    <w:left w:val="none" w:color="000000" w:sz="4"/>
                    <w:bottom w:val="single" w:color="000000" w:sz="4"/>
                    <w:right w:val="single" w:color="000000" w:sz="4"/>
                  </w:tcBorders>
                </w:tcPr>
                <w:p>
                  <w:r>
                    <w:rPr>
                      <w:color w:val="000000"/>
                      <w:sz w:val="19"/>
                    </w:rPr>
                    <w:t>1</w:t>
                  </w:r>
                  <w:r>
                    <w:rPr>
                      <w:color w:val="000000"/>
                      <w:sz w:val="19"/>
                    </w:rPr>
                    <w:t>、未经培训的或人员不符合服务基本条件。</w:t>
                  </w:r>
                </w:p>
              </w:tc>
              <w:tc>
                <w:tcPr>
                  <w:tcW w:type="dxa" w:w="1443"/>
                  <w:tcBorders>
                    <w:top w:val="none" w:color="000000" w:sz="4"/>
                    <w:left w:val="none" w:color="000000" w:sz="4"/>
                    <w:bottom w:val="single" w:color="000000" w:sz="4"/>
                    <w:right w:val="single" w:color="000000" w:sz="4"/>
                  </w:tcBorders>
                </w:tcPr>
                <w:p>
                  <w:pPr>
                    <w:jc w:val="center"/>
                  </w:pPr>
                  <w:r>
                    <w:rPr>
                      <w:color w:val="000000"/>
                      <w:sz w:val="19"/>
                    </w:rPr>
                    <w:t>扣2分/人</w:t>
                  </w:r>
                </w:p>
              </w:tc>
              <w:tc>
                <w:tcPr>
                  <w:tcW w:type="dxa" w:w="2441"/>
                  <w:tcBorders>
                    <w:top w:val="none" w:color="000000" w:sz="4"/>
                    <w:left w:val="none" w:color="000000" w:sz="4"/>
                    <w:bottom w:val="single" w:color="000000" w:sz="4"/>
                    <w:right w:val="double" w:color="000000" w:sz="8"/>
                  </w:tcBorders>
                </w:tcPr>
                <w:p>
                  <w:pPr>
                    <w:jc w:val="both"/>
                  </w:pPr>
                  <w:r>
                    <w:rPr>
                      <w:color w:val="000000"/>
                      <w:sz w:val="19"/>
                    </w:rPr>
                    <w:t>扣罚100元/人，采购人有权要求更换相关人员并追究有关责任，中标人应按采购人要求更换人员并承担相关责任。</w:t>
                  </w:r>
                </w:p>
              </w:tc>
            </w:tr>
            <w:tr>
              <w:tc>
                <w:tcPr>
                  <w:tcW w:type="dxa" w:w="387"/>
                  <w:vMerge/>
                  <w:tcBorders>
                    <w:top w:val="none" w:color="000000" w:sz="4"/>
                    <w:left w:val="double" w:color="000000" w:sz="8"/>
                    <w:bottom w:val="single" w:color="000000" w:sz="4"/>
                    <w:right w:val="single" w:color="000000" w:sz="4"/>
                  </w:tcBorders>
                </w:tcPr>
                <w:p/>
              </w:tc>
              <w:tc>
                <w:tcPr>
                  <w:tcW w:type="dxa" w:w="1326"/>
                  <w:tcBorders>
                    <w:top w:val="none" w:color="000000" w:sz="4"/>
                    <w:left w:val="none" w:color="000000" w:sz="4"/>
                    <w:bottom w:val="single" w:color="000000" w:sz="4"/>
                    <w:right w:val="single" w:color="000000" w:sz="4"/>
                  </w:tcBorders>
                </w:tcPr>
                <w:p>
                  <w:r>
                    <w:rPr>
                      <w:color w:val="000000"/>
                      <w:sz w:val="19"/>
                    </w:rPr>
                    <w:t>2</w:t>
                  </w:r>
                  <w:r>
                    <w:rPr>
                      <w:color w:val="000000"/>
                      <w:sz w:val="19"/>
                    </w:rPr>
                    <w:t>、未按时签订劳动合同或发放工资、补助、购买社保的</w:t>
                  </w:r>
                </w:p>
              </w:tc>
              <w:tc>
                <w:tcPr>
                  <w:tcW w:type="dxa" w:w="1443"/>
                  <w:tcBorders>
                    <w:top w:val="none" w:color="000000" w:sz="4"/>
                    <w:left w:val="none" w:color="000000" w:sz="4"/>
                    <w:bottom w:val="single" w:color="000000" w:sz="4"/>
                    <w:right w:val="single" w:color="000000" w:sz="4"/>
                  </w:tcBorders>
                </w:tcPr>
                <w:p>
                  <w:pPr>
                    <w:jc w:val="center"/>
                  </w:pPr>
                  <w:r>
                    <w:rPr>
                      <w:color w:val="000000"/>
                      <w:sz w:val="19"/>
                    </w:rPr>
                    <w:t>扣2.5分/人(任一项)</w:t>
                  </w:r>
                </w:p>
              </w:tc>
              <w:tc>
                <w:tcPr>
                  <w:tcW w:type="dxa" w:w="2441"/>
                  <w:tcBorders>
                    <w:top w:val="none" w:color="000000" w:sz="4"/>
                    <w:left w:val="none" w:color="000000" w:sz="4"/>
                    <w:bottom w:val="single" w:color="000000" w:sz="4"/>
                    <w:right w:val="double" w:color="000000" w:sz="8"/>
                  </w:tcBorders>
                </w:tcPr>
                <w:p>
                  <w:pPr>
                    <w:jc w:val="both"/>
                  </w:pPr>
                  <w:r>
                    <w:rPr>
                      <w:color w:val="000000"/>
                      <w:sz w:val="19"/>
                    </w:rPr>
                    <w:t>扣罚100元/人(任一项)。</w:t>
                  </w:r>
                </w:p>
              </w:tc>
            </w:tr>
            <w:tr>
              <w:tc>
                <w:tcPr>
                  <w:tcW w:type="dxa" w:w="387"/>
                  <w:vMerge/>
                  <w:tcBorders>
                    <w:top w:val="none" w:color="000000" w:sz="4"/>
                    <w:left w:val="double" w:color="000000" w:sz="8"/>
                    <w:bottom w:val="single" w:color="000000" w:sz="4"/>
                    <w:right w:val="single" w:color="000000" w:sz="4"/>
                  </w:tcBorders>
                </w:tcPr>
                <w:p/>
              </w:tc>
              <w:tc>
                <w:tcPr>
                  <w:tcW w:type="dxa" w:w="1326"/>
                  <w:tcBorders>
                    <w:top w:val="none" w:color="000000" w:sz="4"/>
                    <w:left w:val="none" w:color="000000" w:sz="4"/>
                    <w:bottom w:val="single" w:color="000000" w:sz="4"/>
                    <w:right w:val="single" w:color="000000" w:sz="4"/>
                  </w:tcBorders>
                </w:tcPr>
                <w:p>
                  <w:r>
                    <w:rPr>
                      <w:color w:val="000000"/>
                      <w:sz w:val="19"/>
                    </w:rPr>
                    <w:t>3</w:t>
                  </w:r>
                  <w:r>
                    <w:rPr>
                      <w:color w:val="000000"/>
                      <w:sz w:val="19"/>
                    </w:rPr>
                    <w:t>、已确定使用的岗位少配置人员的（且7天内未按要求补齐）</w:t>
                  </w:r>
                </w:p>
              </w:tc>
              <w:tc>
                <w:tcPr>
                  <w:tcW w:type="dxa" w:w="1443"/>
                  <w:tcBorders>
                    <w:top w:val="none" w:color="000000" w:sz="4"/>
                    <w:left w:val="none" w:color="000000" w:sz="4"/>
                    <w:bottom w:val="single" w:color="000000" w:sz="4"/>
                    <w:right w:val="single" w:color="000000" w:sz="4"/>
                  </w:tcBorders>
                </w:tcPr>
                <w:p>
                  <w:pPr>
                    <w:jc w:val="center"/>
                  </w:pPr>
                  <w:r>
                    <w:rPr>
                      <w:color w:val="000000"/>
                      <w:sz w:val="19"/>
                    </w:rPr>
                    <w:t>扣10分/人</w:t>
                  </w:r>
                </w:p>
              </w:tc>
              <w:tc>
                <w:tcPr>
                  <w:tcW w:type="dxa" w:w="2441"/>
                  <w:tcBorders>
                    <w:top w:val="none" w:color="000000" w:sz="4"/>
                    <w:left w:val="none" w:color="000000" w:sz="4"/>
                    <w:bottom w:val="single" w:color="000000" w:sz="4"/>
                    <w:right w:val="double" w:color="000000" w:sz="8"/>
                  </w:tcBorders>
                </w:tcPr>
                <w:p>
                  <w:pPr>
                    <w:jc w:val="both"/>
                  </w:pPr>
                  <w:r>
                    <w:rPr>
                      <w:color w:val="000000"/>
                      <w:sz w:val="19"/>
                    </w:rPr>
                    <w:t>按缺岗人员的发放工资标准等额扣除对应缺天数的费用，采购人有权要求补齐人员，中标人应按采购人要求补齐人员。</w:t>
                  </w:r>
                </w:p>
              </w:tc>
            </w:tr>
            <w:tr>
              <w:tc>
                <w:tcPr>
                  <w:tcW w:type="dxa" w:w="387"/>
                  <w:vMerge/>
                  <w:tcBorders>
                    <w:top w:val="none" w:color="000000" w:sz="4"/>
                    <w:left w:val="double" w:color="000000" w:sz="8"/>
                    <w:bottom w:val="single" w:color="000000" w:sz="4"/>
                    <w:right w:val="single" w:color="000000" w:sz="4"/>
                  </w:tcBorders>
                </w:tcPr>
                <w:p/>
              </w:tc>
              <w:tc>
                <w:tcPr>
                  <w:tcW w:type="dxa" w:w="1326"/>
                  <w:tcBorders>
                    <w:top w:val="none" w:color="000000" w:sz="4"/>
                    <w:left w:val="none" w:color="000000" w:sz="4"/>
                    <w:bottom w:val="single" w:color="000000" w:sz="4"/>
                    <w:right w:val="single" w:color="000000" w:sz="4"/>
                  </w:tcBorders>
                </w:tcPr>
                <w:p>
                  <w:r>
                    <w:rPr>
                      <w:color w:val="000000"/>
                      <w:sz w:val="19"/>
                    </w:rPr>
                    <w:t>4</w:t>
                  </w:r>
                  <w:r>
                    <w:rPr>
                      <w:color w:val="000000"/>
                      <w:sz w:val="19"/>
                    </w:rPr>
                    <w:t>、人员稳定性高，每个月的离职率最高不超过5%</w:t>
                  </w:r>
                </w:p>
              </w:tc>
              <w:tc>
                <w:tcPr>
                  <w:tcW w:type="dxa" w:w="1443"/>
                  <w:tcBorders>
                    <w:top w:val="none" w:color="000000" w:sz="4"/>
                    <w:left w:val="none" w:color="000000" w:sz="4"/>
                    <w:bottom w:val="single" w:color="000000" w:sz="4"/>
                    <w:right w:val="single" w:color="000000" w:sz="4"/>
                  </w:tcBorders>
                </w:tcPr>
                <w:p>
                  <w:pPr>
                    <w:jc w:val="center"/>
                  </w:pPr>
                  <w:r>
                    <w:rPr>
                      <w:color w:val="000000"/>
                      <w:sz w:val="19"/>
                    </w:rPr>
                    <w:t>每超1%扣2分</w:t>
                  </w:r>
                </w:p>
              </w:tc>
              <w:tc>
                <w:tcPr>
                  <w:tcW w:type="dxa" w:w="2441"/>
                  <w:tcBorders>
                    <w:top w:val="none" w:color="000000" w:sz="4"/>
                    <w:left w:val="none" w:color="000000" w:sz="4"/>
                    <w:bottom w:val="single" w:color="000000" w:sz="4"/>
                    <w:right w:val="double" w:color="000000" w:sz="8"/>
                  </w:tcBorders>
                </w:tcPr>
                <w:p>
                  <w:pPr>
                    <w:jc w:val="both"/>
                  </w:pPr>
                  <w:r>
                    <w:rPr>
                      <w:color w:val="000000"/>
                      <w:sz w:val="19"/>
                    </w:rPr>
                    <w:t>采购人有权要求补齐人员，中标人应按采购人要求补齐人员。</w:t>
                  </w:r>
                </w:p>
              </w:tc>
            </w:tr>
            <w:tr>
              <w:tc>
                <w:tcPr>
                  <w:tcW w:type="dxa" w:w="387"/>
                  <w:vMerge/>
                  <w:tcBorders>
                    <w:top w:val="none" w:color="000000" w:sz="4"/>
                    <w:left w:val="double" w:color="000000" w:sz="8"/>
                    <w:bottom w:val="single" w:color="000000" w:sz="4"/>
                    <w:right w:val="single" w:color="000000" w:sz="4"/>
                  </w:tcBorders>
                </w:tcPr>
                <w:p/>
              </w:tc>
              <w:tc>
                <w:tcPr>
                  <w:tcW w:type="dxa" w:w="1326"/>
                  <w:tcBorders>
                    <w:top w:val="none" w:color="000000" w:sz="4"/>
                    <w:left w:val="none" w:color="000000" w:sz="4"/>
                    <w:bottom w:val="single" w:color="000000" w:sz="4"/>
                    <w:right w:val="single" w:color="000000" w:sz="4"/>
                  </w:tcBorders>
                </w:tcPr>
                <w:p>
                  <w:r>
                    <w:rPr>
                      <w:color w:val="000000"/>
                      <w:sz w:val="19"/>
                    </w:rPr>
                    <w:t>5</w:t>
                  </w:r>
                  <w:r>
                    <w:rPr>
                      <w:color w:val="000000"/>
                      <w:sz w:val="19"/>
                    </w:rPr>
                    <w:t>、值班人员脱岗的</w:t>
                  </w:r>
                </w:p>
              </w:tc>
              <w:tc>
                <w:tcPr>
                  <w:tcW w:type="dxa" w:w="1443"/>
                  <w:tcBorders>
                    <w:top w:val="none" w:color="000000" w:sz="4"/>
                    <w:left w:val="none" w:color="000000" w:sz="4"/>
                    <w:bottom w:val="single" w:color="000000" w:sz="4"/>
                    <w:right w:val="single" w:color="000000" w:sz="4"/>
                  </w:tcBorders>
                </w:tcPr>
                <w:p>
                  <w:pPr>
                    <w:jc w:val="center"/>
                  </w:pPr>
                  <w:r>
                    <w:rPr>
                      <w:color w:val="000000"/>
                      <w:sz w:val="19"/>
                    </w:rPr>
                    <w:t>扣1分/人/次(备注:值班人员在接到通知后10分钟内未到达指定位置的、上班时间离开上班安排区域或做其他与本职工作无关工作的,扣1分/人:同一个人一个月内脱岗2次以上(含2次)扣2分/次。)</w:t>
                  </w:r>
                </w:p>
              </w:tc>
              <w:tc>
                <w:tcPr>
                  <w:tcW w:type="dxa" w:w="2441"/>
                  <w:tcBorders>
                    <w:top w:val="none" w:color="000000" w:sz="4"/>
                    <w:left w:val="none" w:color="000000" w:sz="4"/>
                    <w:bottom w:val="single" w:color="000000" w:sz="4"/>
                    <w:right w:val="double" w:color="000000" w:sz="8"/>
                  </w:tcBorders>
                </w:tcPr>
                <w:p>
                  <w:pPr>
                    <w:jc w:val="both"/>
                  </w:pPr>
                  <w:r>
                    <w:rPr>
                      <w:color w:val="000000"/>
                      <w:sz w:val="19"/>
                    </w:rPr>
                    <w:t>扣罚100元/人/次(备注: 值班人员在接到通知后10分钟内未到达指定位置的、上班时间离开上班安排区域或做其他与本职工作无关工作的,扣款100元/人;同一个人一个月内脱岗2次以上(含2次)扣款300元/次)。 采购人有权要求更换相关人员并追究有关责任，中标人应按采购人要求更换人员并承担相关责任。</w:t>
                  </w:r>
                </w:p>
              </w:tc>
            </w:tr>
            <w:tr>
              <w:tc>
                <w:tcPr>
                  <w:tcW w:type="dxa" w:w="387"/>
                  <w:vMerge/>
                  <w:tcBorders>
                    <w:top w:val="none" w:color="000000" w:sz="4"/>
                    <w:left w:val="double" w:color="000000" w:sz="8"/>
                    <w:bottom w:val="single" w:color="000000" w:sz="4"/>
                    <w:right w:val="single" w:color="000000" w:sz="4"/>
                  </w:tcBorders>
                </w:tcPr>
                <w:p/>
              </w:tc>
              <w:tc>
                <w:tcPr>
                  <w:tcW w:type="dxa" w:w="1326"/>
                  <w:tcBorders>
                    <w:top w:val="none" w:color="000000" w:sz="4"/>
                    <w:left w:val="none" w:color="000000" w:sz="4"/>
                    <w:bottom w:val="single" w:color="000000" w:sz="4"/>
                    <w:right w:val="single" w:color="000000" w:sz="4"/>
                  </w:tcBorders>
                </w:tcPr>
                <w:p>
                  <w:pPr>
                    <w:jc w:val="both"/>
                  </w:pPr>
                  <w:r>
                    <w:rPr>
                      <w:color w:val="000000"/>
                      <w:sz w:val="19"/>
                    </w:rPr>
                    <w:t>6</w:t>
                  </w:r>
                  <w:r>
                    <w:rPr>
                      <w:color w:val="000000"/>
                      <w:sz w:val="19"/>
                    </w:rPr>
                    <w:t>、发生与工作相关的</w:t>
                  </w:r>
                  <w:r>
                    <w:rPr>
                      <w:color w:val="000000"/>
                      <w:sz w:val="19"/>
                    </w:rPr>
                    <w:t>“</w:t>
                  </w:r>
                  <w:r>
                    <w:rPr>
                      <w:color w:val="000000"/>
                      <w:sz w:val="19"/>
                    </w:rPr>
                    <w:t>吃、拿、卡、要</w:t>
                  </w:r>
                  <w:r>
                    <w:rPr>
                      <w:color w:val="000000"/>
                      <w:sz w:val="19"/>
                    </w:rPr>
                    <w:t>”</w:t>
                  </w:r>
                  <w:r>
                    <w:rPr>
                      <w:color w:val="000000"/>
                      <w:sz w:val="19"/>
                    </w:rPr>
                    <w:t>等问题:发生有责纠纷及其它事情等,造成不良影响的</w:t>
                  </w:r>
                </w:p>
              </w:tc>
              <w:tc>
                <w:tcPr>
                  <w:tcW w:type="dxa" w:w="1443"/>
                  <w:tcBorders>
                    <w:top w:val="none" w:color="000000" w:sz="4"/>
                    <w:left w:val="none" w:color="000000" w:sz="4"/>
                    <w:bottom w:val="single" w:color="000000" w:sz="4"/>
                    <w:right w:val="single" w:color="000000" w:sz="4"/>
                  </w:tcBorders>
                </w:tcPr>
                <w:p>
                  <w:pPr>
                    <w:jc w:val="center"/>
                  </w:pPr>
                  <w:r>
                    <w:rPr>
                      <w:color w:val="000000"/>
                      <w:sz w:val="19"/>
                    </w:rPr>
                    <w:t>扣10分/次</w:t>
                  </w:r>
                </w:p>
              </w:tc>
              <w:tc>
                <w:tcPr>
                  <w:tcW w:type="dxa" w:w="2441"/>
                  <w:tcBorders>
                    <w:top w:val="none" w:color="000000" w:sz="4"/>
                    <w:left w:val="none" w:color="000000" w:sz="4"/>
                    <w:bottom w:val="single" w:color="000000" w:sz="4"/>
                    <w:right w:val="double" w:color="000000" w:sz="8"/>
                  </w:tcBorders>
                </w:tcPr>
                <w:p>
                  <w:pPr>
                    <w:jc w:val="both"/>
                  </w:pPr>
                  <w:r>
                    <w:rPr>
                      <w:color w:val="000000"/>
                      <w:sz w:val="19"/>
                    </w:rPr>
                    <w:t>扣罚200元/次:造成严重后果及影响的.500元/次。采购人有权要求更换相关人员并追究有关责任，中标人应按采购人要求更换人员并承担相关责任。</w:t>
                  </w:r>
                </w:p>
              </w:tc>
            </w:tr>
            <w:tr>
              <w:tc>
                <w:tcPr>
                  <w:tcW w:type="dxa" w:w="387"/>
                  <w:vMerge/>
                  <w:tcBorders>
                    <w:top w:val="none" w:color="000000" w:sz="4"/>
                    <w:left w:val="double" w:color="000000" w:sz="8"/>
                    <w:bottom w:val="single" w:color="000000" w:sz="4"/>
                    <w:right w:val="single" w:color="000000" w:sz="4"/>
                  </w:tcBorders>
                </w:tcPr>
                <w:p/>
              </w:tc>
              <w:tc>
                <w:tcPr>
                  <w:tcW w:type="dxa" w:w="1326"/>
                  <w:tcBorders>
                    <w:top w:val="none" w:color="000000" w:sz="4"/>
                    <w:left w:val="none" w:color="000000" w:sz="4"/>
                    <w:bottom w:val="single" w:color="000000" w:sz="4"/>
                    <w:right w:val="single" w:color="000000" w:sz="4"/>
                  </w:tcBorders>
                </w:tcPr>
                <w:p>
                  <w:pPr>
                    <w:jc w:val="both"/>
                  </w:pPr>
                  <w:r>
                    <w:rPr>
                      <w:color w:val="000000"/>
                      <w:sz w:val="19"/>
                    </w:rPr>
                    <w:t>7</w:t>
                  </w:r>
                  <w:r>
                    <w:rPr>
                      <w:color w:val="000000"/>
                      <w:sz w:val="19"/>
                    </w:rPr>
                    <w:t>、出现仪容不整、着装不整、证件、值勤标志佩戴不齐的</w:t>
                  </w:r>
                </w:p>
              </w:tc>
              <w:tc>
                <w:tcPr>
                  <w:tcW w:type="dxa" w:w="1443"/>
                  <w:tcBorders>
                    <w:top w:val="none" w:color="000000" w:sz="4"/>
                    <w:left w:val="none" w:color="000000" w:sz="4"/>
                    <w:bottom w:val="single" w:color="000000" w:sz="4"/>
                    <w:right w:val="single" w:color="000000" w:sz="4"/>
                  </w:tcBorders>
                </w:tcPr>
                <w:p>
                  <w:pPr>
                    <w:jc w:val="center"/>
                  </w:pPr>
                  <w:r>
                    <w:rPr>
                      <w:color w:val="000000"/>
                      <w:sz w:val="19"/>
                    </w:rPr>
                    <w:t>扣0.5分/人/次</w:t>
                  </w:r>
                </w:p>
              </w:tc>
              <w:tc>
                <w:tcPr>
                  <w:tcW w:type="dxa" w:w="2441"/>
                  <w:tcBorders>
                    <w:top w:val="none" w:color="000000" w:sz="4"/>
                    <w:left w:val="none" w:color="000000" w:sz="4"/>
                    <w:bottom w:val="single" w:color="000000" w:sz="4"/>
                    <w:right w:val="double" w:color="000000" w:sz="8"/>
                  </w:tcBorders>
                </w:tcPr>
                <w:p>
                  <w:pPr>
                    <w:jc w:val="both"/>
                  </w:pPr>
                  <w:r>
                    <w:rPr>
                      <w:color w:val="000000"/>
                      <w:sz w:val="19"/>
                    </w:rPr>
                    <w:t>扣罚50元/人/次，采购人有权要求更换相关人员并追究有关责任，中标人应按采购人要求更换人员并承担相关责任。</w:t>
                  </w:r>
                </w:p>
              </w:tc>
            </w:tr>
            <w:tr>
              <w:tc>
                <w:tcPr>
                  <w:tcW w:type="dxa" w:w="387"/>
                  <w:vMerge/>
                  <w:tcBorders>
                    <w:top w:val="none" w:color="000000" w:sz="4"/>
                    <w:left w:val="double" w:color="000000" w:sz="8"/>
                    <w:bottom w:val="single" w:color="000000" w:sz="4"/>
                    <w:right w:val="single" w:color="000000" w:sz="4"/>
                  </w:tcBorders>
                </w:tcPr>
                <w:p/>
              </w:tc>
              <w:tc>
                <w:tcPr>
                  <w:tcW w:type="dxa" w:w="1326"/>
                  <w:tcBorders>
                    <w:top w:val="none" w:color="000000" w:sz="4"/>
                    <w:left w:val="none" w:color="000000" w:sz="4"/>
                    <w:bottom w:val="single" w:color="000000" w:sz="4"/>
                    <w:right w:val="single" w:color="000000" w:sz="4"/>
                  </w:tcBorders>
                </w:tcPr>
                <w:p>
                  <w:pPr>
                    <w:jc w:val="both"/>
                  </w:pPr>
                  <w:r>
                    <w:rPr>
                      <w:color w:val="000000"/>
                      <w:sz w:val="19"/>
                    </w:rPr>
                    <w:t>8</w:t>
                  </w:r>
                  <w:r>
                    <w:rPr>
                      <w:color w:val="000000"/>
                      <w:sz w:val="19"/>
                    </w:rPr>
                    <w:t>、出现工作态度粗暴、野蛮、语言不文明等言行举止不当的</w:t>
                  </w:r>
                </w:p>
              </w:tc>
              <w:tc>
                <w:tcPr>
                  <w:tcW w:type="dxa" w:w="1443"/>
                  <w:tcBorders>
                    <w:top w:val="none" w:color="000000" w:sz="4"/>
                    <w:left w:val="none" w:color="000000" w:sz="4"/>
                    <w:bottom w:val="single" w:color="000000" w:sz="4"/>
                    <w:right w:val="single" w:color="000000" w:sz="4"/>
                  </w:tcBorders>
                </w:tcPr>
                <w:p>
                  <w:pPr>
                    <w:jc w:val="center"/>
                  </w:pPr>
                  <w:r>
                    <w:rPr>
                      <w:color w:val="000000"/>
                      <w:sz w:val="19"/>
                    </w:rPr>
                    <w:t>扣1分/人/次</w:t>
                  </w:r>
                </w:p>
              </w:tc>
              <w:tc>
                <w:tcPr>
                  <w:tcW w:type="dxa" w:w="2441"/>
                  <w:tcBorders>
                    <w:top w:val="none" w:color="000000" w:sz="4"/>
                    <w:left w:val="none" w:color="000000" w:sz="4"/>
                    <w:bottom w:val="single" w:color="000000" w:sz="4"/>
                    <w:right w:val="double" w:color="000000" w:sz="8"/>
                  </w:tcBorders>
                </w:tcPr>
                <w:p>
                  <w:pPr>
                    <w:jc w:val="both"/>
                  </w:pPr>
                  <w:r>
                    <w:rPr>
                      <w:color w:val="000000"/>
                      <w:sz w:val="19"/>
                    </w:rPr>
                    <w:t>扣罚50元/人/次，采购人有权要求更换相关人员并追究有关责任，中标人应按采购人要求更换人员并承担相关责任。</w:t>
                  </w:r>
                </w:p>
              </w:tc>
            </w:tr>
            <w:tr>
              <w:tc>
                <w:tcPr>
                  <w:tcW w:type="dxa" w:w="387"/>
                  <w:vMerge/>
                  <w:tcBorders>
                    <w:top w:val="none" w:color="000000" w:sz="4"/>
                    <w:left w:val="double" w:color="000000" w:sz="8"/>
                    <w:bottom w:val="single" w:color="000000" w:sz="4"/>
                    <w:right w:val="single" w:color="000000" w:sz="4"/>
                  </w:tcBorders>
                </w:tcPr>
                <w:p/>
              </w:tc>
              <w:tc>
                <w:tcPr>
                  <w:tcW w:type="dxa" w:w="1326"/>
                  <w:tcBorders>
                    <w:top w:val="none" w:color="000000" w:sz="4"/>
                    <w:left w:val="none" w:color="000000" w:sz="4"/>
                    <w:bottom w:val="single" w:color="000000" w:sz="4"/>
                    <w:right w:val="single" w:color="000000" w:sz="4"/>
                  </w:tcBorders>
                </w:tcPr>
                <w:p>
                  <w:pPr>
                    <w:jc w:val="both"/>
                  </w:pPr>
                  <w:r>
                    <w:rPr>
                      <w:color w:val="000000"/>
                      <w:sz w:val="19"/>
                    </w:rPr>
                    <w:t>9</w:t>
                  </w:r>
                  <w:r>
                    <w:rPr>
                      <w:color w:val="000000"/>
                      <w:sz w:val="19"/>
                    </w:rPr>
                    <w:t>、出现中标人不配合监督检查的</w:t>
                  </w:r>
                </w:p>
              </w:tc>
              <w:tc>
                <w:tcPr>
                  <w:tcW w:type="dxa" w:w="1443"/>
                  <w:tcBorders>
                    <w:top w:val="none" w:color="000000" w:sz="4"/>
                    <w:left w:val="none" w:color="000000" w:sz="4"/>
                    <w:bottom w:val="single" w:color="000000" w:sz="4"/>
                    <w:right w:val="single" w:color="000000" w:sz="4"/>
                  </w:tcBorders>
                </w:tcPr>
                <w:p>
                  <w:pPr>
                    <w:jc w:val="center"/>
                  </w:pPr>
                  <w:r>
                    <w:rPr>
                      <w:color w:val="000000"/>
                      <w:sz w:val="19"/>
                    </w:rPr>
                    <w:t>扣2分/次</w:t>
                  </w:r>
                </w:p>
              </w:tc>
              <w:tc>
                <w:tcPr>
                  <w:tcW w:type="dxa" w:w="2441"/>
                  <w:tcBorders>
                    <w:top w:val="none" w:color="000000" w:sz="4"/>
                    <w:left w:val="none" w:color="000000" w:sz="4"/>
                    <w:bottom w:val="single" w:color="000000" w:sz="4"/>
                    <w:right w:val="double" w:color="000000" w:sz="8"/>
                  </w:tcBorders>
                </w:tcPr>
                <w:p>
                  <w:pPr>
                    <w:jc w:val="both"/>
                  </w:pPr>
                  <w:r>
                    <w:rPr>
                      <w:color w:val="000000"/>
                      <w:sz w:val="19"/>
                    </w:rPr>
                    <w:t>扣罚100元/次，采购人有权要求更换相关人员并追究有关责任，中标人应按采购人要求更换人员并承担相关责任。</w:t>
                  </w:r>
                </w:p>
              </w:tc>
            </w:tr>
            <w:tr>
              <w:tc>
                <w:tcPr>
                  <w:tcW w:type="dxa" w:w="387"/>
                  <w:vMerge/>
                  <w:tcBorders>
                    <w:top w:val="none" w:color="000000" w:sz="4"/>
                    <w:left w:val="double" w:color="000000" w:sz="8"/>
                    <w:bottom w:val="single" w:color="000000" w:sz="4"/>
                    <w:right w:val="single" w:color="000000" w:sz="4"/>
                  </w:tcBorders>
                </w:tcPr>
                <w:p/>
              </w:tc>
              <w:tc>
                <w:tcPr>
                  <w:tcW w:type="dxa" w:w="1326"/>
                  <w:tcBorders>
                    <w:top w:val="none" w:color="000000" w:sz="4"/>
                    <w:left w:val="none" w:color="000000" w:sz="4"/>
                    <w:bottom w:val="single" w:color="000000" w:sz="4"/>
                    <w:right w:val="single" w:color="000000" w:sz="4"/>
                  </w:tcBorders>
                </w:tcPr>
                <w:p>
                  <w:pPr>
                    <w:jc w:val="both"/>
                  </w:pPr>
                  <w:r>
                    <w:rPr>
                      <w:color w:val="000000"/>
                      <w:sz w:val="19"/>
                    </w:rPr>
                    <w:t>10</w:t>
                  </w:r>
                  <w:r>
                    <w:rPr>
                      <w:color w:val="000000"/>
                      <w:sz w:val="19"/>
                    </w:rPr>
                    <w:t>、未按要求上报相关工作情况信息的</w:t>
                  </w:r>
                </w:p>
              </w:tc>
              <w:tc>
                <w:tcPr>
                  <w:tcW w:type="dxa" w:w="1443"/>
                  <w:tcBorders>
                    <w:top w:val="none" w:color="000000" w:sz="4"/>
                    <w:left w:val="none" w:color="000000" w:sz="4"/>
                    <w:bottom w:val="single" w:color="000000" w:sz="4"/>
                    <w:right w:val="single" w:color="000000" w:sz="4"/>
                  </w:tcBorders>
                </w:tcPr>
                <w:p>
                  <w:pPr>
                    <w:jc w:val="center"/>
                  </w:pPr>
                  <w:r>
                    <w:rPr>
                      <w:color w:val="000000"/>
                      <w:sz w:val="19"/>
                    </w:rPr>
                    <w:t>扣2分/次</w:t>
                  </w:r>
                </w:p>
              </w:tc>
              <w:tc>
                <w:tcPr>
                  <w:tcW w:type="dxa" w:w="2441"/>
                  <w:tcBorders>
                    <w:top w:val="none" w:color="000000" w:sz="4"/>
                    <w:left w:val="none" w:color="000000" w:sz="4"/>
                    <w:bottom w:val="single" w:color="000000" w:sz="4"/>
                    <w:right w:val="double" w:color="000000" w:sz="8"/>
                  </w:tcBorders>
                </w:tcPr>
                <w:p>
                  <w:pPr>
                    <w:jc w:val="both"/>
                  </w:pPr>
                  <w:r>
                    <w:rPr>
                      <w:color w:val="000000"/>
                      <w:sz w:val="19"/>
                    </w:rPr>
                    <w:t>扣罚100元/次，采购人有权要求更换相关人员并追究有关责任，中标人应按采购人要求更换人员并承担相关责任。</w:t>
                  </w:r>
                </w:p>
              </w:tc>
            </w:tr>
            <w:tr>
              <w:tc>
                <w:tcPr>
                  <w:tcW w:type="dxa" w:w="387"/>
                  <w:vMerge/>
                  <w:tcBorders>
                    <w:top w:val="none" w:color="000000" w:sz="4"/>
                    <w:left w:val="double" w:color="000000" w:sz="8"/>
                    <w:bottom w:val="single" w:color="000000" w:sz="4"/>
                    <w:right w:val="single" w:color="000000" w:sz="4"/>
                  </w:tcBorders>
                </w:tcPr>
                <w:p/>
              </w:tc>
              <w:tc>
                <w:tcPr>
                  <w:tcW w:type="dxa" w:w="1326"/>
                  <w:tcBorders>
                    <w:top w:val="none" w:color="000000" w:sz="4"/>
                    <w:left w:val="none" w:color="000000" w:sz="4"/>
                    <w:bottom w:val="single" w:color="000000" w:sz="4"/>
                    <w:right w:val="single" w:color="000000" w:sz="4"/>
                  </w:tcBorders>
                </w:tcPr>
                <w:p>
                  <w:pPr>
                    <w:jc w:val="both"/>
                  </w:pPr>
                  <w:r>
                    <w:rPr>
                      <w:color w:val="000000"/>
                      <w:sz w:val="19"/>
                    </w:rPr>
                    <w:t>11</w:t>
                  </w:r>
                  <w:r>
                    <w:rPr>
                      <w:color w:val="000000"/>
                      <w:sz w:val="19"/>
                    </w:rPr>
                    <w:t>、擅自调整工作安排的</w:t>
                  </w:r>
                </w:p>
              </w:tc>
              <w:tc>
                <w:tcPr>
                  <w:tcW w:type="dxa" w:w="1443"/>
                  <w:tcBorders>
                    <w:top w:val="none" w:color="000000" w:sz="4"/>
                    <w:left w:val="none" w:color="000000" w:sz="4"/>
                    <w:bottom w:val="single" w:color="000000" w:sz="4"/>
                    <w:right w:val="single" w:color="000000" w:sz="4"/>
                  </w:tcBorders>
                </w:tcPr>
                <w:p>
                  <w:pPr>
                    <w:jc w:val="center"/>
                  </w:pPr>
                  <w:r>
                    <w:rPr>
                      <w:color w:val="000000"/>
                      <w:sz w:val="19"/>
                    </w:rPr>
                    <w:t>扣2分/次</w:t>
                  </w:r>
                </w:p>
              </w:tc>
              <w:tc>
                <w:tcPr>
                  <w:tcW w:type="dxa" w:w="2441"/>
                  <w:tcBorders>
                    <w:top w:val="none" w:color="000000" w:sz="4"/>
                    <w:left w:val="none" w:color="000000" w:sz="4"/>
                    <w:bottom w:val="single" w:color="000000" w:sz="4"/>
                    <w:right w:val="double" w:color="000000" w:sz="8"/>
                  </w:tcBorders>
                </w:tcPr>
                <w:p>
                  <w:pPr>
                    <w:jc w:val="both"/>
                  </w:pPr>
                  <w:r>
                    <w:rPr>
                      <w:color w:val="000000"/>
                      <w:sz w:val="19"/>
                    </w:rPr>
                    <w:t>扣罚100元/次，采购人有权要求更换相关人员并追究有关责任，中标人应按采购人要求更换人员并承担相关责任。</w:t>
                  </w:r>
                </w:p>
              </w:tc>
            </w:tr>
            <w:tr>
              <w:tc>
                <w:tcPr>
                  <w:tcW w:type="dxa" w:w="387"/>
                  <w:vMerge/>
                  <w:tcBorders>
                    <w:top w:val="none" w:color="000000" w:sz="4"/>
                    <w:left w:val="double" w:color="000000" w:sz="8"/>
                    <w:bottom w:val="single" w:color="000000" w:sz="4"/>
                    <w:right w:val="single" w:color="000000" w:sz="4"/>
                  </w:tcBorders>
                </w:tcPr>
                <w:p/>
              </w:tc>
              <w:tc>
                <w:tcPr>
                  <w:tcW w:type="dxa" w:w="1326"/>
                  <w:tcBorders>
                    <w:top w:val="none" w:color="000000" w:sz="4"/>
                    <w:left w:val="none" w:color="000000" w:sz="4"/>
                    <w:bottom w:val="single" w:color="000000" w:sz="4"/>
                    <w:right w:val="single" w:color="000000" w:sz="4"/>
                  </w:tcBorders>
                </w:tcPr>
                <w:p>
                  <w:pPr>
                    <w:jc w:val="both"/>
                  </w:pPr>
                  <w:r>
                    <w:rPr>
                      <w:color w:val="000000"/>
                      <w:sz w:val="19"/>
                    </w:rPr>
                    <w:t>12</w:t>
                  </w:r>
                  <w:r>
                    <w:rPr>
                      <w:color w:val="000000"/>
                      <w:sz w:val="19"/>
                    </w:rPr>
                    <w:t>、中标人根据职责不能有效制止或处理的违反管理规定的行为,未及时上报的。</w:t>
                  </w:r>
                </w:p>
              </w:tc>
              <w:tc>
                <w:tcPr>
                  <w:tcW w:type="dxa" w:w="1443"/>
                  <w:tcBorders>
                    <w:top w:val="none" w:color="000000" w:sz="4"/>
                    <w:left w:val="none" w:color="000000" w:sz="4"/>
                    <w:bottom w:val="single" w:color="000000" w:sz="4"/>
                    <w:right w:val="single" w:color="000000" w:sz="4"/>
                  </w:tcBorders>
                </w:tcPr>
                <w:p>
                  <w:pPr>
                    <w:jc w:val="center"/>
                  </w:pPr>
                  <w:r>
                    <w:rPr>
                      <w:color w:val="000000"/>
                      <w:sz w:val="19"/>
                    </w:rPr>
                    <w:t>扣2分/次</w:t>
                  </w:r>
                </w:p>
              </w:tc>
              <w:tc>
                <w:tcPr>
                  <w:tcW w:type="dxa" w:w="2441"/>
                  <w:tcBorders>
                    <w:top w:val="none" w:color="000000" w:sz="4"/>
                    <w:left w:val="none" w:color="000000" w:sz="4"/>
                    <w:bottom w:val="single" w:color="000000" w:sz="4"/>
                    <w:right w:val="double" w:color="000000" w:sz="8"/>
                  </w:tcBorders>
                </w:tcPr>
                <w:p>
                  <w:pPr>
                    <w:jc w:val="both"/>
                  </w:pPr>
                  <w:r>
                    <w:rPr>
                      <w:color w:val="000000"/>
                      <w:sz w:val="19"/>
                    </w:rPr>
                    <w:t>扣罚100元/次，采购人有权要求更换相关人员并追究有关责任，中标人应按采购人要求更换人员并承担相关责任。</w:t>
                  </w:r>
                </w:p>
              </w:tc>
            </w:tr>
            <w:tr>
              <w:tc>
                <w:tcPr>
                  <w:tcW w:type="dxa" w:w="387"/>
                  <w:vMerge/>
                  <w:tcBorders>
                    <w:top w:val="none" w:color="000000" w:sz="4"/>
                    <w:left w:val="double" w:color="000000" w:sz="8"/>
                    <w:bottom w:val="single" w:color="000000" w:sz="4"/>
                    <w:right w:val="single" w:color="000000" w:sz="4"/>
                  </w:tcBorders>
                </w:tcPr>
                <w:p/>
              </w:tc>
              <w:tc>
                <w:tcPr>
                  <w:tcW w:type="dxa" w:w="1326"/>
                  <w:tcBorders>
                    <w:top w:val="none" w:color="000000" w:sz="4"/>
                    <w:left w:val="none" w:color="000000" w:sz="4"/>
                    <w:bottom w:val="single" w:color="000000" w:sz="4"/>
                    <w:right w:val="single" w:color="000000" w:sz="4"/>
                  </w:tcBorders>
                </w:tcPr>
                <w:p>
                  <w:pPr>
                    <w:jc w:val="both"/>
                  </w:pPr>
                  <w:r>
                    <w:rPr>
                      <w:color w:val="000000"/>
                      <w:sz w:val="19"/>
                    </w:rPr>
                    <w:t>13</w:t>
                  </w:r>
                  <w:r>
                    <w:rPr>
                      <w:color w:val="000000"/>
                      <w:sz w:val="19"/>
                    </w:rPr>
                    <w:t>、中标人能充分利用不同的平台、制定完善的招聘流程，为本项目招聘到符合采购人使用要求的员工。</w:t>
                  </w:r>
                </w:p>
              </w:tc>
              <w:tc>
                <w:tcPr>
                  <w:tcW w:type="dxa" w:w="1443"/>
                  <w:tcBorders>
                    <w:top w:val="none" w:color="000000" w:sz="4"/>
                    <w:left w:val="none" w:color="000000" w:sz="4"/>
                    <w:bottom w:val="single" w:color="000000" w:sz="4"/>
                    <w:right w:val="single" w:color="000000" w:sz="4"/>
                  </w:tcBorders>
                </w:tcPr>
                <w:p>
                  <w:pPr>
                    <w:jc w:val="center"/>
                  </w:pPr>
                  <w:r>
                    <w:rPr>
                      <w:color w:val="000000"/>
                      <w:sz w:val="19"/>
                    </w:rPr>
                    <w:t>加3分</w:t>
                  </w:r>
                </w:p>
              </w:tc>
              <w:tc>
                <w:tcPr>
                  <w:tcW w:type="dxa" w:w="2441"/>
                  <w:tcBorders>
                    <w:top w:val="none" w:color="000000" w:sz="4"/>
                    <w:left w:val="none" w:color="000000" w:sz="4"/>
                    <w:bottom w:val="single" w:color="000000" w:sz="4"/>
                    <w:right w:val="double" w:color="000000" w:sz="8"/>
                  </w:tcBorders>
                </w:tcPr>
                <w:p>
                  <w:pPr>
                    <w:jc w:val="both"/>
                  </w:pPr>
                  <w:r>
                    <w:rPr>
                      <w:color w:val="000000"/>
                      <w:sz w:val="19"/>
                    </w:rPr>
                    <w:t>/</w:t>
                  </w:r>
                </w:p>
              </w:tc>
            </w:tr>
            <w:tr>
              <w:tc>
                <w:tcPr>
                  <w:tcW w:type="dxa" w:w="387"/>
                  <w:vMerge/>
                  <w:tcBorders>
                    <w:top w:val="none" w:color="000000" w:sz="4"/>
                    <w:left w:val="double" w:color="000000" w:sz="8"/>
                    <w:bottom w:val="single" w:color="000000" w:sz="4"/>
                    <w:right w:val="single" w:color="000000" w:sz="4"/>
                  </w:tcBorders>
                </w:tcPr>
                <w:p/>
              </w:tc>
              <w:tc>
                <w:tcPr>
                  <w:tcW w:type="dxa" w:w="1326"/>
                  <w:tcBorders>
                    <w:top w:val="none" w:color="000000" w:sz="4"/>
                    <w:left w:val="none" w:color="000000" w:sz="4"/>
                    <w:bottom w:val="single" w:color="000000" w:sz="4"/>
                    <w:right w:val="single" w:color="000000" w:sz="4"/>
                  </w:tcBorders>
                </w:tcPr>
                <w:p>
                  <w:pPr>
                    <w:jc w:val="both"/>
                  </w:pPr>
                  <w:r>
                    <w:rPr>
                      <w:color w:val="000000"/>
                      <w:sz w:val="19"/>
                    </w:rPr>
                    <w:t>14</w:t>
                  </w:r>
                  <w:r>
                    <w:rPr>
                      <w:color w:val="000000"/>
                      <w:sz w:val="19"/>
                    </w:rPr>
                    <w:t>、采购人用人部门对外包人员提供的服务满意度情况</w:t>
                  </w:r>
                </w:p>
              </w:tc>
              <w:tc>
                <w:tcPr>
                  <w:tcW w:type="dxa" w:w="1443"/>
                  <w:tcBorders>
                    <w:top w:val="none" w:color="000000" w:sz="4"/>
                    <w:left w:val="none" w:color="000000" w:sz="4"/>
                    <w:bottom w:val="single" w:color="000000" w:sz="4"/>
                    <w:right w:val="single" w:color="000000" w:sz="4"/>
                  </w:tcBorders>
                </w:tcPr>
                <w:p>
                  <w:pPr>
                    <w:jc w:val="center"/>
                  </w:pPr>
                  <w:r>
                    <w:rPr>
                      <w:color w:val="000000"/>
                      <w:sz w:val="19"/>
                    </w:rPr>
                    <w:t>满意度达90%或以上，加3分满意度达80%-90%不扣分；满意度低于80%，每低5%扣2分</w:t>
                  </w:r>
                </w:p>
              </w:tc>
              <w:tc>
                <w:tcPr>
                  <w:tcW w:type="dxa" w:w="2441"/>
                  <w:tcBorders>
                    <w:top w:val="none" w:color="000000" w:sz="4"/>
                    <w:left w:val="none" w:color="000000" w:sz="4"/>
                    <w:bottom w:val="single" w:color="000000" w:sz="4"/>
                    <w:right w:val="double" w:color="000000" w:sz="8"/>
                  </w:tcBorders>
                </w:tcPr>
                <w:p>
                  <w:pPr>
                    <w:jc w:val="both"/>
                  </w:pPr>
                  <w:r>
                    <w:rPr>
                      <w:color w:val="000000"/>
                      <w:sz w:val="19"/>
                    </w:rPr>
                    <w:t>满意度调查由采购人组织完成。</w:t>
                  </w:r>
                </w:p>
              </w:tc>
            </w:tr>
            <w:tr>
              <w:tc>
                <w:tcPr>
                  <w:tcW w:type="dxa" w:w="387"/>
                  <w:vMerge/>
                  <w:tcBorders>
                    <w:top w:val="none" w:color="000000" w:sz="4"/>
                    <w:left w:val="double" w:color="000000" w:sz="8"/>
                    <w:bottom w:val="single" w:color="000000" w:sz="4"/>
                    <w:right w:val="single" w:color="000000" w:sz="4"/>
                  </w:tcBorders>
                </w:tcPr>
                <w:p/>
              </w:tc>
              <w:tc>
                <w:tcPr>
                  <w:tcW w:type="dxa" w:w="1326"/>
                  <w:tcBorders>
                    <w:top w:val="none" w:color="000000" w:sz="4"/>
                    <w:left w:val="none" w:color="000000" w:sz="4"/>
                    <w:bottom w:val="single" w:color="000000" w:sz="4"/>
                    <w:right w:val="single" w:color="000000" w:sz="4"/>
                  </w:tcBorders>
                </w:tcPr>
                <w:p>
                  <w:pPr>
                    <w:jc w:val="both"/>
                  </w:pPr>
                  <w:r>
                    <w:rPr>
                      <w:color w:val="000000"/>
                      <w:sz w:val="19"/>
                    </w:rPr>
                    <w:t>15</w:t>
                  </w:r>
                  <w:r>
                    <w:rPr>
                      <w:color w:val="000000"/>
                      <w:sz w:val="19"/>
                    </w:rPr>
                    <w:t>、工伤处理情况</w:t>
                  </w:r>
                </w:p>
              </w:tc>
              <w:tc>
                <w:tcPr>
                  <w:tcW w:type="dxa" w:w="1443"/>
                  <w:tcBorders>
                    <w:top w:val="none" w:color="000000" w:sz="4"/>
                    <w:left w:val="none" w:color="000000" w:sz="4"/>
                    <w:bottom w:val="single" w:color="000000" w:sz="4"/>
                    <w:right w:val="single" w:color="000000" w:sz="4"/>
                  </w:tcBorders>
                </w:tcPr>
                <w:p>
                  <w:pPr>
                    <w:jc w:val="center"/>
                  </w:pPr>
                  <w:r>
                    <w:rPr>
                      <w:color w:val="000000"/>
                      <w:sz w:val="19"/>
                    </w:rPr>
                    <w:t>未妥善处理扣1分/人次</w:t>
                  </w:r>
                </w:p>
              </w:tc>
              <w:tc>
                <w:tcPr>
                  <w:tcW w:type="dxa" w:w="2441"/>
                  <w:tcBorders>
                    <w:top w:val="none" w:color="000000" w:sz="4"/>
                    <w:left w:val="none" w:color="000000" w:sz="4"/>
                    <w:bottom w:val="single" w:color="000000" w:sz="4"/>
                    <w:right w:val="double" w:color="000000" w:sz="8"/>
                  </w:tcBorders>
                </w:tcPr>
                <w:p>
                  <w:pPr>
                    <w:jc w:val="both"/>
                  </w:pPr>
                  <w:r>
                    <w:rPr>
                      <w:color w:val="000000"/>
                      <w:sz w:val="19"/>
                    </w:rPr>
                    <w:t>员工因工作原因造成伤害的，中标人需按工伤保险条例规定申请工伤认定、鉴定和工伤费用报销手续并妥善处理。</w:t>
                  </w:r>
                </w:p>
              </w:tc>
            </w:tr>
            <w:tr>
              <w:tc>
                <w:tcPr>
                  <w:tcW w:type="dxa" w:w="387"/>
                  <w:vMerge w:val="restart"/>
                  <w:tcBorders>
                    <w:top w:val="none" w:color="000000" w:sz="4"/>
                    <w:left w:val="double" w:color="000000" w:sz="8"/>
                    <w:bottom w:val="single" w:color="000000" w:sz="4"/>
                    <w:right w:val="single" w:color="000000" w:sz="4"/>
                  </w:tcBorders>
                </w:tcPr>
                <w:p>
                  <w:pPr>
                    <w:jc w:val="both"/>
                  </w:pPr>
                  <w:r>
                    <w:rPr>
                      <w:color w:val="000000"/>
                      <w:sz w:val="19"/>
                    </w:rPr>
                    <w:t>二、日常工作</w:t>
                  </w:r>
                </w:p>
              </w:tc>
              <w:tc>
                <w:tcPr>
                  <w:tcW w:type="dxa" w:w="1326"/>
                  <w:tcBorders>
                    <w:top w:val="none" w:color="000000" w:sz="4"/>
                    <w:left w:val="none" w:color="000000" w:sz="4"/>
                    <w:bottom w:val="single" w:color="000000" w:sz="4"/>
                    <w:right w:val="single" w:color="000000" w:sz="4"/>
                  </w:tcBorders>
                </w:tcPr>
                <w:p>
                  <w:pPr>
                    <w:jc w:val="both"/>
                  </w:pPr>
                  <w:r>
                    <w:rPr>
                      <w:color w:val="000000"/>
                      <w:sz w:val="19"/>
                    </w:rPr>
                    <w:t>1.</w:t>
                  </w:r>
                  <w:r>
                    <w:rPr>
                      <w:color w:val="000000"/>
                      <w:sz w:val="19"/>
                    </w:rPr>
                    <w:t>员工不熟悉各项业务流程</w:t>
                  </w:r>
                </w:p>
              </w:tc>
              <w:tc>
                <w:tcPr>
                  <w:tcW w:type="dxa" w:w="1443"/>
                  <w:tcBorders>
                    <w:top w:val="none" w:color="000000" w:sz="4"/>
                    <w:left w:val="none" w:color="000000" w:sz="4"/>
                    <w:bottom w:val="single" w:color="000000" w:sz="4"/>
                    <w:right w:val="single" w:color="000000" w:sz="4"/>
                  </w:tcBorders>
                </w:tcPr>
                <w:p>
                  <w:pPr>
                    <w:jc w:val="center"/>
                  </w:pPr>
                  <w:r>
                    <w:rPr>
                      <w:color w:val="000000"/>
                      <w:sz w:val="19"/>
                    </w:rPr>
                    <w:t>扣1分/人</w:t>
                  </w:r>
                </w:p>
              </w:tc>
              <w:tc>
                <w:tcPr>
                  <w:tcW w:type="dxa" w:w="2441"/>
                  <w:tcBorders>
                    <w:top w:val="none" w:color="000000" w:sz="4"/>
                    <w:left w:val="none" w:color="000000" w:sz="4"/>
                    <w:bottom w:val="single" w:color="000000" w:sz="4"/>
                    <w:right w:val="double" w:color="000000" w:sz="8"/>
                  </w:tcBorders>
                </w:tcPr>
                <w:p>
                  <w:pPr>
                    <w:jc w:val="both"/>
                  </w:pPr>
                  <w:r>
                    <w:rPr>
                      <w:color w:val="000000"/>
                      <w:sz w:val="19"/>
                    </w:rPr>
                    <w:t>扣罚50元/人/次，采购人有权要求更换相关人员并追究有关责任，中标人应按采购人要求更换人员并承担相关责任。</w:t>
                  </w:r>
                </w:p>
              </w:tc>
            </w:tr>
            <w:tr>
              <w:tc>
                <w:tcPr>
                  <w:tcW w:type="dxa" w:w="387"/>
                  <w:vMerge/>
                  <w:tcBorders>
                    <w:top w:val="none" w:color="000000" w:sz="4"/>
                    <w:left w:val="double" w:color="000000" w:sz="8"/>
                    <w:bottom w:val="single" w:color="000000" w:sz="4"/>
                    <w:right w:val="single" w:color="000000" w:sz="4"/>
                  </w:tcBorders>
                </w:tcPr>
                <w:p/>
              </w:tc>
              <w:tc>
                <w:tcPr>
                  <w:tcW w:type="dxa" w:w="1326"/>
                  <w:tcBorders>
                    <w:top w:val="none" w:color="000000" w:sz="4"/>
                    <w:left w:val="none" w:color="000000" w:sz="4"/>
                    <w:bottom w:val="single" w:color="000000" w:sz="4"/>
                    <w:right w:val="single" w:color="000000" w:sz="4"/>
                  </w:tcBorders>
                </w:tcPr>
                <w:p>
                  <w:pPr>
                    <w:jc w:val="both"/>
                  </w:pPr>
                  <w:r>
                    <w:rPr>
                      <w:color w:val="000000"/>
                      <w:sz w:val="19"/>
                    </w:rPr>
                    <w:t>2.</w:t>
                  </w:r>
                  <w:r>
                    <w:rPr>
                      <w:color w:val="000000"/>
                      <w:sz w:val="19"/>
                    </w:rPr>
                    <w:t>员工不能按要求、按时完成本职工作</w:t>
                  </w:r>
                </w:p>
              </w:tc>
              <w:tc>
                <w:tcPr>
                  <w:tcW w:type="dxa" w:w="1443"/>
                  <w:tcBorders>
                    <w:top w:val="none" w:color="000000" w:sz="4"/>
                    <w:left w:val="none" w:color="000000" w:sz="4"/>
                    <w:bottom w:val="single" w:color="000000" w:sz="4"/>
                    <w:right w:val="single" w:color="000000" w:sz="4"/>
                  </w:tcBorders>
                </w:tcPr>
                <w:p>
                  <w:pPr>
                    <w:jc w:val="center"/>
                  </w:pPr>
                  <w:r>
                    <w:rPr>
                      <w:color w:val="000000"/>
                      <w:sz w:val="19"/>
                    </w:rPr>
                    <w:t>扣3分/人/次</w:t>
                  </w:r>
                </w:p>
              </w:tc>
              <w:tc>
                <w:tcPr>
                  <w:tcW w:type="dxa" w:w="2441"/>
                  <w:tcBorders>
                    <w:top w:val="none" w:color="000000" w:sz="4"/>
                    <w:left w:val="none" w:color="000000" w:sz="4"/>
                    <w:bottom w:val="single" w:color="000000" w:sz="4"/>
                    <w:right w:val="double" w:color="000000" w:sz="8"/>
                  </w:tcBorders>
                </w:tcPr>
                <w:p>
                  <w:pPr>
                    <w:jc w:val="both"/>
                  </w:pPr>
                  <w:r>
                    <w:rPr>
                      <w:color w:val="000000"/>
                      <w:sz w:val="19"/>
                    </w:rPr>
                    <w:t>扣罚200元/人/次，采购人有权要求更换相关人员并追究有关责任，中标人应按采购人要求更换人员并承担相关责任。</w:t>
                  </w:r>
                </w:p>
              </w:tc>
            </w:tr>
            <w:tr>
              <w:tc>
                <w:tcPr>
                  <w:tcW w:type="dxa" w:w="387"/>
                  <w:vMerge/>
                  <w:tcBorders>
                    <w:top w:val="none" w:color="000000" w:sz="4"/>
                    <w:left w:val="double" w:color="000000" w:sz="8"/>
                    <w:bottom w:val="single" w:color="000000" w:sz="4"/>
                    <w:right w:val="single" w:color="000000" w:sz="4"/>
                  </w:tcBorders>
                </w:tcPr>
                <w:p/>
              </w:tc>
              <w:tc>
                <w:tcPr>
                  <w:tcW w:type="dxa" w:w="1326"/>
                  <w:tcBorders>
                    <w:top w:val="none" w:color="000000" w:sz="4"/>
                    <w:left w:val="none" w:color="000000" w:sz="4"/>
                    <w:bottom w:val="single" w:color="000000" w:sz="4"/>
                    <w:right w:val="single" w:color="000000" w:sz="4"/>
                  </w:tcBorders>
                </w:tcPr>
                <w:p>
                  <w:pPr>
                    <w:jc w:val="both"/>
                  </w:pPr>
                  <w:r>
                    <w:rPr>
                      <w:color w:val="000000"/>
                      <w:sz w:val="19"/>
                    </w:rPr>
                    <w:t>3.</w:t>
                  </w:r>
                  <w:r>
                    <w:rPr>
                      <w:color w:val="000000"/>
                      <w:sz w:val="19"/>
                    </w:rPr>
                    <w:t>经核实的患者投诉事件中责任人</w:t>
                  </w:r>
                </w:p>
              </w:tc>
              <w:tc>
                <w:tcPr>
                  <w:tcW w:type="dxa" w:w="1443"/>
                  <w:tcBorders>
                    <w:top w:val="none" w:color="000000" w:sz="4"/>
                    <w:left w:val="none" w:color="000000" w:sz="4"/>
                    <w:bottom w:val="single" w:color="000000" w:sz="4"/>
                    <w:right w:val="single" w:color="000000" w:sz="4"/>
                  </w:tcBorders>
                </w:tcPr>
                <w:p>
                  <w:pPr>
                    <w:jc w:val="center"/>
                  </w:pPr>
                  <w:r>
                    <w:rPr>
                      <w:color w:val="000000"/>
                      <w:sz w:val="19"/>
                    </w:rPr>
                    <w:t>扣3分/人/次</w:t>
                  </w:r>
                </w:p>
              </w:tc>
              <w:tc>
                <w:tcPr>
                  <w:tcW w:type="dxa" w:w="2441"/>
                  <w:tcBorders>
                    <w:top w:val="none" w:color="000000" w:sz="4"/>
                    <w:left w:val="none" w:color="000000" w:sz="4"/>
                    <w:bottom w:val="single" w:color="000000" w:sz="4"/>
                    <w:right w:val="double" w:color="000000" w:sz="8"/>
                  </w:tcBorders>
                </w:tcPr>
                <w:p>
                  <w:pPr>
                    <w:jc w:val="both"/>
                  </w:pPr>
                  <w:r>
                    <w:rPr>
                      <w:color w:val="000000"/>
                      <w:sz w:val="19"/>
                    </w:rPr>
                    <w:t>扣罚200元/人/次，采购人有权要求更换相关人员并追究有关责任，中标人应按采购人要求更换人员并承担相关责任。</w:t>
                  </w:r>
                </w:p>
              </w:tc>
            </w:tr>
            <w:tr>
              <w:tc>
                <w:tcPr>
                  <w:tcW w:type="dxa" w:w="387"/>
                  <w:vMerge/>
                  <w:tcBorders>
                    <w:top w:val="none" w:color="000000" w:sz="4"/>
                    <w:left w:val="double" w:color="000000" w:sz="8"/>
                    <w:bottom w:val="single" w:color="000000" w:sz="4"/>
                    <w:right w:val="single" w:color="000000" w:sz="4"/>
                  </w:tcBorders>
                </w:tcPr>
                <w:p/>
              </w:tc>
              <w:tc>
                <w:tcPr>
                  <w:tcW w:type="dxa" w:w="1326"/>
                  <w:tcBorders>
                    <w:top w:val="none" w:color="000000" w:sz="4"/>
                    <w:left w:val="none" w:color="000000" w:sz="4"/>
                    <w:bottom w:val="single" w:color="000000" w:sz="4"/>
                    <w:right w:val="single" w:color="000000" w:sz="4"/>
                  </w:tcBorders>
                </w:tcPr>
                <w:p>
                  <w:pPr>
                    <w:jc w:val="both"/>
                  </w:pPr>
                  <w:r>
                    <w:rPr>
                      <w:color w:val="000000"/>
                      <w:sz w:val="19"/>
                    </w:rPr>
                    <w:t>4.</w:t>
                  </w:r>
                  <w:r>
                    <w:rPr>
                      <w:color w:val="000000"/>
                      <w:sz w:val="19"/>
                    </w:rPr>
                    <w:t>经核实的医疗事故或医疗差错</w:t>
                  </w:r>
                </w:p>
              </w:tc>
              <w:tc>
                <w:tcPr>
                  <w:tcW w:type="dxa" w:w="1443"/>
                  <w:tcBorders>
                    <w:top w:val="none" w:color="000000" w:sz="4"/>
                    <w:left w:val="none" w:color="000000" w:sz="4"/>
                    <w:bottom w:val="single" w:color="000000" w:sz="4"/>
                    <w:right w:val="single" w:color="000000" w:sz="4"/>
                  </w:tcBorders>
                </w:tcPr>
                <w:p>
                  <w:pPr>
                    <w:jc w:val="center"/>
                  </w:pPr>
                  <w:r>
                    <w:rPr>
                      <w:color w:val="000000"/>
                      <w:sz w:val="19"/>
                    </w:rPr>
                    <w:t>扣10-15分/宗（根据事件性质、严重程度和当事人承担责任）</w:t>
                  </w:r>
                </w:p>
              </w:tc>
              <w:tc>
                <w:tcPr>
                  <w:tcW w:type="dxa" w:w="2441"/>
                  <w:tcBorders>
                    <w:top w:val="none" w:color="000000" w:sz="4"/>
                    <w:left w:val="none" w:color="000000" w:sz="4"/>
                    <w:bottom w:val="single" w:color="000000" w:sz="4"/>
                    <w:right w:val="double" w:color="000000" w:sz="8"/>
                  </w:tcBorders>
                </w:tcPr>
                <w:p>
                  <w:pPr>
                    <w:jc w:val="both"/>
                  </w:pPr>
                  <w:r>
                    <w:rPr>
                      <w:color w:val="000000"/>
                      <w:sz w:val="19"/>
                    </w:rPr>
                    <w:t>扣罚2000元-5000元/宗，采购人有权要求更换相关人员并追究有关责任，中标人应按采购人要求更换人员并承担相关责任。</w:t>
                  </w:r>
                </w:p>
              </w:tc>
            </w:tr>
            <w:tr>
              <w:tc>
                <w:tcPr>
                  <w:tcW w:type="dxa" w:w="387"/>
                  <w:vMerge/>
                  <w:tcBorders>
                    <w:top w:val="none" w:color="000000" w:sz="4"/>
                    <w:left w:val="double" w:color="000000" w:sz="8"/>
                    <w:bottom w:val="single" w:color="000000" w:sz="4"/>
                    <w:right w:val="single" w:color="000000" w:sz="4"/>
                  </w:tcBorders>
                </w:tcPr>
                <w:p/>
              </w:tc>
              <w:tc>
                <w:tcPr>
                  <w:tcW w:type="dxa" w:w="1326"/>
                  <w:tcBorders>
                    <w:top w:val="none" w:color="000000" w:sz="4"/>
                    <w:left w:val="none" w:color="000000" w:sz="4"/>
                    <w:bottom w:val="single" w:color="000000" w:sz="4"/>
                    <w:right w:val="single" w:color="000000" w:sz="4"/>
                  </w:tcBorders>
                </w:tcPr>
                <w:p>
                  <w:pPr>
                    <w:jc w:val="both"/>
                  </w:pPr>
                  <w:r>
                    <w:rPr>
                      <w:color w:val="000000"/>
                      <w:sz w:val="19"/>
                    </w:rPr>
                    <w:t>5.</w:t>
                  </w:r>
                  <w:r>
                    <w:rPr>
                      <w:color w:val="000000"/>
                      <w:sz w:val="19"/>
                    </w:rPr>
                    <w:t>违反信息安全，泄露医院或患者相关信息</w:t>
                  </w:r>
                </w:p>
              </w:tc>
              <w:tc>
                <w:tcPr>
                  <w:tcW w:type="dxa" w:w="1443"/>
                  <w:tcBorders>
                    <w:top w:val="none" w:color="000000" w:sz="4"/>
                    <w:left w:val="none" w:color="000000" w:sz="4"/>
                    <w:bottom w:val="single" w:color="000000" w:sz="4"/>
                    <w:right w:val="single" w:color="000000" w:sz="4"/>
                  </w:tcBorders>
                  <w:vAlign w:val="top"/>
                </w:tcPr>
                <w:p>
                  <w:r>
                    <w:rPr>
                      <w:color w:val="000000"/>
                      <w:sz w:val="19"/>
                    </w:rPr>
                    <w:t>扣10-15分/宗（根据事件性质、严重程度和当事人承担责任）</w:t>
                  </w:r>
                </w:p>
              </w:tc>
              <w:tc>
                <w:tcPr>
                  <w:tcW w:type="dxa" w:w="2441"/>
                  <w:tcBorders>
                    <w:top w:val="none" w:color="000000" w:sz="4"/>
                    <w:left w:val="none" w:color="000000" w:sz="4"/>
                    <w:bottom w:val="single" w:color="000000" w:sz="4"/>
                    <w:right w:val="double" w:color="000000" w:sz="8"/>
                  </w:tcBorders>
                </w:tcPr>
                <w:p>
                  <w:pPr>
                    <w:jc w:val="both"/>
                  </w:pPr>
                  <w:r>
                    <w:rPr>
                      <w:color w:val="000000"/>
                      <w:sz w:val="19"/>
                    </w:rPr>
                    <w:t>扣罚2000元-5000元/宗，采购人有权要求更换相关人员并追究有关责任，中标人应按采购人要求更换人员并承担相关责任。</w:t>
                  </w:r>
                </w:p>
                <w:p>
                  <w:pPr>
                    <w:jc w:val="both"/>
                  </w:pPr>
                </w:p>
              </w:tc>
            </w:tr>
            <w:tr>
              <w:tc>
                <w:tcPr>
                  <w:tcW w:type="dxa" w:w="5597"/>
                  <w:gridSpan w:val="4"/>
                  <w:tcBorders>
                    <w:top w:val="none" w:color="000000" w:sz="4"/>
                    <w:left w:val="double" w:color="000000" w:sz="8"/>
                    <w:bottom w:val="single" w:color="000000" w:sz="4"/>
                    <w:right w:val="double" w:color="000000" w:sz="8"/>
                  </w:tcBorders>
                </w:tcPr>
                <w:p>
                  <w:r>
                    <w:rPr>
                      <w:color w:val="000000"/>
                      <w:sz w:val="19"/>
                    </w:rPr>
                    <w:t>得分：</w:t>
                  </w:r>
                </w:p>
              </w:tc>
            </w:tr>
            <w:tr>
              <w:tc>
                <w:tcPr>
                  <w:tcW w:type="dxa" w:w="5597"/>
                  <w:gridSpan w:val="4"/>
                  <w:tcBorders>
                    <w:top w:val="none" w:color="000000" w:sz="4"/>
                    <w:left w:val="double" w:color="000000" w:sz="8"/>
                    <w:bottom w:val="single" w:color="000000" w:sz="4"/>
                    <w:right w:val="double" w:color="000000" w:sz="8"/>
                  </w:tcBorders>
                </w:tcPr>
                <w:p>
                  <w:r>
                    <w:rPr>
                      <w:color w:val="000000"/>
                      <w:sz w:val="19"/>
                    </w:rPr>
                    <w:t>被考核单位负责人确认：                 委托方考核:</w:t>
                  </w:r>
                </w:p>
                <w:p/>
                <w:p>
                  <w:r>
                    <w:rPr>
                      <w:color w:val="000000"/>
                      <w:sz w:val="19"/>
                    </w:rPr>
                    <w:t>签名及盖章：                           签名及盖章：</w:t>
                  </w:r>
                </w:p>
                <w:p/>
                <w:p>
                  <w:pPr>
                    <w:jc w:val="right"/>
                  </w:pPr>
                  <w:r>
                    <w:rPr>
                      <w:color w:val="000000"/>
                      <w:sz w:val="19"/>
                    </w:rPr>
                    <w:t>年  月  日</w:t>
                  </w:r>
                </w:p>
              </w:tc>
            </w:tr>
            <w:tr>
              <w:tc>
                <w:tcPr>
                  <w:tcW w:type="dxa" w:w="5597"/>
                  <w:gridSpan w:val="4"/>
                  <w:tcBorders>
                    <w:top w:val="none" w:color="000000" w:sz="4"/>
                    <w:left w:val="double" w:color="000000" w:sz="8"/>
                    <w:bottom w:val="double" w:color="000000" w:sz="8"/>
                    <w:right w:val="double" w:color="000000" w:sz="8"/>
                  </w:tcBorders>
                </w:tcPr>
                <w:p>
                  <w:r>
                    <w:rPr>
                      <w:color w:val="000000"/>
                      <w:sz w:val="19"/>
                    </w:rPr>
                    <w:t>备注：考核内容满分为100分。</w:t>
                  </w:r>
                </w:p>
              </w:tc>
            </w:tr>
          </w:tbl>
        </w:tc>
      </w:tr>
      <w:tr>
        <w:tc>
          <w:tcPr>
            <w:tcW w:type="dxa" w:w="2076"/>
          </w:tcPr>
          <w:p/>
        </w:tc>
        <w:tc>
          <w:tcPr>
            <w:tcW w:type="dxa" w:w="415"/>
          </w:tcPr>
          <w:p>
            <w:r>
              <w:rPr/>
              <w:t>30</w:t>
            </w:r>
          </w:p>
        </w:tc>
        <w:tc>
          <w:tcPr>
            <w:tcW w:type="dxa" w:w="5814"/>
          </w:tcPr>
          <w:p>
            <w:r>
              <w:rPr>
                <w:b/>
              </w:rPr>
              <w:t>五、补充条款</w:t>
            </w:r>
            <w:r>
              <w:br/>
            </w:r>
            <w:r>
              <w:rPr/>
              <w:t xml:space="preserve">   中标人在为服务过程中涉及到辖区内的秘密资料必须给予保密，不得自己使用或泄漏给任何第三人，否则采购人有权追究法律责任。本条款不因协议变更、修改、解除而失效。</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1.采购代理机构：本项目是指广东志正招标有限公司中山分公司，负责整个采购活动的组织，依法负责编制和发布招标文件，对招标文件拥有最终的解释权，不以任何身份出任评标委员会成员。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中山市第二人民医院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采购机构代理服务收费标准：采购机构代理服务收费标准：采购机构代理服务收费标准：(1) 本项目的代理服务费参考 《招标代理服务收费管理暂行办法》（计价格[2002]1980号）标准计算结果的78%收取；(2)代理服务费的货币为人民币； (3)代理服务费支付方式：一次性以银行划帐、电汇、汇票或支票的形式支付； (4)代理服务费支付时间：代理服务费必须在中标人领取《中标通知书》时一次性付清，如果中标人未能按时交纳代理服务费，采购代理机构/采购人保留追究其法律责任的权利； (5)代理服务费不在报价中单列。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其他，关于中山市政府采购支持中小微企业质押融资优惠政策，1.根据《中国人民银行中山市中心支行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序号 银行机构 经办部门 联系人 联系方式 1 中国农业发展银行中山市分行客户业务部 邹可仕 18802598981 信贷与风险管理部 陈小龙 15889891688 2 中国工商银行中山分行 普惠金融事业部 陈炳菁 18928108782 普惠金融事业部 杨培鹏 15900085352 3 中国农业银行中山分行 普惠金融事业部 赖思韵 22644682 4 广发银行中山分行 普惠金融部 林光宇 88862643 5 中国邮政储蓄银行中山市分行 小企业金融部 黄嘉霖 13824720741 6 中山农村商业银行 总行公司业务部 杜保森 88884181 7 平安银行中山分行 普惠金融部 林晓冰 13823931817 8 兴业银行中山分行 企业金融部 刘中芳 0760-88368666-203172 9 招商银行中山分行 公司金融事业部 唐庆颖 13924998608 10 中国光大银行中山分行 公司业务管理部 张梓颖 0760-88858067 11 广州银行中山分行 公司金融部 杨顺龙 88776919 12 中信银行中山分行 普惠金融部 陈廷忠 15113386853 普惠金融部 余超贤 15918291829 13 渤海银行中山分行 公司金融部 李建夏 13631124024、0760-87911816 分行营业部 徐艺 13928142042、0760-87911808 14 华夏银行中山分行 营销管理部 叶怡 28137855 15 东莞银行中山分行 业务部 赵荣耀 13042854636/86939959 16 东亚银行（中国）有限公司中山支行 中山支行 王涛 89986282/18926998881 17 浦发银行中山分行 交易银行部 付涛 0760-89982303 2.中小微企业有融资需求的，可通过应收账款融资服务平台（网址：www.crcrfsp.com ）和中山市社会征信和金融服务一体化系统（网址：www.zsythxt.zs.gov.cn ）向辖内特定或非特定银行机构咨询并提出融资申请。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r>
              <w:rPr/>
              <w:t>19</w:t>
            </w:r>
          </w:p>
        </w:tc>
        <w:tc>
          <w:tcPr>
            <w:tcW w:type="dxa" w:w="2252"/>
          </w:tcPr>
          <w:p>
            <w:r>
              <w:rPr/>
              <w:t>开标解密时长</w:t>
            </w:r>
          </w:p>
        </w:tc>
        <w:tc>
          <w:tcPr>
            <w:tcW w:type="dxa" w:w="5004"/>
          </w:tcPr>
          <w:p>
            <w:r>
              <w:rPr/>
              <w:t>具体情况根据开标（开启）时现场代理机构人员设置为准。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；请各投标人在投标文件递交截止时间前按须知前附表规定的金额递交至</w:t>
      </w:r>
      <w:r>
        <w:rPr/>
        <w:t>广东志正招标有限公司中山分公司</w:t>
      </w:r>
      <w:r>
        <w:rPr/>
        <w:t>，到账情况以开标时</w:t>
      </w:r>
      <w:r>
        <w:rPr/>
        <w:t>广东志正招标有限公司中山分公司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郑小姐</w:t>
      </w:r>
    </w:p>
    <w:p>
      <w:pPr>
        <w:ind w:firstLine="480"/>
      </w:pPr>
      <w:r>
        <w:rPr/>
        <w:t>电话：</w:t>
      </w:r>
      <w:r>
        <w:rPr/>
        <w:t>0760-88808187</w:t>
      </w:r>
    </w:p>
    <w:p>
      <w:pPr>
        <w:ind w:firstLine="480"/>
      </w:pPr>
      <w:r>
        <w:rPr/>
        <w:t>传真：</w:t>
      </w:r>
      <w:r>
        <w:rPr/>
        <w:t>/</w:t>
      </w:r>
    </w:p>
    <w:p>
      <w:pPr>
        <w:ind w:firstLine="480"/>
      </w:pPr>
      <w:r>
        <w:rPr/>
        <w:t>邮箱：</w:t>
      </w:r>
      <w:r>
        <w:rPr/>
        <w:t>tenderzs@163.com</w:t>
      </w:r>
    </w:p>
    <w:p>
      <w:pPr>
        <w:ind w:firstLine="480"/>
      </w:pPr>
      <w:r>
        <w:rPr/>
        <w:t>地址：</w:t>
      </w:r>
      <w:r>
        <w:rPr/>
        <w:t>广东省中山市东区中山四路亨尾大街3号软件园东园区2楼22室</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市第二人民医院2024年-2025年辅助岗位购买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广东志正招标有限公司中山分公司</w:t>
      </w:r>
      <w:r>
        <w:rPr/>
        <w:t>统一对外发布。</w:t>
      </w:r>
    </w:p>
    <w:p>
      <w:pPr>
        <w:ind w:firstLine="480"/>
      </w:pPr>
      <w:r>
        <w:rPr/>
        <w:t>（2）对</w:t>
      </w:r>
      <w:r>
        <w:rPr/>
        <w:t>广东志正招标有限公司中山分公司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采购包1（中山市第二人民医院2024年-2025年辅助岗位购买服务项目）：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采购包1（中山市第二人民医院2024年-2025年辅助岗位购买服务项目）：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投标人必须具有良好的商业信誉和健全的财务会计制度（提供2022年财务报告（或2023年至今任意一个月份财务报表）关键页或由基本开户银行出具的资信证明或政府采购专业担保机构出具的投标担保函。）</w:t>
            </w:r>
          </w:p>
        </w:tc>
      </w:tr>
      <w:tr>
        <w:tc>
          <w:tcPr>
            <w:tcW w:type="dxa" w:w="890"/>
          </w:tcPr>
          <w:p>
            <w:r>
              <w:rPr/>
              <w:t>4</w:t>
            </w:r>
          </w:p>
        </w:tc>
        <w:tc>
          <w:tcPr>
            <w:tcW w:type="dxa" w:w="3178"/>
          </w:tcPr>
          <w:p>
            <w:r>
              <w:rPr/>
              <w:t>履行合同所必需的设备和专业技术能力</w:t>
            </w:r>
          </w:p>
        </w:tc>
        <w:tc>
          <w:tcPr>
            <w:tcW w:type="dxa" w:w="4238"/>
          </w:tcPr>
          <w:p>
            <w:r>
              <w:rPr/>
              <w:t>需同时提供设备及专业技术能力（人员）两类信息，或提供承诺函，格式自拟。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无围标、串标行为</w:t>
            </w:r>
          </w:p>
        </w:tc>
        <w:tc>
          <w:tcPr>
            <w:tcW w:type="dxa" w:w="4238"/>
          </w:tcPr>
          <w:p>
            <w:r>
              <w:rPr/>
              <w:t>无围标、串标行为（出具《无围标、串标行为承诺书》）；</w:t>
            </w:r>
          </w:p>
        </w:tc>
      </w:tr>
      <w:tr>
        <w:tc>
          <w:tcPr>
            <w:tcW w:type="dxa" w:w="890"/>
          </w:tcPr>
          <w:p>
            <w:r>
              <w:rPr/>
              <w:t>9</w:t>
            </w:r>
          </w:p>
        </w:tc>
        <w:tc>
          <w:tcPr>
            <w:tcW w:type="dxa" w:w="3178"/>
          </w:tcPr>
          <w:p>
            <w:r>
              <w:rPr/>
              <w:t>本项目不接受联合体投标。</w:t>
            </w:r>
          </w:p>
        </w:tc>
        <w:tc>
          <w:tcPr>
            <w:tcW w:type="dxa" w:w="4238"/>
          </w:tcPr>
          <w:p>
            <w:r>
              <w:rPr/>
              <w:t>本项目不接受联合体投标。</w:t>
            </w:r>
          </w:p>
        </w:tc>
      </w:tr>
      <w:tr>
        <w:tc>
          <w:tcPr>
            <w:tcW w:type="dxa" w:w="890"/>
          </w:tcPr>
          <w:p>
            <w:r>
              <w:rPr/>
              <w:t>10</w:t>
            </w:r>
          </w:p>
        </w:tc>
        <w:tc>
          <w:tcPr>
            <w:tcW w:type="dxa" w:w="3178"/>
          </w:tcPr>
          <w:p>
            <w:r>
              <w:rPr/>
              <w:t>本采购包专门面向中小企业采购</w:t>
            </w:r>
          </w:p>
        </w:tc>
        <w:tc>
          <w:tcPr>
            <w:tcW w:type="dxa" w:w="4238"/>
          </w:tcPr>
          <w:p>
            <w:r>
              <w:rPr/>
              <w:t>采购标的对应的中小企业划分标准所属行业为：租赁和商务服务业。供应商须符合本项目所属行业（租赁和商务服务业）政策划分标准的中小企业。监狱企业、残疾人福利单位视同小型、微型企业。注：中小企业以供应商填写的《中小企业声明函》为判定标准，残疾人福利性单位以供应商填写的《残疾人福利性单位声明函》为判定标准，监狱企业须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采购包1（中山市第二人民医院2024年-2025年辅助岗位购买服务项目）：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符合招标文件要求的投标有效期</w:t>
            </w:r>
          </w:p>
        </w:tc>
      </w:tr>
      <w:tr>
        <w:tc>
          <w:tcPr>
            <w:tcW w:type="dxa" w:w="890"/>
          </w:tcPr>
          <w:p>
            <w:r>
              <w:rPr/>
              <w:t>2</w:t>
            </w:r>
          </w:p>
        </w:tc>
        <w:tc>
          <w:tcPr>
            <w:tcW w:type="dxa" w:w="3178"/>
          </w:tcPr>
          <w:p>
            <w:r>
              <w:rPr/>
              <w:t>按招标文件规定填写并按要求签署、盖章</w:t>
            </w:r>
          </w:p>
        </w:tc>
        <w:tc>
          <w:tcPr>
            <w:tcW w:type="dxa" w:w="4238"/>
          </w:tcPr>
          <w:p>
            <w:r>
              <w:rPr/>
              <w:t>投标文件按照招标文件规定填写并按要求签署、盖章，包括：①投标函②开标一览表③分项报价表④法定代表人证明书或法定代表人授权委托书⑤采购代理服务费支付承诺书</w:t>
            </w:r>
          </w:p>
        </w:tc>
      </w:tr>
      <w:tr>
        <w:tc>
          <w:tcPr>
            <w:tcW w:type="dxa" w:w="890"/>
          </w:tcPr>
          <w:p>
            <w:r>
              <w:rPr/>
              <w:t>3</w:t>
            </w:r>
          </w:p>
        </w:tc>
        <w:tc>
          <w:tcPr>
            <w:tcW w:type="dxa" w:w="3178"/>
          </w:tcPr>
          <w:p>
            <w:r>
              <w:rPr/>
              <w:t>投标报价</w:t>
            </w:r>
          </w:p>
        </w:tc>
        <w:tc>
          <w:tcPr>
            <w:tcW w:type="dxa" w:w="4238"/>
          </w:tcPr>
          <w:p>
            <w:r>
              <w:rPr/>
              <w:t>投标报价没有超出项目（包组）预算价，并且无重大不合理的。</w:t>
            </w:r>
          </w:p>
        </w:tc>
      </w:tr>
      <w:tr>
        <w:tc>
          <w:tcPr>
            <w:tcW w:type="dxa" w:w="890"/>
          </w:tcPr>
          <w:p>
            <w:r>
              <w:rPr/>
              <w:t>4</w:t>
            </w:r>
          </w:p>
        </w:tc>
        <w:tc>
          <w:tcPr>
            <w:tcW w:type="dxa" w:w="3178"/>
          </w:tcPr>
          <w:p>
            <w:r>
              <w:rPr/>
              <w:t>实质性条款响应情况</w:t>
            </w:r>
          </w:p>
        </w:tc>
        <w:tc>
          <w:tcPr>
            <w:tcW w:type="dxa" w:w="4238"/>
          </w:tcPr>
          <w:p>
            <w:r>
              <w:rPr/>
              <w:t>完全满足招标文件中标注“★”的条款</w:t>
            </w:r>
          </w:p>
        </w:tc>
      </w:tr>
      <w:tr>
        <w:tc>
          <w:tcPr>
            <w:tcW w:type="dxa" w:w="890"/>
          </w:tcPr>
          <w:p>
            <w:r>
              <w:rPr/>
              <w:t>5</w:t>
            </w:r>
          </w:p>
        </w:tc>
        <w:tc>
          <w:tcPr>
            <w:tcW w:type="dxa" w:w="3178"/>
          </w:tcPr>
          <w:p>
            <w:r>
              <w:rPr/>
              <w:t>其他投标无效的情况</w:t>
            </w:r>
          </w:p>
        </w:tc>
        <w:tc>
          <w:tcPr>
            <w:tcW w:type="dxa" w:w="4238"/>
          </w:tcPr>
          <w:p>
            <w:r>
              <w:rPr/>
              <w:t>未出现有关法律、法规、规章或招标文件规定的属于投标无效的情形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采购包1(中山市第二人民医院2024年-2025年辅助岗位购买服务项目):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响应程度 (6.0分)</w:t>
            </w:r>
            <w:r>
              <w:rPr/>
              <w:t>，（等次分值选择：</w:t>
            </w:r>
            <w:r>
              <w:rPr/>
              <w:t>0.0;</w:t>
            </w:r>
            <w:r>
              <w:rPr/>
              <w:t>1.0;</w:t>
            </w:r>
            <w:r>
              <w:rPr/>
              <w:t>3.0;</w:t>
            </w:r>
            <w:r>
              <w:rPr/>
              <w:t>6.0;</w:t>
            </w:r>
            <w:r>
              <w:rPr/>
              <w:t>）</w:t>
            </w:r>
          </w:p>
        </w:tc>
        <w:tc>
          <w:tcPr>
            <w:tcW w:type="dxa" w:w="5076"/>
          </w:tcPr>
          <w:p>
            <w:pPr>
              <w:jc w:val="left"/>
            </w:pPr>
            <w:r>
              <w:rPr/>
              <w:t>根据投标人对采购需求的响应程度，以及投标人承诺的服务承诺等进行评审。  （1）对采购需求的响应程度完全响应或优于，服务承诺详细、合理、可操作性强，得6分；  （2）对采购需求的响应程度基本响应，服务承诺较详细、合理，得3分； （3）对采购需求的响应程度响应一般，没有服务承诺，得1分；  （4）无或其他，得0分。</w:t>
            </w:r>
          </w:p>
        </w:tc>
      </w:tr>
      <w:tr>
        <w:tc>
          <w:tcPr>
            <w:tcW w:type="dxa" w:w="922"/>
            <w:gridSpan w:val="2"/>
            <w:vMerge/>
          </w:tcPr>
          <w:p/>
        </w:tc>
        <w:tc>
          <w:tcPr>
            <w:tcW w:type="dxa" w:w="2307"/>
          </w:tcPr>
          <w:p>
            <w:pPr>
              <w:jc w:val="left"/>
            </w:pPr>
            <w:r>
              <w:rPr/>
              <w:t>管理方案 (10.0分)</w:t>
            </w:r>
            <w:r>
              <w:rPr/>
              <w:t>，（等次分值选择：</w:t>
            </w:r>
            <w:r>
              <w:rPr/>
              <w:t>0.0;</w:t>
            </w:r>
            <w:r>
              <w:rPr/>
              <w:t>1.0;</w:t>
            </w:r>
            <w:r>
              <w:rPr/>
              <w:t>4.0;</w:t>
            </w:r>
            <w:r>
              <w:rPr/>
              <w:t>7.0;</w:t>
            </w:r>
            <w:r>
              <w:rPr/>
              <w:t>10.0;</w:t>
            </w:r>
            <w:r>
              <w:rPr/>
              <w:t>）</w:t>
            </w:r>
          </w:p>
        </w:tc>
        <w:tc>
          <w:tcPr>
            <w:tcW w:type="dxa" w:w="5076"/>
          </w:tcPr>
          <w:p>
            <w:pPr>
              <w:jc w:val="left"/>
            </w:pPr>
            <w:r>
              <w:rPr/>
              <w:t>对投标人对本项目的管理设置、资源配置、项目质量保证措施进行评审： （1）本项目管理设置、资源配置充分,能够满足在各实施阶段对管理、人力及物力的要求，能提出详细的质量保证措施，能清晰地描述出各实施阶段的质量控制要点，保证服务质量，可操作性强，得10分； （2）本项目管理设置、资源配置较为充分,能够较好地满足在各实施阶段对管理、人力及物力的要求，能提出较为详细的质量保证措施，能较好地描述出各实施阶段的质量控制要点，较好地满足项目的要求，得7分； （3）本项目管理设置、资源配置能够基本满足在各实施阶段对管理、人力及物力的要求，基本能提出质量保证措施，可操作性一般，得4分； （4）本项目管理设置、资源配置及项目质量保证措施不太合理，得1分； （5）无相关内容，得0分。</w:t>
            </w:r>
          </w:p>
        </w:tc>
      </w:tr>
      <w:tr>
        <w:tc>
          <w:tcPr>
            <w:tcW w:type="dxa" w:w="922"/>
            <w:gridSpan w:val="2"/>
            <w:vMerge/>
          </w:tcPr>
          <w:p/>
        </w:tc>
        <w:tc>
          <w:tcPr>
            <w:tcW w:type="dxa" w:w="2307"/>
          </w:tcPr>
          <w:p>
            <w:pPr>
              <w:jc w:val="left"/>
            </w:pPr>
            <w:r>
              <w:rPr/>
              <w:t>服务实施方案  (10.0分)</w:t>
            </w:r>
            <w:r>
              <w:rPr/>
              <w:t>，（等次分值选择：</w:t>
            </w:r>
            <w:r>
              <w:rPr/>
              <w:t>0.0;</w:t>
            </w:r>
            <w:r>
              <w:rPr/>
              <w:t>1.0;</w:t>
            </w:r>
            <w:r>
              <w:rPr/>
              <w:t>4.0;</w:t>
            </w:r>
            <w:r>
              <w:rPr/>
              <w:t>7.0;</w:t>
            </w:r>
            <w:r>
              <w:rPr/>
              <w:t>10.0;</w:t>
            </w:r>
            <w:r>
              <w:rPr/>
              <w:t>）</w:t>
            </w:r>
          </w:p>
        </w:tc>
        <w:tc>
          <w:tcPr>
            <w:tcW w:type="dxa" w:w="5076"/>
          </w:tcPr>
          <w:p>
            <w:pPr>
              <w:jc w:val="left"/>
            </w:pPr>
            <w:r>
              <w:rPr/>
              <w:t>对投标人提出的岗位责任制、服务要求、服务流程说明和措施进行评审： （1）岗位责任制和服务流程说明清晰、详细、合理；各项服务的具体实施方法和技术措施详细、可行，得10分；  （2）岗位责任制和服务流程说明内容较合理；有各项服务的具体实施方法和技术措施，得7分； （3）岗位责任制和服务流程说明有描述但不详细；各项服务的具体实施方法和技术措施基本有描述但不详细，可行性一般， 得4分； （4）岗位责任制和服务流程说明不清晰；各项服务的具体实施方法和技术措施不可行，得1分；  （5）无相关内容，得0分。</w:t>
            </w:r>
          </w:p>
        </w:tc>
      </w:tr>
      <w:tr>
        <w:tc>
          <w:tcPr>
            <w:tcW w:type="dxa" w:w="922"/>
            <w:gridSpan w:val="2"/>
            <w:vMerge/>
          </w:tcPr>
          <w:p/>
        </w:tc>
        <w:tc>
          <w:tcPr>
            <w:tcW w:type="dxa" w:w="2307"/>
          </w:tcPr>
          <w:p>
            <w:pPr>
              <w:jc w:val="left"/>
            </w:pPr>
            <w:r>
              <w:rPr/>
              <w:t>人力资源保障措施1 (9.0分)</w:t>
            </w:r>
            <w:r>
              <w:rPr/>
              <w:t>，（等次分值选择：</w:t>
            </w:r>
            <w:r>
              <w:rPr/>
              <w:t>0.0;</w:t>
            </w:r>
            <w:r>
              <w:rPr/>
              <w:t>1.0;</w:t>
            </w:r>
            <w:r>
              <w:rPr/>
              <w:t>3.0;</w:t>
            </w:r>
            <w:r>
              <w:rPr/>
              <w:t>6.0;</w:t>
            </w:r>
            <w:r>
              <w:rPr/>
              <w:t>9.0;</w:t>
            </w:r>
            <w:r>
              <w:rPr/>
              <w:t>）</w:t>
            </w:r>
          </w:p>
        </w:tc>
        <w:tc>
          <w:tcPr>
            <w:tcW w:type="dxa" w:w="5076"/>
          </w:tcPr>
          <w:p>
            <w:pPr>
              <w:jc w:val="left"/>
            </w:pPr>
            <w:r>
              <w:rPr/>
              <w:t>根据人员稳定保障措施、薪酬福利水平等进行评审：  （1）人员稳定保障措施得力、薪酬福利水平具有市场竞争力，得9分；  （2）人员稳定保障措施较好、薪酬福利水平市场竞争力较好，得6分；  （3）人员稳定保障措施一般、薪酬福利水平一般，得3分；  （4）人员稳定保障措施较差、薪酬福利水平较差，得1分；  （5）无相关内容，得0分。</w:t>
            </w:r>
          </w:p>
        </w:tc>
      </w:tr>
      <w:tr>
        <w:tc>
          <w:tcPr>
            <w:tcW w:type="dxa" w:w="922"/>
            <w:gridSpan w:val="2"/>
            <w:vMerge/>
          </w:tcPr>
          <w:p/>
        </w:tc>
        <w:tc>
          <w:tcPr>
            <w:tcW w:type="dxa" w:w="2307"/>
          </w:tcPr>
          <w:p>
            <w:pPr>
              <w:jc w:val="left"/>
            </w:pPr>
            <w:r>
              <w:rPr/>
              <w:t>人力资源保障措施2 (9.0分)</w:t>
            </w:r>
            <w:r>
              <w:rPr/>
              <w:t>，（等次分值选择：</w:t>
            </w:r>
            <w:r>
              <w:rPr/>
              <w:t>0.0;</w:t>
            </w:r>
            <w:r>
              <w:rPr/>
              <w:t>1.0;</w:t>
            </w:r>
            <w:r>
              <w:rPr/>
              <w:t>3.0;</w:t>
            </w:r>
            <w:r>
              <w:rPr/>
              <w:t>6.0;</w:t>
            </w:r>
            <w:r>
              <w:rPr/>
              <w:t>9.0;</w:t>
            </w:r>
            <w:r>
              <w:rPr/>
              <w:t>）</w:t>
            </w:r>
          </w:p>
        </w:tc>
        <w:tc>
          <w:tcPr>
            <w:tcW w:type="dxa" w:w="5076"/>
          </w:tcPr>
          <w:p>
            <w:pPr>
              <w:jc w:val="left"/>
            </w:pPr>
            <w:r>
              <w:rPr/>
              <w:t>根据拟投入人员储备计划、人员补充、人员招聘制度进行评审：  （1）人员储备计划内容详细，明确，人员补充的途径及招聘平台多样化，人员招聘制度科学，确保人员满足采购人服务要求，得9分；  （2）人员储备计划内容较为详细，人员补充的途径及招聘平台较多，人员招聘制度较好，得6分；  （3）人员储备计划内容普通，缺乏针对性，有相关的人员补充途径及招聘平台，人员招聘制度基本齐全，得3分；  （4）人员储备计划差、人员补充途径少、人员招聘制度缺失或不完整，得1分；  （5）无相关内容，得0分。</w:t>
            </w:r>
          </w:p>
        </w:tc>
      </w:tr>
      <w:tr>
        <w:tc>
          <w:tcPr>
            <w:tcW w:type="dxa" w:w="922"/>
            <w:gridSpan w:val="2"/>
            <w:vMerge/>
          </w:tcPr>
          <w:p/>
        </w:tc>
        <w:tc>
          <w:tcPr>
            <w:tcW w:type="dxa" w:w="2307"/>
          </w:tcPr>
          <w:p>
            <w:pPr>
              <w:jc w:val="left"/>
            </w:pPr>
            <w:r>
              <w:rPr/>
              <w:t>培训计划及考核方案 (6.0分)</w:t>
            </w:r>
            <w:r>
              <w:rPr/>
              <w:t>，（等次分值选择：</w:t>
            </w:r>
            <w:r>
              <w:rPr/>
              <w:t>0.0;</w:t>
            </w:r>
            <w:r>
              <w:rPr/>
              <w:t>1.0;</w:t>
            </w:r>
            <w:r>
              <w:rPr/>
              <w:t>2.0;</w:t>
            </w:r>
            <w:r>
              <w:rPr/>
              <w:t>4.0;</w:t>
            </w:r>
            <w:r>
              <w:rPr/>
              <w:t>6.0;</w:t>
            </w:r>
            <w:r>
              <w:rPr/>
              <w:t>）</w:t>
            </w:r>
          </w:p>
        </w:tc>
        <w:tc>
          <w:tcPr>
            <w:tcW w:type="dxa" w:w="5076"/>
          </w:tcPr>
          <w:p>
            <w:pPr>
              <w:jc w:val="left"/>
            </w:pPr>
            <w:r>
              <w:rPr/>
              <w:t>对项目的人员培训计划进行评审：  （1）有科学的岗前、岗中人员培训计划，培训资源丰富，考核方案完善，得6分； （2）有较完善的岗前、岗中人员培训计划，有较丰富的培训资源，考核方案较完善，得4分； （3）有基本的岗前、岗中人员培训计划，考核方案一般，得2分；  （4）岗前、岗中人员培训计划、考核方案缺失或不完整，得1分； （5）无相关内容，得0分。</w:t>
            </w:r>
          </w:p>
        </w:tc>
      </w:tr>
      <w:tr>
        <w:tc>
          <w:tcPr>
            <w:tcW w:type="dxa" w:w="922"/>
            <w:gridSpan w:val="2"/>
            <w:vMerge/>
          </w:tcPr>
          <w:p/>
        </w:tc>
        <w:tc>
          <w:tcPr>
            <w:tcW w:type="dxa" w:w="2307"/>
          </w:tcPr>
          <w:p>
            <w:pPr>
              <w:jc w:val="left"/>
            </w:pPr>
            <w:r>
              <w:rPr/>
              <w:t>应急方案 (5.0分)</w:t>
            </w:r>
            <w:r>
              <w:rPr/>
              <w:t>，（等次分值选择：</w:t>
            </w:r>
            <w:r>
              <w:rPr/>
              <w:t>0.0;</w:t>
            </w:r>
            <w:r>
              <w:rPr/>
              <w:t>1.0;</w:t>
            </w:r>
            <w:r>
              <w:rPr/>
              <w:t>3.0;</w:t>
            </w:r>
            <w:r>
              <w:rPr/>
              <w:t>5.0;</w:t>
            </w:r>
            <w:r>
              <w:rPr/>
              <w:t>）</w:t>
            </w:r>
          </w:p>
        </w:tc>
        <w:tc>
          <w:tcPr>
            <w:tcW w:type="dxa" w:w="5076"/>
          </w:tcPr>
          <w:p>
            <w:pPr>
              <w:jc w:val="left"/>
            </w:pPr>
            <w:r>
              <w:rPr/>
              <w:t>（1）投标人考虑应急情况周全，且对应的应急服务方案详细合理、针对性强，针对不同应急情况相比投入的应急人员充足，应急响应及时，得5分；  （2）投标人考虑应急情况一般，且对应的应急服务方案较简单，针对不同应急情况相比投入的应急人员较少，应急响应较及时，得3分；  （3）投标人考虑应急情况较差，且对应的应急服务方案较差，针对不同应急情况相比投入的应急人员少，完成各种应急任务时间长，或提供的内容不齐全的，得1分； （4）无提供得0分。</w:t>
            </w:r>
          </w:p>
        </w:tc>
      </w:tr>
      <w:tr>
        <w:tc>
          <w:tcPr>
            <w:tcW w:type="dxa" w:w="922"/>
            <w:gridSpan w:val="2"/>
            <w:vMerge/>
          </w:tcPr>
          <w:p/>
        </w:tc>
        <w:tc>
          <w:tcPr>
            <w:tcW w:type="dxa" w:w="2307"/>
          </w:tcPr>
          <w:p>
            <w:pPr>
              <w:jc w:val="left"/>
            </w:pPr>
            <w:r>
              <w:rPr/>
              <w:t>安全保密措施 (5.0分)</w:t>
            </w:r>
            <w:r>
              <w:rPr/>
              <w:t>，（等次分值选择：</w:t>
            </w:r>
            <w:r>
              <w:rPr/>
              <w:t>0.0;</w:t>
            </w:r>
            <w:r>
              <w:rPr/>
              <w:t>1.0;</w:t>
            </w:r>
            <w:r>
              <w:rPr/>
              <w:t>2.0;</w:t>
            </w:r>
            <w:r>
              <w:rPr/>
              <w:t>3.5;</w:t>
            </w:r>
            <w:r>
              <w:rPr/>
              <w:t>5.0;</w:t>
            </w:r>
            <w:r>
              <w:rPr/>
              <w:t>）</w:t>
            </w:r>
          </w:p>
        </w:tc>
        <w:tc>
          <w:tcPr>
            <w:tcW w:type="dxa" w:w="5076"/>
          </w:tcPr>
          <w:p>
            <w:pPr>
              <w:jc w:val="left"/>
            </w:pPr>
            <w:r>
              <w:rPr/>
              <w:t>根据安全、保密制度和措施进行评审：  （1）投标人有非常完善的安全和保密制度，满足医院对医疗和病情的保密要求，且有一系列保密保障措施，内容详细有针对性，得5分； （2）投标人有比较完善的安全和保密制度，基本满足医院对医疗和病情的保密要求，且保障措施较好，有一定针对性，得3.5分；  （3）投标人安全和保密制度一般，内容较为普通缺乏针对性或有缺失，但该缺失不影响项目具体实施，保障措施内容较为简单，得2分；  （4）安全、保密制度缺失或不完整，得1分；  （5）没有提供，得0分。</w:t>
            </w:r>
          </w:p>
        </w:tc>
      </w:tr>
      <w:tr>
        <w:tc>
          <w:tcPr>
            <w:tcW w:type="dxa" w:w="922"/>
            <w:gridSpan w:val="2"/>
            <w:vMerge w:val="restart"/>
          </w:tcPr>
          <w:p>
            <w:pPr>
              <w:jc w:val="center"/>
            </w:pPr>
            <w:r>
              <w:rPr/>
              <w:t>商务部分</w:t>
            </w:r>
          </w:p>
        </w:tc>
        <w:tc>
          <w:tcPr>
            <w:tcW w:type="dxa" w:w="2307"/>
          </w:tcPr>
          <w:p>
            <w:pPr>
              <w:jc w:val="left"/>
            </w:pPr>
            <w:r>
              <w:rPr/>
              <w:t>商务响应程度 (1.0分)</w:t>
            </w:r>
            <w:r>
              <w:rPr/>
              <w:t>，（等次分值选择：</w:t>
            </w:r>
            <w:r>
              <w:rPr/>
              <w:t>0.0;</w:t>
            </w:r>
            <w:r>
              <w:rPr/>
              <w:t>0.2;</w:t>
            </w:r>
            <w:r>
              <w:rPr/>
              <w:t>1.0;</w:t>
            </w:r>
            <w:r>
              <w:rPr/>
              <w:t>）</w:t>
            </w:r>
          </w:p>
        </w:tc>
        <w:tc>
          <w:tcPr>
            <w:tcW w:type="dxa" w:w="5076"/>
          </w:tcPr>
          <w:p>
            <w:pPr>
              <w:jc w:val="left"/>
            </w:pPr>
            <w:r>
              <w:rPr/>
              <w:t>对招标文件“第二章 采购需求书”中“1. 主要商务要求”以及“其他商务要求”内容（除“★”和“▲”条款外）响应情况：  （1）全部响应无偏离或优于招标文件要求，得1分；  （2）有负偏离，得0.2分；  （3）不响应，得0分；</w:t>
            </w:r>
          </w:p>
        </w:tc>
      </w:tr>
      <w:tr>
        <w:tc>
          <w:tcPr>
            <w:tcW w:type="dxa" w:w="922"/>
            <w:gridSpan w:val="2"/>
            <w:vMerge/>
          </w:tcPr>
          <w:p/>
        </w:tc>
        <w:tc>
          <w:tcPr>
            <w:tcW w:type="dxa" w:w="2307"/>
          </w:tcPr>
          <w:p>
            <w:pPr>
              <w:jc w:val="left"/>
            </w:pPr>
            <w:r>
              <w:rPr/>
              <w:t>管理体系认证情况 (4.0分)</w:t>
            </w:r>
          </w:p>
        </w:tc>
        <w:tc>
          <w:tcPr>
            <w:tcW w:type="dxa" w:w="5076"/>
          </w:tcPr>
          <w:p>
            <w:pPr>
              <w:jc w:val="left"/>
            </w:pPr>
            <w:r>
              <w:rPr/>
              <w:t>1. 供应商具有有效的“ISO9001质量管理体系认证”，得1分；  2. 供应商具有有效的“ISO14001环境管理体系认证”，得1分； 3. 供应商具有有效的“职业健康安全管理体系认证”，得1分；  4. 供应商具有有效的“服务认证证书”，得1分；  最高得分为4分，没有的不得分。  注：投标文件附有中国国家认证认可监督管理委员会查询平台（网址：http://www.cnca.gov.cn/）的相关查询记录截图及有效期内的证书复印件，不提供不得分，证书不在有效期内不得分。</w:t>
            </w:r>
          </w:p>
        </w:tc>
      </w:tr>
      <w:tr>
        <w:tc>
          <w:tcPr>
            <w:tcW w:type="dxa" w:w="922"/>
            <w:gridSpan w:val="2"/>
            <w:vMerge/>
          </w:tcPr>
          <w:p/>
        </w:tc>
        <w:tc>
          <w:tcPr>
            <w:tcW w:type="dxa" w:w="2307"/>
          </w:tcPr>
          <w:p>
            <w:pPr>
              <w:jc w:val="left"/>
            </w:pPr>
            <w:r>
              <w:rPr/>
              <w:t>投标人管理团队情况 (10.0分)</w:t>
            </w:r>
          </w:p>
        </w:tc>
        <w:tc>
          <w:tcPr>
            <w:tcW w:type="dxa" w:w="5076"/>
          </w:tcPr>
          <w:p>
            <w:pPr>
              <w:jc w:val="left"/>
            </w:pPr>
            <w:r>
              <w:rPr/>
              <w:t>拟投入本项目的投标人管理团队人员具有人力资源和社会保障部门颁发的人力资源类或管理类（或者经济类）高级或一级资质（资格）证书，每提供1人得2分；中级或二级资质（资格）证书，每提供1人得1分，满分10分。同一人获得多个证书按证书最高等级计算。  注： 投标文件中提供上述人员的证书复印件（加盖公章）和投标人为其购买的投标截止时间为止近1年内任意1个月的社保证明复印件（代缴个税税单或参加社会保险的《投保单》 或《社会保险参保人员证明》等证明均可，并加盖公章），如果投标人成立时间或该人员入职不足1个月，则提供投标截止时间为止至成立时间的社保证明，不提供不得分。</w:t>
            </w:r>
          </w:p>
        </w:tc>
      </w:tr>
      <w:tr>
        <w:tc>
          <w:tcPr>
            <w:tcW w:type="dxa" w:w="922"/>
            <w:gridSpan w:val="2"/>
            <w:vMerge/>
          </w:tcPr>
          <w:p/>
        </w:tc>
        <w:tc>
          <w:tcPr>
            <w:tcW w:type="dxa" w:w="2307"/>
          </w:tcPr>
          <w:p>
            <w:pPr>
              <w:jc w:val="left"/>
            </w:pPr>
            <w:r>
              <w:rPr/>
              <w:t>业绩 (9.0分)</w:t>
            </w:r>
          </w:p>
        </w:tc>
        <w:tc>
          <w:tcPr>
            <w:tcW w:type="dxa" w:w="5076"/>
          </w:tcPr>
          <w:p>
            <w:pPr>
              <w:jc w:val="left"/>
            </w:pPr>
            <w:r>
              <w:rPr/>
              <w:t>投标人2020年以来承接同类项目（含医务或医护岗位内容的业绩）业绩情况，每提供一个业绩的1.5分，满分9分。  注：投标文件中提供合同复印件，未按要求提供的不得分。</w:t>
            </w:r>
          </w:p>
        </w:tc>
      </w:tr>
      <w:tr>
        <w:tc>
          <w:tcPr>
            <w:tcW w:type="dxa" w:w="922"/>
            <w:gridSpan w:val="2"/>
            <w:vMerge/>
          </w:tcPr>
          <w:p/>
        </w:tc>
        <w:tc>
          <w:tcPr>
            <w:tcW w:type="dxa" w:w="2307"/>
          </w:tcPr>
          <w:p>
            <w:pPr>
              <w:jc w:val="left"/>
            </w:pPr>
            <w:r>
              <w:rPr/>
              <w:t>用户评价 (6.0分)</w:t>
            </w:r>
          </w:p>
        </w:tc>
        <w:tc>
          <w:tcPr>
            <w:tcW w:type="dxa" w:w="5076"/>
          </w:tcPr>
          <w:p>
            <w:pPr>
              <w:jc w:val="left"/>
            </w:pPr>
            <w:r>
              <w:rPr/>
              <w:t>投标人提供上述“业绩”由业主对其的评价情况： 1、每得到一个评价（结果为“好评”或“优秀”或“满意”或相同含义的评价），每提供一份评价得1分。 2、每得到一个评价（结果为“合格”或“一般”或相同含义的评价），每提供一份评价得0.5分。 本项最高得6分。 注：投标文件中提供证明资料复印件（需加盖与上述业绩合同当事人名称一致的公章），不提供的不得分。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pPr>
        <w:jc w:val="both"/>
      </w:pPr>
      <w:r>
        <w:rPr>
          <w:b/>
        </w:rPr>
        <w:t>甲方：</w:t>
      </w:r>
      <w:r>
        <w:rPr>
          <w:b/>
        </w:rPr>
        <w:t xml:space="preserve"> </w:t>
      </w:r>
      <w:r>
        <w:rPr>
          <w:u w:val="single"/>
        </w:rPr>
        <w:t>　　　　　</w:t>
      </w:r>
      <w:r>
        <w:rPr>
          <w:u w:val="single"/>
        </w:rPr>
        <w:t xml:space="preserve"> </w:t>
      </w:r>
      <w:r>
        <w:rPr>
          <w:u w:val="single"/>
        </w:rPr>
        <w:t xml:space="preserve"> </w:t>
      </w:r>
    </w:p>
    <w:p>
      <w:pPr>
        <w:jc w:val="both"/>
      </w:pPr>
      <w:r>
        <w:rPr>
          <w:color w:val="222222"/>
          <w:sz w:val="27"/>
        </w:rPr>
        <w:t>电话：</w:t>
      </w:r>
      <w:r>
        <w:rPr>
          <w:color w:val="222222"/>
          <w:sz w:val="27"/>
        </w:rPr>
        <w:t xml:space="preserve"> </w:t>
      </w:r>
      <w:r>
        <w:rPr>
          <w:u w:val="single"/>
        </w:rPr>
        <w:t>　　　　</w:t>
      </w:r>
      <w:r>
        <w:rPr>
          <w:u w:val="single"/>
        </w:rPr>
        <w:t xml:space="preserve"> </w:t>
      </w:r>
      <w:r>
        <w:rPr>
          <w:u w:val="single"/>
        </w:rPr>
        <w:t xml:space="preserve"> </w:t>
      </w:r>
      <w:r>
        <w:rPr>
          <w:color w:val="222222"/>
          <w:sz w:val="27"/>
        </w:rPr>
        <w:t>传真</w:t>
      </w:r>
      <w:r>
        <w:rPr>
          <w:color w:val="222222"/>
          <w:sz w:val="27"/>
        </w:rPr>
        <w:t xml:space="preserve"> </w:t>
      </w:r>
      <w:r>
        <w:rPr>
          <w:color w:val="222222"/>
          <w:sz w:val="27"/>
        </w:rPr>
        <w:t>：</w:t>
      </w:r>
      <w:r>
        <w:rPr>
          <w:color w:val="222222"/>
          <w:sz w:val="27"/>
        </w:rPr>
        <w:t xml:space="preserve"> </w:t>
      </w:r>
      <w:r>
        <w:rPr>
          <w:u w:val="single"/>
        </w:rPr>
        <w:t>　　　</w:t>
      </w:r>
      <w:r>
        <w:rPr>
          <w:u w:val="single"/>
        </w:rPr>
        <w:t xml:space="preserve"> </w:t>
      </w:r>
      <w:r>
        <w:rPr>
          <w:u w:val="single"/>
        </w:rPr>
        <w:t xml:space="preserve"> </w:t>
      </w:r>
      <w:r>
        <w:rPr>
          <w:color w:val="222222"/>
          <w:sz w:val="27"/>
        </w:rPr>
        <w:t>地址：</w:t>
      </w:r>
      <w:r>
        <w:rPr>
          <w:color w:val="222222"/>
          <w:sz w:val="27"/>
        </w:rPr>
        <w:t xml:space="preserve"> </w:t>
      </w:r>
      <w:r>
        <w:rPr>
          <w:u w:val="single"/>
        </w:rPr>
        <w:t>　　　</w:t>
      </w:r>
      <w:r>
        <w:rPr>
          <w:u w:val="single"/>
        </w:rPr>
        <w:t xml:space="preserve"> </w:t>
      </w:r>
      <w:r>
        <w:rPr>
          <w:u w:val="single"/>
        </w:rPr>
        <w:t xml:space="preserve"> </w:t>
      </w:r>
      <w:r>
        <w:rPr>
          <w:u w:val="single"/>
        </w:rPr>
        <w:t xml:space="preserve"> </w:t>
      </w:r>
    </w:p>
    <w:p>
      <w:pPr>
        <w:jc w:val="both"/>
      </w:pPr>
      <w:r>
        <w:rPr>
          <w:b/>
        </w:rPr>
        <w:t>乙方：</w:t>
      </w:r>
      <w:r>
        <w:rPr>
          <w:b/>
        </w:rPr>
        <w:t xml:space="preserve"> </w:t>
      </w:r>
      <w:r>
        <w:rPr>
          <w:u w:val="single"/>
        </w:rPr>
        <w:t>　　　　　</w:t>
      </w:r>
      <w:r>
        <w:rPr>
          <w:u w:val="single"/>
        </w:rPr>
        <w:t xml:space="preserve"> </w:t>
      </w:r>
      <w:r>
        <w:rPr>
          <w:u w:val="single"/>
        </w:rPr>
        <w:t xml:space="preserve"> </w:t>
      </w:r>
    </w:p>
    <w:p>
      <w:pPr>
        <w:jc w:val="both"/>
      </w:pPr>
      <w:r>
        <w:rPr>
          <w:color w:val="222222"/>
          <w:sz w:val="27"/>
        </w:rPr>
        <w:t>电话：</w:t>
      </w:r>
      <w:r>
        <w:rPr>
          <w:color w:val="222222"/>
          <w:sz w:val="27"/>
        </w:rPr>
        <w:t xml:space="preserve"> </w:t>
      </w:r>
      <w:r>
        <w:rPr>
          <w:u w:val="single"/>
        </w:rPr>
        <w:t>　　　　</w:t>
      </w:r>
      <w:r>
        <w:rPr>
          <w:u w:val="single"/>
        </w:rPr>
        <w:t xml:space="preserve"> </w:t>
      </w:r>
      <w:r>
        <w:rPr>
          <w:u w:val="single"/>
        </w:rPr>
        <w:t xml:space="preserve"> </w:t>
      </w:r>
      <w:r>
        <w:rPr>
          <w:u w:val="single"/>
        </w:rPr>
        <w:t xml:space="preserve"> </w:t>
      </w:r>
      <w:r>
        <w:rPr>
          <w:color w:val="222222"/>
          <w:sz w:val="27"/>
        </w:rPr>
        <w:t>传真：</w:t>
      </w:r>
      <w:r>
        <w:rPr>
          <w:u w:val="single"/>
        </w:rPr>
        <w:t>　　　</w:t>
      </w:r>
      <w:r>
        <w:rPr>
          <w:u w:val="single"/>
        </w:rPr>
        <w:t xml:space="preserve"> </w:t>
      </w:r>
      <w:r>
        <w:rPr>
          <w:u w:val="single"/>
        </w:rPr>
        <w:t xml:space="preserve"> </w:t>
      </w:r>
      <w:r>
        <w:rPr>
          <w:u w:val="single"/>
        </w:rPr>
        <w:t xml:space="preserve"> </w:t>
      </w:r>
      <w:r>
        <w:rPr>
          <w:color w:val="222222"/>
          <w:sz w:val="27"/>
        </w:rPr>
        <w:t>地址：</w:t>
      </w:r>
      <w:r>
        <w:rPr>
          <w:color w:val="222222"/>
          <w:sz w:val="27"/>
        </w:rPr>
        <w:t xml:space="preserve"> </w:t>
      </w:r>
      <w:r>
        <w:rPr>
          <w:u w:val="single"/>
        </w:rPr>
        <w:t>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both"/>
      </w:pPr>
      <w:r>
        <w:rPr>
          <w:color w:val="222222"/>
          <w:sz w:val="27"/>
        </w:rPr>
        <w:t xml:space="preserve"> </w:t>
      </w:r>
      <w:r>
        <w:rPr>
          <w:color w:val="222222"/>
          <w:sz w:val="27"/>
        </w:rPr>
        <w:t xml:space="preserve"> </w:t>
      </w:r>
    </w:p>
    <w:p>
      <w:r>
        <w:rPr>
          <w:sz w:val="24"/>
        </w:rPr>
        <w:t xml:space="preserve">  根据</w:t>
      </w:r>
      <w:r>
        <w:rPr>
          <w:sz w:val="24"/>
          <w:u w:val="single"/>
        </w:rPr>
        <w:t>中山市第二人民医院2024年-2025年辅助岗位购买服务项目</w:t>
      </w:r>
      <w:r>
        <w:rPr>
          <w:sz w:val="24"/>
        </w:rPr>
        <w:t>（招标编号：ZZ22316538）的采购结果，按照《中华人民共和国政府采购法》，《中华人民共和国民法典(合同编)》的规定，经双方协商，本着平等互利和诚实信用的原则，一致同意遵守本合同如下。</w:t>
      </w:r>
      <w:r>
        <w:br/>
      </w:r>
      <w:r>
        <w:rPr>
          <w:b/>
          <w:sz w:val="24"/>
        </w:rPr>
        <w:t>一、合同金额</w:t>
      </w:r>
      <w:r>
        <w:br/>
      </w:r>
      <w:r>
        <w:rPr>
          <w:sz w:val="24"/>
        </w:rPr>
        <w:t xml:space="preserve">    合同金额为（大写）：_____________元（￥_________元）人民币。</w:t>
      </w:r>
      <w:r>
        <w:br/>
      </w:r>
      <w:r>
        <w:rPr/>
        <w:t xml:space="preserve"> </w:t>
      </w:r>
    </w:p>
    <w:p>
      <w:r>
        <w:rPr>
          <w:b/>
          <w:sz w:val="24"/>
        </w:rPr>
        <w:t>二、服务范围</w:t>
      </w:r>
      <w:r>
        <w:br/>
      </w:r>
      <w:r>
        <w:rPr>
          <w:sz w:val="24"/>
        </w:rPr>
        <w:t>　　甲方聘请乙方提供以下服务：</w:t>
      </w:r>
      <w:r>
        <w:br/>
      </w:r>
      <w:r>
        <w:rPr>
          <w:sz w:val="24"/>
        </w:rPr>
        <w:t xml:space="preserve">  1.乙方须与被派驻服务人员签订劳动合同，建立规范的劳动合同关系，并负责劳动合同管理 (包括员工资料录入、招用工手续的办理、办理离职手续、员工离职面谈等) ；</w:t>
      </w:r>
      <w:r>
        <w:br/>
      </w:r>
      <w:r>
        <w:rPr>
          <w:sz w:val="24"/>
        </w:rPr>
        <w:t xml:space="preserve">  2.乙方派驻的服务人员须无犯罪记录。乙方与被派驻服务人员签订劳动合同前必须按照国家相关保密规定，分别与甲方、派驻服务人员签订保密的协议，保守甲方的工作秘密。派驻服务人员签订的保密协议，乙方需将复印件交给甲方备案；乙方确保派驻服务人员保守甲方所有与业务工作相关的秘密，严禁泄露给无关的第三人 (包括乙方与这工作无关的人员) 。因乙方保密履责不到位，造成不良影响和损失的，甲方有权追究乙方法律责任。</w:t>
      </w:r>
      <w:r>
        <w:br/>
      </w:r>
      <w:r>
        <w:rPr>
          <w:sz w:val="24"/>
        </w:rPr>
        <w:t xml:space="preserve">  </w:t>
      </w:r>
      <w:r>
        <w:rPr>
          <w:sz w:val="24"/>
        </w:rPr>
        <w:t>3.乙方负责整理被派驻服务人员人事档案管理 (纸质档案材料的收集、鉴别、整理、归档和保管，办理查阅和传递) ，为派驻服务人员建立人员信息库，人员信息库内容基本包括：姓名、身份证号、出生日期、性别、籍贯、出生地，户口所在地，家庭住址、联系电话、学历 (位) 情况 (所学专业、毕业学校、毕业时间) 、婚育及配偶情况、政治面貌、来院日期、职称晋升情况、工作岗位和劳动合同、劳动关系档案编号等，应及时更新并维护人员信息，并交给甲方进行备案。</w:t>
      </w:r>
      <w:r>
        <w:br/>
      </w:r>
      <w:r>
        <w:rPr>
          <w:sz w:val="24"/>
        </w:rPr>
        <w:t xml:space="preserve">  </w:t>
      </w:r>
      <w:r>
        <w:rPr>
          <w:sz w:val="24"/>
        </w:rPr>
        <w:t>4.所有员工入院服务时都需体检，合格的才能上岗，疫情期间按医院规定健康申报。</w:t>
      </w:r>
      <w:r>
        <w:br/>
      </w:r>
      <w:r>
        <w:rPr>
          <w:sz w:val="24"/>
        </w:rPr>
        <w:t xml:space="preserve">  </w:t>
      </w:r>
      <w:r>
        <w:rPr>
          <w:sz w:val="24"/>
        </w:rPr>
        <w:t>5.乙方应及时处理和协调甲方与派驻服务人员之间的工作管理纠纷。</w:t>
      </w:r>
      <w:r>
        <w:br/>
      </w:r>
      <w:r>
        <w:rPr>
          <w:sz w:val="24"/>
        </w:rPr>
        <w:t xml:space="preserve">  </w:t>
      </w:r>
      <w:r>
        <w:rPr>
          <w:sz w:val="24"/>
        </w:rPr>
        <w:t>6.乙方负责派驻服务人员职称评审申报、教育培训、社会保险、住房公积金购买/办理/转移、计划生育管理、工伤办理以及所有相关保险理赔事务等人事劳资管理工作并承担相应的责任；</w:t>
      </w:r>
      <w:r>
        <w:br/>
      </w:r>
      <w:r>
        <w:rPr>
          <w:sz w:val="24"/>
        </w:rPr>
        <w:t xml:space="preserve">  </w:t>
      </w:r>
      <w:r>
        <w:rPr>
          <w:sz w:val="24"/>
        </w:rPr>
        <w:t>7.服务期内发生各种事故：包括服务人员的人身及财产安全、交通、防火和劳资纠纷 (包括乙方与服务人员解除劳动合同的补偿或赔偿) 等事件均由乙方负责处理 (包括但不限于协商、调解、仲裁、诉讼等) ，并承担相应责任及费用，不得影响本项目的正常运作；如因此造成甲方损失的，乙方还应赔偿甲方遭受的一切损失。</w:t>
      </w:r>
      <w:r>
        <w:br/>
      </w:r>
      <w:r>
        <w:rPr>
          <w:sz w:val="24"/>
        </w:rPr>
        <w:t xml:space="preserve">  </w:t>
      </w:r>
      <w:r>
        <w:rPr>
          <w:sz w:val="24"/>
        </w:rPr>
        <w:t>8.为确保服务人员能胜任工作岗位要求，拟派服务人员须经甲方审核确认后方能上岗。未经甲方审核确认的人员，甲方不接受其工作安排，乙方与其签订劳动合同而承担的法律责任和因此造成的一切损失与甲方无关。</w:t>
      </w:r>
      <w:r>
        <w:br/>
      </w:r>
      <w:r>
        <w:rPr>
          <w:sz w:val="24"/>
        </w:rPr>
        <w:t xml:space="preserve">  </w:t>
      </w:r>
      <w:r>
        <w:rPr>
          <w:sz w:val="24"/>
        </w:rPr>
        <w:t>9.在服务合作过程中，甲方有权随时对派驻服务人员进行岗位调配，且对不能胜任工作的人员出具书面通知要求进行更换，乙方在收到甲方书面通知1 5个工作日内无理由更换。如派驻服务人员3个月累计休假超过15天，甲方有权要求更换该人员。</w:t>
      </w:r>
      <w:r>
        <w:br/>
      </w:r>
      <w:r>
        <w:rPr>
          <w:sz w:val="24"/>
        </w:rPr>
        <w:t xml:space="preserve">  10.若因选派人员劳动合同终止 (或解除) 所产生的经济补偿或经济赔偿等相关费用由乙方承担。</w:t>
      </w:r>
      <w:r>
        <w:br/>
      </w:r>
      <w:r>
        <w:rPr>
          <w:sz w:val="24"/>
        </w:rPr>
        <w:t xml:space="preserve">  11.因派驻服务人员辞职而须更换人员的，招聘工作以及由此产生的相关费用由乙方负责。</w:t>
      </w:r>
      <w:r>
        <w:br/>
      </w:r>
      <w:r>
        <w:rPr>
          <w:sz w:val="24"/>
        </w:rPr>
        <w:t xml:space="preserve">  </w:t>
      </w:r>
      <w:r>
        <w:rPr>
          <w:sz w:val="24"/>
        </w:rPr>
        <w:t>12.乙方支付给派驻服务人员的薪酬必须公开透明，每个月支付的所有薪酬费用资料 (包括工资、社保、住房公积金以及相关福利待遇) 必须交由甲方备案。如甲方发现乙方所支付的薪酬不符合标准或支付的薪酬账目虚假，乙方将承担一切的法律责任或刑事责任，且甲方有权解除合同并要求乙方支付合同金额的1%作为违约金；如发现所支付的薪酬存在违反劳动合同法等相关法律法规损害劳动者合法权益行为，甲方可要求限期改正，若乙方不予以改正，甲方有权不予支付当月服务费，情节严重的，甲方有权解除合同。</w:t>
      </w:r>
      <w:r>
        <w:br/>
      </w:r>
      <w:r>
        <w:rPr>
          <w:sz w:val="24"/>
        </w:rPr>
        <w:t xml:space="preserve">  </w:t>
      </w:r>
      <w:r>
        <w:rPr>
          <w:sz w:val="24"/>
        </w:rPr>
        <w:t>13.服务期间，如甲方对个别派驻服务人员进行奖励的，乙方须将奖励全部给该服务人员。</w:t>
      </w:r>
      <w:r>
        <w:br/>
      </w:r>
      <w:r>
        <w:rPr>
          <w:sz w:val="24"/>
        </w:rPr>
        <w:t xml:space="preserve">  </w:t>
      </w:r>
      <w:r>
        <w:rPr>
          <w:sz w:val="24"/>
        </w:rPr>
        <w:t>14.乙方负责被派驻服务人员在甲方单位服务期间出现意外伤害死亡、疾病住院、劳动关系解除等意外赔偿 (按照劳动合同法相关规定赔偿，乙方须负责办理相关手续) 。</w:t>
      </w:r>
      <w:r>
        <w:br/>
      </w:r>
      <w:r>
        <w:rPr>
          <w:sz w:val="24"/>
        </w:rPr>
        <w:t xml:space="preserve">  </w:t>
      </w:r>
      <w:r>
        <w:rPr>
          <w:sz w:val="24"/>
        </w:rPr>
        <w:t>15.乙方有义务按甲方要求，督促派驻服务人员严格遵守国家法律法规以及甲方的规章制度、管理规范和劳动纪律、忠于职守、文明礼貌、服从和执行采购单位的工作安排和调度，并接受采购单位管理人员的检查监督。</w:t>
      </w:r>
      <w:r>
        <w:br/>
      </w:r>
      <w:r>
        <w:rPr>
          <w:sz w:val="24"/>
        </w:rPr>
        <w:t xml:space="preserve">  </w:t>
      </w:r>
      <w:r>
        <w:rPr>
          <w:sz w:val="24"/>
        </w:rPr>
        <w:t>16.派驻服务人员不服从甲方日常管理的，甲方有权依据有关管理规定通知乙方进行相应的处罚。</w:t>
      </w:r>
      <w:r>
        <w:br/>
      </w:r>
      <w:r>
        <w:rPr>
          <w:sz w:val="24"/>
        </w:rPr>
        <w:t xml:space="preserve">  </w:t>
      </w:r>
      <w:r>
        <w:rPr>
          <w:sz w:val="24"/>
        </w:rPr>
        <w:t>17.派驻服务人员违反甲方劳动纪律或规章制度，甲方可依据有关情况扣减乙方当月的服务费用。</w:t>
      </w:r>
      <w:r>
        <w:br/>
      </w:r>
      <w:r>
        <w:rPr>
          <w:sz w:val="24"/>
        </w:rPr>
        <w:t xml:space="preserve">  </w:t>
      </w:r>
      <w:r>
        <w:rPr>
          <w:sz w:val="24"/>
        </w:rPr>
        <w:t>18.由于乙方工作失误的原因，造成派驻服务人员的经济损失，所产生的损失及后果由乙方承担。</w:t>
      </w:r>
      <w:r>
        <w:br/>
      </w:r>
      <w:r>
        <w:rPr>
          <w:sz w:val="24"/>
        </w:rPr>
        <w:t xml:space="preserve">  </w:t>
      </w:r>
      <w:r>
        <w:rPr>
          <w:sz w:val="24"/>
        </w:rPr>
        <w:t>19.如因乙方引起的劳资纠纷问题，影响正常工作的，甲方有权要求乙方更换符合要求的派驻服务人员以确保正常提供服务，所产生的费用由乙方承担。</w:t>
      </w:r>
      <w:r>
        <w:br/>
      </w:r>
      <w:r>
        <w:rPr>
          <w:sz w:val="24"/>
        </w:rPr>
        <w:t xml:space="preserve">  </w:t>
      </w:r>
      <w:r>
        <w:rPr>
          <w:sz w:val="24"/>
        </w:rPr>
        <w:t>20.甲方对乙方的服务实施活动进行全过程监督、检查和管理，负责项目的决策和总体监督，对项目宏观的把握和整体推进。</w:t>
      </w:r>
      <w:r>
        <w:br/>
      </w:r>
      <w:r>
        <w:rPr>
          <w:sz w:val="24"/>
        </w:rPr>
        <w:t xml:space="preserve">  </w:t>
      </w:r>
      <w:r>
        <w:rPr>
          <w:sz w:val="24"/>
        </w:rPr>
        <w:t>21.乙方必须就甲方提供的全部内容和服务要求做出回应，提供切合该服务项目的整体解决方案，并在项目范围内完成指定的工作和负责解决全部的业务问题 。乙方必须对甲方提出的有关问题和置疑作出实质性的回应。</w:t>
      </w:r>
      <w:r>
        <w:br/>
      </w:r>
      <w:r>
        <w:rPr>
          <w:sz w:val="24"/>
        </w:rPr>
        <w:t xml:space="preserve">  </w:t>
      </w:r>
      <w:r>
        <w:rPr>
          <w:sz w:val="24"/>
        </w:rPr>
        <w:t>22.服务期满后，乙方应妥善处理退场移交及人员安置，并配合甲方进行项目相关的交接工作，如辅助服务人员有意愿留下的，乙方应与下任供应商进行沟通协调安排。</w:t>
      </w:r>
      <w:r>
        <w:br/>
      </w:r>
      <w:r>
        <w:rPr>
          <w:sz w:val="24"/>
        </w:rPr>
        <w:t xml:space="preserve">  </w:t>
      </w:r>
      <w:r>
        <w:rPr>
          <w:sz w:val="24"/>
        </w:rPr>
        <w:t>23.其他未尽事宜，以双方合同签订时约定为准。甲方有权确定服务人员的数量、名单， 且有权以书面形式向乙方提出服务的具体要求，以及服务人员的素质要求。乙方须按甲方要求提供符合实际需求和符合条件的服务人员。</w:t>
      </w:r>
      <w:r>
        <w:br/>
      </w:r>
      <w:r>
        <w:rPr>
          <w:sz w:val="24"/>
        </w:rPr>
        <w:t xml:space="preserve">  </w:t>
      </w:r>
      <w:r>
        <w:rPr>
          <w:sz w:val="24"/>
        </w:rPr>
        <w:t xml:space="preserve">24.项目成交后，服务期正式开始前一周内即有能力根据甲方的要求派出足够的服务人员与上一标的服务期的中标单位进行工作交接，确保有序入场。 </w:t>
      </w:r>
      <w:r>
        <w:br/>
      </w:r>
      <w:r>
        <w:rPr>
          <w:sz w:val="24"/>
        </w:rPr>
        <w:t xml:space="preserve">  </w:t>
      </w:r>
      <w:r>
        <w:rPr>
          <w:sz w:val="24"/>
        </w:rPr>
        <w:t>25.乙方应按照《中华人民共和国劳动法》的相关规定发放工资，服务人员工资不得低于中山市企业职工最低工资标准（工资不含按国家规定供应商必须支付的社会保险及其他应付费用）。</w:t>
      </w:r>
      <w:r>
        <w:br/>
      </w:r>
      <w:r>
        <w:rPr>
          <w:sz w:val="24"/>
        </w:rPr>
        <w:t xml:space="preserve">  </w:t>
      </w:r>
      <w:r>
        <w:rPr>
          <w:sz w:val="24"/>
        </w:rPr>
        <w:t>26.乙方应按照《中华人民共和国社会保险法》和《住房公积金管理条例》的相关规定，支付国家规定必须购买的社会保险费用和缴存住房公积金。</w:t>
      </w:r>
      <w:r>
        <w:br/>
      </w:r>
      <w:r>
        <w:rPr>
          <w:sz w:val="24"/>
        </w:rPr>
        <w:t xml:space="preserve">  </w:t>
      </w:r>
      <w:r>
        <w:rPr>
          <w:sz w:val="24"/>
        </w:rPr>
        <w:t>27.我院</w:t>
      </w:r>
      <w:r>
        <w:rPr>
          <w:sz w:val="24"/>
        </w:rPr>
        <w:t>作为新冠肺炎定点救治医院，在执行合同的过程中有权要求乙方按照突发公共卫生事件和传染病防治防控相关规定做好防控工作，如完成人员培训、岗位调配等。</w:t>
      </w:r>
      <w:r>
        <w:br/>
      </w:r>
      <w:r>
        <w:rPr>
          <w:sz w:val="24"/>
        </w:rPr>
        <w:t xml:space="preserve">  </w:t>
      </w:r>
      <w:r>
        <w:rPr>
          <w:sz w:val="24"/>
        </w:rPr>
        <w:t>28.对本项目制定实施总体服务方案，具有成熟的管理模式，包括：（1）整体管理设想；（2）整体运作规划；（3）组织机构；（4）服务团队配置；（5）人员培训计划；（5）管理措施等。</w:t>
      </w:r>
      <w:r>
        <w:br/>
      </w:r>
      <w:r>
        <w:rPr>
          <w:sz w:val="24"/>
        </w:rPr>
        <w:t xml:space="preserve">  </w:t>
      </w:r>
      <w:r>
        <w:rPr>
          <w:sz w:val="24"/>
        </w:rPr>
        <w:t>29.按照国家有关法律法规的相关规定，乙方做好服务人员的计划生育管理工作并承担相应的责任。</w:t>
      </w:r>
      <w:r>
        <w:br/>
      </w:r>
      <w:r>
        <w:rPr>
          <w:sz w:val="24"/>
        </w:rPr>
        <w:t xml:space="preserve">  </w:t>
      </w:r>
      <w:r>
        <w:rPr>
          <w:sz w:val="24"/>
        </w:rPr>
        <w:t>30.人员配置要求</w:t>
      </w:r>
    </w:p>
    <w:tbl>
      <w:tblPr>
        <w:tblW w:w="0" w:type="auto"/>
        <w:tblBorders>
          <w:top w:val="none" w:color="000000" w:sz="4"/>
          <w:left w:val="none" w:color="000000" w:sz="4"/>
          <w:bottom w:val="none" w:color="000000" w:sz="4"/>
          <w:right w:val="none" w:color="000000" w:sz="4"/>
          <w:insideH w:val="none"/>
          <w:insideV w:val="none"/>
        </w:tblBorders>
      </w:tblPr>
      <w:tblGrid>
        <w:gridCol w:w="510"/>
        <w:gridCol w:w="1140"/>
        <w:gridCol w:w="855"/>
        <w:gridCol w:w="1425"/>
        <w:gridCol w:w="1980"/>
        <w:gridCol w:w="855"/>
      </w:tblGrid>
      <w:tr>
        <w:tc>
          <w:tcPr>
            <w:tcW w:type="dxa" w:w="510"/>
            <w:tcBorders>
              <w:top w:val="double" w:color="000000" w:sz="8"/>
              <w:left w:val="double" w:color="000000" w:sz="8"/>
              <w:bottom w:val="single" w:color="000000" w:sz="4"/>
              <w:right w:val="single" w:color="000000" w:sz="4"/>
            </w:tcBorders>
          </w:tcPr>
          <w:p>
            <w:pPr>
              <w:jc w:val="center"/>
            </w:pPr>
            <w:r>
              <w:rPr>
                <w:b/>
                <w:color w:val="000000"/>
                <w:sz w:val="21"/>
              </w:rPr>
              <w:t>序号</w:t>
            </w:r>
          </w:p>
        </w:tc>
        <w:tc>
          <w:tcPr>
            <w:tcW w:type="dxa" w:w="1140"/>
            <w:tcBorders>
              <w:top w:val="double" w:color="000000" w:sz="8"/>
              <w:left w:val="none" w:color="000000" w:sz="4"/>
              <w:bottom w:val="single" w:color="000000" w:sz="4"/>
              <w:right w:val="single" w:color="000000" w:sz="4"/>
            </w:tcBorders>
          </w:tcPr>
          <w:p>
            <w:pPr>
              <w:jc w:val="center"/>
            </w:pPr>
            <w:r>
              <w:rPr>
                <w:b/>
                <w:color w:val="000000"/>
                <w:sz w:val="21"/>
              </w:rPr>
              <w:t>岗位</w:t>
            </w:r>
          </w:p>
        </w:tc>
        <w:tc>
          <w:tcPr>
            <w:tcW w:type="dxa" w:w="855"/>
            <w:tcBorders>
              <w:top w:val="double" w:color="000000" w:sz="8"/>
              <w:left w:val="none" w:color="000000" w:sz="4"/>
              <w:bottom w:val="single" w:color="000000" w:sz="4"/>
              <w:right w:val="single" w:color="000000" w:sz="4"/>
            </w:tcBorders>
          </w:tcPr>
          <w:p>
            <w:pPr>
              <w:jc w:val="center"/>
            </w:pPr>
            <w:r>
              <w:rPr>
                <w:b/>
                <w:color w:val="000000"/>
                <w:sz w:val="21"/>
              </w:rPr>
              <w:t>岗位数</w:t>
            </w:r>
          </w:p>
        </w:tc>
        <w:tc>
          <w:tcPr>
            <w:tcW w:type="dxa" w:w="1425"/>
            <w:tcBorders>
              <w:top w:val="double" w:color="000000" w:sz="8"/>
              <w:left w:val="none" w:color="000000" w:sz="4"/>
              <w:bottom w:val="single" w:color="000000" w:sz="4"/>
              <w:right w:val="single" w:color="000000" w:sz="4"/>
            </w:tcBorders>
          </w:tcPr>
          <w:p>
            <w:pPr>
              <w:jc w:val="center"/>
            </w:pPr>
            <w:r>
              <w:rPr>
                <w:b/>
                <w:color w:val="000000"/>
                <w:sz w:val="21"/>
              </w:rPr>
              <w:t>学历要求</w:t>
            </w:r>
          </w:p>
        </w:tc>
        <w:tc>
          <w:tcPr>
            <w:tcW w:type="dxa" w:w="1980"/>
            <w:tcBorders>
              <w:top w:val="double" w:color="000000" w:sz="8"/>
              <w:left w:val="none" w:color="000000" w:sz="4"/>
              <w:bottom w:val="single" w:color="000000" w:sz="4"/>
              <w:right w:val="single" w:color="000000" w:sz="4"/>
            </w:tcBorders>
          </w:tcPr>
          <w:p>
            <w:pPr>
              <w:jc w:val="center"/>
            </w:pPr>
            <w:r>
              <w:rPr>
                <w:b/>
                <w:color w:val="000000"/>
                <w:sz w:val="21"/>
              </w:rPr>
              <w:t>技能要求</w:t>
            </w:r>
          </w:p>
        </w:tc>
        <w:tc>
          <w:tcPr>
            <w:tcW w:type="dxa" w:w="855"/>
            <w:tcBorders>
              <w:top w:val="double" w:color="000000" w:sz="8"/>
              <w:left w:val="none" w:color="000000" w:sz="4"/>
              <w:bottom w:val="single" w:color="000000" w:sz="4"/>
              <w:right w:val="double" w:color="000000" w:sz="8"/>
            </w:tcBorders>
          </w:tcPr>
          <w:p>
            <w:pPr>
              <w:jc w:val="center"/>
            </w:pPr>
            <w:r>
              <w:rPr>
                <w:b/>
                <w:color w:val="000000"/>
                <w:sz w:val="21"/>
              </w:rPr>
              <w:t>备注</w:t>
            </w:r>
          </w:p>
        </w:tc>
      </w:tr>
      <w:tr>
        <w:tc>
          <w:tcPr>
            <w:tcW w:type="dxa" w:w="510"/>
            <w:tcBorders>
              <w:top w:val="none" w:color="000000" w:sz="4"/>
              <w:left w:val="double" w:color="000000" w:sz="8"/>
              <w:bottom w:val="single" w:color="000000" w:sz="4"/>
              <w:right w:val="single" w:color="000000" w:sz="4"/>
            </w:tcBorders>
          </w:tcPr>
          <w:p>
            <w:pPr>
              <w:jc w:val="center"/>
            </w:pPr>
            <w:r>
              <w:rPr>
                <w:color w:val="000000"/>
                <w:sz w:val="21"/>
              </w:rPr>
              <w:t>1</w:t>
            </w:r>
          </w:p>
        </w:tc>
        <w:tc>
          <w:tcPr>
            <w:tcW w:type="dxa" w:w="1140"/>
            <w:tcBorders>
              <w:top w:val="none" w:color="000000" w:sz="4"/>
              <w:left w:val="none" w:color="000000" w:sz="4"/>
              <w:bottom w:val="single" w:color="000000" w:sz="4"/>
              <w:right w:val="single" w:color="000000" w:sz="4"/>
            </w:tcBorders>
          </w:tcPr>
          <w:p>
            <w:pPr>
              <w:jc w:val="center"/>
            </w:pPr>
            <w:r>
              <w:rPr>
                <w:color w:val="000000"/>
                <w:sz w:val="21"/>
              </w:rPr>
              <w:t>培训学员</w:t>
            </w:r>
          </w:p>
        </w:tc>
        <w:tc>
          <w:tcPr>
            <w:tcW w:type="dxa" w:w="855"/>
            <w:tcBorders>
              <w:top w:val="none" w:color="000000" w:sz="4"/>
              <w:left w:val="none" w:color="000000" w:sz="4"/>
              <w:bottom w:val="single" w:color="000000" w:sz="4"/>
              <w:right w:val="single" w:color="000000" w:sz="4"/>
            </w:tcBorders>
          </w:tcPr>
          <w:p>
            <w:pPr>
              <w:jc w:val="center"/>
            </w:pPr>
            <w:r>
              <w:rPr>
                <w:color w:val="000000"/>
                <w:sz w:val="21"/>
              </w:rPr>
              <w:t>1</w:t>
            </w:r>
          </w:p>
        </w:tc>
        <w:tc>
          <w:tcPr>
            <w:tcW w:type="dxa" w:w="1425"/>
            <w:tcBorders>
              <w:top w:val="none" w:color="000000" w:sz="4"/>
              <w:left w:val="none" w:color="000000" w:sz="4"/>
              <w:bottom w:val="single" w:color="000000" w:sz="4"/>
              <w:right w:val="single" w:color="000000" w:sz="4"/>
            </w:tcBorders>
          </w:tcPr>
          <w:p>
            <w:pPr>
              <w:jc w:val="center"/>
            </w:pPr>
            <w:r>
              <w:rPr>
                <w:color w:val="000000"/>
                <w:sz w:val="21"/>
              </w:rPr>
              <w:t>大专及以上</w:t>
            </w:r>
          </w:p>
        </w:tc>
        <w:tc>
          <w:tcPr>
            <w:tcW w:type="dxa" w:w="1980"/>
            <w:tcBorders>
              <w:top w:val="none" w:color="000000" w:sz="4"/>
              <w:left w:val="none" w:color="000000" w:sz="4"/>
              <w:bottom w:val="single" w:color="000000" w:sz="4"/>
              <w:right w:val="single" w:color="000000" w:sz="4"/>
            </w:tcBorders>
          </w:tcPr>
          <w:p>
            <w:pPr>
              <w:jc w:val="center"/>
            </w:pPr>
            <w:r>
              <w:rPr>
                <w:color w:val="000000"/>
                <w:sz w:val="21"/>
              </w:rPr>
              <w:t>不限</w:t>
            </w:r>
          </w:p>
        </w:tc>
        <w:tc>
          <w:tcPr>
            <w:tcW w:type="dxa" w:w="855"/>
            <w:tcBorders>
              <w:top w:val="none" w:color="000000" w:sz="4"/>
              <w:left w:val="none" w:color="000000" w:sz="4"/>
              <w:bottom w:val="single" w:color="000000" w:sz="4"/>
              <w:right w:val="double" w:color="000000" w:sz="8"/>
            </w:tcBorders>
          </w:tcPr>
          <w:p>
            <w:pPr>
              <w:jc w:val="center"/>
            </w:pPr>
          </w:p>
        </w:tc>
      </w:tr>
      <w:tr>
        <w:tc>
          <w:tcPr>
            <w:tcW w:type="dxa" w:w="510"/>
            <w:tcBorders>
              <w:top w:val="none" w:color="000000" w:sz="4"/>
              <w:left w:val="double" w:color="000000" w:sz="8"/>
              <w:bottom w:val="single" w:color="000000" w:sz="4"/>
              <w:right w:val="single" w:color="000000" w:sz="4"/>
            </w:tcBorders>
          </w:tcPr>
          <w:p>
            <w:pPr>
              <w:jc w:val="center"/>
            </w:pPr>
            <w:r>
              <w:rPr>
                <w:color w:val="000000"/>
                <w:sz w:val="21"/>
              </w:rPr>
              <w:t>2</w:t>
            </w:r>
          </w:p>
        </w:tc>
        <w:tc>
          <w:tcPr>
            <w:tcW w:type="dxa" w:w="1140"/>
            <w:tcBorders>
              <w:top w:val="none" w:color="000000" w:sz="4"/>
              <w:left w:val="none" w:color="000000" w:sz="4"/>
              <w:bottom w:val="single" w:color="000000" w:sz="4"/>
              <w:right w:val="single" w:color="000000" w:sz="4"/>
            </w:tcBorders>
          </w:tcPr>
          <w:p>
            <w:pPr>
              <w:jc w:val="center"/>
            </w:pPr>
            <w:r>
              <w:rPr>
                <w:color w:val="000000"/>
                <w:sz w:val="21"/>
              </w:rPr>
              <w:t>检验师</w:t>
            </w:r>
          </w:p>
        </w:tc>
        <w:tc>
          <w:tcPr>
            <w:tcW w:type="dxa" w:w="855"/>
            <w:tcBorders>
              <w:top w:val="none" w:color="000000" w:sz="4"/>
              <w:left w:val="none" w:color="000000" w:sz="4"/>
              <w:bottom w:val="single" w:color="000000" w:sz="4"/>
              <w:right w:val="single" w:color="000000" w:sz="4"/>
            </w:tcBorders>
          </w:tcPr>
          <w:p>
            <w:pPr>
              <w:jc w:val="center"/>
            </w:pPr>
            <w:r>
              <w:rPr>
                <w:color w:val="000000"/>
                <w:sz w:val="21"/>
              </w:rPr>
              <w:t>3</w:t>
            </w:r>
          </w:p>
        </w:tc>
        <w:tc>
          <w:tcPr>
            <w:tcW w:type="dxa" w:w="1425"/>
            <w:tcBorders>
              <w:top w:val="none" w:color="000000" w:sz="4"/>
              <w:left w:val="none" w:color="000000" w:sz="4"/>
              <w:bottom w:val="single" w:color="000000" w:sz="4"/>
              <w:right w:val="single" w:color="000000" w:sz="4"/>
            </w:tcBorders>
          </w:tcPr>
          <w:p>
            <w:pPr>
              <w:jc w:val="center"/>
            </w:pPr>
            <w:r>
              <w:rPr>
                <w:color w:val="000000"/>
                <w:sz w:val="21"/>
              </w:rPr>
              <w:t>大专及以上</w:t>
            </w:r>
          </w:p>
        </w:tc>
        <w:tc>
          <w:tcPr>
            <w:tcW w:type="dxa" w:w="1980"/>
            <w:tcBorders>
              <w:top w:val="none" w:color="000000" w:sz="4"/>
              <w:left w:val="none" w:color="000000" w:sz="4"/>
              <w:bottom w:val="single" w:color="000000" w:sz="4"/>
              <w:right w:val="single" w:color="000000" w:sz="4"/>
            </w:tcBorders>
          </w:tcPr>
          <w:p>
            <w:pPr>
              <w:jc w:val="center"/>
            </w:pPr>
            <w:r>
              <w:rPr>
                <w:color w:val="000000"/>
                <w:sz w:val="21"/>
              </w:rPr>
              <w:t>取得检验师资格</w:t>
            </w:r>
          </w:p>
        </w:tc>
        <w:tc>
          <w:tcPr>
            <w:tcW w:type="dxa" w:w="855"/>
            <w:tcBorders>
              <w:top w:val="none" w:color="000000" w:sz="4"/>
              <w:left w:val="none" w:color="000000" w:sz="4"/>
              <w:bottom w:val="single" w:color="000000" w:sz="4"/>
              <w:right w:val="double" w:color="000000" w:sz="8"/>
            </w:tcBorders>
          </w:tcPr>
          <w:p>
            <w:pPr>
              <w:jc w:val="center"/>
            </w:pPr>
          </w:p>
        </w:tc>
      </w:tr>
      <w:tr>
        <w:tc>
          <w:tcPr>
            <w:tcW w:type="dxa" w:w="510"/>
            <w:tcBorders>
              <w:top w:val="none" w:color="000000" w:sz="4"/>
              <w:left w:val="double" w:color="000000" w:sz="8"/>
              <w:bottom w:val="single" w:color="000000" w:sz="4"/>
              <w:right w:val="single" w:color="000000" w:sz="4"/>
            </w:tcBorders>
          </w:tcPr>
          <w:p>
            <w:pPr>
              <w:jc w:val="center"/>
            </w:pPr>
            <w:r>
              <w:rPr>
                <w:color w:val="000000"/>
                <w:sz w:val="21"/>
              </w:rPr>
              <w:t>3</w:t>
            </w:r>
          </w:p>
        </w:tc>
        <w:tc>
          <w:tcPr>
            <w:tcW w:type="dxa" w:w="1140"/>
            <w:tcBorders>
              <w:top w:val="none" w:color="000000" w:sz="4"/>
              <w:left w:val="none" w:color="000000" w:sz="4"/>
              <w:bottom w:val="single" w:color="000000" w:sz="4"/>
              <w:right w:val="single" w:color="000000" w:sz="4"/>
            </w:tcBorders>
          </w:tcPr>
          <w:p>
            <w:pPr>
              <w:jc w:val="center"/>
            </w:pPr>
            <w:r>
              <w:rPr>
                <w:color w:val="000000"/>
                <w:sz w:val="21"/>
              </w:rPr>
              <w:t>医师</w:t>
            </w:r>
          </w:p>
        </w:tc>
        <w:tc>
          <w:tcPr>
            <w:tcW w:type="dxa" w:w="855"/>
            <w:tcBorders>
              <w:top w:val="none" w:color="000000" w:sz="4"/>
              <w:left w:val="none" w:color="000000" w:sz="4"/>
              <w:bottom w:val="single" w:color="000000" w:sz="4"/>
              <w:right w:val="single" w:color="000000" w:sz="4"/>
            </w:tcBorders>
          </w:tcPr>
          <w:p>
            <w:pPr>
              <w:jc w:val="center"/>
            </w:pPr>
            <w:r>
              <w:rPr>
                <w:color w:val="000000"/>
                <w:sz w:val="21"/>
              </w:rPr>
              <w:t>1</w:t>
            </w:r>
          </w:p>
        </w:tc>
        <w:tc>
          <w:tcPr>
            <w:tcW w:type="dxa" w:w="1425"/>
            <w:tcBorders>
              <w:top w:val="none" w:color="000000" w:sz="4"/>
              <w:left w:val="none" w:color="000000" w:sz="4"/>
              <w:bottom w:val="single" w:color="000000" w:sz="4"/>
              <w:right w:val="single" w:color="000000" w:sz="4"/>
            </w:tcBorders>
          </w:tcPr>
          <w:p>
            <w:pPr>
              <w:jc w:val="center"/>
            </w:pPr>
            <w:r>
              <w:rPr>
                <w:color w:val="000000"/>
                <w:sz w:val="21"/>
              </w:rPr>
              <w:t>本科及以上</w:t>
            </w:r>
          </w:p>
        </w:tc>
        <w:tc>
          <w:tcPr>
            <w:tcW w:type="dxa" w:w="1980"/>
            <w:tcBorders>
              <w:top w:val="none" w:color="000000" w:sz="4"/>
              <w:left w:val="none" w:color="000000" w:sz="4"/>
              <w:bottom w:val="single" w:color="000000" w:sz="4"/>
              <w:right w:val="single" w:color="000000" w:sz="4"/>
            </w:tcBorders>
          </w:tcPr>
          <w:p>
            <w:pPr>
              <w:jc w:val="center"/>
            </w:pPr>
            <w:r>
              <w:rPr>
                <w:color w:val="000000"/>
                <w:sz w:val="21"/>
              </w:rPr>
              <w:t>取得医师资格</w:t>
            </w:r>
          </w:p>
        </w:tc>
        <w:tc>
          <w:tcPr>
            <w:tcW w:type="dxa" w:w="855"/>
            <w:tcBorders>
              <w:top w:val="none" w:color="000000" w:sz="4"/>
              <w:left w:val="none" w:color="000000" w:sz="4"/>
              <w:bottom w:val="single" w:color="000000" w:sz="4"/>
              <w:right w:val="double" w:color="000000" w:sz="8"/>
            </w:tcBorders>
          </w:tcPr>
          <w:p>
            <w:pPr>
              <w:jc w:val="center"/>
            </w:pPr>
          </w:p>
        </w:tc>
      </w:tr>
      <w:tr>
        <w:tc>
          <w:tcPr>
            <w:tcW w:type="dxa" w:w="510"/>
            <w:tcBorders>
              <w:top w:val="none" w:color="000000" w:sz="4"/>
              <w:left w:val="double" w:color="000000" w:sz="8"/>
              <w:bottom w:val="single" w:color="000000" w:sz="4"/>
              <w:right w:val="single" w:color="000000" w:sz="4"/>
            </w:tcBorders>
          </w:tcPr>
          <w:p>
            <w:pPr>
              <w:jc w:val="center"/>
            </w:pPr>
            <w:r>
              <w:rPr>
                <w:color w:val="000000"/>
                <w:sz w:val="21"/>
              </w:rPr>
              <w:t>4</w:t>
            </w:r>
          </w:p>
        </w:tc>
        <w:tc>
          <w:tcPr>
            <w:tcW w:type="dxa" w:w="1140"/>
            <w:tcBorders>
              <w:top w:val="none" w:color="000000" w:sz="4"/>
              <w:left w:val="none" w:color="000000" w:sz="4"/>
              <w:bottom w:val="single" w:color="000000" w:sz="4"/>
              <w:right w:val="single" w:color="000000" w:sz="4"/>
            </w:tcBorders>
          </w:tcPr>
          <w:p>
            <w:pPr>
              <w:jc w:val="center"/>
            </w:pPr>
            <w:r>
              <w:rPr>
                <w:color w:val="000000"/>
                <w:sz w:val="21"/>
              </w:rPr>
              <w:t>药剂人员</w:t>
            </w:r>
          </w:p>
        </w:tc>
        <w:tc>
          <w:tcPr>
            <w:tcW w:type="dxa" w:w="855"/>
            <w:tcBorders>
              <w:top w:val="none" w:color="000000" w:sz="4"/>
              <w:left w:val="none" w:color="000000" w:sz="4"/>
              <w:bottom w:val="single" w:color="000000" w:sz="4"/>
              <w:right w:val="single" w:color="000000" w:sz="4"/>
            </w:tcBorders>
          </w:tcPr>
          <w:p>
            <w:pPr>
              <w:jc w:val="center"/>
            </w:pPr>
            <w:r>
              <w:rPr>
                <w:color w:val="000000"/>
                <w:sz w:val="21"/>
              </w:rPr>
              <w:t>6</w:t>
            </w:r>
          </w:p>
        </w:tc>
        <w:tc>
          <w:tcPr>
            <w:tcW w:type="dxa" w:w="1425"/>
            <w:tcBorders>
              <w:top w:val="none" w:color="000000" w:sz="4"/>
              <w:left w:val="none" w:color="000000" w:sz="4"/>
              <w:bottom w:val="single" w:color="000000" w:sz="4"/>
              <w:right w:val="single" w:color="000000" w:sz="4"/>
            </w:tcBorders>
          </w:tcPr>
          <w:p>
            <w:pPr>
              <w:jc w:val="center"/>
            </w:pPr>
            <w:r>
              <w:rPr>
                <w:color w:val="000000"/>
                <w:sz w:val="21"/>
              </w:rPr>
              <w:t>大专及以上</w:t>
            </w:r>
          </w:p>
        </w:tc>
        <w:tc>
          <w:tcPr>
            <w:tcW w:type="dxa" w:w="1980"/>
            <w:tcBorders>
              <w:top w:val="none" w:color="000000" w:sz="4"/>
              <w:left w:val="none" w:color="000000" w:sz="4"/>
              <w:bottom w:val="single" w:color="000000" w:sz="4"/>
              <w:right w:val="single" w:color="000000" w:sz="4"/>
            </w:tcBorders>
          </w:tcPr>
          <w:p>
            <w:pPr>
              <w:jc w:val="center"/>
            </w:pPr>
            <w:r>
              <w:rPr>
                <w:color w:val="000000"/>
                <w:sz w:val="21"/>
              </w:rPr>
              <w:t>取得药剂师资格</w:t>
            </w:r>
          </w:p>
        </w:tc>
        <w:tc>
          <w:tcPr>
            <w:tcW w:type="dxa" w:w="855"/>
            <w:tcBorders>
              <w:top w:val="none" w:color="000000" w:sz="4"/>
              <w:left w:val="none" w:color="000000" w:sz="4"/>
              <w:bottom w:val="single" w:color="000000" w:sz="4"/>
              <w:right w:val="double" w:color="000000" w:sz="8"/>
            </w:tcBorders>
          </w:tcPr>
          <w:p>
            <w:pPr>
              <w:jc w:val="center"/>
            </w:pPr>
          </w:p>
        </w:tc>
      </w:tr>
      <w:tr>
        <w:tc>
          <w:tcPr>
            <w:tcW w:type="dxa" w:w="510"/>
            <w:tcBorders>
              <w:top w:val="none" w:color="000000" w:sz="4"/>
              <w:left w:val="double" w:color="000000" w:sz="8"/>
              <w:bottom w:val="single" w:color="000000" w:sz="4"/>
              <w:right w:val="single" w:color="000000" w:sz="4"/>
            </w:tcBorders>
          </w:tcPr>
          <w:p>
            <w:pPr>
              <w:jc w:val="center"/>
            </w:pPr>
            <w:r>
              <w:rPr>
                <w:color w:val="000000"/>
                <w:sz w:val="21"/>
              </w:rPr>
              <w:t>5</w:t>
            </w:r>
          </w:p>
        </w:tc>
        <w:tc>
          <w:tcPr>
            <w:tcW w:type="dxa" w:w="1140"/>
            <w:tcBorders>
              <w:top w:val="none" w:color="000000" w:sz="4"/>
              <w:left w:val="none" w:color="000000" w:sz="4"/>
              <w:bottom w:val="single" w:color="000000" w:sz="4"/>
              <w:right w:val="single" w:color="000000" w:sz="4"/>
            </w:tcBorders>
          </w:tcPr>
          <w:p>
            <w:pPr>
              <w:jc w:val="center"/>
            </w:pPr>
            <w:r>
              <w:rPr>
                <w:color w:val="000000"/>
                <w:sz w:val="21"/>
              </w:rPr>
              <w:t>文员</w:t>
            </w:r>
          </w:p>
        </w:tc>
        <w:tc>
          <w:tcPr>
            <w:tcW w:type="dxa" w:w="855"/>
            <w:tcBorders>
              <w:top w:val="none" w:color="000000" w:sz="4"/>
              <w:left w:val="none" w:color="000000" w:sz="4"/>
              <w:bottom w:val="single" w:color="000000" w:sz="4"/>
              <w:right w:val="single" w:color="000000" w:sz="4"/>
            </w:tcBorders>
          </w:tcPr>
          <w:p>
            <w:pPr>
              <w:jc w:val="center"/>
            </w:pPr>
            <w:r>
              <w:rPr>
                <w:color w:val="000000"/>
                <w:sz w:val="21"/>
              </w:rPr>
              <w:t>14</w:t>
            </w:r>
          </w:p>
        </w:tc>
        <w:tc>
          <w:tcPr>
            <w:tcW w:type="dxa" w:w="1425"/>
            <w:tcBorders>
              <w:top w:val="none" w:color="000000" w:sz="4"/>
              <w:left w:val="none" w:color="000000" w:sz="4"/>
              <w:bottom w:val="single" w:color="000000" w:sz="4"/>
              <w:right w:val="single" w:color="000000" w:sz="4"/>
            </w:tcBorders>
          </w:tcPr>
          <w:p>
            <w:pPr>
              <w:jc w:val="center"/>
            </w:pPr>
            <w:r>
              <w:rPr>
                <w:color w:val="000000"/>
                <w:sz w:val="21"/>
              </w:rPr>
              <w:t>大专及以上</w:t>
            </w:r>
          </w:p>
        </w:tc>
        <w:tc>
          <w:tcPr>
            <w:tcW w:type="dxa" w:w="1980"/>
            <w:tcBorders>
              <w:top w:val="none" w:color="000000" w:sz="4"/>
              <w:left w:val="none" w:color="000000" w:sz="4"/>
              <w:bottom w:val="single" w:color="000000" w:sz="4"/>
              <w:right w:val="single" w:color="000000" w:sz="4"/>
            </w:tcBorders>
          </w:tcPr>
          <w:p>
            <w:pPr>
              <w:jc w:val="center"/>
            </w:pPr>
            <w:r>
              <w:rPr>
                <w:color w:val="000000"/>
                <w:sz w:val="21"/>
              </w:rPr>
              <w:t>取得相应岗位的资格</w:t>
            </w:r>
          </w:p>
        </w:tc>
        <w:tc>
          <w:tcPr>
            <w:tcW w:type="dxa" w:w="855"/>
            <w:tcBorders>
              <w:top w:val="none" w:color="000000" w:sz="4"/>
              <w:left w:val="none" w:color="000000" w:sz="4"/>
              <w:bottom w:val="single" w:color="000000" w:sz="4"/>
              <w:right w:val="double" w:color="000000" w:sz="8"/>
            </w:tcBorders>
          </w:tcPr>
          <w:p>
            <w:pPr>
              <w:jc w:val="center"/>
            </w:pPr>
          </w:p>
        </w:tc>
      </w:tr>
      <w:tr>
        <w:tc>
          <w:tcPr>
            <w:tcW w:type="dxa" w:w="510"/>
            <w:tcBorders>
              <w:top w:val="none" w:color="000000" w:sz="4"/>
              <w:left w:val="double" w:color="000000" w:sz="8"/>
              <w:bottom w:val="single" w:color="000000" w:sz="4"/>
              <w:right w:val="single" w:color="000000" w:sz="4"/>
            </w:tcBorders>
          </w:tcPr>
          <w:p>
            <w:pPr>
              <w:jc w:val="center"/>
            </w:pPr>
            <w:r>
              <w:rPr>
                <w:color w:val="000000"/>
                <w:sz w:val="21"/>
              </w:rPr>
              <w:t>6</w:t>
            </w:r>
          </w:p>
        </w:tc>
        <w:tc>
          <w:tcPr>
            <w:tcW w:type="dxa" w:w="1140"/>
            <w:tcBorders>
              <w:top w:val="none" w:color="000000" w:sz="4"/>
              <w:left w:val="none" w:color="000000" w:sz="4"/>
              <w:bottom w:val="single" w:color="000000" w:sz="4"/>
              <w:right w:val="single" w:color="000000" w:sz="4"/>
            </w:tcBorders>
          </w:tcPr>
          <w:p>
            <w:pPr>
              <w:jc w:val="center"/>
            </w:pPr>
            <w:r>
              <w:rPr>
                <w:color w:val="000000"/>
                <w:sz w:val="21"/>
              </w:rPr>
              <w:t>资料员、导诊</w:t>
            </w:r>
          </w:p>
        </w:tc>
        <w:tc>
          <w:tcPr>
            <w:tcW w:type="dxa" w:w="855"/>
            <w:tcBorders>
              <w:top w:val="none" w:color="000000" w:sz="4"/>
              <w:left w:val="none" w:color="000000" w:sz="4"/>
              <w:bottom w:val="single" w:color="000000" w:sz="4"/>
              <w:right w:val="single" w:color="000000" w:sz="4"/>
            </w:tcBorders>
          </w:tcPr>
          <w:p>
            <w:pPr>
              <w:jc w:val="center"/>
            </w:pPr>
            <w:r>
              <w:rPr>
                <w:color w:val="000000"/>
                <w:sz w:val="21"/>
              </w:rPr>
              <w:t>3</w:t>
            </w:r>
          </w:p>
        </w:tc>
        <w:tc>
          <w:tcPr>
            <w:tcW w:type="dxa" w:w="1425"/>
            <w:tcBorders>
              <w:top w:val="none" w:color="000000" w:sz="4"/>
              <w:left w:val="none" w:color="000000" w:sz="4"/>
              <w:bottom w:val="single" w:color="000000" w:sz="4"/>
              <w:right w:val="single" w:color="000000" w:sz="4"/>
            </w:tcBorders>
          </w:tcPr>
          <w:p>
            <w:pPr>
              <w:jc w:val="center"/>
            </w:pPr>
            <w:r>
              <w:rPr>
                <w:color w:val="000000"/>
                <w:sz w:val="21"/>
              </w:rPr>
              <w:t>中专及以上</w:t>
            </w:r>
          </w:p>
        </w:tc>
        <w:tc>
          <w:tcPr>
            <w:tcW w:type="dxa" w:w="1980"/>
            <w:tcBorders>
              <w:top w:val="none" w:color="000000" w:sz="4"/>
              <w:left w:val="none" w:color="000000" w:sz="4"/>
              <w:bottom w:val="single" w:color="000000" w:sz="4"/>
              <w:right w:val="single" w:color="000000" w:sz="4"/>
            </w:tcBorders>
          </w:tcPr>
          <w:p>
            <w:pPr>
              <w:jc w:val="center"/>
            </w:pPr>
            <w:r>
              <w:rPr>
                <w:color w:val="000000"/>
                <w:sz w:val="21"/>
              </w:rPr>
              <w:t>不限</w:t>
            </w:r>
          </w:p>
        </w:tc>
        <w:tc>
          <w:tcPr>
            <w:tcW w:type="dxa" w:w="855"/>
            <w:tcBorders>
              <w:top w:val="none" w:color="000000" w:sz="4"/>
              <w:left w:val="none" w:color="000000" w:sz="4"/>
              <w:bottom w:val="single" w:color="000000" w:sz="4"/>
              <w:right w:val="double" w:color="000000" w:sz="8"/>
            </w:tcBorders>
          </w:tcPr>
          <w:p>
            <w:pPr>
              <w:jc w:val="center"/>
            </w:pPr>
          </w:p>
        </w:tc>
      </w:tr>
      <w:tr>
        <w:tc>
          <w:tcPr>
            <w:tcW w:type="dxa" w:w="510"/>
            <w:vMerge w:val="restart"/>
            <w:tcBorders>
              <w:top w:val="none" w:color="000000" w:sz="4"/>
              <w:left w:val="double" w:color="000000" w:sz="8"/>
              <w:bottom w:val="single" w:color="000000" w:sz="4"/>
              <w:right w:val="single" w:color="000000" w:sz="4"/>
            </w:tcBorders>
          </w:tcPr>
          <w:p>
            <w:pPr>
              <w:jc w:val="center"/>
            </w:pPr>
            <w:r>
              <w:rPr>
                <w:color w:val="000000"/>
                <w:sz w:val="21"/>
              </w:rPr>
              <w:t>7</w:t>
            </w:r>
          </w:p>
        </w:tc>
        <w:tc>
          <w:tcPr>
            <w:tcW w:type="dxa" w:w="1140"/>
            <w:tcBorders>
              <w:top w:val="none" w:color="000000" w:sz="4"/>
              <w:left w:val="none" w:color="000000" w:sz="4"/>
              <w:bottom w:val="single" w:color="000000" w:sz="4"/>
              <w:right w:val="single" w:color="000000" w:sz="4"/>
            </w:tcBorders>
          </w:tcPr>
          <w:p>
            <w:pPr>
              <w:jc w:val="center"/>
            </w:pPr>
            <w:r>
              <w:rPr>
                <w:color w:val="000000"/>
                <w:sz w:val="21"/>
              </w:rPr>
              <w:t>收费（组长）</w:t>
            </w:r>
          </w:p>
        </w:tc>
        <w:tc>
          <w:tcPr>
            <w:tcW w:type="dxa" w:w="855"/>
            <w:tcBorders>
              <w:top w:val="none" w:color="000000" w:sz="4"/>
              <w:left w:val="none" w:color="000000" w:sz="4"/>
              <w:bottom w:val="single" w:color="000000" w:sz="4"/>
              <w:right w:val="single" w:color="000000" w:sz="4"/>
            </w:tcBorders>
          </w:tcPr>
          <w:p>
            <w:pPr>
              <w:jc w:val="center"/>
            </w:pPr>
            <w:r>
              <w:rPr>
                <w:color w:val="000000"/>
                <w:sz w:val="21"/>
              </w:rPr>
              <w:t>1</w:t>
            </w:r>
          </w:p>
        </w:tc>
        <w:tc>
          <w:tcPr>
            <w:tcW w:type="dxa" w:w="1425"/>
            <w:tcBorders>
              <w:top w:val="none" w:color="000000" w:sz="4"/>
              <w:left w:val="none" w:color="000000" w:sz="4"/>
              <w:bottom w:val="single" w:color="000000" w:sz="4"/>
              <w:right w:val="single" w:color="000000" w:sz="4"/>
            </w:tcBorders>
          </w:tcPr>
          <w:p>
            <w:pPr>
              <w:jc w:val="center"/>
            </w:pPr>
            <w:r>
              <w:rPr>
                <w:color w:val="000000"/>
                <w:sz w:val="21"/>
              </w:rPr>
              <w:t>大专及以上</w:t>
            </w:r>
          </w:p>
        </w:tc>
        <w:tc>
          <w:tcPr>
            <w:tcW w:type="dxa" w:w="1980"/>
            <w:tcBorders>
              <w:top w:val="none" w:color="000000" w:sz="4"/>
              <w:left w:val="none" w:color="000000" w:sz="4"/>
              <w:bottom w:val="single" w:color="000000" w:sz="4"/>
              <w:right w:val="single" w:color="000000" w:sz="4"/>
            </w:tcBorders>
          </w:tcPr>
          <w:p>
            <w:pPr>
              <w:jc w:val="center"/>
            </w:pPr>
            <w:r>
              <w:rPr>
                <w:color w:val="000000"/>
                <w:sz w:val="21"/>
              </w:rPr>
              <w:t>具有财务专业或医院工作经验优先</w:t>
            </w:r>
          </w:p>
        </w:tc>
        <w:tc>
          <w:tcPr>
            <w:tcW w:type="dxa" w:w="855"/>
            <w:tcBorders>
              <w:top w:val="none" w:color="000000" w:sz="4"/>
              <w:left w:val="none" w:color="000000" w:sz="4"/>
              <w:bottom w:val="single" w:color="000000" w:sz="4"/>
              <w:right w:val="double" w:color="000000" w:sz="8"/>
            </w:tcBorders>
          </w:tcPr>
          <w:p>
            <w:pPr>
              <w:jc w:val="center"/>
            </w:pPr>
          </w:p>
        </w:tc>
      </w:tr>
      <w:tr>
        <w:tc>
          <w:tcPr>
            <w:tcW w:type="dxa" w:w="510"/>
            <w:vMerge/>
            <w:tcBorders>
              <w:top w:val="none" w:color="000000" w:sz="4"/>
              <w:left w:val="double" w:color="000000" w:sz="8"/>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Pr>
          <w:p>
            <w:pPr>
              <w:jc w:val="center"/>
            </w:pPr>
            <w:r>
              <w:rPr>
                <w:color w:val="000000"/>
                <w:sz w:val="21"/>
              </w:rPr>
              <w:t>收费</w:t>
            </w:r>
          </w:p>
        </w:tc>
        <w:tc>
          <w:tcPr>
            <w:tcW w:type="dxa" w:w="855"/>
            <w:tcBorders>
              <w:top w:val="none" w:color="000000" w:sz="4"/>
              <w:left w:val="none" w:color="000000" w:sz="4"/>
              <w:bottom w:val="single" w:color="000000" w:sz="4"/>
              <w:right w:val="single" w:color="000000" w:sz="4"/>
            </w:tcBorders>
          </w:tcPr>
          <w:p>
            <w:pPr>
              <w:jc w:val="center"/>
            </w:pPr>
            <w:r>
              <w:rPr>
                <w:color w:val="000000"/>
                <w:sz w:val="21"/>
              </w:rPr>
              <w:t>7</w:t>
            </w:r>
          </w:p>
        </w:tc>
        <w:tc>
          <w:tcPr>
            <w:tcW w:type="dxa" w:w="1425"/>
            <w:tcBorders>
              <w:top w:val="none" w:color="000000" w:sz="4"/>
              <w:left w:val="none" w:color="000000" w:sz="4"/>
              <w:bottom w:val="single" w:color="000000" w:sz="4"/>
              <w:right w:val="single" w:color="000000" w:sz="4"/>
            </w:tcBorders>
          </w:tcPr>
          <w:p>
            <w:pPr>
              <w:jc w:val="center"/>
            </w:pPr>
            <w:r>
              <w:rPr>
                <w:color w:val="000000"/>
                <w:sz w:val="21"/>
              </w:rPr>
              <w:t>中专及以上</w:t>
            </w:r>
          </w:p>
        </w:tc>
        <w:tc>
          <w:tcPr>
            <w:tcW w:type="dxa" w:w="1980"/>
            <w:tcBorders>
              <w:top w:val="none" w:color="000000" w:sz="4"/>
              <w:left w:val="none" w:color="000000" w:sz="4"/>
              <w:bottom w:val="single" w:color="000000" w:sz="4"/>
              <w:right w:val="single" w:color="000000" w:sz="4"/>
            </w:tcBorders>
          </w:tcPr>
          <w:p>
            <w:pPr>
              <w:jc w:val="center"/>
            </w:pPr>
            <w:r>
              <w:rPr>
                <w:color w:val="000000"/>
                <w:sz w:val="21"/>
              </w:rPr>
              <w:t>具有财务专业或医院工作经验优先</w:t>
            </w:r>
          </w:p>
        </w:tc>
        <w:tc>
          <w:tcPr>
            <w:tcW w:type="dxa" w:w="855"/>
            <w:tcBorders>
              <w:top w:val="none" w:color="000000" w:sz="4"/>
              <w:left w:val="none" w:color="000000" w:sz="4"/>
              <w:bottom w:val="single" w:color="000000" w:sz="4"/>
              <w:right w:val="double" w:color="000000" w:sz="8"/>
            </w:tcBorders>
          </w:tcPr>
          <w:p>
            <w:pPr>
              <w:jc w:val="center"/>
            </w:pPr>
          </w:p>
        </w:tc>
      </w:tr>
      <w:tr>
        <w:tc>
          <w:tcPr>
            <w:tcW w:type="dxa" w:w="510"/>
            <w:tcBorders>
              <w:top w:val="none" w:color="000000" w:sz="4"/>
              <w:left w:val="double" w:color="000000" w:sz="8"/>
              <w:bottom w:val="single" w:color="000000" w:sz="4"/>
              <w:right w:val="single" w:color="000000" w:sz="4"/>
            </w:tcBorders>
          </w:tcPr>
          <w:p>
            <w:pPr>
              <w:jc w:val="center"/>
            </w:pPr>
            <w:r>
              <w:rPr>
                <w:color w:val="000000"/>
                <w:sz w:val="21"/>
              </w:rPr>
              <w:t>8</w:t>
            </w:r>
          </w:p>
        </w:tc>
        <w:tc>
          <w:tcPr>
            <w:tcW w:type="dxa" w:w="1140"/>
            <w:tcBorders>
              <w:top w:val="none" w:color="000000" w:sz="4"/>
              <w:left w:val="none" w:color="000000" w:sz="4"/>
              <w:bottom w:val="single" w:color="000000" w:sz="4"/>
              <w:right w:val="single" w:color="000000" w:sz="4"/>
            </w:tcBorders>
          </w:tcPr>
          <w:p>
            <w:pPr>
              <w:jc w:val="center"/>
            </w:pPr>
            <w:r>
              <w:rPr>
                <w:color w:val="000000"/>
                <w:sz w:val="21"/>
              </w:rPr>
              <w:t>司机</w:t>
            </w:r>
          </w:p>
        </w:tc>
        <w:tc>
          <w:tcPr>
            <w:tcW w:type="dxa" w:w="855"/>
            <w:tcBorders>
              <w:top w:val="none" w:color="000000" w:sz="4"/>
              <w:left w:val="none" w:color="000000" w:sz="4"/>
              <w:bottom w:val="single" w:color="000000" w:sz="4"/>
              <w:right w:val="single" w:color="000000" w:sz="4"/>
            </w:tcBorders>
          </w:tcPr>
          <w:p>
            <w:pPr>
              <w:jc w:val="center"/>
            </w:pPr>
            <w:r>
              <w:rPr>
                <w:color w:val="000000"/>
                <w:sz w:val="21"/>
              </w:rPr>
              <w:t>5</w:t>
            </w:r>
          </w:p>
        </w:tc>
        <w:tc>
          <w:tcPr>
            <w:tcW w:type="dxa" w:w="1425"/>
            <w:tcBorders>
              <w:top w:val="none" w:color="000000" w:sz="4"/>
              <w:left w:val="none" w:color="000000" w:sz="4"/>
              <w:bottom w:val="single" w:color="000000" w:sz="4"/>
              <w:right w:val="single" w:color="000000" w:sz="4"/>
            </w:tcBorders>
          </w:tcPr>
          <w:p>
            <w:pPr>
              <w:jc w:val="center"/>
            </w:pPr>
            <w:r>
              <w:rPr>
                <w:color w:val="000000"/>
                <w:sz w:val="21"/>
              </w:rPr>
              <w:t>初中以上</w:t>
            </w:r>
          </w:p>
        </w:tc>
        <w:tc>
          <w:tcPr>
            <w:tcW w:type="dxa" w:w="1980"/>
            <w:tcBorders>
              <w:top w:val="none" w:color="000000" w:sz="4"/>
              <w:left w:val="none" w:color="000000" w:sz="4"/>
              <w:bottom w:val="single" w:color="000000" w:sz="4"/>
              <w:right w:val="single" w:color="000000" w:sz="4"/>
            </w:tcBorders>
          </w:tcPr>
          <w:p>
            <w:pPr>
              <w:jc w:val="center"/>
            </w:pPr>
            <w:r>
              <w:rPr>
                <w:color w:val="000000"/>
                <w:sz w:val="21"/>
              </w:rPr>
              <w:t>取得A类驾照证</w:t>
            </w:r>
          </w:p>
        </w:tc>
        <w:tc>
          <w:tcPr>
            <w:tcW w:type="dxa" w:w="855"/>
            <w:tcBorders>
              <w:top w:val="none" w:color="000000" w:sz="4"/>
              <w:left w:val="none" w:color="000000" w:sz="4"/>
              <w:bottom w:val="single" w:color="000000" w:sz="4"/>
              <w:right w:val="double" w:color="000000" w:sz="8"/>
            </w:tcBorders>
          </w:tcPr>
          <w:p>
            <w:pPr>
              <w:jc w:val="center"/>
            </w:pPr>
          </w:p>
        </w:tc>
      </w:tr>
      <w:tr>
        <w:tc>
          <w:tcPr>
            <w:tcW w:type="dxa" w:w="510"/>
            <w:vMerge w:val="restart"/>
            <w:tcBorders>
              <w:top w:val="none" w:color="000000" w:sz="4"/>
              <w:left w:val="double" w:color="000000" w:sz="8"/>
              <w:bottom w:val="single" w:color="000000" w:sz="4"/>
              <w:right w:val="single" w:color="000000" w:sz="4"/>
            </w:tcBorders>
          </w:tcPr>
          <w:p>
            <w:pPr>
              <w:jc w:val="center"/>
            </w:pPr>
            <w:r>
              <w:rPr>
                <w:color w:val="000000"/>
                <w:sz w:val="21"/>
              </w:rPr>
              <w:t>9</w:t>
            </w:r>
          </w:p>
        </w:tc>
        <w:tc>
          <w:tcPr>
            <w:tcW w:type="dxa" w:w="1140"/>
            <w:tcBorders>
              <w:top w:val="none" w:color="000000" w:sz="4"/>
              <w:left w:val="none" w:color="000000" w:sz="4"/>
              <w:bottom w:val="single" w:color="000000" w:sz="4"/>
              <w:right w:val="single" w:color="000000" w:sz="4"/>
            </w:tcBorders>
          </w:tcPr>
          <w:p>
            <w:pPr>
              <w:jc w:val="center"/>
            </w:pPr>
            <w:r>
              <w:rPr>
                <w:color w:val="000000"/>
                <w:sz w:val="21"/>
              </w:rPr>
              <w:t>技士或见习技师</w:t>
            </w:r>
          </w:p>
        </w:tc>
        <w:tc>
          <w:tcPr>
            <w:tcW w:type="dxa" w:w="855"/>
            <w:tcBorders>
              <w:top w:val="none" w:color="000000" w:sz="4"/>
              <w:left w:val="none" w:color="000000" w:sz="4"/>
              <w:bottom w:val="single" w:color="000000" w:sz="4"/>
              <w:right w:val="single" w:color="000000" w:sz="4"/>
            </w:tcBorders>
          </w:tcPr>
          <w:p>
            <w:pPr>
              <w:jc w:val="center"/>
            </w:pPr>
            <w:r>
              <w:rPr>
                <w:color w:val="000000"/>
                <w:sz w:val="21"/>
              </w:rPr>
              <w:t>3</w:t>
            </w:r>
          </w:p>
        </w:tc>
        <w:tc>
          <w:tcPr>
            <w:tcW w:type="dxa" w:w="1425"/>
            <w:tcBorders>
              <w:top w:val="none" w:color="000000" w:sz="4"/>
              <w:left w:val="none" w:color="000000" w:sz="4"/>
              <w:bottom w:val="single" w:color="000000" w:sz="4"/>
              <w:right w:val="single" w:color="000000" w:sz="4"/>
            </w:tcBorders>
          </w:tcPr>
          <w:p>
            <w:pPr>
              <w:jc w:val="center"/>
            </w:pPr>
            <w:r>
              <w:rPr>
                <w:color w:val="000000"/>
                <w:sz w:val="21"/>
              </w:rPr>
              <w:t>大专及以上</w:t>
            </w:r>
          </w:p>
        </w:tc>
        <w:tc>
          <w:tcPr>
            <w:tcW w:type="dxa" w:w="1980"/>
            <w:tcBorders>
              <w:top w:val="none" w:color="000000" w:sz="4"/>
              <w:left w:val="none" w:color="000000" w:sz="4"/>
              <w:bottom w:val="single" w:color="000000" w:sz="4"/>
              <w:right w:val="single" w:color="000000" w:sz="4"/>
            </w:tcBorders>
          </w:tcPr>
          <w:p>
            <w:pPr>
              <w:jc w:val="center"/>
            </w:pPr>
            <w:r>
              <w:rPr>
                <w:color w:val="000000"/>
                <w:sz w:val="21"/>
              </w:rPr>
              <w:t>取得大专学历且有技士专业技术资格证或本科学历暂未取得资格证人员</w:t>
            </w:r>
          </w:p>
        </w:tc>
        <w:tc>
          <w:tcPr>
            <w:tcW w:type="dxa" w:w="855"/>
            <w:tcBorders>
              <w:top w:val="none" w:color="000000" w:sz="4"/>
              <w:left w:val="none" w:color="000000" w:sz="4"/>
              <w:bottom w:val="single" w:color="000000" w:sz="4"/>
              <w:right w:val="double" w:color="000000" w:sz="8"/>
            </w:tcBorders>
          </w:tcPr>
          <w:p>
            <w:pPr>
              <w:jc w:val="center"/>
            </w:pPr>
          </w:p>
        </w:tc>
      </w:tr>
      <w:tr>
        <w:tc>
          <w:tcPr>
            <w:tcW w:type="dxa" w:w="510"/>
            <w:vMerge/>
            <w:tcBorders>
              <w:top w:val="none" w:color="000000" w:sz="4"/>
              <w:left w:val="double" w:color="000000" w:sz="8"/>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Pr>
          <w:p>
            <w:pPr>
              <w:jc w:val="center"/>
            </w:pPr>
            <w:r>
              <w:rPr>
                <w:color w:val="000000"/>
                <w:sz w:val="21"/>
              </w:rPr>
              <w:t>见习技士</w:t>
            </w:r>
          </w:p>
        </w:tc>
        <w:tc>
          <w:tcPr>
            <w:tcW w:type="dxa" w:w="855"/>
            <w:tcBorders>
              <w:top w:val="none" w:color="000000" w:sz="4"/>
              <w:left w:val="none" w:color="000000" w:sz="4"/>
              <w:bottom w:val="single" w:color="000000" w:sz="4"/>
              <w:right w:val="single" w:color="000000" w:sz="4"/>
            </w:tcBorders>
          </w:tcPr>
          <w:p>
            <w:pPr>
              <w:jc w:val="center"/>
            </w:pPr>
            <w:r>
              <w:rPr>
                <w:color w:val="000000"/>
                <w:sz w:val="21"/>
              </w:rPr>
              <w:t>2</w:t>
            </w:r>
          </w:p>
        </w:tc>
        <w:tc>
          <w:tcPr>
            <w:tcW w:type="dxa" w:w="1425"/>
            <w:tcBorders>
              <w:top w:val="none" w:color="000000" w:sz="4"/>
              <w:left w:val="none" w:color="000000" w:sz="4"/>
              <w:bottom w:val="single" w:color="000000" w:sz="4"/>
              <w:right w:val="single" w:color="000000" w:sz="4"/>
            </w:tcBorders>
          </w:tcPr>
          <w:p>
            <w:pPr>
              <w:jc w:val="center"/>
            </w:pPr>
            <w:r>
              <w:rPr>
                <w:color w:val="000000"/>
                <w:sz w:val="21"/>
              </w:rPr>
              <w:t>大专学历</w:t>
            </w:r>
          </w:p>
        </w:tc>
        <w:tc>
          <w:tcPr>
            <w:tcW w:type="dxa" w:w="1980"/>
            <w:tcBorders>
              <w:top w:val="none" w:color="000000" w:sz="4"/>
              <w:left w:val="none" w:color="000000" w:sz="4"/>
              <w:bottom w:val="single" w:color="000000" w:sz="4"/>
              <w:right w:val="single" w:color="000000" w:sz="4"/>
            </w:tcBorders>
          </w:tcPr>
          <w:p>
            <w:pPr>
              <w:jc w:val="center"/>
            </w:pPr>
            <w:r>
              <w:rPr>
                <w:color w:val="000000"/>
                <w:sz w:val="21"/>
              </w:rPr>
              <w:t>大专学历暂未取得资格证人员</w:t>
            </w:r>
          </w:p>
        </w:tc>
        <w:tc>
          <w:tcPr>
            <w:tcW w:type="dxa" w:w="855"/>
            <w:tcBorders>
              <w:top w:val="none" w:color="000000" w:sz="4"/>
              <w:left w:val="none" w:color="000000" w:sz="4"/>
              <w:bottom w:val="single" w:color="000000" w:sz="4"/>
              <w:right w:val="double" w:color="000000" w:sz="8"/>
            </w:tcBorders>
          </w:tcPr>
          <w:p>
            <w:pPr>
              <w:jc w:val="center"/>
            </w:pPr>
          </w:p>
        </w:tc>
      </w:tr>
      <w:tr>
        <w:tc>
          <w:tcPr>
            <w:tcW w:type="dxa" w:w="510"/>
            <w:tcBorders>
              <w:top w:val="none" w:color="000000" w:sz="4"/>
              <w:left w:val="double" w:color="000000" w:sz="8"/>
              <w:bottom w:val="single" w:color="000000" w:sz="4"/>
              <w:right w:val="single" w:color="000000" w:sz="4"/>
            </w:tcBorders>
          </w:tcPr>
          <w:p>
            <w:pPr>
              <w:jc w:val="center"/>
            </w:pPr>
            <w:r>
              <w:rPr>
                <w:color w:val="000000"/>
                <w:sz w:val="21"/>
              </w:rPr>
              <w:t>10</w:t>
            </w:r>
          </w:p>
        </w:tc>
        <w:tc>
          <w:tcPr>
            <w:tcW w:type="dxa" w:w="1140"/>
            <w:tcBorders>
              <w:top w:val="none" w:color="000000" w:sz="4"/>
              <w:left w:val="none" w:color="000000" w:sz="4"/>
              <w:bottom w:val="single" w:color="000000" w:sz="4"/>
              <w:right w:val="single" w:color="000000" w:sz="4"/>
            </w:tcBorders>
          </w:tcPr>
          <w:p>
            <w:pPr>
              <w:jc w:val="center"/>
            </w:pPr>
            <w:r>
              <w:rPr>
                <w:color w:val="000000"/>
                <w:sz w:val="21"/>
              </w:rPr>
              <w:t>护士</w:t>
            </w:r>
          </w:p>
        </w:tc>
        <w:tc>
          <w:tcPr>
            <w:tcW w:type="dxa" w:w="855"/>
            <w:tcBorders>
              <w:top w:val="none" w:color="000000" w:sz="4"/>
              <w:left w:val="none" w:color="000000" w:sz="4"/>
              <w:bottom w:val="single" w:color="000000" w:sz="4"/>
              <w:right w:val="single" w:color="000000" w:sz="4"/>
            </w:tcBorders>
          </w:tcPr>
          <w:p>
            <w:pPr>
              <w:jc w:val="center"/>
            </w:pPr>
            <w:r>
              <w:rPr>
                <w:color w:val="000000"/>
                <w:sz w:val="21"/>
              </w:rPr>
              <w:t>8</w:t>
            </w:r>
          </w:p>
        </w:tc>
        <w:tc>
          <w:tcPr>
            <w:tcW w:type="dxa" w:w="1425"/>
            <w:tcBorders>
              <w:top w:val="none" w:color="000000" w:sz="4"/>
              <w:left w:val="none" w:color="000000" w:sz="4"/>
              <w:bottom w:val="single" w:color="000000" w:sz="4"/>
              <w:right w:val="single" w:color="000000" w:sz="4"/>
            </w:tcBorders>
          </w:tcPr>
          <w:p>
            <w:pPr>
              <w:jc w:val="center"/>
            </w:pPr>
            <w:r>
              <w:rPr>
                <w:color w:val="000000"/>
                <w:sz w:val="21"/>
              </w:rPr>
              <w:t>大专学历以上</w:t>
            </w:r>
          </w:p>
        </w:tc>
        <w:tc>
          <w:tcPr>
            <w:tcW w:type="dxa" w:w="1980"/>
            <w:tcBorders>
              <w:top w:val="none" w:color="000000" w:sz="4"/>
              <w:left w:val="none" w:color="000000" w:sz="4"/>
              <w:bottom w:val="single" w:color="000000" w:sz="4"/>
              <w:right w:val="single" w:color="000000" w:sz="4"/>
            </w:tcBorders>
          </w:tcPr>
          <w:p>
            <w:pPr>
              <w:jc w:val="center"/>
            </w:pPr>
            <w:r>
              <w:rPr>
                <w:color w:val="000000"/>
                <w:sz w:val="21"/>
              </w:rPr>
              <w:t>取得护士资格证</w:t>
            </w:r>
          </w:p>
        </w:tc>
        <w:tc>
          <w:tcPr>
            <w:tcW w:type="dxa" w:w="855"/>
            <w:tcBorders>
              <w:top w:val="none" w:color="000000" w:sz="4"/>
              <w:left w:val="none" w:color="000000" w:sz="4"/>
              <w:bottom w:val="single" w:color="000000" w:sz="4"/>
              <w:right w:val="double" w:color="000000" w:sz="8"/>
            </w:tcBorders>
          </w:tcPr>
          <w:p>
            <w:pPr>
              <w:jc w:val="center"/>
            </w:pPr>
          </w:p>
        </w:tc>
      </w:tr>
      <w:tr>
        <w:tc>
          <w:tcPr>
            <w:tcW w:type="dxa" w:w="510"/>
            <w:tcBorders>
              <w:top w:val="none" w:color="000000" w:sz="4"/>
              <w:left w:val="double" w:color="000000" w:sz="8"/>
              <w:bottom w:val="double" w:color="000000" w:sz="8"/>
              <w:right w:val="single" w:color="000000" w:sz="4"/>
            </w:tcBorders>
          </w:tcPr>
          <w:p>
            <w:pPr>
              <w:jc w:val="center"/>
            </w:pPr>
            <w:r>
              <w:rPr>
                <w:color w:val="000000"/>
                <w:sz w:val="21"/>
              </w:rPr>
              <w:t>11</w:t>
            </w:r>
          </w:p>
        </w:tc>
        <w:tc>
          <w:tcPr>
            <w:tcW w:type="dxa" w:w="1140"/>
            <w:tcBorders>
              <w:top w:val="none" w:color="000000" w:sz="4"/>
              <w:left w:val="none" w:color="000000" w:sz="4"/>
              <w:bottom w:val="double" w:color="000000" w:sz="8"/>
              <w:right w:val="single" w:color="000000" w:sz="4"/>
            </w:tcBorders>
          </w:tcPr>
          <w:p>
            <w:pPr>
              <w:jc w:val="center"/>
            </w:pPr>
            <w:r>
              <w:rPr>
                <w:color w:val="000000"/>
                <w:sz w:val="21"/>
              </w:rPr>
              <w:t>护工</w:t>
            </w:r>
          </w:p>
        </w:tc>
        <w:tc>
          <w:tcPr>
            <w:tcW w:type="dxa" w:w="855"/>
            <w:tcBorders>
              <w:top w:val="none" w:color="000000" w:sz="4"/>
              <w:left w:val="none" w:color="000000" w:sz="4"/>
              <w:bottom w:val="double" w:color="000000" w:sz="8"/>
              <w:right w:val="single" w:color="000000" w:sz="4"/>
            </w:tcBorders>
          </w:tcPr>
          <w:p>
            <w:pPr>
              <w:jc w:val="center"/>
            </w:pPr>
            <w:r>
              <w:rPr>
                <w:color w:val="000000"/>
                <w:sz w:val="21"/>
              </w:rPr>
              <w:t>3</w:t>
            </w:r>
          </w:p>
        </w:tc>
        <w:tc>
          <w:tcPr>
            <w:tcW w:type="dxa" w:w="1425"/>
            <w:tcBorders>
              <w:top w:val="none" w:color="000000" w:sz="4"/>
              <w:left w:val="none" w:color="000000" w:sz="4"/>
              <w:bottom w:val="double" w:color="000000" w:sz="8"/>
              <w:right w:val="single" w:color="000000" w:sz="4"/>
            </w:tcBorders>
          </w:tcPr>
          <w:p>
            <w:pPr>
              <w:jc w:val="center"/>
            </w:pPr>
            <w:r>
              <w:rPr>
                <w:color w:val="000000"/>
                <w:sz w:val="21"/>
              </w:rPr>
              <w:t>不限</w:t>
            </w:r>
          </w:p>
        </w:tc>
        <w:tc>
          <w:tcPr>
            <w:tcW w:type="dxa" w:w="1980"/>
            <w:tcBorders>
              <w:top w:val="none" w:color="000000" w:sz="4"/>
              <w:left w:val="none" w:color="000000" w:sz="4"/>
              <w:bottom w:val="double" w:color="000000" w:sz="8"/>
              <w:right w:val="single" w:color="000000" w:sz="4"/>
            </w:tcBorders>
          </w:tcPr>
          <w:p>
            <w:pPr>
              <w:jc w:val="center"/>
            </w:pPr>
            <w:r>
              <w:rPr>
                <w:color w:val="000000"/>
                <w:sz w:val="21"/>
              </w:rPr>
              <w:t>专业性强，沟通能力强，组织纪律性，能吃苦耐劳。年龄要求：45岁以下，身体健康（有健康证）的专业护工，男女不限。</w:t>
            </w:r>
          </w:p>
        </w:tc>
        <w:tc>
          <w:tcPr>
            <w:tcW w:type="dxa" w:w="855"/>
            <w:tcBorders>
              <w:top w:val="none" w:color="000000" w:sz="4"/>
              <w:left w:val="none" w:color="000000" w:sz="4"/>
              <w:bottom w:val="double" w:color="000000" w:sz="8"/>
              <w:right w:val="double" w:color="000000" w:sz="8"/>
            </w:tcBorders>
          </w:tcPr>
          <w:p>
            <w:pPr>
              <w:jc w:val="center"/>
            </w:pPr>
          </w:p>
        </w:tc>
      </w:tr>
    </w:tbl>
    <w:p>
      <w:r>
        <w:rPr>
          <w:sz w:val="24"/>
        </w:rPr>
        <w:t xml:space="preserve">   </w:t>
      </w:r>
      <w:r>
        <w:br/>
      </w:r>
      <w:r>
        <w:rPr>
          <w:sz w:val="24"/>
        </w:rPr>
        <w:t>注：以上岗位和岗位数为预估数量，甲方可根据医院发展、上级下达的任务指标和突发公共卫生应急需要对“人员配置要求”内容作适当增减调整，具体内容由双方协商确定。</w:t>
      </w:r>
      <w:r>
        <w:br/>
      </w:r>
      <w:r>
        <w:rPr>
          <w:sz w:val="24"/>
        </w:rPr>
        <w:t xml:space="preserve">  </w:t>
      </w:r>
      <w:r>
        <w:rPr>
          <w:sz w:val="24"/>
        </w:rPr>
        <w:t>31.工作时间:每人每周工作时间40小时。因工作需要可要求工作人员加班，工作人员须服从工作安排，若超出40小时/周的，甲方可以对工作人员进行补休。乙方的服务人员必须遵守甲方的各项规章制度。</w:t>
      </w:r>
      <w:r>
        <w:br/>
      </w:r>
      <w:r>
        <w:rPr>
          <w:sz w:val="24"/>
        </w:rPr>
        <w:t xml:space="preserve">  </w:t>
      </w:r>
      <w:r>
        <w:rPr>
          <w:sz w:val="24"/>
        </w:rPr>
        <w:t>32.乙方需设项目负责人1名，负责日常事务管理，协调处理与甲方之间的关系；设招聘专员1名，负责本项目的招聘工作。</w:t>
      </w:r>
      <w:r>
        <w:br/>
      </w:r>
      <w:r>
        <w:rPr>
          <w:sz w:val="24"/>
        </w:rPr>
        <w:t xml:space="preserve">  </w:t>
      </w:r>
      <w:r>
        <w:rPr>
          <w:sz w:val="24"/>
        </w:rPr>
        <w:t>33.根据派驻服务人员人数和服务项目配备专门的管理人员，每月不少于2次到甲方单位驻点负责派驻服务人员的日常事务，并协调处理派驻服务人员与甲方之间的关系，向甲方提供政策法规方面的咨询。</w:t>
      </w:r>
      <w:r>
        <w:br/>
      </w:r>
      <w:r>
        <w:rPr>
          <w:sz w:val="24"/>
        </w:rPr>
        <w:t xml:space="preserve">  </w:t>
      </w:r>
      <w:r>
        <w:rPr>
          <w:sz w:val="24"/>
        </w:rPr>
        <w:t>34.乙方管理人员应定期 (每半年1次) 与采购单位就被派驻服务人员的品德、技能 、考勤等方面的相关信息进行沟通交流并交换意见。及时调查掌握被派驻服务人员的异常反应， 对遇有特殊困难的被派驻服务人员给予必要的关怀，及时处理采购单位与被派驻服务人员之间的管理矛盾。</w:t>
      </w:r>
      <w:r>
        <w:br/>
      </w:r>
      <w:r>
        <w:rPr>
          <w:sz w:val="24"/>
        </w:rPr>
        <w:t xml:space="preserve">  </w:t>
      </w:r>
      <w:r>
        <w:rPr>
          <w:sz w:val="24"/>
        </w:rPr>
        <w:t>35.乙方承担服务项目需求所包含的具体实施工作及其他的配套服务，做好针对本项目的日常招聘和应急方案，常规岗位1个月以内招聘到岗，特殊、紧急岗位15日以内招聘到岗，如有人员离岗，需提前一个月向甲方报备。</w:t>
      </w:r>
      <w:r>
        <w:br/>
      </w:r>
      <w:r>
        <w:rPr>
          <w:sz w:val="24"/>
        </w:rPr>
        <w:t xml:space="preserve">  </w:t>
      </w:r>
      <w:r>
        <w:rPr>
          <w:sz w:val="24"/>
        </w:rPr>
        <w:t>36.为确保外包人员能胜任服务要求，拟派外包人员须经甲方审核确认后方能安排工作。未经甲方审核确认的人员，甲方不接受其工作安排，乙方与其签订劳动合同而承担的法律责任与甲方无关。</w:t>
      </w:r>
      <w:r>
        <w:br/>
      </w:r>
      <w:r>
        <w:rPr>
          <w:sz w:val="24"/>
        </w:rPr>
        <w:t xml:space="preserve">  </w:t>
      </w:r>
      <w:r>
        <w:rPr>
          <w:sz w:val="24"/>
        </w:rPr>
        <w:t>37.乙方不得随意更换服务人员，如派驻服务人员的休请假、撤换或辞退等，则必须征得甲方的同意，经试用符合要求方可更换。</w:t>
      </w:r>
      <w:r>
        <w:br/>
      </w:r>
      <w:r>
        <w:rPr>
          <w:sz w:val="24"/>
        </w:rPr>
        <w:t xml:space="preserve">  </w:t>
      </w:r>
      <w:r>
        <w:rPr>
          <w:sz w:val="24"/>
        </w:rPr>
        <w:t>38.乙方必须就甲方提供的全部内容和服务要求做出回应，提供切合该服务项目的整体解决方案，并在项目范围内完成指定的工作和负责解决全部的服务中遇到的问题。</w:t>
      </w:r>
      <w:r>
        <w:br/>
      </w:r>
      <w:r>
        <w:rPr>
          <w:sz w:val="24"/>
        </w:rPr>
        <w:t xml:space="preserve">  </w:t>
      </w:r>
      <w:r>
        <w:rPr>
          <w:sz w:val="24"/>
        </w:rPr>
        <w:t>39.其他涉及本项目的有关事项，在招标采购确定乙方后，按照双方合同约定执行；未尽事宜或遇客观情况变更，由甲方与乙方在合同期内以补充协议方式约定后执行。</w:t>
      </w:r>
      <w:r>
        <w:br/>
      </w:r>
      <w:r>
        <w:rPr>
          <w:sz w:val="24"/>
        </w:rPr>
        <w:t xml:space="preserve">  </w:t>
      </w:r>
      <w:r>
        <w:rPr>
          <w:sz w:val="24"/>
        </w:rPr>
        <w:t>40.甲方或政府相关部门因专项任务对技术岗位服务人员发放的任何专项津贴，应足额及时发放给服务人员，乙方不得截留、克扣、挪用或从中抽取任何服务管理费用，并接受甲方的监督。</w:t>
      </w:r>
      <w:r>
        <w:br/>
      </w:r>
      <w:r>
        <w:rPr>
          <w:sz w:val="24"/>
        </w:rPr>
        <w:t xml:space="preserve">  </w:t>
      </w:r>
      <w:r>
        <w:rPr>
          <w:sz w:val="24"/>
        </w:rPr>
        <w:t>41. 服务人员的待遇标准应符合《劳动法》、国家及地方相关劳动法律法规的规定，乙方应根据当地有关规定，缴交所派人员五险一金单位负担部分。若国家、省、市政府在缴交期间有新的政策规定，乙方须按新规定进行调整， 相关费用由乙方自行负责。</w:t>
      </w:r>
      <w:r>
        <w:br/>
      </w:r>
      <w:r>
        <w:rPr>
          <w:sz w:val="24"/>
        </w:rPr>
        <w:t xml:space="preserve">  </w:t>
      </w:r>
      <w:r>
        <w:rPr>
          <w:sz w:val="24"/>
        </w:rPr>
        <w:t>42.乙方选派的人员必须符合甲方对该岗位的要求并做好派驻服务人员的岗前培训工作，甲方有权提出更换不符合使用要求的派驻服务人员，乙方必须及时且无条件的为甲方更换合格的人员，相关费用由乙方自行负责。</w:t>
      </w:r>
      <w:r>
        <w:br/>
      </w:r>
      <w:r>
        <w:rPr>
          <w:sz w:val="24"/>
        </w:rPr>
        <w:t xml:space="preserve">  </w:t>
      </w:r>
      <w:r>
        <w:rPr>
          <w:sz w:val="24"/>
        </w:rPr>
        <w:t>43、对派驻服务人员的休请假、撤换或辞退等须经甲方同意方可执行。</w:t>
      </w:r>
    </w:p>
    <w:p>
      <w:r>
        <w:rPr/>
        <w:t xml:space="preserve"> </w:t>
      </w:r>
    </w:p>
    <w:p>
      <w:r>
        <w:rPr>
          <w:b/>
          <w:sz w:val="24"/>
        </w:rPr>
        <w:t>三、甲方乙方的权利和义务</w:t>
      </w:r>
      <w:r>
        <w:br/>
      </w:r>
      <w:r>
        <w:rPr>
          <w:sz w:val="24"/>
        </w:rPr>
        <w:t xml:space="preserve">    甲乙双方应执行各项相应的权利和义务。（具体内容按招标文件及投标响应填写）</w:t>
      </w:r>
    </w:p>
    <w:p>
      <w:r>
        <w:rPr/>
        <w:t xml:space="preserve"> </w:t>
      </w:r>
    </w:p>
    <w:p>
      <w:r>
        <w:rPr>
          <w:b/>
          <w:sz w:val="24"/>
        </w:rPr>
        <w:t>四、服务期（项目完成期限）</w:t>
      </w:r>
      <w:r>
        <w:br/>
      </w:r>
      <w:r>
        <w:rPr>
          <w:sz w:val="24"/>
        </w:rPr>
        <w:t xml:space="preserve">    服务合同期为24个月，具体委托服务期间自______年______月至______年______月止。服务合同总金额用完或服务期满后合同自动终止。</w:t>
      </w:r>
    </w:p>
    <w:p>
      <w:r>
        <w:rPr/>
        <w:t xml:space="preserve"> </w:t>
      </w:r>
    </w:p>
    <w:p>
      <w:r>
        <w:rPr>
          <w:b/>
          <w:sz w:val="24"/>
        </w:rPr>
        <w:t>五、付款方式</w:t>
      </w:r>
      <w:r>
        <w:br/>
      </w:r>
      <w:r>
        <w:rPr>
          <w:sz w:val="24"/>
        </w:rPr>
        <w:t xml:space="preserve"> 1、按月度结算。乙方于每月10日前将上月实际服务人数、月工资额、月结总额等相关验收资料报请甲方审核结算，经甲方核实无误后，采购人收到乙方提供已核实无误的等额发票后，甲方于每月的 20 日前将上月总费用汇到乙方的帐户。未经甲方同意，乙方不得随意扣减派驻人员的工资、奖金及其他福利。</w:t>
      </w:r>
      <w:r>
        <w:br/>
      </w:r>
      <w:r>
        <w:rPr>
          <w:sz w:val="24"/>
        </w:rPr>
        <w:t xml:space="preserve"> 2、甲方对乙方每半年进行一次考核，并根据考核情况对乙方进行扣罚(依据《中山市第二人民医院2024年-2025年辅助岗位购买服务项目考核表》进行服务考核) ，具体扣罚如下 (如每半年度最后一个月的服务费费用不足以扣罚的，将在后续服务费中扣除或由乙方缴纳剩余金额的罚款) ：</w:t>
      </w:r>
      <w:r>
        <w:br/>
      </w:r>
      <w:r>
        <w:rPr>
          <w:sz w:val="24"/>
        </w:rPr>
        <w:t xml:space="preserve">  1) 若服务考核低于90分的，采购人按该半年度服务款项的5%对乙方进行扣罚， 即每半年度最后一个月的服务费结算金额=该月服务费用-该半年度服务费用×5%； </w:t>
      </w:r>
      <w:r>
        <w:br/>
      </w:r>
      <w:r>
        <w:rPr>
          <w:sz w:val="24"/>
        </w:rPr>
        <w:t xml:space="preserve">  2)若服务考核低于80分的，甲方按该半年度服务款项的10%对乙方进行扣罚，即每半年度最后一个月的服务费结算金额=该月服务费用-该半年度服务费用×10% 。</w:t>
      </w:r>
      <w:r>
        <w:br/>
      </w:r>
      <w:r>
        <w:rPr>
          <w:sz w:val="24"/>
        </w:rPr>
        <w:t xml:space="preserve"> 3、乙方须提供结算服务费用相应金额的发票给甲方，甲方将按医院有关财务规定办理支付手续。</w:t>
      </w:r>
    </w:p>
    <w:p>
      <w:r>
        <w:rPr/>
        <w:t xml:space="preserve"> </w:t>
      </w:r>
    </w:p>
    <w:p>
      <w:r>
        <w:rPr>
          <w:b/>
          <w:sz w:val="24"/>
        </w:rPr>
        <w:t>六、知识产权归属</w:t>
      </w:r>
      <w:r>
        <w:br/>
      </w:r>
      <w:r>
        <w:rPr>
          <w:sz w:val="24"/>
        </w:rPr>
        <w:t xml:space="preserve">    无</w:t>
      </w:r>
    </w:p>
    <w:p>
      <w:r>
        <w:rPr/>
        <w:t xml:space="preserve"> </w:t>
      </w:r>
    </w:p>
    <w:p>
      <w:r>
        <w:rPr>
          <w:b/>
          <w:sz w:val="24"/>
        </w:rPr>
        <w:t>七、保密</w:t>
      </w:r>
      <w:r>
        <w:br/>
      </w:r>
      <w:r>
        <w:rPr>
          <w:sz w:val="24"/>
        </w:rPr>
        <w:t xml:space="preserve">   乙方须对医院内部情况以及病人资料进行保密。</w:t>
      </w:r>
    </w:p>
    <w:p>
      <w:r>
        <w:rPr/>
        <w:t xml:space="preserve"> </w:t>
      </w:r>
    </w:p>
    <w:p>
      <w:r>
        <w:rPr>
          <w:b/>
          <w:sz w:val="24"/>
        </w:rPr>
        <w:t xml:space="preserve">八、验收 </w:t>
      </w:r>
      <w:r>
        <w:br/>
      </w:r>
      <w:r>
        <w:rPr>
          <w:sz w:val="24"/>
        </w:rPr>
        <w:t xml:space="preserve">    乙方应按服务要求按时保质保量地完成服务工作，本项目按招标文件用户需求书中的条款要求及“中山市第二人民医院2024年-2025年辅助岗位购买服务项目考核表”条款进行验收。</w:t>
      </w:r>
    </w:p>
    <w:p>
      <w:r>
        <w:rPr/>
        <w:t xml:space="preserve"> </w:t>
      </w:r>
    </w:p>
    <w:p>
      <w:r>
        <w:rPr>
          <w:b/>
          <w:sz w:val="24"/>
        </w:rPr>
        <w:t>九、违约责任与赔偿损失</w:t>
      </w:r>
      <w:r>
        <w:br/>
      </w:r>
      <w:r>
        <w:rPr>
          <w:sz w:val="24"/>
        </w:rPr>
        <w:t xml:space="preserve">  1.乙方提供的服务不符合本合同规定的，甲方有权拒收，并且乙方须向甲方支付本合同总价5%的违约金。</w:t>
      </w:r>
      <w:r>
        <w:br/>
      </w:r>
      <w:r>
        <w:rPr>
          <w:sz w:val="24"/>
        </w:rPr>
        <w:t xml:space="preserve">  2.乙方未能按本合同规定的交货时间提供服务，从逾期之日起每日按本合同总价3‰的数额向甲方支付违约金；逾期半个月以上的，甲方有权终止合同，由此造成的甲方经济损失由乙方承担。</w:t>
      </w:r>
      <w:r>
        <w:br/>
      </w:r>
      <w:r>
        <w:rPr>
          <w:sz w:val="24"/>
        </w:rPr>
        <w:t xml:space="preserve">  3.甲方无正当理由拒收接受服务，到期拒付服务款项的，甲方向乙方偿付本合同总的5%的违约金。甲方人逾期付款，则每日按本合同总价的3‰向乙方偿付违约金。</w:t>
      </w:r>
      <w:r>
        <w:br/>
      </w:r>
      <w:r>
        <w:rPr>
          <w:sz w:val="24"/>
        </w:rPr>
        <w:t xml:space="preserve">  4.对于因甲方原因导致变更、中止或者终止政府采购合同的，甲方应当依照以下合同约定对供应商受到的损失予以赔偿或者补偿：          。</w:t>
      </w:r>
      <w:r>
        <w:br/>
      </w:r>
      <w:r>
        <w:rPr>
          <w:sz w:val="24"/>
        </w:rPr>
        <w:t xml:space="preserve">  5.其它违约责任按《中华人民共和国民法典(合同编)》处理。</w:t>
      </w:r>
    </w:p>
    <w:p>
      <w:r>
        <w:rPr/>
        <w:t xml:space="preserve"> </w:t>
      </w:r>
    </w:p>
    <w:p>
      <w:r>
        <w:rPr>
          <w:b/>
          <w:sz w:val="24"/>
        </w:rPr>
        <w:t>十、争端的解决</w:t>
      </w:r>
      <w:r>
        <w:br/>
      </w:r>
      <w:r>
        <w:rPr>
          <w:sz w:val="24"/>
        </w:rPr>
        <w:t xml:space="preserve">   未尽事宜以及因项目合同引起的或与项目有关的任何纠纷，由双方友好协商解决。协商不能解决的，双方同意提交广州仲裁委员会中山分会，依照该委员会仲裁规则进行仲裁。仲裁裁决是终局的，对双方均具有约束力。</w:t>
      </w:r>
    </w:p>
    <w:p>
      <w:r>
        <w:rPr/>
        <w:t xml:space="preserve"> </w:t>
      </w:r>
    </w:p>
    <w:p>
      <w:r>
        <w:rPr>
          <w:b/>
          <w:sz w:val="24"/>
        </w:rPr>
        <w:t>十一、不可抗力</w:t>
      </w:r>
      <w:r>
        <w:br/>
      </w:r>
      <w:r>
        <w:rPr>
          <w:sz w:val="24"/>
        </w:rPr>
        <w:t xml:space="preserve">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r>
        <w:rPr/>
        <w:t xml:space="preserve"> </w:t>
      </w:r>
    </w:p>
    <w:p>
      <w:r>
        <w:rPr>
          <w:b/>
          <w:sz w:val="24"/>
        </w:rPr>
        <w:t>十二、税费</w:t>
      </w:r>
      <w:r>
        <w:br/>
      </w:r>
      <w:r>
        <w:rPr>
          <w:sz w:val="24"/>
        </w:rPr>
        <w:t xml:space="preserve">   在中国境内、外发生的与本合同执行有关的一切税费均由乙方负担。</w:t>
      </w:r>
    </w:p>
    <w:p>
      <w:r>
        <w:rPr/>
        <w:t xml:space="preserve"> </w:t>
      </w:r>
    </w:p>
    <w:p>
      <w:r>
        <w:rPr>
          <w:b/>
          <w:sz w:val="24"/>
        </w:rPr>
        <w:t>十三、其它</w:t>
      </w:r>
      <w:r>
        <w:br/>
      </w:r>
      <w:r>
        <w:rPr>
          <w:sz w:val="24"/>
        </w:rPr>
        <w:t xml:space="preserve">  1.本合同所有附件、磋商文件、报价文件、成交通知书均为合同的有效组成部分，与本合同具有同等法律效力。</w:t>
      </w:r>
      <w:r>
        <w:br/>
      </w:r>
      <w:r>
        <w:rPr>
          <w:sz w:val="24"/>
        </w:rPr>
        <w:t xml:space="preserve">  2.在执行本合同的过程中，所有经双方签署确认的文件（包括会议纪要、补充协议、往来信函）即成为本合同的有效组成部分。</w:t>
      </w:r>
      <w:r>
        <w:br/>
      </w:r>
      <w:r>
        <w:rPr>
          <w:sz w:val="24"/>
        </w:rPr>
        <w:t xml:space="preserve">  3.如一方地址、电话、传真号码有变更，应在变更当日内书面通知对方，否则，应承担相应责任。</w:t>
      </w:r>
      <w:r>
        <w:br/>
      </w:r>
      <w:r>
        <w:rPr>
          <w:sz w:val="24"/>
        </w:rPr>
        <w:t xml:space="preserve">  4.除甲方事先书面同意外，乙方不得部分或全部转让其应履行的合同项下的义务。</w:t>
      </w:r>
    </w:p>
    <w:p>
      <w:r>
        <w:rPr/>
        <w:t xml:space="preserve"> </w:t>
      </w:r>
    </w:p>
    <w:p>
      <w:r>
        <w:rPr>
          <w:b/>
          <w:sz w:val="24"/>
        </w:rPr>
        <w:t>十四、合同生效</w:t>
      </w:r>
      <w:r>
        <w:br/>
      </w:r>
      <w:r>
        <w:rPr>
          <w:sz w:val="24"/>
        </w:rPr>
        <w:t xml:space="preserve">  1.本合同在甲乙双方法人代表或其授权代表签字盖章后生效。</w:t>
      </w:r>
      <w:r>
        <w:br/>
      </w:r>
      <w:r>
        <w:rPr>
          <w:sz w:val="24"/>
        </w:rPr>
        <w:t xml:space="preserve">  2.本合同一式</w:t>
      </w:r>
      <w:r>
        <w:rPr>
          <w:sz w:val="24"/>
          <w:u w:val="single"/>
        </w:rPr>
        <w:t xml:space="preserve"> </w:t>
      </w:r>
      <w:r>
        <w:rPr>
          <w:sz w:val="24"/>
        </w:rPr>
        <w:t>份，甲乙双方各执</w:t>
      </w:r>
      <w:r>
        <w:rPr>
          <w:sz w:val="24"/>
          <w:u w:val="single"/>
        </w:rPr>
        <w:t xml:space="preserve"> </w:t>
      </w:r>
      <w:r>
        <w:rPr>
          <w:sz w:val="24"/>
        </w:rPr>
        <w:t>份，采购代理机构一份。</w:t>
      </w:r>
      <w:r>
        <w:br/>
      </w:r>
      <w:r>
        <w:rPr>
          <w:sz w:val="24"/>
        </w:rPr>
        <w:t xml:space="preserve">  3.本合同合计</w:t>
      </w:r>
      <w:r>
        <w:rPr>
          <w:sz w:val="24"/>
          <w:u w:val="single"/>
        </w:rPr>
        <w:t xml:space="preserve"> </w:t>
      </w:r>
      <w:r>
        <w:rPr>
          <w:sz w:val="24"/>
        </w:rPr>
        <w:t>页A4纸张，缺页之合同为无效合同。</w:t>
      </w:r>
      <w:r>
        <w:br/>
      </w:r>
      <w:r>
        <w:rPr>
          <w:sz w:val="24"/>
        </w:rPr>
        <w:t xml:space="preserve">  4.本合同未尽事宜，双方另行协商并签署补充协议，作为本合同的附件，具有同等法律效力。</w:t>
      </w:r>
      <w:r>
        <w:br/>
      </w:r>
      <w:r>
        <w:rPr>
          <w:sz w:val="24"/>
        </w:rPr>
        <w:t>（以下无正文）</w:t>
      </w:r>
    </w:p>
    <w:p>
      <w:pPr>
        <w:jc w:val="both"/>
      </w:pPr>
      <w:r>
        <w:rPr>
          <w:color w:val="222222"/>
          <w:sz w:val="24"/>
        </w:rPr>
        <w:t xml:space="preserve"> </w:t>
      </w:r>
    </w:p>
    <w:p>
      <w:pPr>
        <w:jc w:val="both"/>
      </w:pPr>
      <w:r>
        <w:rPr>
          <w:b/>
          <w:sz w:val="24"/>
        </w:rPr>
        <w:t>甲方（盖章）：</w:t>
      </w:r>
      <w:r>
        <w:rPr>
          <w:b/>
          <w:sz w:val="24"/>
        </w:rPr>
        <w:t xml:space="preserve"> </w:t>
      </w:r>
      <w:r>
        <w:rPr>
          <w:b/>
          <w:sz w:val="24"/>
        </w:rPr>
        <w:t xml:space="preserve"> </w:t>
      </w:r>
      <w:r>
        <w:rPr>
          <w:b/>
          <w:sz w:val="24"/>
        </w:rPr>
        <w:t xml:space="preserve"> </w:t>
      </w:r>
      <w:r>
        <w:rPr>
          <w:b/>
          <w:sz w:val="24"/>
        </w:rPr>
        <w:t xml:space="preserve"> </w:t>
      </w:r>
      <w:r>
        <w:rPr>
          <w:b/>
          <w:sz w:val="24"/>
        </w:rPr>
        <w:t xml:space="preserve"> </w:t>
      </w:r>
      <w:r>
        <w:rPr>
          <w:b/>
          <w:sz w:val="24"/>
        </w:rPr>
        <w:t xml:space="preserve"> </w:t>
      </w:r>
      <w:r>
        <w:rPr>
          <w:b/>
          <w:sz w:val="24"/>
        </w:rPr>
        <w:t xml:space="preserve"> </w:t>
      </w:r>
      <w:r>
        <w:rPr>
          <w:b/>
          <w:sz w:val="24"/>
        </w:rPr>
        <w:t xml:space="preserve"> </w:t>
      </w:r>
      <w:r>
        <w:rPr>
          <w:b/>
          <w:sz w:val="24"/>
        </w:rPr>
        <w:t xml:space="preserve"> </w:t>
      </w:r>
      <w:r>
        <w:rPr>
          <w:b/>
          <w:sz w:val="24"/>
        </w:rPr>
        <w:t xml:space="preserve"> </w:t>
      </w:r>
      <w:r>
        <w:rPr>
          <w:b/>
          <w:sz w:val="24"/>
        </w:rPr>
        <w:t xml:space="preserve"> </w:t>
      </w:r>
      <w:r>
        <w:rPr>
          <w:b/>
          <w:sz w:val="24"/>
        </w:rPr>
        <w:t xml:space="preserve"> </w:t>
      </w:r>
      <w:r>
        <w:rPr>
          <w:b/>
          <w:sz w:val="24"/>
        </w:rPr>
        <w:t xml:space="preserve"> </w:t>
      </w:r>
      <w:r>
        <w:rPr>
          <w:b/>
          <w:sz w:val="24"/>
        </w:rPr>
        <w:t xml:space="preserve"> </w:t>
      </w:r>
      <w:r>
        <w:rPr>
          <w:b/>
          <w:sz w:val="24"/>
        </w:rPr>
        <w:t xml:space="preserve"> </w:t>
      </w:r>
      <w:r>
        <w:rPr>
          <w:b/>
          <w:sz w:val="24"/>
        </w:rPr>
        <w:t xml:space="preserve">       乙方（盖章）：</w:t>
      </w:r>
    </w:p>
    <w:p>
      <w:pPr>
        <w:jc w:val="both"/>
      </w:pPr>
      <w:r>
        <w:rPr>
          <w:b/>
          <w:sz w:val="24"/>
        </w:rPr>
        <w:t>代表：</w:t>
      </w:r>
      <w:r>
        <w:rPr>
          <w:b/>
          <w:sz w:val="24"/>
        </w:rPr>
        <w:t xml:space="preserve"> </w:t>
      </w:r>
      <w:r>
        <w:rPr>
          <w:b/>
          <w:sz w:val="24"/>
        </w:rPr>
        <w:t xml:space="preserve"> </w:t>
      </w:r>
      <w:r>
        <w:rPr>
          <w:b/>
          <w:sz w:val="24"/>
        </w:rPr>
        <w:t xml:space="preserve"> </w:t>
      </w:r>
      <w:r>
        <w:rPr>
          <w:b/>
          <w:sz w:val="24"/>
        </w:rPr>
        <w:t xml:space="preserve"> </w:t>
      </w:r>
      <w:r>
        <w:rPr>
          <w:b/>
          <w:sz w:val="24"/>
        </w:rPr>
        <w:t xml:space="preserve"> </w:t>
      </w:r>
      <w:r>
        <w:rPr>
          <w:b/>
          <w:sz w:val="24"/>
        </w:rPr>
        <w:t xml:space="preserve"> </w:t>
      </w:r>
      <w:r>
        <w:rPr>
          <w:b/>
          <w:sz w:val="24"/>
        </w:rPr>
        <w:t xml:space="preserve"> </w:t>
      </w:r>
      <w:r>
        <w:rPr>
          <w:b/>
          <w:sz w:val="24"/>
        </w:rPr>
        <w:t xml:space="preserve"> </w:t>
      </w:r>
      <w:r>
        <w:rPr>
          <w:b/>
          <w:sz w:val="24"/>
        </w:rPr>
        <w:t xml:space="preserve"> </w:t>
      </w:r>
      <w:r>
        <w:rPr>
          <w:b/>
          <w:sz w:val="24"/>
        </w:rPr>
        <w:t xml:space="preserve"> </w:t>
      </w:r>
      <w:r>
        <w:rPr>
          <w:b/>
          <w:sz w:val="24"/>
        </w:rPr>
        <w:t xml:space="preserve"> </w:t>
      </w:r>
      <w:r>
        <w:rPr>
          <w:b/>
          <w:sz w:val="24"/>
        </w:rPr>
        <w:t xml:space="preserve"> </w:t>
      </w:r>
      <w:r>
        <w:rPr>
          <w:b/>
          <w:sz w:val="24"/>
        </w:rPr>
        <w:t xml:space="preserve"> </w:t>
      </w:r>
      <w:r>
        <w:rPr>
          <w:b/>
          <w:sz w:val="24"/>
        </w:rPr>
        <w:t xml:space="preserve"> </w:t>
      </w:r>
      <w:r>
        <w:rPr>
          <w:b/>
          <w:sz w:val="24"/>
        </w:rPr>
        <w:t xml:space="preserve"> </w:t>
      </w:r>
      <w:r>
        <w:rPr>
          <w:b/>
          <w:sz w:val="24"/>
        </w:rPr>
        <w:t xml:space="preserve"> </w:t>
      </w:r>
      <w:r>
        <w:rPr>
          <w:b/>
          <w:sz w:val="24"/>
        </w:rPr>
        <w:t xml:space="preserve"> </w:t>
      </w:r>
      <w:r>
        <w:rPr>
          <w:b/>
          <w:sz w:val="24"/>
        </w:rPr>
        <w:t xml:space="preserve"> </w:t>
      </w:r>
      <w:r>
        <w:rPr>
          <w:b/>
          <w:sz w:val="24"/>
        </w:rPr>
        <w:t xml:space="preserve"> </w:t>
      </w:r>
      <w:r>
        <w:rPr>
          <w:b/>
          <w:sz w:val="24"/>
        </w:rPr>
        <w:t xml:space="preserve"> </w:t>
      </w:r>
      <w:r>
        <w:rPr>
          <w:b/>
          <w:sz w:val="24"/>
        </w:rPr>
        <w:t xml:space="preserve">    </w:t>
      </w:r>
      <w:r>
        <w:rPr>
          <w:b/>
          <w:sz w:val="24"/>
        </w:rPr>
        <w:t xml:space="preserve"> </w:t>
      </w:r>
      <w:r>
        <w:rPr>
          <w:b/>
          <w:sz w:val="24"/>
        </w:rPr>
        <w:t xml:space="preserve">       代表：</w:t>
      </w:r>
    </w:p>
    <w:p>
      <w:pPr>
        <w:jc w:val="both"/>
      </w:pPr>
      <w:r>
        <w:rPr>
          <w:color w:val="222222"/>
          <w:sz w:val="24"/>
        </w:rPr>
        <w:t>签订地点：</w:t>
      </w:r>
    </w:p>
    <w:p>
      <w:pPr>
        <w:jc w:val="both"/>
      </w:pPr>
      <w:r>
        <w:rPr>
          <w:color w:val="222222"/>
          <w:sz w:val="24"/>
        </w:rPr>
        <w:t>签订日期：　　　年　　月　　日</w:t>
      </w:r>
      <w:r>
        <w:rPr>
          <w:color w:val="222222"/>
          <w:sz w:val="24"/>
        </w:rPr>
        <w:t xml:space="preserve"> </w:t>
      </w:r>
      <w:r>
        <w:rPr>
          <w:color w:val="222222"/>
          <w:sz w:val="24"/>
        </w:rPr>
        <w:t>签订日期：　　　年　　月　　日</w:t>
      </w:r>
    </w:p>
    <w:p>
      <w:pPr>
        <w:jc w:val="both"/>
      </w:pPr>
      <w:r>
        <w:rPr>
          <w:color w:val="222222"/>
          <w:sz w:val="24"/>
        </w:rPr>
        <w:t>开户名称：</w:t>
      </w:r>
    </w:p>
    <w:p>
      <w:pPr>
        <w:jc w:val="both"/>
      </w:pPr>
      <w:r>
        <w:rPr>
          <w:color w:val="222222"/>
          <w:sz w:val="24"/>
        </w:rPr>
        <w:t>银行帐号：</w:t>
      </w:r>
    </w:p>
    <w:p>
      <w:pPr>
        <w:jc w:val="both"/>
      </w:pPr>
      <w:r>
        <w:rPr>
          <w:color w:val="222222"/>
          <w:sz w:val="24"/>
        </w:rPr>
        <w:t>开 户 行：</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442000-2023-04561</w:t>
      </w:r>
    </w:p>
    <w:p>
      <w:pPr>
        <w:jc w:val="center"/>
      </w:pPr>
      <w:r>
        <w:rPr>
          <w:b/>
          <w:sz w:val="24"/>
        </w:rPr>
        <w:t>采购项目编号：</w:t>
      </w:r>
      <w:r>
        <w:rPr>
          <w:b/>
          <w:sz w:val="24"/>
        </w:rPr>
        <w:t>ZZ22316538</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广东志正招标有限公司中山分公司</w:t>
      </w:r>
    </w:p>
    <w:p>
      <w:pPr>
        <w:ind w:firstLine="480"/>
      </w:pPr>
      <w:r>
        <w:rPr/>
        <w:t>你方组织的</w:t>
      </w:r>
      <w:r>
        <w:rPr>
          <w:u w:val="single"/>
        </w:rPr>
        <w:t>“</w:t>
      </w:r>
      <w:r>
        <w:rPr>
          <w:u w:val="single"/>
        </w:rPr>
        <w:t>中山市第二人民医院2024年-2025年辅助岗位购买服务项目(二次)</w:t>
      </w:r>
      <w:r>
        <w:rPr>
          <w:u w:val="single"/>
        </w:rPr>
        <w:t>”</w:t>
      </w:r>
      <w:r>
        <w:rPr/>
        <w:t>项目的招标[采购项目编号为：</w:t>
      </w:r>
      <w:r>
        <w:rPr>
          <w:u w:val="single"/>
        </w:rPr>
        <w:t>ZZ22316538</w:t>
      </w:r>
      <w:r>
        <w:rPr/>
        <w:t>]，我方愿参与投标。</w:t>
      </w:r>
    </w:p>
    <w:p>
      <w:pPr>
        <w:ind w:firstLine="480"/>
      </w:pPr>
      <w:r>
        <w:rPr/>
        <w:t>我方确认收到贵方提供的</w:t>
      </w:r>
      <w:r>
        <w:rPr>
          <w:u w:val="single"/>
        </w:rPr>
        <w:t>“</w:t>
      </w:r>
      <w:r>
        <w:rPr>
          <w:u w:val="single"/>
        </w:rPr>
        <w:t>中山市第二人民医院2024年-2025年辅助岗位购买服务项目(二次)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广东志正招标有限公司中山分公司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中山市第二人民医院2024年-2025年辅助岗位购买服务项目(二次)</w:t>
      </w:r>
      <w:r>
        <w:rPr/>
        <w:t>”项目采购[采购项目编号为</w:t>
      </w:r>
      <w:r>
        <w:rPr/>
        <w:t>ZZ22316538</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中山市第二人民医院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广东志正招标有限公司中山分公司</w:t>
      </w:r>
    </w:p>
    <w:p>
      <w:pPr>
        <w:ind w:firstLine="480"/>
      </w:pPr>
      <w:r>
        <w:rPr/>
        <w:t>如果我方在贵采购代理机构组织的</w:t>
      </w:r>
      <w:r>
        <w:rPr/>
        <w:t>中山市第二人民医院2024年-2025年辅助岗位购买服务项目(二次)</w:t>
      </w:r>
      <w:r>
        <w:rPr/>
        <w:t>招标中获中标（采购项目编号：</w:t>
      </w:r>
      <w:r>
        <w:rPr/>
        <w:t>ZZ22316538</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广东志正招标有限公司中山分公司</w:t>
      </w:r>
    </w:p>
    <w:p>
      <w:pPr>
        <w:ind w:firstLine="480"/>
      </w:pPr>
      <w:r>
        <w:rPr/>
        <w:t>我单位已登记并准备参与“</w:t>
      </w:r>
      <w:r>
        <w:rPr/>
        <w:t>中山市第二人民医院2024年-2025年辅助岗位购买服务项目(二次)</w:t>
      </w:r>
      <w:r>
        <w:rPr/>
        <w:t>”项目（采购项目编号：</w:t>
      </w:r>
      <w:r>
        <w:rPr/>
        <w:t>ZZ22316538</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