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560" w:lineRule="exact"/>
        <w:ind w:firstLine="0" w:firstLineChars="0"/>
        <w:jc w:val="center"/>
        <w:outlineLvl w:val="1"/>
        <w:rPr>
          <w:rFonts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珠海市数字政府政务云多云运营管理服务</w:t>
      </w:r>
    </w:p>
    <w:p>
      <w:pPr>
        <w:pStyle w:val="19"/>
        <w:spacing w:line="560" w:lineRule="exact"/>
        <w:ind w:firstLine="0" w:firstLineChars="0"/>
        <w:jc w:val="center"/>
        <w:outlineLvl w:val="1"/>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采购需求书</w:t>
      </w:r>
    </w:p>
    <w:p>
      <w:pPr>
        <w:pStyle w:val="10"/>
        <w:spacing w:after="0" w:line="560" w:lineRule="exact"/>
        <w:ind w:left="0" w:leftChars="0" w:firstLine="0" w:firstLineChars="0"/>
        <w:rPr>
          <w:rFonts w:ascii="黑体" w:hAnsi="黑体" w:eastAsia="黑体" w:cs="黑体"/>
          <w:sz w:val="32"/>
          <w:szCs w:val="32"/>
          <w:lang w:eastAsia="zh-CN"/>
        </w:rPr>
      </w:pPr>
    </w:p>
    <w:p>
      <w:pPr>
        <w:pStyle w:val="10"/>
        <w:spacing w:after="0" w:line="560" w:lineRule="exact"/>
        <w:ind w:left="0" w:leftChars="0" w:firstLine="640"/>
        <w:rPr>
          <w:rFonts w:ascii="黑体" w:hAnsi="黑体" w:eastAsia="黑体" w:cs="黑体"/>
          <w:sz w:val="32"/>
          <w:szCs w:val="32"/>
          <w:lang w:eastAsia="zh-CN"/>
        </w:rPr>
      </w:pPr>
      <w:r>
        <w:rPr>
          <w:rFonts w:hint="eastAsia" w:ascii="黑体" w:hAnsi="黑体" w:eastAsia="黑体" w:cs="黑体"/>
          <w:sz w:val="32"/>
          <w:szCs w:val="32"/>
          <w:lang w:eastAsia="zh-CN"/>
        </w:rPr>
        <w:t>一、项目基本情况</w:t>
      </w:r>
    </w:p>
    <w:p>
      <w:pPr>
        <w:pStyle w:val="10"/>
        <w:spacing w:after="0" w:line="560" w:lineRule="exact"/>
        <w:ind w:left="0" w:leftChars="0" w:firstLine="640"/>
        <w:rPr>
          <w:rFonts w:ascii="楷体" w:hAnsi="楷体" w:eastAsia="楷体" w:cs="楷体"/>
          <w:sz w:val="32"/>
          <w:szCs w:val="32"/>
          <w:lang w:eastAsia="zh-CN"/>
        </w:rPr>
      </w:pPr>
      <w:r>
        <w:rPr>
          <w:rFonts w:hint="eastAsia" w:ascii="楷体" w:hAnsi="楷体" w:eastAsia="楷体" w:cs="楷体"/>
          <w:sz w:val="32"/>
          <w:szCs w:val="32"/>
          <w:lang w:eastAsia="zh-CN"/>
        </w:rPr>
        <w:t>（一）项目名称</w:t>
      </w:r>
    </w:p>
    <w:p>
      <w:pPr>
        <w:pStyle w:val="10"/>
        <w:spacing w:after="0" w:line="560" w:lineRule="exact"/>
        <w:ind w:left="0" w:leftChars="0" w:firstLine="640"/>
        <w:rPr>
          <w:rFonts w:ascii="仿宋" w:hAnsi="仿宋" w:eastAsia="仿宋" w:cs="仿宋"/>
          <w:sz w:val="32"/>
          <w:szCs w:val="32"/>
          <w:lang w:eastAsia="zh-CN"/>
        </w:rPr>
      </w:pPr>
      <w:r>
        <w:rPr>
          <w:rFonts w:hint="eastAsia" w:ascii="仿宋" w:hAnsi="仿宋" w:eastAsia="仿宋" w:cs="仿宋"/>
          <w:sz w:val="32"/>
          <w:szCs w:val="32"/>
          <w:lang w:eastAsia="zh-CN"/>
        </w:rPr>
        <w:t>珠海市数字政府政务云多云运营管理服务采购。</w:t>
      </w:r>
    </w:p>
    <w:p>
      <w:pPr>
        <w:pStyle w:val="10"/>
        <w:spacing w:after="0" w:line="560" w:lineRule="exact"/>
        <w:ind w:left="0" w:leftChars="0" w:firstLine="640" w:firstLineChars="0"/>
        <w:rPr>
          <w:rFonts w:ascii="楷体" w:hAnsi="楷体" w:eastAsia="楷体" w:cs="楷体"/>
          <w:sz w:val="32"/>
          <w:szCs w:val="32"/>
          <w:lang w:eastAsia="zh-CN"/>
        </w:rPr>
      </w:pPr>
      <w:r>
        <w:rPr>
          <w:rFonts w:hint="eastAsia" w:ascii="楷体" w:hAnsi="楷体" w:eastAsia="楷体" w:cs="楷体"/>
          <w:sz w:val="32"/>
          <w:szCs w:val="32"/>
          <w:lang w:eastAsia="zh-CN"/>
        </w:rPr>
        <w:t>（二）项目预算</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8</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万元。</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楷体" w:hAnsi="楷体" w:eastAsia="楷体" w:cs="楷体"/>
          <w:sz w:val="32"/>
          <w:szCs w:val="32"/>
          <w:lang w:eastAsia="zh-CN"/>
        </w:rPr>
        <w:t>（三）服务期限</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服务期为18个月，自服务正式提供之日起计。</w:t>
      </w:r>
    </w:p>
    <w:p>
      <w:pPr>
        <w:pStyle w:val="10"/>
        <w:spacing w:after="0" w:line="560" w:lineRule="exact"/>
        <w:ind w:left="0" w:leftChars="0" w:firstLine="640" w:firstLineChars="0"/>
        <w:rPr>
          <w:rFonts w:ascii="黑体" w:hAnsi="黑体" w:eastAsia="黑体" w:cs="黑体"/>
          <w:sz w:val="32"/>
          <w:szCs w:val="32"/>
          <w:lang w:eastAsia="zh-CN"/>
        </w:rPr>
      </w:pPr>
      <w:r>
        <w:rPr>
          <w:rFonts w:hint="eastAsia" w:ascii="黑体" w:hAnsi="黑体" w:eastAsia="黑体" w:cs="黑体"/>
          <w:sz w:val="32"/>
          <w:szCs w:val="32"/>
          <w:lang w:eastAsia="zh-CN"/>
        </w:rPr>
        <w:t>二、项目服务内容</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本项目通过购买多云运营管理服务，推动珠海市数字政府政务云多云管理机制的落地实施，实现对珠海市多个政务云资源池的统一运营监控，服务内容主要包括云资源数据采集服务、云资源池监控服务、省政务云统一对接服务、云资源统一发布和申请服务、政务云运营分析服务。</w:t>
      </w:r>
    </w:p>
    <w:p>
      <w:pPr>
        <w:pStyle w:val="10"/>
        <w:spacing w:after="0" w:line="560" w:lineRule="exact"/>
        <w:ind w:left="0" w:leftChars="0" w:firstLine="640" w:firstLineChars="0"/>
        <w:rPr>
          <w:rFonts w:ascii="楷体" w:hAnsi="楷体" w:eastAsia="楷体" w:cs="楷体"/>
          <w:sz w:val="32"/>
          <w:szCs w:val="32"/>
          <w:lang w:eastAsia="zh-CN"/>
        </w:rPr>
      </w:pPr>
      <w:r>
        <w:rPr>
          <w:rFonts w:hint="eastAsia" w:ascii="楷体" w:hAnsi="楷体" w:eastAsia="楷体" w:cs="楷体"/>
          <w:sz w:val="32"/>
          <w:szCs w:val="32"/>
          <w:lang w:eastAsia="zh-CN"/>
        </w:rPr>
        <w:t>★（一）云资源数据采集服务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为实现对我市现有政务云资源池及未来其他新申请接入的异地异构云资源池的统一管理，本项目需提供对各云资源池的云资源数据采集服务，具体应按照《广东省“数字政府”政务云平台对接规范》要求的指标数据和指标生成周期完成取数。具体服务内容包括：</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1.数据采集接口清单管理服务。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按照省市政务云监管要求，常态化管理和维护满足各云资源池统一上报云资源数据的数据采集接口清单。</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2.云资源数据采集服务。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按照最新的数据采集接口清单要求，提供专业技术力量指导和配合已接入和新申请接入的各云资源池完成云资源数据采集工作；（2）对已正常开展数据采集工作的各云资源池进行常态化的采集状态监测，确保各云资源池按照各项指标数据的采集频率要求连续不间断地上报云资源数据，建立应急响应机制，高效处置云资源池“掉线”故障。</w:t>
      </w:r>
    </w:p>
    <w:p>
      <w:pPr>
        <w:pStyle w:val="10"/>
        <w:spacing w:after="0" w:line="560" w:lineRule="exact"/>
        <w:ind w:left="0" w:leftChars="0" w:firstLine="640" w:firstLineChars="0"/>
        <w:rPr>
          <w:rFonts w:ascii="楷体" w:hAnsi="楷体" w:eastAsia="楷体" w:cs="楷体"/>
          <w:sz w:val="32"/>
          <w:szCs w:val="32"/>
          <w:lang w:eastAsia="zh-CN"/>
        </w:rPr>
      </w:pPr>
      <w:r>
        <w:rPr>
          <w:rFonts w:hint="eastAsia" w:ascii="楷体" w:hAnsi="楷体" w:eastAsia="楷体" w:cs="楷体"/>
          <w:sz w:val="32"/>
          <w:szCs w:val="32"/>
          <w:lang w:eastAsia="zh-CN"/>
        </w:rPr>
        <w:t>★（二）全市云资源数据统一上报服务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按照省政务云监管要求和《广东省数字政府政务云平台对接规范》，提供省政务云纳管地市政务云所需的所有云资源数据信息，完成全市政务云资源数据信息的统一汇总并按照各项指标数据的采集频率统一上报。</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具体上报云资源数据信息包括但不限于：</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（1）CPU统计信息上报，包含上报CPU总量、分配量、使用量、使用率信息；</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（2）内存统计信息上报，包含上报内存总量、分配量、使用量、使用率信息；</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（3）存储统计信息上报，包含上报存储总量、分配量、使用量、使用率信息；</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（4）资源统计信息上报，包含上报裸金属数、集群数、主机数、虚机数信息；</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（5）网络统计信息，包含上报网络使用率、上行数、下行数、网络区域信息；</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（6）租户资源统计信息，包含上报租户名称、虚机总数、CPU总数、内存总数、存储总数信息；</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（7）业务资源统计信息，包含上报业务名称、虚机总数、CPU总数、内存总数、存储总数信息。</w:t>
      </w:r>
    </w:p>
    <w:p>
      <w:pPr>
        <w:pStyle w:val="10"/>
        <w:spacing w:after="0" w:line="560" w:lineRule="exact"/>
        <w:ind w:left="0" w:leftChars="0" w:firstLine="640" w:firstLineChars="0"/>
        <w:rPr>
          <w:rFonts w:ascii="楷体" w:hAnsi="楷体" w:eastAsia="楷体" w:cs="楷体"/>
          <w:sz w:val="32"/>
          <w:szCs w:val="32"/>
          <w:lang w:eastAsia="zh-CN"/>
        </w:rPr>
      </w:pPr>
      <w:r>
        <w:rPr>
          <w:rFonts w:hint="eastAsia" w:ascii="楷体" w:hAnsi="楷体" w:eastAsia="楷体" w:cs="楷体"/>
          <w:sz w:val="32"/>
          <w:szCs w:val="32"/>
          <w:lang w:eastAsia="zh-CN"/>
        </w:rPr>
        <w:t>（三）云资源统一可视化展示服务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按照《珠海市数字政府政务云多云管理细则（试行）》，至少确保实现“可看”程度的多云纳管，即提供对各个云资源池的实时云资源数据采集和统一可视化展示服务。主要服务内容包括：</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1.云资源池信息查看服务：可查看和展示已对接云资源池的基本信息，包含云资源池名称、对接时间、虚拟化类型、资源池详情等。</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仿宋" w:hAnsi="仿宋" w:eastAsia="仿宋" w:cs="仿宋"/>
          <w:sz w:val="32"/>
          <w:szCs w:val="32"/>
          <w:lang w:eastAsia="zh-CN"/>
        </w:rPr>
        <w:t>2.不同维度的云资源可视化展示服务：可查看和展示基于云资源池维度、单位维度、业务维度、云主机维度等的计算资源、存储资源等，提供可视化概览；可查看和展示虚机列表、虚机详情，并提供导出报表。</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（1）资源池总体规模可视化服务，包含vCPU总量、内存总量GB、磁盘总量TB、vCPU分配率、内存分配率、磁盘分配率。</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（2）资源池总体使用量可视化服务，包含已开通虚拟机数量、运行中虚机数量、CPU总体利用率、内存总体利用率、磁盘利用率。</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（3）资源池宿主机可视化服务，包含CPU容量、内存容量、磁盘容量、CPU利用率、内存利用率、磁盘利用率。</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（4）云主机可视化服务，包含CPU容量、内存容量、磁盘容量、CPU利用率、内存利用率、磁盘利用率。</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（5）云硬盘可视化服务，包含总量、已用容量、读流量、写流量。</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（6）硬件资产可视化服务，包含物理机数量、网络设备数量、存储设备数量。</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3.云资源池网络流量可视化服务：包含云入口流量、云出口流量的可视化服务。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4.多云运营管理日志可视化服务：实现对多云运营管理过程中的操作日志、采集日志等的记录、查询和展示。</w:t>
      </w:r>
    </w:p>
    <w:p>
      <w:pPr>
        <w:pStyle w:val="10"/>
        <w:spacing w:after="0" w:line="560" w:lineRule="exact"/>
        <w:ind w:left="0" w:leftChars="0" w:firstLine="640" w:firstLineChars="0"/>
        <w:rPr>
          <w:rFonts w:ascii="楷体" w:hAnsi="楷体" w:eastAsia="楷体" w:cs="楷体"/>
          <w:sz w:val="32"/>
          <w:szCs w:val="32"/>
          <w:lang w:eastAsia="zh-CN"/>
        </w:rPr>
      </w:pPr>
      <w:r>
        <w:rPr>
          <w:rFonts w:hint="eastAsia" w:ascii="楷体" w:hAnsi="楷体" w:eastAsia="楷体" w:cs="楷体"/>
          <w:sz w:val="32"/>
          <w:szCs w:val="32"/>
          <w:lang w:eastAsia="zh-CN"/>
        </w:rPr>
        <w:t>（四）云资源统一发布和申请服务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在对各云资源池开始正式数据采集工作的基础上，为全市各级政府部门提供统一的云资源发布和申请渠道，避免多个云资源池各自为政，确保全市所有政务云资源开通、变更、撤销等行为都在统一监管范围内。主要服务内容如下：</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1.云资源统一发布服务。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提供统一的多云管理渠道，实现所有云资源池总体资源情况（包括可用资源和已用资源）的统一发布，云资源使用单位可通过一个渠道查看所有云资源池的基本情况，包括资源规模总量、覆盖单位数量、承载业务数量等，同时云资源使用单位可查询本单位已开通云资源情况，包括部门信息、业务信息、虚机清单以及每台虚机的CPU、内存、存储配置情况。</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仿宋" w:hAnsi="仿宋" w:eastAsia="仿宋" w:cs="仿宋"/>
          <w:sz w:val="32"/>
          <w:szCs w:val="32"/>
          <w:lang w:eastAsia="zh-CN"/>
        </w:rPr>
        <w:t>2.云资源申请统一工单化管理服务。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为全市云资源使用单位提供工单发起、待办查询、已办查询等服务，支持按工单化流程开展资源服务申请、安全服务申请、工单搜索服务。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（1）资源服务申请：包含虚机资源申请、变更、回收等服务申请；</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（2）安全服务申请：包含安全资源申请、变更、回收等服务申请；</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（3）工单搜索服务：包含关键字搜索、查询全量工单和工单详细信息。</w:t>
      </w:r>
    </w:p>
    <w:p>
      <w:pPr>
        <w:pStyle w:val="10"/>
        <w:spacing w:after="0" w:line="560" w:lineRule="exact"/>
        <w:ind w:left="0" w:leftChars="0" w:firstLine="640" w:firstLineChars="0"/>
        <w:rPr>
          <w:rFonts w:ascii="楷体" w:hAnsi="楷体" w:eastAsia="楷体" w:cs="楷体"/>
          <w:sz w:val="32"/>
          <w:szCs w:val="32"/>
          <w:lang w:eastAsia="zh-CN"/>
        </w:rPr>
      </w:pPr>
      <w:r>
        <w:rPr>
          <w:rFonts w:hint="eastAsia" w:ascii="楷体" w:hAnsi="楷体" w:eastAsia="楷体" w:cs="楷体"/>
          <w:sz w:val="32"/>
          <w:szCs w:val="32"/>
          <w:lang w:eastAsia="zh-CN"/>
        </w:rPr>
        <w:t>（五）政务云运营分析服务</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用于监测、统计和分析全市在运行云资源池的云资源使用情况，按虚机、业务系统、部门等维度开展政务云服务运营分析，包括但不限于CPU、内存、存储基于各个维度的利用率统计报表分析。主要运营分析服务如下：</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（1）物理维度运营分析：统计各云资源池物理服务器、硬盘池的CPU、内存和存储利用率情况；</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（2）业务维度运营分析：统计各资源池业务维度的CPU、内存和存储利用率情况；</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（3）部门维度运营分析：统计各资源池部门维度的CPU、内存和存储利用率情况；</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仿宋" w:hAnsi="仿宋" w:eastAsia="仿宋" w:cs="仿宋"/>
          <w:sz w:val="32"/>
          <w:szCs w:val="32"/>
          <w:lang w:eastAsia="zh-CN"/>
        </w:rPr>
        <w:t>（4）扩缩容建议分析：按我市政务云资源精细化管理要求，结合各部门、各业务、各虚机的资源利用率情况生成扩缩容建议；</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（5）资源申请运营分析：按云资源池、部门、业务维度统计云资源开通、变更、回收情况；</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（6）简报专报：定期（至少每月）提供全市政务云整体运营分析报告，包含对各云资源池的差异化运营分析情况、存在的问题和优化思路等。</w:t>
      </w:r>
    </w:p>
    <w:p>
      <w:pPr>
        <w:pStyle w:val="10"/>
        <w:spacing w:after="0" w:line="560" w:lineRule="exact"/>
        <w:ind w:left="0" w:leftChars="0" w:firstLine="640" w:firstLineChars="0"/>
        <w:rPr>
          <w:rFonts w:ascii="黑体" w:hAnsi="黑体" w:eastAsia="黑体" w:cs="黑体"/>
          <w:sz w:val="32"/>
          <w:szCs w:val="32"/>
          <w:lang w:eastAsia="zh-CN"/>
        </w:rPr>
      </w:pPr>
      <w:r>
        <w:rPr>
          <w:rFonts w:hint="eastAsia" w:ascii="黑体" w:hAnsi="黑体" w:eastAsia="黑体" w:cs="黑体"/>
          <w:sz w:val="32"/>
          <w:szCs w:val="32"/>
          <w:lang w:eastAsia="zh-CN"/>
        </w:rPr>
        <w:t>三、项目支付计划</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本项目服务费用计划分为4期进行支付：</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第1期：支付比例60%，合同签订生效后，采购人收到发票15日内向中标人支付合同总价的60%；</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第2期：支付比例20%，2024年采购人本项目服务预算下达后，采购人收到发票15日内向乙方支付合同总价的20%；</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第3期：支付比例10%，半年服务期结束后，经采购人组织第三方机构开展服务中期考核，乙方考核结果为优秀的前提下，采购人自收到发票15日内向乙方支付合同总价的10%，实际支付金额根据考核结果按考核成绩所对应的比例支付；</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第4期：支付比例10%，项目服务期整体结束后，经采购人组织第三方机构开展服务终期考核，乙方考核结果为优秀的前提下，采购人自收到发票15日内向乙方支付合同总价的10%，实际支付金额根据考核结果按考核成绩所对应的比例支付。</w:t>
      </w:r>
    </w:p>
    <w:p>
      <w:pPr>
        <w:pStyle w:val="10"/>
        <w:spacing w:after="0" w:line="560" w:lineRule="exact"/>
        <w:ind w:left="0" w:leftChars="0" w:firstLine="640" w:firstLineChars="0"/>
        <w:rPr>
          <w:rFonts w:ascii="黑体" w:hAnsi="黑体" w:eastAsia="黑体" w:cs="黑体"/>
          <w:sz w:val="32"/>
          <w:szCs w:val="32"/>
          <w:lang w:eastAsia="zh-CN"/>
        </w:rPr>
      </w:pPr>
      <w:r>
        <w:rPr>
          <w:rFonts w:hint="eastAsia" w:ascii="黑体" w:hAnsi="黑体" w:eastAsia="黑体" w:cs="黑体"/>
          <w:sz w:val="32"/>
          <w:szCs w:val="32"/>
          <w:lang w:eastAsia="zh-CN"/>
        </w:rPr>
        <w:t>四、项目验收方式</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由采购人组织第三方考核机构以考核的形式作为验收方法进行验收。服务考核采取中期和终期评分制考核，考核为满分百分制。其中“综合服务考核”部分占90分，“项目管理方满意度评价”部分占10分，计分保留1位小数。“总得分≥90”为优秀，“80≤总得分＜90”为良好，“70≤总得分＜80”为合格，“60≤总得分＜70”为不合格，“总得分&lt;60”为严重不合格。</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本项目预留20%的合同款作为服务考核款，服务考核成绩与服务考核款支付关系：</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A.优秀得分范围：90（含）～100分，支付100%的服务考核款。</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B.良好得分范围：80（含）～90分（不含），支付90%的服务考核款。</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C.合格得分范围：70（含）～80分（不含），支付80%的服务考核款。</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D.不合格得分范围：60分（含）～70分（不含），支付50%的服务考核款。</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E.严重不合格得分范围：60分以下，不支付服务考核款。</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考评原则：若考评结果为D，服务提供商需针对考评不合格的原因进行分析，并提供分析整改报告。如不提供分析整改报告或分析整改报告未通过市政数局确认，50%服务考核款不予支付。若考评结果为E，考核款不予支付。</w:t>
      </w:r>
    </w:p>
    <w:p>
      <w:pPr>
        <w:pStyle w:val="10"/>
        <w:spacing w:after="0" w:line="560" w:lineRule="exact"/>
        <w:ind w:left="0" w:leftChars="0" w:firstLine="640" w:firstLineChars="0"/>
        <w:rPr>
          <w:rFonts w:ascii="黑体" w:hAnsi="黑体" w:eastAsia="黑体" w:cs="黑体"/>
          <w:sz w:val="32"/>
          <w:szCs w:val="32"/>
          <w:lang w:eastAsia="zh-CN"/>
        </w:rPr>
      </w:pPr>
      <w:r>
        <w:rPr>
          <w:rFonts w:hint="eastAsia" w:ascii="黑体" w:hAnsi="黑体" w:eastAsia="黑体" w:cs="黑体"/>
          <w:sz w:val="32"/>
          <w:szCs w:val="32"/>
          <w:lang w:eastAsia="zh-CN"/>
        </w:rPr>
        <w:t>五、项目报价要求</w:t>
      </w:r>
    </w:p>
    <w:p>
      <w:pPr>
        <w:pStyle w:val="10"/>
        <w:spacing w:after="0" w:line="560" w:lineRule="exact"/>
        <w:ind w:left="0" w:leftChars="0" w:firstLine="640" w:firstLineChars="0"/>
        <w:rPr>
          <w:rFonts w:ascii="仿宋" w:hAnsi="仿宋" w:eastAsia="仿宋" w:cs="仿宋"/>
          <w:sz w:val="32"/>
          <w:szCs w:val="32"/>
          <w:lang w:eastAsia="zh-CN"/>
        </w:rPr>
      </w:pPr>
      <w:r>
        <w:rPr>
          <w:rFonts w:hint="eastAsia" w:ascii="仿宋" w:hAnsi="仿宋" w:eastAsia="仿宋" w:cs="仿宋"/>
          <w:sz w:val="32"/>
          <w:szCs w:val="32"/>
          <w:lang w:eastAsia="zh-CN"/>
        </w:rPr>
        <w:t>本项目中标原则为有效报价中的最低价中标。如有效报价供应商少于3家，取消本次网上询价采购并通知已报价供应商。报价供应商除整体报价外，应提交如下服务分项报价表，不提供者视为无效报价。</w:t>
      </w:r>
    </w:p>
    <w:tbl>
      <w:tblPr>
        <w:tblStyle w:val="11"/>
        <w:tblW w:w="4858" w:type="pct"/>
        <w:tblInd w:w="0" w:type="dxa"/>
        <w:tblLayout w:type="fixed"/>
        <w:tblCellMar>
          <w:top w:w="0" w:type="dxa"/>
          <w:left w:w="108" w:type="dxa"/>
          <w:bottom w:w="0" w:type="dxa"/>
          <w:right w:w="108" w:type="dxa"/>
        </w:tblCellMar>
      </w:tblPr>
      <w:tblGrid>
        <w:gridCol w:w="536"/>
        <w:gridCol w:w="699"/>
        <w:gridCol w:w="1462"/>
        <w:gridCol w:w="4185"/>
        <w:gridCol w:w="646"/>
        <w:gridCol w:w="1275"/>
      </w:tblGrid>
      <w:tr>
        <w:tblPrEx>
          <w:tblCellMar>
            <w:top w:w="0" w:type="dxa"/>
            <w:left w:w="108" w:type="dxa"/>
            <w:bottom w:w="0" w:type="dxa"/>
            <w:right w:w="108" w:type="dxa"/>
          </w:tblCellMar>
        </w:tblPrEx>
        <w:trPr>
          <w:trHeight w:val="640" w:hRule="atLeast"/>
        </w:trPr>
        <w:tc>
          <w:tcPr>
            <w:tcW w:w="304"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_GB2312" w:hAnsi="仿宋_GB2312" w:eastAsia="仿宋_GB2312" w:cs="仿宋_GB2312"/>
                <w:b/>
                <w:bCs/>
                <w:color w:val="000000"/>
                <w:szCs w:val="21"/>
                <w:lang w:eastAsia="zh-CN" w:bidi="ar"/>
              </w:rPr>
            </w:pPr>
            <w:r>
              <w:rPr>
                <w:rFonts w:hint="eastAsia" w:ascii="仿宋_GB2312" w:hAnsi="仿宋_GB2312" w:eastAsia="仿宋_GB2312" w:cs="仿宋_GB2312"/>
                <w:b/>
                <w:bCs/>
                <w:color w:val="000000"/>
                <w:szCs w:val="21"/>
                <w:lang w:eastAsia="zh-CN" w:bidi="ar"/>
              </w:rPr>
              <w:t>序号</w:t>
            </w:r>
          </w:p>
        </w:tc>
        <w:tc>
          <w:tcPr>
            <w:tcW w:w="397"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lang w:eastAsia="zh-CN" w:bidi="ar"/>
              </w:rPr>
              <w:t>服务大类</w:t>
            </w:r>
          </w:p>
        </w:tc>
        <w:tc>
          <w:tcPr>
            <w:tcW w:w="8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lang w:eastAsia="zh-CN" w:bidi="ar"/>
              </w:rPr>
              <w:t>服务小项</w:t>
            </w:r>
          </w:p>
        </w:tc>
        <w:tc>
          <w:tcPr>
            <w:tcW w:w="2377"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lang w:eastAsia="zh-CN" w:bidi="ar"/>
              </w:rPr>
              <w:t>服务内容</w:t>
            </w:r>
          </w:p>
        </w:tc>
        <w:tc>
          <w:tcPr>
            <w:tcW w:w="36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仿宋_GB2312" w:hAnsi="仿宋_GB2312" w:eastAsia="仿宋_GB2312" w:cs="仿宋_GB2312"/>
                <w:b/>
                <w:bCs/>
                <w:color w:val="000000"/>
                <w:szCs w:val="21"/>
                <w:lang w:eastAsia="zh-CN" w:bidi="ar"/>
              </w:rPr>
            </w:pPr>
            <w:r>
              <w:rPr>
                <w:rFonts w:hint="eastAsia" w:ascii="仿宋_GB2312" w:hAnsi="仿宋_GB2312" w:eastAsia="仿宋_GB2312" w:cs="仿宋_GB2312"/>
                <w:b/>
                <w:bCs/>
                <w:color w:val="000000"/>
                <w:szCs w:val="21"/>
                <w:lang w:eastAsia="zh-CN" w:bidi="ar"/>
              </w:rPr>
              <w:t>服务</w:t>
            </w:r>
          </w:p>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lang w:eastAsia="zh-CN" w:bidi="ar"/>
              </w:rPr>
              <w:t>月数</w:t>
            </w:r>
          </w:p>
        </w:tc>
        <w:tc>
          <w:tcPr>
            <w:tcW w:w="724"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lang w:eastAsia="zh-CN" w:bidi="ar"/>
              </w:rPr>
              <w:t>服务报价</w:t>
            </w:r>
            <w:r>
              <w:rPr>
                <w:rFonts w:hint="eastAsia" w:ascii="仿宋_GB2312" w:hAnsi="仿宋_GB2312" w:eastAsia="仿宋_GB2312" w:cs="仿宋_GB2312"/>
                <w:b/>
                <w:bCs/>
                <w:color w:val="000000"/>
                <w:szCs w:val="21"/>
                <w:lang w:eastAsia="zh-CN" w:bidi="ar"/>
              </w:rPr>
              <w:br w:type="textWrapping"/>
            </w:r>
            <w:r>
              <w:rPr>
                <w:rFonts w:hint="eastAsia" w:ascii="仿宋_GB2312" w:hAnsi="仿宋_GB2312" w:eastAsia="仿宋_GB2312" w:cs="仿宋_GB2312"/>
                <w:b/>
                <w:bCs/>
                <w:color w:val="000000"/>
                <w:szCs w:val="21"/>
                <w:lang w:eastAsia="zh-CN" w:bidi="ar"/>
              </w:rPr>
              <w:t>（元）</w:t>
            </w:r>
          </w:p>
        </w:tc>
      </w:tr>
      <w:tr>
        <w:tblPrEx>
          <w:tblCellMar>
            <w:top w:w="0" w:type="dxa"/>
            <w:left w:w="108" w:type="dxa"/>
            <w:bottom w:w="0" w:type="dxa"/>
            <w:right w:w="108" w:type="dxa"/>
          </w:tblCellMar>
        </w:tblPrEx>
        <w:trPr>
          <w:trHeight w:val="8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bidi="ar"/>
              </w:rPr>
            </w:pPr>
            <w:r>
              <w:rPr>
                <w:rFonts w:hint="eastAsia" w:ascii="仿宋_GB2312" w:hAnsi="仿宋_GB2312" w:eastAsia="仿宋_GB2312" w:cs="仿宋_GB2312"/>
                <w:color w:val="000000"/>
                <w:szCs w:val="21"/>
                <w:lang w:eastAsia="zh-CN" w:bidi="ar"/>
              </w:rPr>
              <w:t>1</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云资源数据采集服务</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数据采集接口清单管理服务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常态化管理和维护满足云资源池统一上报云资源数据的数据采集接口清单</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6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2</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云资源数据采集服务</w:t>
            </w:r>
          </w:p>
        </w:tc>
        <w:tc>
          <w:tcPr>
            <w:tcW w:w="2377"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（1）提供专业技术力量指导和配合已接入和新申请接入的各云资源池完成云资源数据采集工作；（2）对已正常开展数据采集工作的云资源池进行常态化采集状态监测，建立故障应急响应机制。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bidi="ar"/>
              </w:rPr>
            </w:pPr>
            <w:r>
              <w:rPr>
                <w:rFonts w:hint="eastAsia" w:ascii="仿宋_GB2312" w:hAnsi="仿宋_GB2312" w:eastAsia="仿宋_GB2312" w:cs="仿宋_GB2312"/>
                <w:color w:val="000000"/>
                <w:szCs w:val="21"/>
                <w:lang w:eastAsia="zh-CN"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全市云资源数据统一上报服务</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全市云资源数据统一上报服务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根据省政务云纳管地市政务云需要，完成全市政务云资源数据信息的统一汇总并按照各项指标数据要求的采集频率统一上报。上报云资源数据信息包括但不限于：（1）CPU统计信息；（2）内存统计信息；（3）存储统计信息；（4）资源统计信息；（5）网络统计信息；（6）租户资源统计信息；（7）业务资源统计信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4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bidi="ar"/>
              </w:rPr>
            </w:pPr>
            <w:r>
              <w:rPr>
                <w:rFonts w:hint="eastAsia" w:ascii="仿宋_GB2312" w:hAnsi="仿宋_GB2312" w:eastAsia="仿宋_GB2312" w:cs="仿宋_GB2312"/>
                <w:color w:val="000000"/>
                <w:szCs w:val="21"/>
                <w:lang w:eastAsia="zh-CN" w:bidi="ar"/>
              </w:rPr>
              <w:t>4</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云资源统一可视化服务</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云资源池信息查看服务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可查看和展示已对接云资源池的基本信息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19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5</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不同维度的云资源可视化服务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可查看和展示基于云资源池维度、单位维度、业务维度、云主机维度等的计算资源、存储资源等，提供可视化概览；可查看和展示虚机列表、虚机详情，并提供导出报表。包括：资源池总体规模、资源池总体使用量、资源池宿主机、云主机、云硬盘、硬件资产的可视化服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74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6</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云资源池网络流量可视化服务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包含云入口流量、云出口流量的可视化服务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84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7</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Cs w:val="21"/>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多云运营管理日志可视化服务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实现对多云运营管理过程中的操作日志、采集日志等的记录、查询和展示</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5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Cs w:val="21"/>
                <w:lang w:eastAsia="zh-CN" w:bidi="ar"/>
              </w:rPr>
            </w:pPr>
            <w:r>
              <w:rPr>
                <w:rFonts w:hint="eastAsia" w:ascii="仿宋_GB2312" w:hAnsi="仿宋_GB2312" w:eastAsia="仿宋_GB2312" w:cs="仿宋_GB2312"/>
                <w:color w:val="000000"/>
                <w:szCs w:val="21"/>
                <w:lang w:eastAsia="zh-CN" w:bidi="ar"/>
              </w:rPr>
              <w:t>8</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云资源统一发布和申请服务</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云资源统一发布服务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提供统一的多云管理渠道，实现所有云资源池总体资源情况（包括可用资源和已用资源）的统一发布，云资源使用单位可通过一个渠道查看所有云资源池的基本情况，同时云资源使用单位可查询本单位已开通云资源情况。</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1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9</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仿宋_GB2312" w:eastAsia="仿宋_GB2312" w:cs="仿宋_GB2312"/>
                <w:color w:val="000000"/>
                <w:szCs w:val="21"/>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云资源申请统一工单化管理服务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为全市云资源使用单位提供工单发起、待办查询、已办查询等服务，支持按工单化流程开展资源服务申请、安全服务申请、工单搜索服务。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82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lang w:eastAsia="zh-CN" w:bidi="ar"/>
              </w:rPr>
            </w:pPr>
            <w:r>
              <w:rPr>
                <w:rFonts w:hint="eastAsia" w:ascii="仿宋_GB2312" w:hAnsi="仿宋_GB2312" w:eastAsia="仿宋_GB2312" w:cs="仿宋_GB2312"/>
                <w:color w:val="000000"/>
                <w:szCs w:val="21"/>
                <w:lang w:eastAsia="zh-CN"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政务云运营分析服务</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政务云运营分析服务</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bidi="ar"/>
              </w:rPr>
              <w:t>用于监测、统计和分析全市在运行云资源池的云资源使用情况，开展政务云服务运营分析。包括：（1）物理维度运营分析；（2）业务维度运营分析；（3）部门维度运营分析；（4）扩缩容建议分析；（5）资源申请运营分析；（6）简报专报。</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bidi="ar"/>
              </w:rPr>
              <w:t xml:space="preserve">18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80" w:hRule="atLeast"/>
        </w:trPr>
        <w:tc>
          <w:tcPr>
            <w:tcW w:w="4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Cs w:val="21"/>
                <w:lang w:eastAsia="zh-CN" w:bidi="ar"/>
              </w:rPr>
            </w:pPr>
            <w:r>
              <w:rPr>
                <w:rFonts w:hint="eastAsia" w:ascii="仿宋_GB2312" w:hAnsi="仿宋_GB2312" w:eastAsia="仿宋_GB2312" w:cs="仿宋_GB2312"/>
                <w:b/>
                <w:bCs/>
                <w:color w:val="000000"/>
                <w:szCs w:val="21"/>
                <w:lang w:eastAsia="zh-CN" w:bidi="ar"/>
              </w:rPr>
              <w:t>合计（元）</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b/>
                <w:bCs/>
                <w:color w:val="000000"/>
                <w:szCs w:val="21"/>
              </w:rPr>
            </w:pPr>
          </w:p>
        </w:tc>
      </w:tr>
    </w:tbl>
    <w:p>
      <w:pPr>
        <w:pStyle w:val="10"/>
        <w:spacing w:after="0" w:line="560" w:lineRule="exact"/>
        <w:ind w:left="0" w:leftChars="0" w:firstLine="0" w:firstLineChars="0"/>
        <w:rPr>
          <w:rFonts w:ascii="仿宋" w:hAnsi="仿宋" w:eastAsia="仿宋" w:cs="仿宋"/>
          <w:sz w:val="32"/>
          <w:szCs w:val="32"/>
          <w:lang w:eastAsia="zh-CN"/>
        </w:rPr>
      </w:pPr>
    </w:p>
    <w:p>
      <w:pPr>
        <w:pStyle w:val="10"/>
        <w:ind w:left="0" w:leftChars="0" w:firstLine="0" w:firstLineChars="0"/>
        <w:rPr>
          <w:lang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hNWY1ZmIyNGRkZmY0NzU3YWQ4N2FlZjFjYTEwYzAifQ=="/>
  </w:docVars>
  <w:rsids>
    <w:rsidRoot w:val="00253B11"/>
    <w:rsid w:val="001436B7"/>
    <w:rsid w:val="00244176"/>
    <w:rsid w:val="00253B11"/>
    <w:rsid w:val="004A7B2D"/>
    <w:rsid w:val="004D1552"/>
    <w:rsid w:val="007C688B"/>
    <w:rsid w:val="007D35C9"/>
    <w:rsid w:val="14FF9A18"/>
    <w:rsid w:val="1C626A12"/>
    <w:rsid w:val="1F6B9DE8"/>
    <w:rsid w:val="2CD64EE4"/>
    <w:rsid w:val="357F1185"/>
    <w:rsid w:val="35FE824B"/>
    <w:rsid w:val="37EE42ED"/>
    <w:rsid w:val="3F3C6513"/>
    <w:rsid w:val="3FFC70CA"/>
    <w:rsid w:val="53A93D80"/>
    <w:rsid w:val="54FF0325"/>
    <w:rsid w:val="59975C9A"/>
    <w:rsid w:val="77F7BD91"/>
    <w:rsid w:val="7A79BEDB"/>
    <w:rsid w:val="7BDFDC60"/>
    <w:rsid w:val="7DBFF625"/>
    <w:rsid w:val="7EC9E01E"/>
    <w:rsid w:val="7F6AB1B8"/>
    <w:rsid w:val="7F6E88F0"/>
    <w:rsid w:val="7FDF5D95"/>
    <w:rsid w:val="7FFACE93"/>
    <w:rsid w:val="7FFF6BA8"/>
    <w:rsid w:val="A7FBBF6B"/>
    <w:rsid w:val="B5FFB18A"/>
    <w:rsid w:val="B7F55E83"/>
    <w:rsid w:val="D327C4EC"/>
    <w:rsid w:val="DF55EC94"/>
    <w:rsid w:val="DFFA84BF"/>
    <w:rsid w:val="E8FF1F3A"/>
    <w:rsid w:val="ED9D6E5B"/>
    <w:rsid w:val="F3FD5912"/>
    <w:rsid w:val="FB47CF4D"/>
    <w:rsid w:val="FBF13135"/>
    <w:rsid w:val="FDEEF3B0"/>
    <w:rsid w:val="FFD7DDB4"/>
    <w:rsid w:val="FFEF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1"/>
      <w:szCs w:val="22"/>
      <w:lang w:val="en-US" w:eastAsia="en-US" w:bidi="ar-SA"/>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0" w:after="20" w:line="560" w:lineRule="exact"/>
      <w:outlineLvl w:val="2"/>
    </w:pPr>
    <w:rPr>
      <w:rFonts w:ascii="仿宋" w:hAnsi="仿宋"/>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link w:val="17"/>
    <w:qFormat/>
    <w:uiPriority w:val="0"/>
    <w:pPr>
      <w:ind w:left="490"/>
    </w:pPr>
    <w:rPr>
      <w:szCs w:val="19"/>
    </w:rPr>
  </w:style>
  <w:style w:type="paragraph" w:styleId="6">
    <w:name w:val="Body Text Indent"/>
    <w:basedOn w:val="1"/>
    <w:link w:val="15"/>
    <w:semiHidden/>
    <w:unhideWhenUsed/>
    <w:qFormat/>
    <w:uiPriority w:val="99"/>
    <w:pPr>
      <w:spacing w:after="120"/>
      <w:ind w:left="420" w:leftChars="200"/>
    </w:pPr>
  </w:style>
  <w:style w:type="paragraph" w:styleId="7">
    <w:name w:val="footer"/>
    <w:basedOn w:val="1"/>
    <w:link w:val="24"/>
    <w:unhideWhenUsed/>
    <w:qFormat/>
    <w:uiPriority w:val="99"/>
    <w:pPr>
      <w:tabs>
        <w:tab w:val="center" w:pos="4153"/>
        <w:tab w:val="right" w:pos="8306"/>
      </w:tabs>
      <w:snapToGrid w:val="0"/>
    </w:pPr>
    <w:rPr>
      <w:sz w:val="18"/>
      <w:szCs w:val="18"/>
    </w:rPr>
  </w:style>
  <w:style w:type="paragraph" w:styleId="8">
    <w:name w:val="envelope return"/>
    <w:basedOn w:val="1"/>
    <w:unhideWhenUsed/>
    <w:qFormat/>
    <w:uiPriority w:val="99"/>
    <w:pPr>
      <w:snapToGrid w:val="0"/>
    </w:pPr>
    <w:rPr>
      <w:rFonts w:ascii="Arial" w:hAnsi="Arial"/>
    </w:rPr>
  </w:style>
  <w:style w:type="paragraph" w:styleId="9">
    <w:name w:val="header"/>
    <w:basedOn w:val="1"/>
    <w:link w:val="23"/>
    <w:unhideWhenUsed/>
    <w:qFormat/>
    <w:uiPriority w:val="99"/>
    <w:pPr>
      <w:tabs>
        <w:tab w:val="center" w:pos="4153"/>
        <w:tab w:val="right" w:pos="8306"/>
      </w:tabs>
      <w:snapToGrid w:val="0"/>
      <w:jc w:val="center"/>
    </w:pPr>
    <w:rPr>
      <w:sz w:val="18"/>
      <w:szCs w:val="18"/>
    </w:rPr>
  </w:style>
  <w:style w:type="paragraph" w:styleId="10">
    <w:name w:val="Body Text First Indent 2"/>
    <w:basedOn w:val="6"/>
    <w:link w:val="21"/>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character" w:customStyle="1" w:styleId="15">
    <w:name w:val="正文文本缩进 字符"/>
    <w:basedOn w:val="13"/>
    <w:link w:val="6"/>
    <w:semiHidden/>
    <w:qFormat/>
    <w:uiPriority w:val="99"/>
    <w:rPr>
      <w:rFonts w:ascii="宋体" w:hAnsi="宋体" w:eastAsia="宋体" w:cs="宋体"/>
      <w:kern w:val="0"/>
      <w:lang w:eastAsia="en-US"/>
    </w:rPr>
  </w:style>
  <w:style w:type="character" w:customStyle="1" w:styleId="16">
    <w:name w:val="正文文本首行缩进 2 字符"/>
    <w:basedOn w:val="15"/>
    <w:semiHidden/>
    <w:qFormat/>
    <w:uiPriority w:val="99"/>
    <w:rPr>
      <w:rFonts w:ascii="宋体" w:hAnsi="宋体" w:eastAsia="宋体" w:cs="宋体"/>
      <w:kern w:val="0"/>
      <w:lang w:eastAsia="en-US"/>
    </w:rPr>
  </w:style>
  <w:style w:type="character" w:customStyle="1" w:styleId="17">
    <w:name w:val="正文文本 字符"/>
    <w:basedOn w:val="13"/>
    <w:link w:val="3"/>
    <w:qFormat/>
    <w:uiPriority w:val="0"/>
    <w:rPr>
      <w:rFonts w:ascii="宋体" w:hAnsi="宋体" w:eastAsia="宋体" w:cs="宋体"/>
      <w:kern w:val="0"/>
      <w:szCs w:val="19"/>
      <w:lang w:eastAsia="en-US"/>
    </w:rPr>
  </w:style>
  <w:style w:type="paragraph" w:customStyle="1" w:styleId="18">
    <w:name w:val="Table Paragraph"/>
    <w:basedOn w:val="1"/>
    <w:next w:val="1"/>
    <w:qFormat/>
    <w:uiPriority w:val="0"/>
    <w:pPr>
      <w:spacing w:line="360" w:lineRule="auto"/>
    </w:pPr>
  </w:style>
  <w:style w:type="paragraph" w:customStyle="1" w:styleId="19">
    <w:name w:val="B"/>
    <w:basedOn w:val="3"/>
    <w:link w:val="20"/>
    <w:qFormat/>
    <w:uiPriority w:val="1"/>
    <w:pPr>
      <w:spacing w:line="360" w:lineRule="auto"/>
      <w:ind w:left="0" w:firstLine="480" w:firstLineChars="200"/>
    </w:pPr>
    <w:rPr>
      <w:sz w:val="24"/>
      <w:szCs w:val="24"/>
    </w:rPr>
  </w:style>
  <w:style w:type="character" w:customStyle="1" w:styleId="20">
    <w:name w:val="B 字符"/>
    <w:basedOn w:val="17"/>
    <w:link w:val="19"/>
    <w:qFormat/>
    <w:uiPriority w:val="1"/>
    <w:rPr>
      <w:rFonts w:ascii="宋体" w:hAnsi="宋体" w:eastAsia="宋体" w:cs="宋体"/>
      <w:kern w:val="0"/>
      <w:sz w:val="24"/>
      <w:szCs w:val="24"/>
      <w:lang w:eastAsia="en-US"/>
    </w:rPr>
  </w:style>
  <w:style w:type="character" w:customStyle="1" w:styleId="21">
    <w:name w:val="正文文本首行缩进 2 字符1"/>
    <w:link w:val="10"/>
    <w:qFormat/>
    <w:uiPriority w:val="99"/>
    <w:rPr>
      <w:rFonts w:ascii="宋体" w:hAnsi="宋体" w:eastAsia="宋体" w:cs="宋体"/>
      <w:kern w:val="0"/>
      <w:lang w:eastAsia="en-US"/>
    </w:rPr>
  </w:style>
  <w:style w:type="paragraph" w:styleId="22">
    <w:name w:val="List Paragraph"/>
    <w:basedOn w:val="1"/>
    <w:qFormat/>
    <w:uiPriority w:val="99"/>
    <w:pPr>
      <w:ind w:firstLine="420" w:firstLineChars="200"/>
    </w:pPr>
  </w:style>
  <w:style w:type="character" w:customStyle="1" w:styleId="23">
    <w:name w:val="页眉 字符"/>
    <w:basedOn w:val="13"/>
    <w:link w:val="9"/>
    <w:qFormat/>
    <w:uiPriority w:val="99"/>
    <w:rPr>
      <w:rFonts w:ascii="宋体" w:hAnsi="宋体" w:cs="宋体"/>
      <w:sz w:val="18"/>
      <w:szCs w:val="18"/>
      <w:lang w:eastAsia="en-US"/>
    </w:rPr>
  </w:style>
  <w:style w:type="character" w:customStyle="1" w:styleId="24">
    <w:name w:val="页脚 字符"/>
    <w:basedOn w:val="13"/>
    <w:link w:val="7"/>
    <w:qFormat/>
    <w:uiPriority w:val="99"/>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670</Words>
  <Characters>3822</Characters>
  <Lines>31</Lines>
  <Paragraphs>8</Paragraphs>
  <TotalTime>1</TotalTime>
  <ScaleCrop>false</ScaleCrop>
  <LinksUpToDate>false</LinksUpToDate>
  <CharactersWithSpaces>4484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2023-10-18T18:40:00Z</dcterms:created>
  <dc:creator>Digital</dc:creator>
  <cp:lastModifiedBy>uos</cp:lastModifiedBy>
  <dcterms:modified xsi:type="dcterms:W3CDTF">2023-11-29T15:40:28Z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C581837005D046A1949B837B178C3410_13</vt:lpwstr>
  </property>
</Properties>
</file>