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720"/>
          <w:tab w:val="left" w:pos="2322"/>
        </w:tabs>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outlineLvl w:val="9"/>
        <w:rPr>
          <w:rFonts w:hint="eastAsia" w:ascii="黑体" w:hAnsi="黑体" w:eastAsia="黑体" w:cs="黑体"/>
          <w:b w:val="0"/>
          <w:bCs/>
          <w:i w:val="0"/>
          <w:caps w:val="0"/>
          <w:color w:val="000000"/>
          <w:spacing w:val="0"/>
          <w:kern w:val="44"/>
          <w:sz w:val="32"/>
          <w:szCs w:val="32"/>
          <w:shd w:val="clear" w:color="auto" w:fill="FFFFFF"/>
          <w:lang w:val="en-US" w:eastAsia="zh-CN" w:bidi="ar-SA"/>
        </w:rPr>
      </w:pPr>
      <w:r>
        <w:rPr>
          <w:rFonts w:hint="eastAsia" w:ascii="黑体" w:hAnsi="黑体" w:eastAsia="黑体" w:cs="黑体"/>
          <w:b w:val="0"/>
          <w:bCs/>
          <w:i w:val="0"/>
          <w:caps w:val="0"/>
          <w:color w:val="000000"/>
          <w:spacing w:val="0"/>
          <w:kern w:val="44"/>
          <w:sz w:val="32"/>
          <w:szCs w:val="32"/>
          <w:shd w:val="clear" w:color="auto" w:fill="FFFFFF"/>
          <w:lang w:val="en-US" w:eastAsia="zh-CN" w:bidi="ar-SA"/>
        </w:rPr>
        <w:t>附件</w:t>
      </w:r>
      <w:r>
        <w:rPr>
          <w:rFonts w:hint="eastAsia" w:ascii="黑体" w:hAnsi="黑体" w:cs="黑体"/>
          <w:b w:val="0"/>
          <w:bCs/>
          <w:i w:val="0"/>
          <w:caps w:val="0"/>
          <w:color w:val="000000"/>
          <w:spacing w:val="0"/>
          <w:kern w:val="44"/>
          <w:sz w:val="32"/>
          <w:szCs w:val="32"/>
          <w:shd w:val="clear" w:color="auto" w:fill="FFFFFF"/>
          <w:lang w:val="en-US" w:eastAsia="zh-CN" w:bidi="ar-SA"/>
        </w:rPr>
        <w:t>1</w:t>
      </w:r>
    </w:p>
    <w:p>
      <w:pPr>
        <w:rPr>
          <w:rFonts w:hint="eastAsia"/>
          <w:lang w:eastAsia="zh-CN"/>
        </w:rPr>
      </w:pPr>
    </w:p>
    <w:p>
      <w:pPr>
        <w:jc w:val="center"/>
        <w:rPr>
          <w:rFonts w:hint="eastAsia" w:ascii="方正小标宋简体" w:hAnsi="方正小标宋简体" w:eastAsia="方正小标宋简体" w:cs="方正小标宋简体"/>
          <w:bCs/>
          <w:color w:val="000000"/>
          <w:kern w:val="44"/>
          <w:sz w:val="44"/>
          <w:szCs w:val="44"/>
          <w:shd w:val="clear" w:color="auto" w:fill="FFFFFF"/>
          <w:lang w:eastAsia="zh-CN"/>
        </w:rPr>
      </w:pPr>
      <w:r>
        <w:rPr>
          <w:rFonts w:hint="eastAsia" w:ascii="方正小标宋简体" w:hAnsi="方正小标宋简体" w:eastAsia="方正小标宋简体" w:cs="方正小标宋简体"/>
          <w:bCs/>
          <w:color w:val="000000"/>
          <w:kern w:val="44"/>
          <w:sz w:val="44"/>
          <w:szCs w:val="44"/>
          <w:shd w:val="clear" w:color="auto" w:fill="FFFFFF"/>
          <w:lang w:eastAsia="zh-CN"/>
        </w:rPr>
        <w:t>珠海高新技术产业开发区202</w:t>
      </w:r>
      <w:r>
        <w:rPr>
          <w:rFonts w:hint="eastAsia" w:ascii="方正小标宋简体" w:hAnsi="方正小标宋简体" w:eastAsia="方正小标宋简体" w:cs="方正小标宋简体"/>
          <w:bCs/>
          <w:color w:val="000000"/>
          <w:kern w:val="44"/>
          <w:sz w:val="44"/>
          <w:szCs w:val="44"/>
          <w:shd w:val="clear" w:color="auto" w:fill="FFFFFF"/>
          <w:lang w:val="en-US" w:eastAsia="zh-CN"/>
        </w:rPr>
        <w:t>3</w:t>
      </w:r>
      <w:r>
        <w:rPr>
          <w:rFonts w:hint="eastAsia" w:ascii="方正小标宋简体" w:hAnsi="方正小标宋简体" w:eastAsia="方正小标宋简体" w:cs="方正小标宋简体"/>
          <w:bCs/>
          <w:color w:val="000000"/>
          <w:kern w:val="44"/>
          <w:sz w:val="44"/>
          <w:szCs w:val="44"/>
          <w:shd w:val="clear" w:color="auto" w:fill="FFFFFF"/>
          <w:lang w:eastAsia="zh-CN"/>
        </w:rPr>
        <w:t>年民营企业“法治体检”专项法律服务项目</w:t>
      </w:r>
    </w:p>
    <w:p>
      <w:pPr>
        <w:jc w:val="center"/>
        <w:rPr>
          <w:rFonts w:hint="eastAsia" w:ascii="方正小标宋简体" w:hAnsi="方正小标宋简体" w:eastAsia="方正小标宋简体" w:cs="方正小标宋简体"/>
          <w:bCs/>
          <w:color w:val="000000"/>
          <w:kern w:val="44"/>
          <w:sz w:val="44"/>
          <w:szCs w:val="44"/>
          <w:shd w:val="clear" w:color="auto" w:fill="FFFFFF"/>
        </w:rPr>
      </w:pPr>
      <w:r>
        <w:rPr>
          <w:rFonts w:hint="eastAsia" w:ascii="方正小标宋简体" w:hAnsi="方正小标宋简体" w:eastAsia="方正小标宋简体" w:cs="方正小标宋简体"/>
          <w:bCs/>
          <w:color w:val="000000"/>
          <w:kern w:val="44"/>
          <w:sz w:val="44"/>
          <w:szCs w:val="44"/>
          <w:shd w:val="clear" w:color="auto" w:fill="FFFFFF"/>
          <w:lang w:eastAsia="zh-CN"/>
        </w:rPr>
        <w:t>招标</w:t>
      </w:r>
      <w:r>
        <w:rPr>
          <w:rFonts w:hint="eastAsia" w:ascii="方正小标宋简体" w:hAnsi="方正小标宋简体" w:eastAsia="方正小标宋简体" w:cs="方正小标宋简体"/>
          <w:bCs/>
          <w:color w:val="000000"/>
          <w:kern w:val="44"/>
          <w:sz w:val="44"/>
          <w:szCs w:val="44"/>
          <w:shd w:val="clear" w:color="auto" w:fill="FFFFFF"/>
        </w:rPr>
        <w:t>评分细则</w:t>
      </w:r>
    </w:p>
    <w:p>
      <w:pPr>
        <w:jc w:val="center"/>
        <w:rPr>
          <w:rFonts w:hint="eastAsia" w:ascii="方正小标宋简体" w:hAnsi="方正小标宋简体" w:eastAsia="方正小标宋简体" w:cs="方正小标宋简体"/>
          <w:bCs/>
          <w:color w:val="000000"/>
          <w:kern w:val="44"/>
          <w:sz w:val="44"/>
          <w:szCs w:val="44"/>
          <w:shd w:val="clear" w:color="auto" w:fill="FFFFFF"/>
        </w:rPr>
      </w:pPr>
    </w:p>
    <w:tbl>
      <w:tblPr>
        <w:tblStyle w:val="5"/>
        <w:tblW w:w="8930" w:type="dxa"/>
        <w:tblInd w:w="2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1198" w:hRule="atLeast"/>
        </w:trPr>
        <w:tc>
          <w:tcPr>
            <w:tcW w:w="8930" w:type="dxa"/>
            <w:tcBorders>
              <w:top w:val="single" w:color="auto" w:sz="6" w:space="0"/>
              <w:left w:val="single" w:color="auto" w:sz="4" w:space="0"/>
              <w:bottom w:val="single" w:color="auto" w:sz="4" w:space="0"/>
              <w:right w:val="single" w:color="auto" w:sz="4" w:space="0"/>
            </w:tcBorders>
            <w:vAlign w:val="center"/>
          </w:tcPr>
          <w:p>
            <w:pPr>
              <w:spacing w:line="360" w:lineRule="auto"/>
              <w:rPr>
                <w:rFonts w:ascii="Arial" w:hAnsi="宋体"/>
              </w:rPr>
            </w:pPr>
            <w:r>
              <w:rPr>
                <w:rFonts w:ascii="Arial" w:hAnsi="宋体"/>
              </w:rPr>
              <w:t>适用，采用</w:t>
            </w:r>
            <w:r>
              <w:rPr>
                <w:rFonts w:ascii="Arial" w:hAnsi="Arial"/>
                <w:b/>
              </w:rPr>
              <w:t>综合评分法</w:t>
            </w:r>
            <w:r>
              <w:rPr>
                <w:rFonts w:ascii="Arial" w:hAnsi="宋体"/>
              </w:rPr>
              <w:t>方法进行评审。</w:t>
            </w:r>
          </w:p>
          <w:p>
            <w:pPr>
              <w:spacing w:after="156" w:afterLines="50" w:line="360" w:lineRule="auto"/>
              <w:rPr>
                <w:rFonts w:ascii="Arial" w:hAnsi="宋体"/>
              </w:rPr>
            </w:pPr>
            <w:r>
              <w:rPr>
                <w:rFonts w:ascii="Arial" w:hAnsi="宋体"/>
              </w:rPr>
              <w:t>评价指标及</w:t>
            </w:r>
            <w:r>
              <w:rPr>
                <w:rFonts w:hint="eastAsia" w:ascii="Arial" w:hAnsi="宋体"/>
              </w:rPr>
              <w:t>分值</w:t>
            </w:r>
            <w:r>
              <w:rPr>
                <w:rFonts w:ascii="Arial" w:hAnsi="宋体"/>
              </w:rPr>
              <w:t>：</w:t>
            </w:r>
          </w:p>
          <w:tbl>
            <w:tblPr>
              <w:tblStyle w:val="5"/>
              <w:tblW w:w="5245" w:type="dxa"/>
              <w:tblInd w:w="1631" w:type="dxa"/>
              <w:tblLayout w:type="fixed"/>
              <w:tblCellMar>
                <w:top w:w="0" w:type="dxa"/>
                <w:left w:w="108" w:type="dxa"/>
                <w:bottom w:w="0" w:type="dxa"/>
                <w:right w:w="108" w:type="dxa"/>
              </w:tblCellMar>
            </w:tblPr>
            <w:tblGrid>
              <w:gridCol w:w="3402"/>
              <w:gridCol w:w="1843"/>
            </w:tblGrid>
            <w:tr>
              <w:tblPrEx>
                <w:tblCellMar>
                  <w:top w:w="0" w:type="dxa"/>
                  <w:left w:w="108" w:type="dxa"/>
                  <w:bottom w:w="0" w:type="dxa"/>
                  <w:right w:w="108" w:type="dxa"/>
                </w:tblCellMar>
              </w:tblPrEx>
              <w:trPr>
                <w:trHeight w:val="98" w:hRule="atLeast"/>
              </w:trPr>
              <w:tc>
                <w:tcPr>
                  <w:tcW w:w="3402"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520" w:lineRule="exact"/>
                    <w:jc w:val="center"/>
                    <w:rPr>
                      <w:rFonts w:ascii="宋体" w:hAnsi="宋体" w:cs="宋体"/>
                      <w:kern w:val="0"/>
                      <w:szCs w:val="21"/>
                    </w:rPr>
                  </w:pPr>
                  <w:r>
                    <w:rPr>
                      <w:rFonts w:hint="eastAsia" w:ascii="宋体" w:hAnsi="宋体" w:cs="宋体"/>
                      <w:kern w:val="0"/>
                      <w:szCs w:val="21"/>
                    </w:rPr>
                    <w:t>评标指标</w:t>
                  </w:r>
                </w:p>
              </w:tc>
              <w:tc>
                <w:tcPr>
                  <w:tcW w:w="1843" w:type="dxa"/>
                  <w:tcBorders>
                    <w:top w:val="single" w:color="auto" w:sz="8" w:space="0"/>
                    <w:left w:val="nil"/>
                    <w:bottom w:val="single" w:color="auto" w:sz="8" w:space="0"/>
                    <w:right w:val="single" w:color="auto" w:sz="8" w:space="0"/>
                  </w:tcBorders>
                  <w:shd w:val="clear" w:color="auto" w:fill="auto"/>
                </w:tcPr>
                <w:p>
                  <w:pPr>
                    <w:widowControl/>
                    <w:spacing w:line="520" w:lineRule="exact"/>
                    <w:jc w:val="center"/>
                    <w:rPr>
                      <w:rFonts w:ascii="宋体" w:hAnsi="宋体" w:cs="宋体"/>
                      <w:kern w:val="0"/>
                      <w:szCs w:val="21"/>
                    </w:rPr>
                  </w:pPr>
                  <w:r>
                    <w:rPr>
                      <w:rFonts w:hint="eastAsia" w:ascii="宋体" w:hAnsi="宋体" w:cs="宋体"/>
                      <w:kern w:val="0"/>
                      <w:szCs w:val="21"/>
                    </w:rPr>
                    <w:t>分值</w:t>
                  </w:r>
                </w:p>
              </w:tc>
            </w:tr>
            <w:tr>
              <w:tblPrEx>
                <w:tblCellMar>
                  <w:top w:w="0" w:type="dxa"/>
                  <w:left w:w="108" w:type="dxa"/>
                  <w:bottom w:w="0" w:type="dxa"/>
                  <w:right w:w="108" w:type="dxa"/>
                </w:tblCellMar>
              </w:tblPrEx>
              <w:trPr>
                <w:trHeight w:val="98" w:hRule="atLeast"/>
              </w:trPr>
              <w:tc>
                <w:tcPr>
                  <w:tcW w:w="3402"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520" w:lineRule="exact"/>
                    <w:jc w:val="center"/>
                    <w:rPr>
                      <w:rFonts w:ascii="宋体" w:hAnsi="宋体" w:cs="宋体"/>
                      <w:kern w:val="0"/>
                      <w:szCs w:val="21"/>
                    </w:rPr>
                  </w:pPr>
                  <w:r>
                    <w:rPr>
                      <w:rFonts w:hint="eastAsia" w:ascii="Calibri" w:hAnsi="Calibri"/>
                      <w:szCs w:val="20"/>
                    </w:rPr>
                    <w:t>综合情况</w:t>
                  </w:r>
                </w:p>
              </w:tc>
              <w:tc>
                <w:tcPr>
                  <w:tcW w:w="1843" w:type="dxa"/>
                  <w:tcBorders>
                    <w:top w:val="single" w:color="auto" w:sz="8" w:space="0"/>
                    <w:left w:val="nil"/>
                    <w:bottom w:val="single" w:color="auto" w:sz="8" w:space="0"/>
                    <w:right w:val="single" w:color="auto" w:sz="8" w:space="0"/>
                  </w:tcBorders>
                  <w:shd w:val="clear" w:color="auto" w:fill="auto"/>
                </w:tcPr>
                <w:p>
                  <w:pPr>
                    <w:widowControl/>
                    <w:spacing w:line="520" w:lineRule="exact"/>
                    <w:jc w:val="center"/>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0</w:t>
                  </w:r>
                </w:p>
              </w:tc>
            </w:tr>
            <w:tr>
              <w:tblPrEx>
                <w:tblCellMar>
                  <w:top w:w="0" w:type="dxa"/>
                  <w:left w:w="108" w:type="dxa"/>
                  <w:bottom w:w="0" w:type="dxa"/>
                  <w:right w:w="108" w:type="dxa"/>
                </w:tblCellMar>
              </w:tblPrEx>
              <w:trPr>
                <w:trHeight w:val="98" w:hRule="atLeast"/>
              </w:trPr>
              <w:tc>
                <w:tcPr>
                  <w:tcW w:w="3402"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520" w:lineRule="exact"/>
                    <w:jc w:val="center"/>
                    <w:rPr>
                      <w:rFonts w:ascii="Calibri" w:hAnsi="Calibri"/>
                      <w:szCs w:val="20"/>
                    </w:rPr>
                  </w:pPr>
                  <w:r>
                    <w:rPr>
                      <w:rFonts w:hint="eastAsia" w:ascii="Calibri" w:hAnsi="Calibri"/>
                      <w:szCs w:val="20"/>
                    </w:rPr>
                    <w:t>服务方案</w:t>
                  </w:r>
                </w:p>
              </w:tc>
              <w:tc>
                <w:tcPr>
                  <w:tcW w:w="1843" w:type="dxa"/>
                  <w:tcBorders>
                    <w:top w:val="single" w:color="auto" w:sz="8" w:space="0"/>
                    <w:left w:val="nil"/>
                    <w:bottom w:val="single" w:color="auto" w:sz="8" w:space="0"/>
                    <w:right w:val="single" w:color="auto" w:sz="8" w:space="0"/>
                  </w:tcBorders>
                  <w:shd w:val="clear" w:color="auto" w:fill="auto"/>
                  <w:vAlign w:val="center"/>
                </w:tcPr>
                <w:p>
                  <w:pPr>
                    <w:widowControl/>
                    <w:spacing w:line="52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25</w:t>
                  </w:r>
                </w:p>
              </w:tc>
            </w:tr>
            <w:tr>
              <w:tblPrEx>
                <w:tblCellMar>
                  <w:top w:w="0" w:type="dxa"/>
                  <w:left w:w="108" w:type="dxa"/>
                  <w:bottom w:w="0" w:type="dxa"/>
                  <w:right w:w="108" w:type="dxa"/>
                </w:tblCellMar>
              </w:tblPrEx>
              <w:trPr>
                <w:trHeight w:val="98" w:hRule="atLeast"/>
              </w:trPr>
              <w:tc>
                <w:tcPr>
                  <w:tcW w:w="3402"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520" w:lineRule="exact"/>
                    <w:jc w:val="center"/>
                    <w:rPr>
                      <w:rFonts w:ascii="Calibri" w:hAnsi="Calibri"/>
                      <w:szCs w:val="20"/>
                    </w:rPr>
                  </w:pPr>
                  <w:r>
                    <w:rPr>
                      <w:rFonts w:hint="eastAsia" w:ascii="Calibri" w:hAnsi="Calibri"/>
                      <w:szCs w:val="20"/>
                    </w:rPr>
                    <w:t>人员配备</w:t>
                  </w:r>
                </w:p>
              </w:tc>
              <w:tc>
                <w:tcPr>
                  <w:tcW w:w="1843" w:type="dxa"/>
                  <w:tcBorders>
                    <w:top w:val="single" w:color="auto" w:sz="8" w:space="0"/>
                    <w:left w:val="nil"/>
                    <w:bottom w:val="single" w:color="auto" w:sz="8" w:space="0"/>
                    <w:right w:val="single" w:color="auto" w:sz="8" w:space="0"/>
                  </w:tcBorders>
                  <w:shd w:val="clear" w:color="auto" w:fill="auto"/>
                  <w:vAlign w:val="center"/>
                </w:tcPr>
                <w:p>
                  <w:pPr>
                    <w:widowControl/>
                    <w:spacing w:line="520" w:lineRule="exact"/>
                    <w:jc w:val="center"/>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0</w:t>
                  </w:r>
                </w:p>
              </w:tc>
            </w:tr>
            <w:tr>
              <w:tblPrEx>
                <w:tblCellMar>
                  <w:top w:w="0" w:type="dxa"/>
                  <w:left w:w="108" w:type="dxa"/>
                  <w:bottom w:w="0" w:type="dxa"/>
                  <w:right w:w="108" w:type="dxa"/>
                </w:tblCellMar>
              </w:tblPrEx>
              <w:trPr>
                <w:trHeight w:val="98" w:hRule="atLeast"/>
              </w:trPr>
              <w:tc>
                <w:tcPr>
                  <w:tcW w:w="3402"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520" w:lineRule="exact"/>
                    <w:jc w:val="center"/>
                    <w:rPr>
                      <w:rFonts w:ascii="Calibri" w:hAnsi="Calibri"/>
                      <w:szCs w:val="20"/>
                    </w:rPr>
                  </w:pPr>
                  <w:r>
                    <w:rPr>
                      <w:rFonts w:hint="eastAsia" w:ascii="Calibri" w:hAnsi="Calibri"/>
                      <w:szCs w:val="20"/>
                    </w:rPr>
                    <w:t>相关业绩</w:t>
                  </w:r>
                </w:p>
              </w:tc>
              <w:tc>
                <w:tcPr>
                  <w:tcW w:w="1843" w:type="dxa"/>
                  <w:tcBorders>
                    <w:top w:val="single" w:color="auto" w:sz="8" w:space="0"/>
                    <w:left w:val="nil"/>
                    <w:bottom w:val="single" w:color="auto" w:sz="8" w:space="0"/>
                    <w:right w:val="single" w:color="auto" w:sz="8" w:space="0"/>
                  </w:tcBorders>
                  <w:shd w:val="clear" w:color="auto" w:fill="auto"/>
                  <w:vAlign w:val="center"/>
                </w:tcPr>
                <w:p>
                  <w:pPr>
                    <w:widowControl/>
                    <w:spacing w:line="520" w:lineRule="exact"/>
                    <w:jc w:val="center"/>
                    <w:rPr>
                      <w:rFonts w:hint="default" w:ascii="宋体" w:hAnsi="宋体" w:cs="宋体"/>
                      <w:kern w:val="0"/>
                      <w:szCs w:val="21"/>
                      <w:lang w:val="en-US"/>
                    </w:rPr>
                  </w:pPr>
                  <w:r>
                    <w:rPr>
                      <w:rFonts w:hint="eastAsia" w:ascii="宋体" w:hAnsi="宋体" w:cs="宋体"/>
                      <w:kern w:val="0"/>
                      <w:szCs w:val="21"/>
                      <w:lang w:val="en-US" w:eastAsia="zh-CN"/>
                    </w:rPr>
                    <w:t>45</w:t>
                  </w:r>
                </w:p>
              </w:tc>
            </w:tr>
            <w:tr>
              <w:tblPrEx>
                <w:tblCellMar>
                  <w:top w:w="0" w:type="dxa"/>
                  <w:left w:w="108" w:type="dxa"/>
                  <w:bottom w:w="0" w:type="dxa"/>
                  <w:right w:w="108" w:type="dxa"/>
                </w:tblCellMar>
              </w:tblPrEx>
              <w:trPr>
                <w:trHeight w:val="98" w:hRule="atLeast"/>
              </w:trPr>
              <w:tc>
                <w:tcPr>
                  <w:tcW w:w="3402"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520" w:lineRule="exact"/>
                    <w:jc w:val="center"/>
                    <w:rPr>
                      <w:rFonts w:ascii="宋体" w:hAnsi="宋体" w:cs="宋体"/>
                      <w:kern w:val="0"/>
                      <w:szCs w:val="21"/>
                    </w:rPr>
                  </w:pPr>
                  <w:r>
                    <w:rPr>
                      <w:rFonts w:hint="eastAsia" w:ascii="宋体" w:hAnsi="宋体" w:cs="宋体"/>
                      <w:kern w:val="0"/>
                      <w:szCs w:val="21"/>
                    </w:rPr>
                    <w:t>合  计</w:t>
                  </w:r>
                </w:p>
              </w:tc>
              <w:tc>
                <w:tcPr>
                  <w:tcW w:w="1843" w:type="dxa"/>
                  <w:tcBorders>
                    <w:top w:val="nil"/>
                    <w:left w:val="nil"/>
                    <w:bottom w:val="single" w:color="auto" w:sz="8" w:space="0"/>
                    <w:right w:val="single" w:color="auto" w:sz="8" w:space="0"/>
                  </w:tcBorders>
                  <w:shd w:val="clear" w:color="auto" w:fill="auto"/>
                </w:tcPr>
                <w:p>
                  <w:pPr>
                    <w:widowControl/>
                    <w:spacing w:line="520" w:lineRule="exact"/>
                    <w:jc w:val="center"/>
                    <w:rPr>
                      <w:rFonts w:ascii="宋体" w:hAnsi="宋体" w:cs="宋体"/>
                      <w:kern w:val="0"/>
                      <w:szCs w:val="21"/>
                    </w:rPr>
                  </w:pPr>
                  <w:r>
                    <w:rPr>
                      <w:rFonts w:hint="eastAsia" w:ascii="宋体" w:hAnsi="宋体" w:cs="宋体"/>
                      <w:kern w:val="0"/>
                      <w:szCs w:val="21"/>
                    </w:rPr>
                    <w:t>100</w:t>
                  </w:r>
                </w:p>
              </w:tc>
            </w:tr>
          </w:tbl>
          <w:p>
            <w:pPr>
              <w:spacing w:before="312" w:beforeLines="100" w:after="156" w:afterLines="50" w:line="360" w:lineRule="auto"/>
              <w:rPr>
                <w:rFonts w:ascii="Arial" w:hAnsi="宋体"/>
              </w:rPr>
            </w:pPr>
            <w:r>
              <w:rPr>
                <w:rFonts w:hint="eastAsia" w:ascii="Arial" w:hAnsi="宋体"/>
              </w:rPr>
              <w:t>商务技术标</w:t>
            </w:r>
            <w:r>
              <w:rPr>
                <w:rFonts w:ascii="Arial" w:hAnsi="宋体"/>
              </w:rPr>
              <w:t>评标分项细则</w:t>
            </w:r>
            <w:r>
              <w:rPr>
                <w:rFonts w:hint="eastAsia" w:ascii="Arial" w:hAnsi="宋体"/>
              </w:rPr>
              <w:t>：</w:t>
            </w:r>
          </w:p>
          <w:tbl>
            <w:tblPr>
              <w:tblStyle w:val="5"/>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50"/>
              <w:gridCol w:w="993"/>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2681" w:type="dxa"/>
                  <w:gridSpan w:val="3"/>
                  <w:vAlign w:val="center"/>
                </w:tcPr>
                <w:p>
                  <w:pPr>
                    <w:spacing w:line="360" w:lineRule="auto"/>
                    <w:jc w:val="center"/>
                    <w:rPr>
                      <w:rFonts w:ascii="宋体" w:hAnsi="宋体"/>
                      <w:b/>
                      <w:szCs w:val="21"/>
                    </w:rPr>
                  </w:pPr>
                  <w:r>
                    <w:rPr>
                      <w:rFonts w:hint="eastAsia" w:ascii="宋体" w:hAnsi="宋体"/>
                      <w:b/>
                      <w:szCs w:val="21"/>
                    </w:rPr>
                    <w:t>评审内容及分值</w:t>
                  </w:r>
                </w:p>
              </w:tc>
              <w:tc>
                <w:tcPr>
                  <w:tcW w:w="5940" w:type="dxa"/>
                  <w:vAlign w:val="center"/>
                </w:tcPr>
                <w:p>
                  <w:pPr>
                    <w:spacing w:line="360" w:lineRule="auto"/>
                    <w:jc w:val="center"/>
                    <w:rPr>
                      <w:rFonts w:ascii="宋体" w:hAnsi="宋体"/>
                      <w:b/>
                      <w:szCs w:val="21"/>
                    </w:rPr>
                  </w:pPr>
                  <w:r>
                    <w:rPr>
                      <w:rFonts w:hint="eastAsia" w:ascii="宋体" w:hAnsi="宋体"/>
                      <w:b/>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838" w:type="dxa"/>
                  <w:vMerge w:val="restart"/>
                  <w:vAlign w:val="center"/>
                </w:tcPr>
                <w:p>
                  <w:pPr>
                    <w:rPr>
                      <w:rFonts w:ascii="宋体" w:hAnsi="宋体"/>
                      <w:szCs w:val="21"/>
                    </w:rPr>
                  </w:pPr>
                  <w:r>
                    <w:rPr>
                      <w:rFonts w:hint="eastAsia" w:ascii="宋体" w:hAnsi="宋体"/>
                      <w:szCs w:val="21"/>
                    </w:rPr>
                    <w:t>社会组织指标（100分）</w:t>
                  </w:r>
                </w:p>
                <w:p>
                  <w:pPr>
                    <w:jc w:val="center"/>
                    <w:rPr>
                      <w:rFonts w:ascii="宋体" w:hAnsi="宋体"/>
                      <w:kern w:val="0"/>
                      <w:szCs w:val="21"/>
                    </w:rPr>
                  </w:pPr>
                </w:p>
                <w:p>
                  <w:pPr>
                    <w:jc w:val="center"/>
                    <w:rPr>
                      <w:rFonts w:ascii="宋体" w:hAnsi="宋体"/>
                      <w:szCs w:val="21"/>
                    </w:rPr>
                  </w:pPr>
                </w:p>
              </w:tc>
              <w:tc>
                <w:tcPr>
                  <w:tcW w:w="850" w:type="dxa"/>
                  <w:vAlign w:val="center"/>
                </w:tcPr>
                <w:p>
                  <w:pPr>
                    <w:jc w:val="center"/>
                    <w:rPr>
                      <w:rFonts w:ascii="宋体" w:hAnsi="宋体" w:cs="宋体"/>
                      <w:szCs w:val="21"/>
                    </w:rPr>
                  </w:pPr>
                  <w:r>
                    <w:rPr>
                      <w:rFonts w:hint="eastAsia" w:ascii="宋体" w:hAnsi="宋体"/>
                      <w:szCs w:val="18"/>
                    </w:rPr>
                    <w:t>综合实力情况</w:t>
                  </w:r>
                </w:p>
              </w:tc>
              <w:tc>
                <w:tcPr>
                  <w:tcW w:w="993" w:type="dxa"/>
                  <w:shd w:val="clear" w:color="auto" w:fill="auto"/>
                  <w:vAlign w:val="center"/>
                </w:tcPr>
                <w:p>
                  <w:pPr>
                    <w:jc w:val="center"/>
                    <w:rPr>
                      <w:rFonts w:ascii="宋体" w:hAnsi="宋体" w:cs="宋体"/>
                      <w:szCs w:val="21"/>
                    </w:rPr>
                  </w:pPr>
                  <w:r>
                    <w:rPr>
                      <w:rFonts w:hint="eastAsia" w:ascii="宋体" w:hAnsi="宋体"/>
                      <w:szCs w:val="21"/>
                      <w:lang w:val="en-US" w:eastAsia="zh-CN"/>
                    </w:rPr>
                    <w:t>1</w:t>
                  </w:r>
                  <w:r>
                    <w:rPr>
                      <w:rFonts w:hint="eastAsia" w:ascii="宋体" w:hAnsi="宋体"/>
                      <w:szCs w:val="21"/>
                    </w:rPr>
                    <w:t>0</w:t>
                  </w:r>
                </w:p>
              </w:tc>
              <w:tc>
                <w:tcPr>
                  <w:tcW w:w="5940" w:type="dxa"/>
                  <w:shd w:val="clear" w:color="auto" w:fill="auto"/>
                </w:tcPr>
                <w:p>
                  <w:pPr>
                    <w:spacing w:line="360" w:lineRule="auto"/>
                    <w:rPr>
                      <w:rFonts w:ascii="宋体" w:hAnsi="宋体" w:cs="宋体"/>
                      <w:szCs w:val="21"/>
                    </w:rPr>
                  </w:pPr>
                  <w:r>
                    <w:rPr>
                      <w:rFonts w:hint="eastAsia" w:ascii="宋体" w:hAnsi="宋体"/>
                      <w:szCs w:val="18"/>
                    </w:rPr>
                    <w:t>对投标人综合情况（实力、规模、注册地点）等进行横向比较评分：较优的，得</w:t>
                  </w:r>
                  <w:r>
                    <w:rPr>
                      <w:rFonts w:hint="eastAsia" w:ascii="宋体" w:hAnsi="宋体"/>
                      <w:szCs w:val="18"/>
                      <w:lang w:val="en-US" w:eastAsia="zh-CN"/>
                    </w:rPr>
                    <w:t>9-10</w:t>
                  </w:r>
                  <w:r>
                    <w:rPr>
                      <w:rFonts w:hint="eastAsia" w:ascii="宋体" w:hAnsi="宋体"/>
                      <w:szCs w:val="18"/>
                    </w:rPr>
                    <w:t>分；良好的，得</w:t>
                  </w:r>
                  <w:r>
                    <w:rPr>
                      <w:rFonts w:hint="eastAsia" w:ascii="宋体" w:hAnsi="宋体"/>
                      <w:szCs w:val="18"/>
                      <w:lang w:val="en-US" w:eastAsia="zh-CN"/>
                    </w:rPr>
                    <w:t>6-8</w:t>
                  </w:r>
                  <w:r>
                    <w:rPr>
                      <w:rFonts w:hint="eastAsia" w:ascii="宋体" w:hAnsi="宋体"/>
                      <w:szCs w:val="18"/>
                    </w:rPr>
                    <w:t>分；一般的，得</w:t>
                  </w:r>
                  <w:r>
                    <w:rPr>
                      <w:rFonts w:hint="eastAsia" w:ascii="宋体" w:hAnsi="宋体"/>
                      <w:szCs w:val="18"/>
                      <w:lang w:val="en-US" w:eastAsia="zh-CN"/>
                    </w:rPr>
                    <w:t>3-5</w:t>
                  </w:r>
                  <w:r>
                    <w:rPr>
                      <w:rFonts w:hint="eastAsia" w:ascii="宋体" w:hAnsi="宋体"/>
                      <w:szCs w:val="18"/>
                    </w:rPr>
                    <w:t>分；较差的，得</w:t>
                  </w:r>
                  <w:r>
                    <w:rPr>
                      <w:rFonts w:hint="eastAsia" w:ascii="宋体" w:hAnsi="宋体"/>
                      <w:szCs w:val="18"/>
                      <w:lang w:val="en-US" w:eastAsia="zh-CN"/>
                    </w:rPr>
                    <w:t>1-2</w:t>
                  </w:r>
                  <w:r>
                    <w:rPr>
                      <w:rFonts w:hint="eastAsia" w:ascii="宋体" w:hAnsi="宋体"/>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838" w:type="dxa"/>
                  <w:vMerge w:val="continue"/>
                  <w:vAlign w:val="center"/>
                </w:tcPr>
                <w:p>
                  <w:pPr>
                    <w:rPr>
                      <w:rFonts w:ascii="宋体" w:hAnsi="宋体"/>
                      <w:szCs w:val="21"/>
                    </w:rPr>
                  </w:pPr>
                </w:p>
              </w:tc>
              <w:tc>
                <w:tcPr>
                  <w:tcW w:w="850" w:type="dxa"/>
                  <w:vAlign w:val="center"/>
                </w:tcPr>
                <w:p>
                  <w:pPr>
                    <w:jc w:val="center"/>
                    <w:rPr>
                      <w:rFonts w:ascii="宋体" w:hAnsi="宋体"/>
                      <w:szCs w:val="18"/>
                    </w:rPr>
                  </w:pPr>
                  <w:r>
                    <w:rPr>
                      <w:rFonts w:hint="eastAsia" w:ascii="宋体" w:hAnsi="宋体"/>
                      <w:szCs w:val="18"/>
                    </w:rPr>
                    <w:t>服务</w:t>
                  </w:r>
                </w:p>
                <w:p>
                  <w:pPr>
                    <w:jc w:val="center"/>
                    <w:rPr>
                      <w:rFonts w:ascii="宋体" w:hAnsi="宋体"/>
                      <w:szCs w:val="18"/>
                    </w:rPr>
                  </w:pPr>
                  <w:r>
                    <w:rPr>
                      <w:rFonts w:hint="eastAsia" w:ascii="宋体" w:hAnsi="宋体"/>
                      <w:szCs w:val="18"/>
                    </w:rPr>
                    <w:t>方案</w:t>
                  </w:r>
                </w:p>
              </w:tc>
              <w:tc>
                <w:tcPr>
                  <w:tcW w:w="993"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25</w:t>
                  </w:r>
                </w:p>
              </w:tc>
              <w:tc>
                <w:tcPr>
                  <w:tcW w:w="5940" w:type="dxa"/>
                  <w:shd w:val="clear" w:color="auto" w:fill="auto"/>
                </w:tcPr>
                <w:p>
                  <w:pPr>
                    <w:widowControl/>
                    <w:spacing w:before="156" w:beforeLines="50" w:line="400" w:lineRule="exact"/>
                    <w:rPr>
                      <w:rFonts w:hint="eastAsia" w:ascii="宋体" w:hAnsi="宋体"/>
                      <w:szCs w:val="18"/>
                    </w:rPr>
                  </w:pPr>
                  <w:r>
                    <w:rPr>
                      <w:rFonts w:hint="eastAsia" w:ascii="宋体" w:hAnsi="宋体" w:cs="宋体"/>
                      <w:kern w:val="0"/>
                      <w:szCs w:val="21"/>
                    </w:rPr>
                    <w:t>依据服务方案</w:t>
                  </w:r>
                  <w:r>
                    <w:rPr>
                      <w:rFonts w:hint="eastAsia" w:ascii="宋体" w:hAnsi="宋体"/>
                      <w:szCs w:val="18"/>
                      <w:highlight w:val="none"/>
                    </w:rPr>
                    <w:t>从</w:t>
                  </w:r>
                  <w:r>
                    <w:rPr>
                      <w:rFonts w:hint="eastAsia" w:ascii="宋体" w:hAnsi="宋体"/>
                      <w:szCs w:val="18"/>
                      <w:highlight w:val="none"/>
                      <w:lang w:eastAsia="zh-CN"/>
                    </w:rPr>
                    <w:t>预期目标、反馈工作、保密措施</w:t>
                  </w:r>
                  <w:r>
                    <w:rPr>
                      <w:rFonts w:hint="eastAsia" w:ascii="宋体" w:hAnsi="宋体" w:cs="宋体"/>
                      <w:kern w:val="0"/>
                      <w:szCs w:val="21"/>
                      <w:lang w:eastAsia="zh-CN"/>
                    </w:rPr>
                    <w:t>等</w:t>
                  </w:r>
                  <w:r>
                    <w:rPr>
                      <w:rFonts w:hint="eastAsia" w:ascii="宋体" w:hAnsi="宋体" w:cs="宋体"/>
                      <w:kern w:val="0"/>
                      <w:szCs w:val="21"/>
                    </w:rPr>
                    <w:t>相关内容进行评分</w:t>
                  </w:r>
                  <w:r>
                    <w:rPr>
                      <w:rFonts w:hint="eastAsia" w:ascii="宋体" w:hAnsi="宋体"/>
                      <w:szCs w:val="18"/>
                    </w:rPr>
                    <w:t>：</w:t>
                  </w:r>
                </w:p>
                <w:p>
                  <w:pPr>
                    <w:spacing w:line="360" w:lineRule="auto"/>
                    <w:rPr>
                      <w:rFonts w:hint="eastAsia" w:ascii="宋体" w:hAnsi="宋体" w:eastAsia="宋体" w:cs="宋体"/>
                      <w:kern w:val="0"/>
                      <w:szCs w:val="21"/>
                      <w:lang w:eastAsia="zh-CN"/>
                    </w:rPr>
                  </w:pPr>
                  <w:r>
                    <w:rPr>
                      <w:rFonts w:hint="eastAsia" w:ascii="宋体" w:hAnsi="宋体" w:cs="宋体"/>
                      <w:b/>
                      <w:kern w:val="0"/>
                      <w:szCs w:val="21"/>
                    </w:rPr>
                    <w:t>优（20-25分）：</w:t>
                  </w:r>
                  <w:r>
                    <w:rPr>
                      <w:rFonts w:hint="eastAsia" w:ascii="宋体" w:hAnsi="宋体" w:cs="宋体"/>
                      <w:kern w:val="0"/>
                      <w:szCs w:val="21"/>
                    </w:rPr>
                    <w:t>有详细、合理可行的服务方案，熟练掌握知识产权、商业秘密保护、跨境法律冲突、劳动法等相关法律法规，服务企业预期目标具有可操作性，与采购单位反馈沟通方案完善，在服务过程中对了解的信息所采取的保密措施具有可操作性，对本项目的组织安排、服务质量管理有深刻理解</w:t>
                  </w:r>
                  <w:r>
                    <w:rPr>
                      <w:rFonts w:hint="eastAsia" w:ascii="宋体" w:hAnsi="宋体" w:cs="宋体"/>
                      <w:kern w:val="0"/>
                      <w:szCs w:val="21"/>
                      <w:lang w:eastAsia="zh-CN"/>
                    </w:rPr>
                    <w:t>。</w:t>
                  </w:r>
                </w:p>
                <w:p>
                  <w:pPr>
                    <w:spacing w:line="360" w:lineRule="auto"/>
                    <w:rPr>
                      <w:rFonts w:hint="eastAsia" w:ascii="宋体" w:hAnsi="宋体" w:cs="宋体"/>
                      <w:b w:val="0"/>
                      <w:bCs/>
                      <w:kern w:val="0"/>
                      <w:szCs w:val="21"/>
                      <w:lang w:val="en-US" w:eastAsia="zh-CN"/>
                    </w:rPr>
                  </w:pPr>
                  <w:r>
                    <w:rPr>
                      <w:rFonts w:hint="eastAsia" w:ascii="宋体" w:hAnsi="宋体" w:cs="宋体"/>
                      <w:b/>
                      <w:kern w:val="0"/>
                      <w:szCs w:val="21"/>
                      <w:lang w:val="en-US" w:eastAsia="zh-CN"/>
                    </w:rPr>
                    <w:t>良（15-19分）：</w:t>
                  </w:r>
                  <w:r>
                    <w:rPr>
                      <w:rFonts w:hint="eastAsia" w:ascii="宋体" w:hAnsi="宋体" w:cs="宋体"/>
                      <w:b w:val="0"/>
                      <w:bCs/>
                      <w:kern w:val="0"/>
                      <w:szCs w:val="21"/>
                      <w:lang w:val="en-US" w:eastAsia="zh-CN"/>
                    </w:rPr>
                    <w:t>服务方案较为详细、合理可行，对知识产权、商业秘密保护、跨境法律冲突、劳动法等相关法律法规掌握较为熟练，服务企业预期目标较有可操作性，与采购单位反馈沟通方案较为完善，在服务过程中对了解的信息所采取的保密措施较有可操作性，对本项目的组织安排、服务质量管理理解较为深刻。</w:t>
                  </w:r>
                </w:p>
                <w:p>
                  <w:pPr>
                    <w:spacing w:line="360" w:lineRule="auto"/>
                    <w:rPr>
                      <w:rFonts w:hint="eastAsia" w:ascii="宋体" w:hAnsi="宋体" w:cs="宋体"/>
                      <w:b w:val="0"/>
                      <w:bCs/>
                      <w:kern w:val="0"/>
                      <w:szCs w:val="21"/>
                      <w:lang w:val="en-US" w:eastAsia="zh-CN"/>
                    </w:rPr>
                  </w:pPr>
                  <w:r>
                    <w:rPr>
                      <w:rFonts w:hint="eastAsia" w:ascii="宋体" w:hAnsi="宋体" w:cs="宋体"/>
                      <w:b/>
                      <w:bCs w:val="0"/>
                      <w:kern w:val="0"/>
                      <w:szCs w:val="21"/>
                      <w:lang w:val="en-US" w:eastAsia="zh-CN"/>
                    </w:rPr>
                    <w:t>中（10-14分）：</w:t>
                  </w:r>
                  <w:r>
                    <w:rPr>
                      <w:rFonts w:hint="eastAsia" w:ascii="宋体" w:hAnsi="宋体" w:cs="宋体"/>
                      <w:b w:val="0"/>
                      <w:bCs/>
                      <w:kern w:val="0"/>
                      <w:szCs w:val="21"/>
                      <w:lang w:val="en-US" w:eastAsia="zh-CN"/>
                    </w:rPr>
                    <w:t>服务方案可行性一般，对知识产权、商业秘密保护、跨境法律冲突、劳动法等相关法律法规掌握一般，服务企业预期目标可操作性一般，与采购单位反馈沟通方案一般，在服务过程中对了解的信息所采取的保密措施操作性一般，对本项目的组织安排、服务质量管理理解一般。</w:t>
                  </w:r>
                </w:p>
                <w:p>
                  <w:pPr>
                    <w:spacing w:line="360" w:lineRule="auto"/>
                    <w:rPr>
                      <w:rFonts w:hint="eastAsia" w:ascii="宋体" w:hAnsi="宋体" w:cs="宋体"/>
                      <w:b w:val="0"/>
                      <w:bCs/>
                      <w:kern w:val="0"/>
                      <w:szCs w:val="21"/>
                      <w:lang w:val="en-US" w:eastAsia="zh-CN"/>
                    </w:rPr>
                  </w:pPr>
                  <w:r>
                    <w:rPr>
                      <w:rFonts w:hint="eastAsia" w:ascii="宋体" w:hAnsi="宋体" w:cs="宋体"/>
                      <w:b/>
                      <w:bCs w:val="0"/>
                      <w:kern w:val="0"/>
                      <w:szCs w:val="21"/>
                      <w:lang w:val="en-US" w:eastAsia="zh-CN"/>
                    </w:rPr>
                    <w:t>差（5-9分）：</w:t>
                  </w:r>
                  <w:r>
                    <w:rPr>
                      <w:rFonts w:hint="eastAsia" w:ascii="宋体" w:hAnsi="宋体" w:cs="宋体"/>
                      <w:b w:val="0"/>
                      <w:bCs/>
                      <w:kern w:val="0"/>
                      <w:szCs w:val="21"/>
                      <w:lang w:val="en-US" w:eastAsia="zh-CN"/>
                    </w:rPr>
                    <w:t>服务方案可行性差，对知识产权、商业秘密保护、跨境法律冲突、劳动法等相关法律法规掌握理解差，服务企业预期目标不具有可操作性，与采购单位反馈沟通方案较不完善，在服务过程中对了解的信息所采取的保密措施可操作性差，对本项目的组织安排、服务质量管理理解差。</w:t>
                  </w:r>
                </w:p>
                <w:p>
                  <w:pPr>
                    <w:spacing w:line="360" w:lineRule="auto"/>
                    <w:rPr>
                      <w:rFonts w:ascii="宋体" w:hAnsi="宋体"/>
                      <w:szCs w:val="18"/>
                    </w:rPr>
                  </w:pPr>
                  <w:r>
                    <w:rPr>
                      <w:rFonts w:hint="eastAsia" w:ascii="宋体" w:hAnsi="宋体" w:cs="宋体"/>
                      <w:b/>
                      <w:kern w:val="0"/>
                      <w:szCs w:val="21"/>
                    </w:rPr>
                    <w:t>注：</w:t>
                  </w:r>
                  <w:r>
                    <w:rPr>
                      <w:rFonts w:hint="eastAsia" w:ascii="宋体" w:hAnsi="宋体" w:cs="宋体"/>
                      <w:kern w:val="0"/>
                      <w:szCs w:val="21"/>
                    </w:rPr>
                    <w:t>投标人提供项目专业服务方案</w:t>
                  </w:r>
                  <w:r>
                    <w:rPr>
                      <w:rFonts w:hint="eastAsia" w:ascii="宋体" w:hAnsi="宋体" w:cs="宋体"/>
                      <w:kern w:val="0"/>
                      <w:szCs w:val="21"/>
                      <w:lang w:eastAsia="zh-CN"/>
                    </w:rPr>
                    <w:t>，要求投标人组建2-3人律师团队（不含实习律师或律师助理）；</w:t>
                  </w:r>
                  <w:r>
                    <w:rPr>
                      <w:rFonts w:hint="eastAsia" w:ascii="宋体" w:hAnsi="宋体"/>
                      <w:sz w:val="21"/>
                      <w:szCs w:val="21"/>
                      <w:lang w:eastAsia="zh-CN"/>
                    </w:rPr>
                    <w:t>未提供</w:t>
                  </w:r>
                  <w:r>
                    <w:rPr>
                      <w:rFonts w:hint="eastAsia" w:ascii="宋体" w:hAnsi="宋体"/>
                      <w:sz w:val="21"/>
                      <w:szCs w:val="21"/>
                      <w:lang w:val="en-US" w:eastAsia="zh-CN"/>
                    </w:rPr>
                    <w:t>方案</w:t>
                  </w:r>
                  <w:r>
                    <w:rPr>
                      <w:rFonts w:hint="eastAsia" w:ascii="宋体" w:hAnsi="宋体"/>
                      <w:sz w:val="21"/>
                      <w:szCs w:val="21"/>
                      <w:lang w:eastAsia="zh-CN"/>
                    </w:rPr>
                    <w:t>的不得分</w:t>
                  </w:r>
                  <w:r>
                    <w:rPr>
                      <w:rFonts w:hint="eastAsia" w:ascii="宋体" w:hAnsi="宋体"/>
                      <w:kern w:val="0"/>
                      <w:sz w:val="21"/>
                      <w:szCs w:val="21"/>
                      <w:lang w:eastAsia="zh-CN"/>
                    </w:rPr>
                    <w:t>；</w:t>
                  </w:r>
                  <w:r>
                    <w:rPr>
                      <w:rFonts w:hint="eastAsia" w:ascii="宋体" w:hAnsi="宋体" w:cs="宋体"/>
                      <w:kern w:val="0"/>
                      <w:szCs w:val="21"/>
                      <w:lang w:eastAsia="zh-CN"/>
                    </w:rPr>
                    <w:t>团队人数超过3人的，本项不得分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8" w:type="dxa"/>
                  <w:vMerge w:val="continue"/>
                  <w:vAlign w:val="center"/>
                </w:tcPr>
                <w:p>
                  <w:pPr>
                    <w:rPr>
                      <w:rFonts w:ascii="宋体" w:hAnsi="宋体"/>
                      <w:szCs w:val="21"/>
                    </w:rPr>
                  </w:pPr>
                </w:p>
              </w:tc>
              <w:tc>
                <w:tcPr>
                  <w:tcW w:w="850" w:type="dxa"/>
                  <w:vAlign w:val="center"/>
                </w:tcPr>
                <w:p>
                  <w:pPr>
                    <w:jc w:val="center"/>
                    <w:rPr>
                      <w:rFonts w:ascii="Calibri" w:hAnsi="Calibri"/>
                      <w:szCs w:val="20"/>
                    </w:rPr>
                  </w:pPr>
                  <w:r>
                    <w:rPr>
                      <w:rFonts w:hint="eastAsia" w:ascii="Calibri" w:hAnsi="Calibri"/>
                      <w:szCs w:val="20"/>
                    </w:rPr>
                    <w:t>人员</w:t>
                  </w:r>
                </w:p>
                <w:p>
                  <w:pPr>
                    <w:jc w:val="center"/>
                    <w:rPr>
                      <w:rFonts w:ascii="宋体" w:hAnsi="宋体"/>
                      <w:szCs w:val="18"/>
                    </w:rPr>
                  </w:pPr>
                  <w:r>
                    <w:rPr>
                      <w:rFonts w:hint="eastAsia" w:ascii="Calibri" w:hAnsi="Calibri"/>
                      <w:szCs w:val="20"/>
                    </w:rPr>
                    <w:t>配备</w:t>
                  </w:r>
                </w:p>
              </w:tc>
              <w:tc>
                <w:tcPr>
                  <w:tcW w:w="993" w:type="dxa"/>
                  <w:shd w:val="clear" w:color="auto" w:fill="auto"/>
                  <w:vAlign w:val="center"/>
                </w:tcPr>
                <w:p>
                  <w:pPr>
                    <w:jc w:val="center"/>
                    <w:rPr>
                      <w:rFonts w:ascii="宋体" w:hAnsi="宋体"/>
                      <w:szCs w:val="21"/>
                    </w:rPr>
                  </w:pPr>
                  <w:r>
                    <w:rPr>
                      <w:rFonts w:hint="eastAsia" w:ascii="宋体" w:hAnsi="宋体"/>
                      <w:szCs w:val="21"/>
                      <w:lang w:val="en-US" w:eastAsia="zh-CN"/>
                    </w:rPr>
                    <w:t>2</w:t>
                  </w:r>
                  <w:r>
                    <w:rPr>
                      <w:rFonts w:hint="eastAsia" w:ascii="宋体" w:hAnsi="宋体"/>
                      <w:szCs w:val="21"/>
                    </w:rPr>
                    <w:t>0</w:t>
                  </w:r>
                </w:p>
              </w:tc>
              <w:tc>
                <w:tcPr>
                  <w:tcW w:w="5940" w:type="dxa"/>
                  <w:shd w:val="clear" w:color="auto" w:fill="auto"/>
                </w:tcPr>
                <w:p>
                  <w:pPr>
                    <w:numPr>
                      <w:ilvl w:val="0"/>
                      <w:numId w:val="0"/>
                    </w:numPr>
                    <w:spacing w:line="360" w:lineRule="auto"/>
                    <w:rPr>
                      <w:rFonts w:hint="default"/>
                      <w:lang w:val="en-US" w:eastAsia="zh-CN"/>
                    </w:rPr>
                  </w:pPr>
                  <w:r>
                    <w:rPr>
                      <w:rFonts w:hint="eastAsia"/>
                      <w:b/>
                      <w:bCs/>
                      <w:lang w:val="en-US" w:eastAsia="zh-CN"/>
                    </w:rPr>
                    <w:t>1、</w:t>
                  </w:r>
                  <w:r>
                    <w:rPr>
                      <w:rFonts w:hint="eastAsia"/>
                    </w:rPr>
                    <w:t>为本项目配备1个专职项目负责人，且项目负责人曾担任政府部门</w:t>
                  </w:r>
                  <w:r>
                    <w:rPr>
                      <w:rFonts w:hint="eastAsia"/>
                      <w:lang w:eastAsia="zh-CN"/>
                    </w:rPr>
                    <w:t>、</w:t>
                  </w:r>
                  <w:r>
                    <w:rPr>
                      <w:rFonts w:hint="eastAsia"/>
                    </w:rPr>
                    <w:t>企业法律顾问的，</w:t>
                  </w:r>
                  <w:r>
                    <w:rPr>
                      <w:rFonts w:hint="eastAsia"/>
                      <w:lang w:val="en-US" w:eastAsia="zh-CN"/>
                    </w:rPr>
                    <w:t>按负责项目计算，每个项目</w:t>
                  </w:r>
                  <w:r>
                    <w:rPr>
                      <w:rFonts w:hint="eastAsia"/>
                    </w:rPr>
                    <w:t>得</w:t>
                  </w:r>
                  <w:r>
                    <w:rPr>
                      <w:rFonts w:hint="eastAsia"/>
                      <w:lang w:val="en-US" w:eastAsia="zh-CN"/>
                    </w:rPr>
                    <w:t>5</w:t>
                  </w:r>
                  <w:r>
                    <w:rPr>
                      <w:rFonts w:hint="eastAsia"/>
                    </w:rPr>
                    <w:t>分</w:t>
                  </w:r>
                  <w:r>
                    <w:rPr>
                      <w:rFonts w:hint="eastAsia"/>
                      <w:lang w:eastAsia="zh-CN"/>
                    </w:rPr>
                    <w:t>。</w:t>
                  </w:r>
                  <w:r>
                    <w:rPr>
                      <w:rFonts w:hint="eastAsia"/>
                      <w:lang w:val="en-US" w:eastAsia="zh-CN"/>
                    </w:rPr>
                    <w:t>累计最高得10分。</w:t>
                  </w:r>
                </w:p>
                <w:p>
                  <w:pPr>
                    <w:numPr>
                      <w:ilvl w:val="0"/>
                      <w:numId w:val="0"/>
                    </w:numPr>
                    <w:spacing w:line="360" w:lineRule="auto"/>
                  </w:pPr>
                  <w:r>
                    <w:rPr>
                      <w:rFonts w:hint="eastAsia"/>
                      <w:b/>
                      <w:bCs/>
                    </w:rPr>
                    <w:t>注：</w:t>
                  </w:r>
                  <w:r>
                    <w:rPr>
                      <w:rFonts w:hint="eastAsia"/>
                    </w:rPr>
                    <w:t>投标文件中需提供项目负责人相关证明材料。</w:t>
                  </w:r>
                </w:p>
                <w:p>
                  <w:pPr>
                    <w:spacing w:line="360" w:lineRule="auto"/>
                    <w:rPr>
                      <w:rFonts w:hint="eastAsia"/>
                      <w:lang w:val="en-US" w:eastAsia="zh-CN"/>
                    </w:rPr>
                  </w:pPr>
                  <w:r>
                    <w:rPr>
                      <w:rFonts w:hint="eastAsia"/>
                      <w:b/>
                      <w:bCs/>
                    </w:rPr>
                    <w:t>2、</w:t>
                  </w:r>
                  <w:r>
                    <w:rPr>
                      <w:rFonts w:hint="eastAsia"/>
                      <w:lang w:val="en-US" w:eastAsia="zh-CN"/>
                    </w:rPr>
                    <w:t>团队成员律师执业年限≥5年的，每人得5分；2年≤团队成员律师执业年限＜5年的，每人得3分；团队成员律师执业年限＜2年的，每人得2分。</w:t>
                  </w:r>
                  <w:r>
                    <w:rPr>
                      <w:rFonts w:hint="eastAsia"/>
                    </w:rPr>
                    <w:t>累计最高得</w:t>
                  </w:r>
                  <w:r>
                    <w:rPr>
                      <w:rFonts w:hint="eastAsia"/>
                      <w:lang w:val="en-US" w:eastAsia="zh-CN"/>
                    </w:rPr>
                    <w:t>10分。</w:t>
                  </w:r>
                </w:p>
                <w:p>
                  <w:pPr>
                    <w:spacing w:line="360" w:lineRule="auto"/>
                  </w:pPr>
                  <w:r>
                    <w:rPr>
                      <w:rFonts w:hint="eastAsia" w:ascii="宋体" w:hAnsi="宋体"/>
                      <w:b/>
                      <w:szCs w:val="18"/>
                    </w:rPr>
                    <w:t>注：</w:t>
                  </w:r>
                  <w:r>
                    <w:rPr>
                      <w:rFonts w:hint="eastAsia" w:ascii="宋体" w:hAnsi="宋体"/>
                      <w:szCs w:val="18"/>
                    </w:rPr>
                    <w:t>投标文件中需提供上述人员相关证明材料。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838" w:type="dxa"/>
                  <w:vMerge w:val="continue"/>
                  <w:vAlign w:val="center"/>
                </w:tcPr>
                <w:p>
                  <w:pPr>
                    <w:rPr>
                      <w:rFonts w:ascii="宋体" w:hAnsi="宋体"/>
                      <w:szCs w:val="21"/>
                    </w:rPr>
                  </w:pPr>
                </w:p>
              </w:tc>
              <w:tc>
                <w:tcPr>
                  <w:tcW w:w="850" w:type="dxa"/>
                  <w:vAlign w:val="center"/>
                </w:tcPr>
                <w:p>
                  <w:pPr>
                    <w:jc w:val="center"/>
                    <w:rPr>
                      <w:rFonts w:ascii="Calibri" w:hAnsi="Calibri"/>
                      <w:szCs w:val="20"/>
                    </w:rPr>
                  </w:pPr>
                  <w:r>
                    <w:rPr>
                      <w:rFonts w:hint="eastAsia" w:ascii="Calibri" w:hAnsi="Calibri"/>
                      <w:szCs w:val="20"/>
                    </w:rPr>
                    <w:t>相关</w:t>
                  </w:r>
                </w:p>
                <w:p>
                  <w:pPr>
                    <w:jc w:val="center"/>
                    <w:rPr>
                      <w:rFonts w:ascii="宋体" w:hAnsi="宋体"/>
                      <w:szCs w:val="18"/>
                    </w:rPr>
                  </w:pPr>
                  <w:r>
                    <w:rPr>
                      <w:rFonts w:hint="eastAsia" w:ascii="Calibri" w:hAnsi="Calibri"/>
                      <w:szCs w:val="20"/>
                    </w:rPr>
                    <w:t>业绩</w:t>
                  </w:r>
                </w:p>
              </w:tc>
              <w:tc>
                <w:tcPr>
                  <w:tcW w:w="993" w:type="dxa"/>
                  <w:shd w:val="clear" w:color="auto" w:fill="auto"/>
                  <w:vAlign w:val="center"/>
                </w:tcPr>
                <w:p>
                  <w:pPr>
                    <w:jc w:val="center"/>
                    <w:rPr>
                      <w:rFonts w:hint="eastAsia" w:ascii="宋体" w:hAnsi="宋体" w:eastAsia="宋体"/>
                      <w:szCs w:val="21"/>
                      <w:lang w:eastAsia="zh-CN"/>
                    </w:rPr>
                  </w:pPr>
                  <w:r>
                    <w:rPr>
                      <w:rFonts w:hint="eastAsia" w:ascii="宋体" w:hAnsi="宋体"/>
                      <w:szCs w:val="21"/>
                      <w:lang w:val="en-US" w:eastAsia="zh-CN"/>
                    </w:rPr>
                    <w:t>45</w:t>
                  </w:r>
                </w:p>
              </w:tc>
              <w:tc>
                <w:tcPr>
                  <w:tcW w:w="5940" w:type="dxa"/>
                  <w:shd w:val="clear" w:color="auto" w:fill="auto"/>
                </w:tcPr>
                <w:p>
                  <w:pPr>
                    <w:numPr>
                      <w:ilvl w:val="0"/>
                      <w:numId w:val="0"/>
                    </w:numPr>
                    <w:spacing w:line="360" w:lineRule="auto"/>
                    <w:rPr>
                      <w:rFonts w:hint="eastAsia"/>
                      <w:lang w:val="en-US" w:eastAsia="zh-CN"/>
                    </w:rPr>
                  </w:pPr>
                  <w:r>
                    <w:rPr>
                      <w:rFonts w:hint="eastAsia"/>
                      <w:b/>
                      <w:bCs/>
                      <w:lang w:val="en-US" w:eastAsia="zh-CN"/>
                    </w:rPr>
                    <w:t>1、除</w:t>
                  </w:r>
                  <w:r>
                    <w:rPr>
                      <w:rFonts w:hint="eastAsia"/>
                    </w:rPr>
                    <w:t>项目负责人</w:t>
                  </w:r>
                  <w:r>
                    <w:rPr>
                      <w:rFonts w:hint="eastAsia"/>
                      <w:lang w:val="en-US" w:eastAsia="zh-CN"/>
                    </w:rPr>
                    <w:t>外，团队律师</w:t>
                  </w:r>
                  <w:bookmarkStart w:id="0" w:name="_GoBack"/>
                  <w:bookmarkEnd w:id="0"/>
                  <w:r>
                    <w:rPr>
                      <w:rFonts w:hint="eastAsia"/>
                      <w:lang w:val="en-US" w:eastAsia="zh-CN"/>
                    </w:rPr>
                    <w:t>承接过</w:t>
                  </w:r>
                  <w:r>
                    <w:rPr>
                      <w:rFonts w:hint="eastAsia"/>
                    </w:rPr>
                    <w:t>“法律顾问进社区</w:t>
                  </w:r>
                  <w:r>
                    <w:rPr>
                      <w:rFonts w:hint="eastAsia"/>
                      <w:lang w:eastAsia="zh-CN"/>
                    </w:rPr>
                    <w:t>”</w:t>
                  </w:r>
                  <w:r>
                    <w:rPr>
                      <w:rFonts w:hint="eastAsia"/>
                      <w:lang w:val="en-US" w:eastAsia="zh-CN"/>
                    </w:rPr>
                    <w:t>、“公共法律服务中心”服务律师、政府法律顾问等一项法律服务项目的，得5分。</w:t>
                  </w:r>
                </w:p>
                <w:p>
                  <w:pPr>
                    <w:numPr>
                      <w:ilvl w:val="0"/>
                      <w:numId w:val="0"/>
                    </w:numPr>
                    <w:spacing w:line="360" w:lineRule="auto"/>
                    <w:rPr>
                      <w:rFonts w:hint="eastAsia"/>
                      <w:lang w:val="en-US" w:eastAsia="zh-CN"/>
                    </w:rPr>
                  </w:pPr>
                  <w:r>
                    <w:rPr>
                      <w:rFonts w:hint="eastAsia"/>
                      <w:b/>
                      <w:bCs/>
                      <w:lang w:val="en-US" w:eastAsia="zh-CN"/>
                    </w:rPr>
                    <w:t>注：</w:t>
                  </w:r>
                  <w:r>
                    <w:rPr>
                      <w:rFonts w:hint="eastAsia"/>
                      <w:lang w:val="en-US" w:eastAsia="zh-CN"/>
                    </w:rPr>
                    <w:t>投标文件中需提供能证明法律委托关系相关证明材料复印件加盖公章（如：法律委托合同关键页、授权委托函等）。</w:t>
                  </w:r>
                </w:p>
                <w:p>
                  <w:pPr>
                    <w:numPr>
                      <w:ilvl w:val="0"/>
                      <w:numId w:val="0"/>
                    </w:numPr>
                    <w:spacing w:line="360" w:lineRule="auto"/>
                    <w:rPr>
                      <w:rFonts w:hint="eastAsia"/>
                      <w:lang w:val="en-US" w:eastAsia="zh-CN"/>
                    </w:rPr>
                  </w:pPr>
                  <w:r>
                    <w:rPr>
                      <w:rFonts w:hint="eastAsia"/>
                      <w:b/>
                      <w:bCs/>
                      <w:lang w:val="en-US" w:eastAsia="zh-CN"/>
                    </w:rPr>
                    <w:t>2、除</w:t>
                  </w:r>
                  <w:r>
                    <w:rPr>
                      <w:rFonts w:hint="eastAsia"/>
                    </w:rPr>
                    <w:t>项目负责人</w:t>
                  </w:r>
                  <w:r>
                    <w:rPr>
                      <w:rFonts w:hint="eastAsia"/>
                      <w:lang w:val="en-US" w:eastAsia="zh-CN"/>
                    </w:rPr>
                    <w:t>外，团队律师承接过企业法律顾问等法律服务项目的，得5分。</w:t>
                  </w:r>
                </w:p>
                <w:p>
                  <w:pPr>
                    <w:numPr>
                      <w:ilvl w:val="0"/>
                      <w:numId w:val="0"/>
                    </w:numPr>
                    <w:spacing w:line="360" w:lineRule="auto"/>
                    <w:rPr>
                      <w:rFonts w:hint="eastAsia"/>
                      <w:lang w:val="en-US" w:eastAsia="zh-CN"/>
                    </w:rPr>
                  </w:pPr>
                  <w:r>
                    <w:rPr>
                      <w:rFonts w:hint="eastAsia"/>
                      <w:b/>
                      <w:bCs/>
                      <w:lang w:val="en-US" w:eastAsia="zh-CN"/>
                    </w:rPr>
                    <w:t>注：</w:t>
                  </w:r>
                  <w:r>
                    <w:rPr>
                      <w:rFonts w:hint="eastAsia"/>
                      <w:lang w:val="en-US" w:eastAsia="zh-CN"/>
                    </w:rPr>
                    <w:t>投标文件中需提供能证明法律委托关系相关证明材料复印件加盖公章（如：法律委托合同关键页、授权委托函等）。</w:t>
                  </w:r>
                </w:p>
                <w:p>
                  <w:pPr>
                    <w:numPr>
                      <w:ilvl w:val="0"/>
                      <w:numId w:val="0"/>
                    </w:numPr>
                    <w:spacing w:line="360" w:lineRule="auto"/>
                    <w:rPr>
                      <w:rFonts w:hint="eastAsia"/>
                    </w:rPr>
                  </w:pPr>
                  <w:r>
                    <w:rPr>
                      <w:rFonts w:hint="eastAsia"/>
                      <w:b/>
                      <w:bCs/>
                      <w:lang w:val="en-US" w:eastAsia="zh-CN"/>
                    </w:rPr>
                    <w:t>3、</w:t>
                  </w:r>
                  <w:r>
                    <w:rPr>
                      <w:rFonts w:hint="eastAsia"/>
                      <w:lang w:eastAsia="zh-CN"/>
                    </w:rPr>
                    <w:t>团队律师有办理劳动纠纷相关案件</w:t>
                  </w:r>
                  <w:r>
                    <w:rPr>
                      <w:rFonts w:hint="eastAsia"/>
                    </w:rPr>
                    <w:t>的，</w:t>
                  </w:r>
                  <w:r>
                    <w:rPr>
                      <w:rFonts w:hint="eastAsia"/>
                      <w:lang w:eastAsia="zh-CN"/>
                    </w:rPr>
                    <w:t>每个案件</w:t>
                  </w:r>
                  <w:r>
                    <w:rPr>
                      <w:rFonts w:hint="eastAsia"/>
                    </w:rPr>
                    <w:t>得</w:t>
                  </w:r>
                  <w:r>
                    <w:rPr>
                      <w:rFonts w:hint="eastAsia"/>
                      <w:lang w:val="en-US" w:eastAsia="zh-CN"/>
                    </w:rPr>
                    <w:t>2</w:t>
                  </w:r>
                  <w:r>
                    <w:rPr>
                      <w:rFonts w:hint="eastAsia"/>
                    </w:rPr>
                    <w:t>分，</w:t>
                  </w:r>
                  <w:r>
                    <w:rPr>
                      <w:rFonts w:hint="eastAsia"/>
                      <w:lang w:eastAsia="zh-CN"/>
                    </w:rPr>
                    <w:t>最高得</w:t>
                  </w:r>
                  <w:r>
                    <w:rPr>
                      <w:rFonts w:hint="eastAsia"/>
                      <w:lang w:val="en-US" w:eastAsia="zh-CN"/>
                    </w:rPr>
                    <w:t>8分</w:t>
                  </w:r>
                  <w:r>
                    <w:rPr>
                      <w:rFonts w:hint="eastAsia"/>
                    </w:rPr>
                    <w:t>。</w:t>
                  </w:r>
                </w:p>
                <w:p>
                  <w:pPr>
                    <w:numPr>
                      <w:ilvl w:val="0"/>
                      <w:numId w:val="0"/>
                    </w:numPr>
                    <w:spacing w:line="360" w:lineRule="auto"/>
                    <w:rPr>
                      <w:rFonts w:hint="default"/>
                      <w:lang w:val="en-US" w:eastAsia="zh-CN"/>
                    </w:rPr>
                  </w:pPr>
                  <w:r>
                    <w:rPr>
                      <w:rFonts w:hint="eastAsia"/>
                      <w:b/>
                      <w:bCs/>
                      <w:lang w:val="en-US" w:eastAsia="zh-CN"/>
                    </w:rPr>
                    <w:t>4、</w:t>
                  </w:r>
                  <w:r>
                    <w:rPr>
                      <w:rFonts w:hint="eastAsia"/>
                      <w:lang w:val="en-US" w:eastAsia="zh-CN"/>
                    </w:rPr>
                    <w:t>团队律师有办理产品侵权相关案件的，每个案件得2分，最高得8分。</w:t>
                  </w:r>
                </w:p>
                <w:p>
                  <w:pPr>
                    <w:numPr>
                      <w:ilvl w:val="0"/>
                      <w:numId w:val="0"/>
                    </w:numPr>
                    <w:spacing w:line="360" w:lineRule="auto"/>
                    <w:rPr>
                      <w:rFonts w:hint="eastAsia"/>
                    </w:rPr>
                  </w:pPr>
                  <w:r>
                    <w:rPr>
                      <w:rFonts w:hint="eastAsia"/>
                      <w:b/>
                      <w:bCs/>
                      <w:lang w:val="en-US" w:eastAsia="zh-CN"/>
                    </w:rPr>
                    <w:t>5、</w:t>
                  </w:r>
                  <w:r>
                    <w:rPr>
                      <w:rFonts w:hint="eastAsia"/>
                      <w:lang w:eastAsia="zh-CN"/>
                    </w:rPr>
                    <w:t>团队律师有办理公司股权纠纷相关案件</w:t>
                  </w:r>
                  <w:r>
                    <w:rPr>
                      <w:rFonts w:hint="eastAsia"/>
                    </w:rPr>
                    <w:t>的，</w:t>
                  </w:r>
                  <w:r>
                    <w:rPr>
                      <w:rFonts w:hint="eastAsia"/>
                      <w:lang w:eastAsia="zh-CN"/>
                    </w:rPr>
                    <w:t>每个案件</w:t>
                  </w:r>
                  <w:r>
                    <w:rPr>
                      <w:rFonts w:hint="eastAsia"/>
                    </w:rPr>
                    <w:t>得</w:t>
                  </w:r>
                  <w:r>
                    <w:rPr>
                      <w:rFonts w:hint="eastAsia"/>
                      <w:lang w:val="en-US" w:eastAsia="zh-CN"/>
                    </w:rPr>
                    <w:t>3</w:t>
                  </w:r>
                  <w:r>
                    <w:rPr>
                      <w:rFonts w:hint="eastAsia"/>
                    </w:rPr>
                    <w:t>分，</w:t>
                  </w:r>
                  <w:r>
                    <w:rPr>
                      <w:rFonts w:hint="eastAsia"/>
                      <w:lang w:eastAsia="zh-CN"/>
                    </w:rPr>
                    <w:t>最高得</w:t>
                  </w:r>
                  <w:r>
                    <w:rPr>
                      <w:rFonts w:hint="eastAsia"/>
                      <w:lang w:val="en-US" w:eastAsia="zh-CN"/>
                    </w:rPr>
                    <w:t>9分</w:t>
                  </w:r>
                  <w:r>
                    <w:rPr>
                      <w:rFonts w:hint="eastAsia"/>
                    </w:rPr>
                    <w:t>。</w:t>
                  </w:r>
                </w:p>
                <w:p>
                  <w:pPr>
                    <w:numPr>
                      <w:ilvl w:val="0"/>
                      <w:numId w:val="0"/>
                    </w:numPr>
                    <w:spacing w:line="360" w:lineRule="auto"/>
                    <w:rPr>
                      <w:rFonts w:hint="eastAsia"/>
                    </w:rPr>
                  </w:pPr>
                  <w:r>
                    <w:rPr>
                      <w:rFonts w:hint="eastAsia"/>
                      <w:b/>
                      <w:bCs/>
                      <w:lang w:val="en-US" w:eastAsia="zh-CN"/>
                    </w:rPr>
                    <w:t>6、</w:t>
                  </w:r>
                  <w:r>
                    <w:rPr>
                      <w:rFonts w:hint="eastAsia"/>
                      <w:lang w:eastAsia="zh-CN"/>
                    </w:rPr>
                    <w:t>团队律师有办理知识产权纠纷相关案件</w:t>
                  </w:r>
                  <w:r>
                    <w:rPr>
                      <w:rFonts w:hint="eastAsia"/>
                    </w:rPr>
                    <w:t>的，</w:t>
                  </w:r>
                  <w:r>
                    <w:rPr>
                      <w:rFonts w:hint="eastAsia"/>
                      <w:lang w:eastAsia="zh-CN"/>
                    </w:rPr>
                    <w:t>每个案件</w:t>
                  </w:r>
                  <w:r>
                    <w:rPr>
                      <w:rFonts w:hint="eastAsia"/>
                    </w:rPr>
                    <w:t>得</w:t>
                  </w:r>
                  <w:r>
                    <w:rPr>
                      <w:rFonts w:hint="eastAsia"/>
                      <w:lang w:val="en-US" w:eastAsia="zh-CN"/>
                    </w:rPr>
                    <w:t>5</w:t>
                  </w:r>
                  <w:r>
                    <w:rPr>
                      <w:rFonts w:hint="eastAsia"/>
                    </w:rPr>
                    <w:t>分，</w:t>
                  </w:r>
                  <w:r>
                    <w:rPr>
                      <w:rFonts w:hint="eastAsia"/>
                      <w:lang w:eastAsia="zh-CN"/>
                    </w:rPr>
                    <w:t>最高得</w:t>
                  </w:r>
                  <w:r>
                    <w:rPr>
                      <w:rFonts w:hint="eastAsia"/>
                      <w:lang w:val="en-US" w:eastAsia="zh-CN"/>
                    </w:rPr>
                    <w:t>10分</w:t>
                  </w:r>
                  <w:r>
                    <w:rPr>
                      <w:rFonts w:hint="eastAsia"/>
                    </w:rPr>
                    <w:t>。</w:t>
                  </w:r>
                </w:p>
                <w:p>
                  <w:pPr>
                    <w:numPr>
                      <w:ilvl w:val="0"/>
                      <w:numId w:val="0"/>
                    </w:numPr>
                    <w:spacing w:line="360" w:lineRule="auto"/>
                    <w:rPr>
                      <w:rFonts w:ascii="宋体" w:hAnsi="宋体"/>
                      <w:szCs w:val="18"/>
                    </w:rPr>
                  </w:pPr>
                  <w:r>
                    <w:rPr>
                      <w:rFonts w:hint="eastAsia"/>
                      <w:lang w:val="en-US" w:eastAsia="zh-CN"/>
                    </w:rPr>
                    <w:t>注：投标文件中需提供能证明法律委托关系相关证明材料复印件加盖公章，上述代理案件如在省市影响较大的，可在本项目分值内酌情予以加分。</w:t>
                  </w:r>
                </w:p>
              </w:tc>
            </w:tr>
          </w:tbl>
          <w:p>
            <w:pPr>
              <w:spacing w:line="360" w:lineRule="auto"/>
              <w:rPr>
                <w:rFonts w:ascii="宋体" w:hAnsi="宋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23C33"/>
    <w:rsid w:val="004E2DE7"/>
    <w:rsid w:val="00B71F65"/>
    <w:rsid w:val="01AF7843"/>
    <w:rsid w:val="0531594C"/>
    <w:rsid w:val="05B72460"/>
    <w:rsid w:val="065C56F4"/>
    <w:rsid w:val="0713735D"/>
    <w:rsid w:val="08B30766"/>
    <w:rsid w:val="0D09796D"/>
    <w:rsid w:val="0DD10074"/>
    <w:rsid w:val="0EBF2F0F"/>
    <w:rsid w:val="0F6F20FF"/>
    <w:rsid w:val="12C27CBE"/>
    <w:rsid w:val="13646272"/>
    <w:rsid w:val="18217FE9"/>
    <w:rsid w:val="18305897"/>
    <w:rsid w:val="19397AAF"/>
    <w:rsid w:val="1A457F00"/>
    <w:rsid w:val="1B750299"/>
    <w:rsid w:val="1DF73EEC"/>
    <w:rsid w:val="2181186E"/>
    <w:rsid w:val="22E8761D"/>
    <w:rsid w:val="22F904DB"/>
    <w:rsid w:val="24EA681D"/>
    <w:rsid w:val="2A6C785F"/>
    <w:rsid w:val="2AD37AE7"/>
    <w:rsid w:val="34CD5196"/>
    <w:rsid w:val="355F7CF6"/>
    <w:rsid w:val="397A2803"/>
    <w:rsid w:val="39E92432"/>
    <w:rsid w:val="3BBB0579"/>
    <w:rsid w:val="3E195B39"/>
    <w:rsid w:val="3F2324E6"/>
    <w:rsid w:val="3FA96FFA"/>
    <w:rsid w:val="424F4236"/>
    <w:rsid w:val="43373737"/>
    <w:rsid w:val="442F33C9"/>
    <w:rsid w:val="458B0242"/>
    <w:rsid w:val="46394D2C"/>
    <w:rsid w:val="495A3A47"/>
    <w:rsid w:val="4A5D4EDF"/>
    <w:rsid w:val="5184248E"/>
    <w:rsid w:val="51E60128"/>
    <w:rsid w:val="596C4846"/>
    <w:rsid w:val="5B536DFD"/>
    <w:rsid w:val="5DF87A9A"/>
    <w:rsid w:val="5F367A82"/>
    <w:rsid w:val="62CA3E4B"/>
    <w:rsid w:val="65AB032F"/>
    <w:rsid w:val="6A423462"/>
    <w:rsid w:val="6B523C33"/>
    <w:rsid w:val="6B6520B7"/>
    <w:rsid w:val="71B25647"/>
    <w:rsid w:val="729A0A0F"/>
    <w:rsid w:val="735624B8"/>
    <w:rsid w:val="7D3901B4"/>
    <w:rsid w:val="7DBFB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center"/>
    </w:pPr>
    <w:rPr>
      <w:rFonts w:ascii="宋体" w:hAnsi="宋体"/>
      <w:szCs w:val="20"/>
    </w:rPr>
  </w:style>
  <w:style w:type="paragraph" w:styleId="4">
    <w:name w:val="Body Text"/>
    <w:basedOn w:val="1"/>
    <w:next w:val="1"/>
    <w:qFormat/>
    <w:uiPriority w:val="0"/>
    <w:pPr>
      <w:autoSpaceDE w:val="0"/>
      <w:autoSpaceDN w:val="0"/>
      <w:adjustRightInd w:val="0"/>
      <w:jc w:val="center"/>
      <w:textAlignment w:val="baseline"/>
    </w:pPr>
    <w:rPr>
      <w:rFonts w:ascii="宋体"/>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2019-05-28T08:55:00Z</dcterms:created>
  <dc:creator>罗雪怡</dc:creator>
  <cp:lastModifiedBy>user</cp:lastModifiedBy>
  <cp:lastPrinted>2022-10-13T11:02:00Z</cp:lastPrinted>
  <dcterms:modified xsi:type="dcterms:W3CDTF">2023-11-30T17:52:10Z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ED3FF2A6EF284CC3AACFF81A847535E0</vt:lpwstr>
  </property>
</Properties>
</file>