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numPr>
          <w:ilvl w:val="2"/>
          <w:numId w:val="0"/>
        </w:numPr>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
          <w:bCs w:val="0"/>
          <w:color w:val="auto"/>
          <w:kern w:val="2"/>
          <w:sz w:val="28"/>
          <w:szCs w:val="24"/>
          <w:lang w:val="en-US" w:eastAsia="zh-CN" w:bidi="ar-SA"/>
        </w:rPr>
      </w:pPr>
      <w:bookmarkStart w:id="0" w:name="_Toc10337"/>
      <w:bookmarkStart w:id="1" w:name="_Toc221698265"/>
      <w:bookmarkStart w:id="2" w:name="_Toc8598"/>
      <w:bookmarkStart w:id="3" w:name="_Toc15223"/>
      <w:bookmarkStart w:id="4" w:name="_Toc40084550"/>
      <w:bookmarkStart w:id="5" w:name="_Toc16809"/>
      <w:bookmarkStart w:id="6" w:name="_Toc514445124"/>
      <w:bookmarkStart w:id="7" w:name="_Toc22488"/>
      <w:bookmarkStart w:id="8" w:name="_Toc223407710"/>
      <w:bookmarkStart w:id="9" w:name="_Toc25209"/>
      <w:bookmarkStart w:id="10" w:name="_Toc7972"/>
      <w:bookmarkStart w:id="11" w:name="_Toc8269"/>
      <w:bookmarkStart w:id="12" w:name="_Toc18467"/>
      <w:bookmarkStart w:id="13" w:name="_Toc31482"/>
      <w:bookmarkStart w:id="14" w:name="_Toc274554315"/>
      <w:bookmarkStart w:id="15" w:name="_Toc522732797"/>
      <w:bookmarkStart w:id="16" w:name="_Toc21137"/>
      <w:bookmarkStart w:id="17" w:name="_Toc13415601"/>
      <w:bookmarkStart w:id="18" w:name="_Toc497901084"/>
      <w:bookmarkStart w:id="19" w:name="_Toc6886"/>
      <w:bookmarkStart w:id="20" w:name="_Toc230624430"/>
      <w:bookmarkStart w:id="21" w:name="_Toc5517"/>
      <w:bookmarkStart w:id="22" w:name="_Toc7501"/>
      <w:bookmarkStart w:id="23" w:name="_Toc9613"/>
      <w:bookmarkStart w:id="24" w:name="_Toc248226588"/>
      <w:bookmarkStart w:id="25" w:name="_Toc30931"/>
      <w:bookmarkStart w:id="26" w:name="_Toc228259379"/>
      <w:bookmarkStart w:id="27" w:name="_Toc2763"/>
      <w:bookmarkStart w:id="28" w:name="_Toc3998"/>
      <w:bookmarkStart w:id="29" w:name="_Toc9786"/>
      <w:bookmarkStart w:id="30" w:name="_Toc523296857"/>
      <w:bookmarkStart w:id="31" w:name="_Toc29066"/>
      <w:bookmarkStart w:id="32" w:name="_Toc2520"/>
      <w:bookmarkStart w:id="33" w:name="_Toc3930"/>
      <w:bookmarkStart w:id="34" w:name="_Toc226127681"/>
      <w:bookmarkStart w:id="35" w:name="_Toc223340095"/>
      <w:bookmarkStart w:id="36" w:name="_Toc14589"/>
      <w:bookmarkStart w:id="37" w:name="_Toc29683"/>
      <w:bookmarkStart w:id="38" w:name="_Toc223528880"/>
      <w:bookmarkStart w:id="39" w:name="_Toc511340251"/>
      <w:bookmarkStart w:id="40" w:name="_Toc295374519"/>
      <w:bookmarkStart w:id="41" w:name="_Toc14800"/>
      <w:bookmarkStart w:id="42" w:name="_Toc228259460"/>
      <w:bookmarkStart w:id="43" w:name="_Toc20762"/>
      <w:bookmarkStart w:id="44" w:name="_Toc261006359"/>
      <w:bookmarkStart w:id="45" w:name="_Toc223969777"/>
      <w:bookmarkStart w:id="46" w:name="_Toc7966"/>
      <w:bookmarkStart w:id="47" w:name="_Toc585"/>
      <w:bookmarkStart w:id="48" w:name="_Toc45696359"/>
      <w:bookmarkStart w:id="49" w:name="_Toc25960"/>
      <w:bookmarkStart w:id="50" w:name="_Toc2846"/>
      <w:bookmarkStart w:id="51" w:name="_Toc28948"/>
      <w:bookmarkStart w:id="52" w:name="_Toc128"/>
      <w:bookmarkStart w:id="53" w:name="_Toc29685"/>
      <w:bookmarkStart w:id="54" w:name="_Toc229219123"/>
      <w:bookmarkStart w:id="55" w:name="_Toc516425655"/>
      <w:bookmarkStart w:id="56" w:name="_Toc2190"/>
      <w:bookmarkStart w:id="57" w:name="_Toc199652112"/>
      <w:r>
        <w:rPr>
          <w:rFonts w:hint="eastAsia" w:ascii="仿宋" w:hAnsi="仿宋" w:eastAsia="仿宋" w:cs="仿宋"/>
          <w:b/>
          <w:bCs w:val="0"/>
          <w:color w:val="auto"/>
          <w:kern w:val="2"/>
          <w:sz w:val="28"/>
          <w:szCs w:val="24"/>
          <w:lang w:val="en-US" w:eastAsia="zh-CN" w:bidi="ar-SA"/>
        </w:rPr>
        <w:t>投标分项报价表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ageBreakBefore w:val="0"/>
        <w:widowControl w:val="0"/>
        <w:kinsoku/>
        <w:wordWrap/>
        <w:overflowPunct/>
        <w:topLinePunct w:val="0"/>
        <w:autoSpaceDE/>
        <w:autoSpaceDN/>
        <w:bidi w:val="0"/>
        <w:adjustRightInd/>
        <w:snapToGrid/>
        <w:spacing w:line="500" w:lineRule="exact"/>
        <w:jc w:val="left"/>
        <w:textAlignment w:val="auto"/>
        <w:rPr>
          <w:rFonts w:hint="eastAsia"/>
          <w:color w:val="auto"/>
          <w:highlight w:val="none"/>
        </w:rPr>
      </w:pPr>
      <w:r>
        <w:rPr>
          <w:rFonts w:hint="eastAsia" w:ascii="仿宋" w:hAnsi="仿宋" w:eastAsia="仿宋" w:cs="仿宋"/>
          <w:b/>
          <w:bCs/>
          <w:color w:val="auto"/>
          <w:sz w:val="28"/>
          <w:szCs w:val="21"/>
          <w:highlight w:val="none"/>
          <w:lang w:val="en-US" w:eastAsia="zh-CN"/>
        </w:rPr>
        <w:t>包组（2）</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项目名称：</w:t>
      </w:r>
      <w:r>
        <w:rPr>
          <w:rFonts w:hint="eastAsia" w:ascii="仿宋" w:hAnsi="仿宋" w:eastAsia="仿宋" w:cs="仿宋"/>
          <w:bCs/>
          <w:color w:val="auto"/>
          <w:sz w:val="24"/>
          <w:szCs w:val="24"/>
          <w:highlight w:val="none"/>
          <w:lang w:eastAsia="zh-CN"/>
        </w:rPr>
        <w:t>珠海市应急管理局更新补充市应急抢险物资中心仓库仓储附属设施及购置一批应急照明设备采购项目</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bCs/>
          <w:color w:val="auto"/>
          <w:sz w:val="24"/>
          <w:szCs w:val="24"/>
          <w:highlight w:val="none"/>
          <w:lang w:eastAsia="zh-CN"/>
        </w:rPr>
        <w:t>ZHPZ2023-148</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(单位：元)</w:t>
      </w:r>
    </w:p>
    <w:tbl>
      <w:tblPr>
        <w:tblStyle w:val="10"/>
        <w:tblW w:w="13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1540"/>
        <w:gridCol w:w="1782"/>
        <w:gridCol w:w="687"/>
        <w:gridCol w:w="1983"/>
        <w:gridCol w:w="1357"/>
        <w:gridCol w:w="777"/>
        <w:gridCol w:w="754"/>
        <w:gridCol w:w="1318"/>
        <w:gridCol w:w="1378"/>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68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序号</w:t>
            </w:r>
          </w:p>
        </w:tc>
        <w:tc>
          <w:tcPr>
            <w:tcW w:w="1540"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货物名称</w:t>
            </w:r>
          </w:p>
        </w:tc>
        <w:tc>
          <w:tcPr>
            <w:tcW w:w="178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制造商名称、品牌</w:t>
            </w:r>
          </w:p>
        </w:tc>
        <w:tc>
          <w:tcPr>
            <w:tcW w:w="687"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产地</w:t>
            </w:r>
          </w:p>
        </w:tc>
        <w:tc>
          <w:tcPr>
            <w:tcW w:w="1983"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规格、型号、版本、配置及附件</w:t>
            </w:r>
          </w:p>
        </w:tc>
        <w:tc>
          <w:tcPr>
            <w:tcW w:w="1357"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免费质量保证期</w:t>
            </w:r>
          </w:p>
        </w:tc>
        <w:tc>
          <w:tcPr>
            <w:tcW w:w="777"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单位</w:t>
            </w:r>
          </w:p>
        </w:tc>
        <w:tc>
          <w:tcPr>
            <w:tcW w:w="75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数量</w:t>
            </w:r>
          </w:p>
        </w:tc>
        <w:tc>
          <w:tcPr>
            <w:tcW w:w="1318"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综合单价</w:t>
            </w:r>
          </w:p>
        </w:tc>
        <w:tc>
          <w:tcPr>
            <w:tcW w:w="1378"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金额</w:t>
            </w:r>
          </w:p>
        </w:tc>
        <w:tc>
          <w:tcPr>
            <w:tcW w:w="1112"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87"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1</w:t>
            </w:r>
          </w:p>
        </w:tc>
        <w:tc>
          <w:tcPr>
            <w:tcW w:w="1540"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应急探照灯</w:t>
            </w:r>
          </w:p>
        </w:tc>
        <w:tc>
          <w:tcPr>
            <w:tcW w:w="1782"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color w:val="auto"/>
                <w:szCs w:val="20"/>
                <w:highlight w:val="none"/>
                <w:lang w:val="en-US" w:eastAsia="zh-CN"/>
              </w:rPr>
            </w:pPr>
            <w:r>
              <w:rPr>
                <w:rStyle w:val="14"/>
                <w:rFonts w:hint="eastAsia" w:ascii="仿宋" w:hAnsi="仿宋" w:eastAsia="仿宋" w:cs="仿宋"/>
                <w:bCs/>
                <w:color w:val="auto"/>
                <w:sz w:val="24"/>
                <w:highlight w:val="none"/>
                <w:u w:val="none"/>
              </w:rPr>
              <w:t>深圳市尚为照明有限公司</w:t>
            </w:r>
            <w:r>
              <w:rPr>
                <w:rStyle w:val="14"/>
                <w:rFonts w:hint="eastAsia" w:ascii="仿宋" w:hAnsi="仿宋" w:eastAsia="仿宋" w:cs="仿宋"/>
                <w:bCs/>
                <w:color w:val="auto"/>
                <w:sz w:val="24"/>
                <w:highlight w:val="none"/>
                <w:u w:val="none"/>
                <w:lang w:eastAsia="zh-CN"/>
              </w:rPr>
              <w:t>、</w:t>
            </w:r>
            <w:r>
              <w:rPr>
                <w:rStyle w:val="14"/>
                <w:rFonts w:hint="eastAsia" w:ascii="仿宋" w:hAnsi="仿宋" w:eastAsia="仿宋" w:cs="仿宋"/>
                <w:bCs/>
                <w:color w:val="auto"/>
                <w:sz w:val="24"/>
                <w:highlight w:val="none"/>
                <w:u w:val="none"/>
                <w:lang w:val="en-US" w:eastAsia="zh-CN"/>
              </w:rPr>
              <w:t>深圳尚为</w:t>
            </w:r>
          </w:p>
        </w:tc>
        <w:tc>
          <w:tcPr>
            <w:tcW w:w="68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lang w:val="en-US" w:eastAsia="zh-CN"/>
              </w:rPr>
            </w:pPr>
            <w:bookmarkStart w:id="58" w:name="OLE_LINK9"/>
            <w:r>
              <w:rPr>
                <w:rFonts w:hint="eastAsia" w:ascii="仿宋" w:hAnsi="仿宋" w:eastAsia="仿宋" w:cs="仿宋"/>
                <w:color w:val="auto"/>
                <w:szCs w:val="20"/>
                <w:highlight w:val="none"/>
                <w:lang w:val="en-US" w:eastAsia="zh-CN"/>
              </w:rPr>
              <w:t>惠州</w:t>
            </w:r>
            <w:bookmarkEnd w:id="58"/>
          </w:p>
        </w:tc>
        <w:tc>
          <w:tcPr>
            <w:tcW w:w="1983"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b w:val="0"/>
                <w:bCs w:val="0"/>
                <w:color w:val="auto"/>
                <w:szCs w:val="20"/>
                <w:highlight w:val="none"/>
                <w:lang w:val="en-US" w:eastAsia="zh-CN"/>
              </w:rPr>
            </w:pPr>
            <w:r>
              <w:rPr>
                <w:rFonts w:hint="eastAsia" w:ascii="仿宋" w:hAnsi="仿宋" w:eastAsia="仿宋" w:cs="仿宋"/>
                <w:b w:val="0"/>
                <w:bCs w:val="0"/>
                <w:color w:val="auto"/>
                <w:szCs w:val="20"/>
                <w:highlight w:val="none"/>
                <w:lang w:val="en-US" w:eastAsia="zh-CN"/>
              </w:rPr>
              <w:t>SZSW2320</w:t>
            </w:r>
          </w:p>
        </w:tc>
        <w:tc>
          <w:tcPr>
            <w:tcW w:w="135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3年</w:t>
            </w:r>
          </w:p>
        </w:tc>
        <w:tc>
          <w:tcPr>
            <w:tcW w:w="777"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54"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lang w:val="en-US" w:eastAsia="zh-CN"/>
              </w:rPr>
            </w:pPr>
            <w:bookmarkStart w:id="59" w:name="OLE_LINK1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5</w:t>
            </w:r>
            <w:bookmarkEnd w:id="59"/>
          </w:p>
        </w:tc>
        <w:tc>
          <w:tcPr>
            <w:tcW w:w="131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1000</w:t>
            </w:r>
          </w:p>
        </w:tc>
        <w:tc>
          <w:tcPr>
            <w:tcW w:w="137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5000</w:t>
            </w:r>
          </w:p>
        </w:tc>
        <w:tc>
          <w:tcPr>
            <w:tcW w:w="1112"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87"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2</w:t>
            </w:r>
          </w:p>
        </w:tc>
        <w:tc>
          <w:tcPr>
            <w:tcW w:w="1540"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移动式升降照明灯组</w:t>
            </w:r>
          </w:p>
        </w:tc>
        <w:tc>
          <w:tcPr>
            <w:tcW w:w="1782"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Style w:val="14"/>
                <w:rFonts w:hint="eastAsia" w:ascii="仿宋" w:hAnsi="仿宋" w:eastAsia="仿宋" w:cs="仿宋"/>
                <w:bCs/>
                <w:color w:val="auto"/>
                <w:sz w:val="24"/>
                <w:highlight w:val="none"/>
                <w:u w:val="none"/>
              </w:rPr>
              <w:t>深圳市尚为照明有限公司</w:t>
            </w:r>
            <w:r>
              <w:rPr>
                <w:rStyle w:val="14"/>
                <w:rFonts w:hint="eastAsia" w:ascii="仿宋" w:hAnsi="仿宋" w:eastAsia="仿宋" w:cs="仿宋"/>
                <w:bCs/>
                <w:color w:val="auto"/>
                <w:sz w:val="24"/>
                <w:highlight w:val="none"/>
                <w:u w:val="none"/>
                <w:lang w:eastAsia="zh-CN"/>
              </w:rPr>
              <w:t>、</w:t>
            </w:r>
            <w:r>
              <w:rPr>
                <w:rStyle w:val="14"/>
                <w:rFonts w:hint="eastAsia" w:ascii="仿宋" w:hAnsi="仿宋" w:eastAsia="仿宋" w:cs="仿宋"/>
                <w:bCs/>
                <w:color w:val="auto"/>
                <w:sz w:val="24"/>
                <w:highlight w:val="none"/>
                <w:u w:val="none"/>
                <w:lang w:val="en-US" w:eastAsia="zh-CN"/>
              </w:rPr>
              <w:t>深圳尚为</w:t>
            </w:r>
          </w:p>
        </w:tc>
        <w:tc>
          <w:tcPr>
            <w:tcW w:w="68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惠州</w:t>
            </w:r>
          </w:p>
        </w:tc>
        <w:tc>
          <w:tcPr>
            <w:tcW w:w="1983"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b w:val="0"/>
                <w:bCs w:val="0"/>
                <w:color w:val="auto"/>
                <w:szCs w:val="20"/>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SZSW2912（A款）</w:t>
            </w:r>
          </w:p>
        </w:tc>
        <w:tc>
          <w:tcPr>
            <w:tcW w:w="135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3年</w:t>
            </w:r>
          </w:p>
        </w:tc>
        <w:tc>
          <w:tcPr>
            <w:tcW w:w="777"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54"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5</w:t>
            </w:r>
          </w:p>
        </w:tc>
        <w:tc>
          <w:tcPr>
            <w:tcW w:w="131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20000</w:t>
            </w:r>
          </w:p>
        </w:tc>
        <w:tc>
          <w:tcPr>
            <w:tcW w:w="137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100000</w:t>
            </w:r>
          </w:p>
        </w:tc>
        <w:tc>
          <w:tcPr>
            <w:tcW w:w="1112"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87"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3</w:t>
            </w:r>
          </w:p>
        </w:tc>
        <w:tc>
          <w:tcPr>
            <w:tcW w:w="1540"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防水灯</w:t>
            </w:r>
          </w:p>
        </w:tc>
        <w:tc>
          <w:tcPr>
            <w:tcW w:w="1782"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Style w:val="14"/>
                <w:rFonts w:hint="eastAsia" w:ascii="仿宋" w:hAnsi="仿宋" w:eastAsia="仿宋" w:cs="仿宋"/>
                <w:bCs/>
                <w:color w:val="auto"/>
                <w:sz w:val="24"/>
                <w:highlight w:val="none"/>
                <w:u w:val="none"/>
              </w:rPr>
              <w:t>深圳市尚为照明有限公司</w:t>
            </w:r>
            <w:r>
              <w:rPr>
                <w:rStyle w:val="14"/>
                <w:rFonts w:hint="eastAsia" w:ascii="仿宋" w:hAnsi="仿宋" w:eastAsia="仿宋" w:cs="仿宋"/>
                <w:bCs/>
                <w:color w:val="auto"/>
                <w:sz w:val="24"/>
                <w:highlight w:val="none"/>
                <w:u w:val="none"/>
                <w:lang w:eastAsia="zh-CN"/>
              </w:rPr>
              <w:t>、</w:t>
            </w:r>
            <w:r>
              <w:rPr>
                <w:rStyle w:val="14"/>
                <w:rFonts w:hint="eastAsia" w:ascii="仿宋" w:hAnsi="仿宋" w:eastAsia="仿宋" w:cs="仿宋"/>
                <w:bCs/>
                <w:color w:val="auto"/>
                <w:sz w:val="24"/>
                <w:highlight w:val="none"/>
                <w:u w:val="none"/>
                <w:lang w:val="en-US" w:eastAsia="zh-CN"/>
              </w:rPr>
              <w:t>深圳尚为</w:t>
            </w:r>
          </w:p>
        </w:tc>
        <w:tc>
          <w:tcPr>
            <w:tcW w:w="68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惠州</w:t>
            </w:r>
          </w:p>
        </w:tc>
        <w:tc>
          <w:tcPr>
            <w:tcW w:w="1983"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b w:val="0"/>
                <w:bCs w:val="0"/>
                <w:color w:val="auto"/>
                <w:szCs w:val="20"/>
                <w:highlight w:val="none"/>
                <w:lang w:val="en-US" w:eastAsia="zh-CN"/>
              </w:rPr>
            </w:pPr>
            <w:r>
              <w:rPr>
                <w:rFonts w:hint="eastAsia" w:ascii="仿宋" w:hAnsi="仿宋" w:eastAsia="仿宋" w:cs="仿宋"/>
                <w:b w:val="0"/>
                <w:bCs w:val="0"/>
                <w:color w:val="auto"/>
                <w:szCs w:val="20"/>
                <w:highlight w:val="none"/>
                <w:lang w:val="en-US" w:eastAsia="zh-CN"/>
              </w:rPr>
              <w:t>SZSW2105</w:t>
            </w:r>
          </w:p>
        </w:tc>
        <w:tc>
          <w:tcPr>
            <w:tcW w:w="135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3年</w:t>
            </w:r>
          </w:p>
        </w:tc>
        <w:tc>
          <w:tcPr>
            <w:tcW w:w="777"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54"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5</w:t>
            </w:r>
          </w:p>
        </w:tc>
        <w:tc>
          <w:tcPr>
            <w:tcW w:w="131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500</w:t>
            </w:r>
          </w:p>
        </w:tc>
        <w:tc>
          <w:tcPr>
            <w:tcW w:w="137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2500</w:t>
            </w:r>
          </w:p>
        </w:tc>
        <w:tc>
          <w:tcPr>
            <w:tcW w:w="1112"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87"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4</w:t>
            </w:r>
          </w:p>
        </w:tc>
        <w:tc>
          <w:tcPr>
            <w:tcW w:w="1540"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强穿透照灯明</w:t>
            </w:r>
          </w:p>
        </w:tc>
        <w:tc>
          <w:tcPr>
            <w:tcW w:w="1782"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Style w:val="14"/>
                <w:rFonts w:hint="eastAsia" w:ascii="仿宋" w:hAnsi="仿宋" w:eastAsia="仿宋" w:cs="仿宋"/>
                <w:bCs/>
                <w:color w:val="auto"/>
                <w:sz w:val="24"/>
                <w:highlight w:val="none"/>
                <w:u w:val="none"/>
              </w:rPr>
              <w:t>深圳市尚为照明有限公司</w:t>
            </w:r>
            <w:r>
              <w:rPr>
                <w:rStyle w:val="14"/>
                <w:rFonts w:hint="eastAsia" w:ascii="仿宋" w:hAnsi="仿宋" w:eastAsia="仿宋" w:cs="仿宋"/>
                <w:bCs/>
                <w:color w:val="auto"/>
                <w:sz w:val="24"/>
                <w:highlight w:val="none"/>
                <w:u w:val="none"/>
                <w:lang w:eastAsia="zh-CN"/>
              </w:rPr>
              <w:t>、</w:t>
            </w:r>
            <w:r>
              <w:rPr>
                <w:rStyle w:val="14"/>
                <w:rFonts w:hint="eastAsia" w:ascii="仿宋" w:hAnsi="仿宋" w:eastAsia="仿宋" w:cs="仿宋"/>
                <w:bCs/>
                <w:color w:val="auto"/>
                <w:sz w:val="24"/>
                <w:highlight w:val="none"/>
                <w:u w:val="none"/>
                <w:lang w:val="en-US" w:eastAsia="zh-CN"/>
              </w:rPr>
              <w:t>深圳尚为</w:t>
            </w:r>
          </w:p>
        </w:tc>
        <w:tc>
          <w:tcPr>
            <w:tcW w:w="68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惠州</w:t>
            </w:r>
          </w:p>
        </w:tc>
        <w:tc>
          <w:tcPr>
            <w:tcW w:w="1983"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SZSW2173</w:t>
            </w:r>
          </w:p>
        </w:tc>
        <w:tc>
          <w:tcPr>
            <w:tcW w:w="135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3年</w:t>
            </w:r>
          </w:p>
        </w:tc>
        <w:tc>
          <w:tcPr>
            <w:tcW w:w="777"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54"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31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14800</w:t>
            </w:r>
          </w:p>
        </w:tc>
        <w:tc>
          <w:tcPr>
            <w:tcW w:w="137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74000</w:t>
            </w:r>
          </w:p>
        </w:tc>
        <w:tc>
          <w:tcPr>
            <w:tcW w:w="1112"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87"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5</w:t>
            </w:r>
          </w:p>
        </w:tc>
        <w:tc>
          <w:tcPr>
            <w:tcW w:w="1540"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多功能照明灯</w:t>
            </w:r>
          </w:p>
        </w:tc>
        <w:tc>
          <w:tcPr>
            <w:tcW w:w="1782"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Style w:val="14"/>
                <w:rFonts w:hint="eastAsia" w:ascii="仿宋" w:hAnsi="仿宋" w:eastAsia="仿宋" w:cs="仿宋"/>
                <w:bCs/>
                <w:color w:val="auto"/>
                <w:sz w:val="24"/>
                <w:highlight w:val="none"/>
                <w:u w:val="none"/>
              </w:rPr>
              <w:t>深圳市尚为照明有限公司</w:t>
            </w:r>
            <w:r>
              <w:rPr>
                <w:rStyle w:val="14"/>
                <w:rFonts w:hint="eastAsia" w:ascii="仿宋" w:hAnsi="仿宋" w:eastAsia="仿宋" w:cs="仿宋"/>
                <w:bCs/>
                <w:color w:val="auto"/>
                <w:sz w:val="24"/>
                <w:highlight w:val="none"/>
                <w:u w:val="none"/>
                <w:lang w:eastAsia="zh-CN"/>
              </w:rPr>
              <w:t>、</w:t>
            </w:r>
            <w:r>
              <w:rPr>
                <w:rStyle w:val="14"/>
                <w:rFonts w:hint="eastAsia" w:ascii="仿宋" w:hAnsi="仿宋" w:eastAsia="仿宋" w:cs="仿宋"/>
                <w:bCs/>
                <w:color w:val="auto"/>
                <w:sz w:val="24"/>
                <w:highlight w:val="none"/>
                <w:u w:val="none"/>
                <w:lang w:val="en-US" w:eastAsia="zh-CN"/>
              </w:rPr>
              <w:t>深圳尚为</w:t>
            </w:r>
          </w:p>
        </w:tc>
        <w:tc>
          <w:tcPr>
            <w:tcW w:w="68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惠州</w:t>
            </w:r>
          </w:p>
        </w:tc>
        <w:tc>
          <w:tcPr>
            <w:tcW w:w="1983"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SZSW2187</w:t>
            </w:r>
          </w:p>
        </w:tc>
        <w:tc>
          <w:tcPr>
            <w:tcW w:w="135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3年</w:t>
            </w:r>
          </w:p>
        </w:tc>
        <w:tc>
          <w:tcPr>
            <w:tcW w:w="777"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54"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31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505</w:t>
            </w:r>
          </w:p>
        </w:tc>
        <w:tc>
          <w:tcPr>
            <w:tcW w:w="137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75750</w:t>
            </w:r>
          </w:p>
        </w:tc>
        <w:tc>
          <w:tcPr>
            <w:tcW w:w="1112"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87"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6</w:t>
            </w:r>
          </w:p>
        </w:tc>
        <w:tc>
          <w:tcPr>
            <w:tcW w:w="1540"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手电筒</w:t>
            </w:r>
          </w:p>
        </w:tc>
        <w:tc>
          <w:tcPr>
            <w:tcW w:w="1782"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Style w:val="14"/>
                <w:rFonts w:hint="eastAsia" w:ascii="仿宋" w:hAnsi="仿宋" w:eastAsia="仿宋" w:cs="仿宋"/>
                <w:bCs/>
                <w:color w:val="auto"/>
                <w:sz w:val="24"/>
                <w:highlight w:val="none"/>
                <w:u w:val="none"/>
              </w:rPr>
              <w:t>深圳市尚为照明有限公司</w:t>
            </w:r>
            <w:r>
              <w:rPr>
                <w:rStyle w:val="14"/>
                <w:rFonts w:hint="eastAsia" w:ascii="仿宋" w:hAnsi="仿宋" w:eastAsia="仿宋" w:cs="仿宋"/>
                <w:bCs/>
                <w:color w:val="auto"/>
                <w:sz w:val="24"/>
                <w:highlight w:val="none"/>
                <w:u w:val="none"/>
                <w:lang w:eastAsia="zh-CN"/>
              </w:rPr>
              <w:t>、</w:t>
            </w:r>
            <w:r>
              <w:rPr>
                <w:rStyle w:val="14"/>
                <w:rFonts w:hint="eastAsia" w:ascii="仿宋" w:hAnsi="仿宋" w:eastAsia="仿宋" w:cs="仿宋"/>
                <w:bCs/>
                <w:color w:val="auto"/>
                <w:sz w:val="24"/>
                <w:highlight w:val="none"/>
                <w:u w:val="none"/>
                <w:lang w:val="en-US" w:eastAsia="zh-CN"/>
              </w:rPr>
              <w:t>深圳尚为</w:t>
            </w:r>
          </w:p>
        </w:tc>
        <w:tc>
          <w:tcPr>
            <w:tcW w:w="68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惠州</w:t>
            </w:r>
          </w:p>
        </w:tc>
        <w:tc>
          <w:tcPr>
            <w:tcW w:w="1983"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color w:val="auto"/>
                <w:szCs w:val="20"/>
                <w:highlight w:val="none"/>
                <w:lang w:val="en-US" w:eastAsia="zh-CN"/>
              </w:rPr>
            </w:pPr>
            <w:r>
              <w:rPr>
                <w:rFonts w:hint="eastAsia" w:ascii="仿宋" w:hAnsi="仿宋" w:eastAsia="仿宋" w:cs="仿宋"/>
                <w:color w:val="auto"/>
                <w:szCs w:val="20"/>
                <w:highlight w:val="none"/>
                <w:lang w:val="en-US" w:eastAsia="zh-CN"/>
              </w:rPr>
              <w:t>SZSW2103</w:t>
            </w:r>
          </w:p>
        </w:tc>
        <w:tc>
          <w:tcPr>
            <w:tcW w:w="1357"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3年</w:t>
            </w:r>
          </w:p>
        </w:tc>
        <w:tc>
          <w:tcPr>
            <w:tcW w:w="777"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754"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31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430</w:t>
            </w:r>
          </w:p>
        </w:tc>
        <w:tc>
          <w:tcPr>
            <w:tcW w:w="137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43000</w:t>
            </w:r>
          </w:p>
        </w:tc>
        <w:tc>
          <w:tcPr>
            <w:tcW w:w="1112"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3375" w:type="dxa"/>
            <w:gridSpan w:val="11"/>
            <w:tcBorders>
              <w:top w:val="single" w:color="auto" w:sz="8" w:space="0"/>
              <w:left w:val="single" w:color="auto" w:sz="8" w:space="0"/>
              <w:bottom w:val="single" w:color="auto"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color w:val="auto"/>
                <w:szCs w:val="20"/>
                <w:highlight w:val="none"/>
              </w:rPr>
            </w:pPr>
            <w:r>
              <w:rPr>
                <w:rFonts w:hint="eastAsia" w:ascii="仿宋" w:hAnsi="仿宋" w:eastAsia="仿宋" w:cs="仿宋"/>
                <w:color w:val="auto"/>
                <w:szCs w:val="20"/>
                <w:highlight w:val="none"/>
              </w:rPr>
              <w:t xml:space="preserve">合计：人民币 </w:t>
            </w:r>
            <w:r>
              <w:rPr>
                <w:rFonts w:hint="eastAsia" w:ascii="仿宋" w:hAnsi="仿宋" w:eastAsia="仿宋" w:cs="仿宋"/>
                <w:color w:val="auto"/>
                <w:szCs w:val="20"/>
                <w:highlight w:val="none"/>
                <w:lang w:val="en-US" w:eastAsia="zh-CN"/>
              </w:rPr>
              <w:t>叁拾万零贰佰伍拾元整</w:t>
            </w:r>
            <w:r>
              <w:rPr>
                <w:rFonts w:hint="eastAsia" w:ascii="仿宋" w:hAnsi="仿宋" w:eastAsia="仿宋" w:cs="仿宋"/>
                <w:color w:val="auto"/>
                <w:szCs w:val="20"/>
                <w:highlight w:val="none"/>
              </w:rPr>
              <w:t xml:space="preserve">       （¥   </w:t>
            </w:r>
            <w:bookmarkStart w:id="60" w:name="OLE_LINK74"/>
            <w:r>
              <w:rPr>
                <w:rFonts w:hint="eastAsia" w:ascii="仿宋" w:hAnsi="仿宋" w:eastAsia="仿宋" w:cs="仿宋"/>
                <w:color w:val="auto"/>
                <w:szCs w:val="20"/>
                <w:highlight w:val="none"/>
              </w:rPr>
              <w:t>300250</w:t>
            </w:r>
            <w:bookmarkEnd w:id="60"/>
            <w:r>
              <w:rPr>
                <w:rFonts w:hint="eastAsia" w:ascii="仿宋" w:hAnsi="仿宋" w:eastAsia="仿宋" w:cs="仿宋"/>
                <w:color w:val="auto"/>
                <w:szCs w:val="20"/>
                <w:highlight w:val="none"/>
                <w:lang w:val="en-US" w:eastAsia="zh-CN"/>
              </w:rPr>
              <w:t>元</w:t>
            </w:r>
            <w:r>
              <w:rPr>
                <w:rFonts w:hint="eastAsia" w:ascii="仿宋" w:hAnsi="仿宋" w:eastAsia="仿宋" w:cs="仿宋"/>
                <w:color w:val="auto"/>
                <w:szCs w:val="20"/>
                <w:highlight w:val="none"/>
              </w:rPr>
              <w:t xml:space="preserve">             ）</w:t>
            </w:r>
          </w:p>
        </w:tc>
      </w:tr>
    </w:tbl>
    <w:p>
      <w:pPr>
        <w:pStyle w:val="8"/>
        <w:ind w:firstLine="240"/>
        <w:rPr>
          <w:rFonts w:hint="eastAsia" w:ascii="仿宋" w:hAnsi="仿宋" w:eastAsia="仿宋" w:cs="仿宋"/>
          <w:color w:val="auto"/>
          <w:sz w:val="24"/>
          <w:highlight w:val="none"/>
        </w:rPr>
      </w:pPr>
    </w:p>
    <w:p>
      <w:pPr>
        <w:keepLines/>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bookmarkStart w:id="62" w:name="_GoBack"/>
      <w:bookmarkEnd w:id="62"/>
    </w:p>
    <w:p>
      <w:pPr>
        <w:keepLines/>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1、如果不提供详细分项报价将视为没有实质性响应招标文件。</w:t>
      </w:r>
    </w:p>
    <w:p>
      <w:pPr>
        <w:keepLines/>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2、分项报价汇总得出的合计金额应与投标一览表中报价金额一致。</w:t>
      </w:r>
    </w:p>
    <w:p>
      <w:pPr>
        <w:pStyle w:val="8"/>
        <w:ind w:firstLine="240"/>
        <w:rPr>
          <w:rFonts w:hint="eastAsia" w:ascii="仿宋" w:hAnsi="仿宋" w:eastAsia="仿宋" w:cs="仿宋"/>
          <w:color w:val="auto"/>
          <w:sz w:val="24"/>
          <w:highlight w:val="none"/>
        </w:rPr>
      </w:pPr>
    </w:p>
    <w:p>
      <w:pPr>
        <w:adjustRightInd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投标人代表签字：</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黄琪</w:t>
      </w:r>
      <w:r>
        <w:rPr>
          <w:rFonts w:hint="eastAsia" w:ascii="仿宋" w:hAnsi="仿宋" w:eastAsia="仿宋" w:cs="仿宋"/>
          <w:color w:val="auto"/>
          <w:highlight w:val="none"/>
          <w:u w:val="single"/>
        </w:rPr>
        <w:t xml:space="preserve">                </w:t>
      </w:r>
    </w:p>
    <w:p>
      <w:pPr>
        <w:pStyle w:val="9"/>
        <w:ind w:left="0" w:leftChars="0" w:firstLine="0" w:firstLineChars="0"/>
        <w:rPr>
          <w:rFonts w:hint="eastAsia" w:ascii="仿宋" w:hAnsi="仿宋" w:eastAsia="仿宋" w:cs="仿宋"/>
          <w:color w:val="auto"/>
          <w:highlight w:val="none"/>
          <w:u w:val="single"/>
        </w:rPr>
      </w:pPr>
      <w:r>
        <w:rPr>
          <w:rFonts w:hint="eastAsia" w:ascii="仿宋" w:hAnsi="仿宋" w:eastAsia="仿宋" w:cs="仿宋"/>
          <w:color w:val="auto"/>
          <w:highlight w:val="none"/>
        </w:rPr>
        <w:t>投标人名称（加盖公章）：</w:t>
      </w:r>
      <w:bookmarkStart w:id="61" w:name="OLE_LINK8"/>
      <w:r>
        <w:rPr>
          <w:rFonts w:hint="eastAsia" w:ascii="仿宋" w:hAnsi="仿宋" w:eastAsia="仿宋" w:cs="仿宋"/>
          <w:color w:val="auto"/>
          <w:highlight w:val="none"/>
          <w:u w:val="single"/>
        </w:rPr>
        <w:t xml:space="preserve"> 深圳市尚为照明有限公司 </w:t>
      </w:r>
      <w:bookmarkEnd w:id="61"/>
    </w:p>
    <w:p>
      <w:pPr>
        <w:keepLines/>
        <w:widowControl/>
        <w:snapToGrid w:val="0"/>
        <w:spacing w:line="360" w:lineRule="auto"/>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2023</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6</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6"/>
    <w:multiLevelType w:val="multilevel"/>
    <w:tmpl w:val="0000002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pStyle w:val="4"/>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rPr>
        <w:rFonts w:hint="default" w:ascii="Times New Roman" w:hAnsi="Times New Roman" w:cs="Times New Roman"/>
      </w:r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NWFjMmFmMjE5Njk0ODFhNzgwNWU3ZDAxMDQ3N2YifQ=="/>
  </w:docVars>
  <w:rsids>
    <w:rsidRoot w:val="00000000"/>
    <w:rsid w:val="05971B92"/>
    <w:rsid w:val="367269B7"/>
    <w:rsid w:val="545B3028"/>
    <w:rsid w:val="5C8D29A2"/>
    <w:rsid w:val="6EE55CB1"/>
    <w:rsid w:val="7A2F0FCF"/>
    <w:rsid w:val="7A4757E3"/>
    <w:rsid w:val="7F33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13"/>
    <w:qFormat/>
    <w:uiPriority w:val="0"/>
    <w:pPr>
      <w:keepNext/>
      <w:keepLines/>
      <w:spacing w:beforeLines="0" w:beforeAutospacing="0" w:afterLines="0" w:afterAutospacing="0" w:line="240" w:lineRule="auto"/>
      <w:outlineLvl w:val="0"/>
    </w:pPr>
    <w:rPr>
      <w:rFonts w:ascii="Calibri" w:hAnsi="Calibri" w:eastAsia="宋体" w:cs="Times New Roman"/>
      <w:b/>
      <w:kern w:val="44"/>
      <w:sz w:val="28"/>
    </w:rPr>
  </w:style>
  <w:style w:type="paragraph" w:styleId="3">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宋体" w:cs="Times New Roman"/>
      <w:b/>
      <w:sz w:val="24"/>
    </w:rPr>
  </w:style>
  <w:style w:type="paragraph" w:styleId="4">
    <w:name w:val="heading 3"/>
    <w:basedOn w:val="1"/>
    <w:next w:val="1"/>
    <w:qFormat/>
    <w:uiPriority w:val="0"/>
    <w:pPr>
      <w:keepNext/>
      <w:keepLines/>
      <w:numPr>
        <w:ilvl w:val="2"/>
        <w:numId w:val="1"/>
      </w:numPr>
      <w:tabs>
        <w:tab w:val="left" w:pos="709"/>
      </w:tabs>
      <w:spacing w:before="260" w:after="260" w:line="413" w:lineRule="auto"/>
      <w:outlineLvl w:val="2"/>
    </w:pPr>
    <w:rPr>
      <w:b/>
      <w:bCs/>
      <w:kern w:val="2"/>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line="360" w:lineRule="auto"/>
    </w:pPr>
    <w:rPr>
      <w:rFonts w:hAnsi="宋体"/>
      <w:kern w:val="2"/>
      <w:sz w:val="28"/>
      <w:szCs w:val="24"/>
    </w:rPr>
  </w:style>
  <w:style w:type="paragraph" w:styleId="6">
    <w:name w:val="Body Text Indent"/>
    <w:basedOn w:val="1"/>
    <w:next w:val="1"/>
    <w:qFormat/>
    <w:uiPriority w:val="0"/>
    <w:pPr>
      <w:adjustRightInd w:val="0"/>
      <w:snapToGrid w:val="0"/>
      <w:spacing w:line="360" w:lineRule="auto"/>
      <w:ind w:firstLine="420" w:firstLineChars="200"/>
    </w:pPr>
    <w:rPr>
      <w:rFonts w:ascii="Times New Roman"/>
      <w:kern w:val="2"/>
      <w:sz w:val="21"/>
      <w:szCs w:val="24"/>
    </w:rPr>
  </w:style>
  <w:style w:type="paragraph" w:styleId="7">
    <w:name w:val="footer"/>
    <w:basedOn w:val="1"/>
    <w:link w:val="12"/>
    <w:qFormat/>
    <w:uiPriority w:val="0"/>
    <w:pPr>
      <w:tabs>
        <w:tab w:val="center" w:pos="4153"/>
        <w:tab w:val="right" w:pos="8306"/>
      </w:tabs>
      <w:snapToGrid w:val="0"/>
      <w:jc w:val="left"/>
    </w:pPr>
    <w:rPr>
      <w:rFonts w:ascii="Times New Roman" w:hAnsi="Times New Roman" w:eastAsia="宋体"/>
      <w:color w:val="000000" w:themeColor="text1"/>
      <w:kern w:val="0"/>
      <w:sz w:val="18"/>
      <w:szCs w:val="18"/>
      <w14:textFill>
        <w14:solidFill>
          <w14:schemeClr w14:val="tx1"/>
        </w14:solidFill>
      </w14:textFill>
    </w:rPr>
  </w:style>
  <w:style w:type="paragraph" w:styleId="8">
    <w:name w:val="Body Text First Indent"/>
    <w:basedOn w:val="5"/>
    <w:qFormat/>
    <w:uiPriority w:val="0"/>
    <w:pPr>
      <w:spacing w:after="120" w:afterLines="0" w:line="240" w:lineRule="auto"/>
      <w:ind w:firstLine="420" w:firstLineChars="100"/>
    </w:pPr>
    <w:rPr>
      <w:rFonts w:ascii="Times New Roman" w:hAnsi="Times New Roman"/>
      <w:sz w:val="21"/>
    </w:rPr>
  </w:style>
  <w:style w:type="paragraph" w:styleId="9">
    <w:name w:val="Body Text First Indent 2"/>
    <w:basedOn w:val="6"/>
    <w:qFormat/>
    <w:uiPriority w:val="0"/>
    <w:pPr>
      <w:snapToGrid/>
      <w:spacing w:after="120" w:afterLines="0" w:line="312" w:lineRule="atLeast"/>
      <w:ind w:left="420" w:firstLineChars="0"/>
      <w:textAlignment w:val="baseline"/>
    </w:pPr>
    <w:rPr>
      <w:rFonts w:ascii="宋体"/>
      <w:snapToGrid w:val="0"/>
      <w:kern w:val="0"/>
      <w:sz w:val="24"/>
      <w:szCs w:val="18"/>
    </w:rPr>
  </w:style>
  <w:style w:type="character" w:customStyle="1" w:styleId="12">
    <w:name w:val="页脚 Char"/>
    <w:link w:val="7"/>
    <w:qFormat/>
    <w:uiPriority w:val="99"/>
    <w:rPr>
      <w:rFonts w:ascii="Times New Roman" w:hAnsi="Times New Roman" w:eastAsia="宋体"/>
      <w:color w:val="000000" w:themeColor="text1"/>
      <w:sz w:val="18"/>
      <w:szCs w:val="18"/>
      <w14:textFill>
        <w14:solidFill>
          <w14:schemeClr w14:val="tx1"/>
        </w14:solidFill>
      </w14:textFill>
    </w:rPr>
  </w:style>
  <w:style w:type="character" w:customStyle="1" w:styleId="13">
    <w:name w:val="标题 1 Char"/>
    <w:link w:val="2"/>
    <w:qFormat/>
    <w:uiPriority w:val="0"/>
    <w:rPr>
      <w:rFonts w:ascii="Calibri" w:hAnsi="Calibri" w:eastAsia="宋体" w:cs="Times New Roman"/>
      <w:b/>
      <w:kern w:val="44"/>
      <w:sz w:val="28"/>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2023-02-04T00:12:00Z</dcterms:created>
  <dc:creator>黄琪</dc:creator>
  <cp:lastModifiedBy>kylin</cp:lastModifiedBy>
  <dcterms:modified xsi:type="dcterms:W3CDTF">2023-11-07T09:53:34Z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D5537C87F2C1400386A02BCA12F49B12</vt:lpwstr>
  </property>
</Properties>
</file>