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442000-2023-05253</w:t>
      </w:r>
    </w:p>
    <w:p>
      <w:pPr>
        <w:jc w:val="center"/>
      </w:pPr>
      <w:r>
        <w:rPr>
          <w:b/>
          <w:sz w:val="24"/>
        </w:rPr>
        <w:t>采购项目编号：</w:t>
      </w:r>
      <w:r>
        <w:rPr>
          <w:b/>
          <w:sz w:val="24"/>
        </w:rPr>
        <w:t>ZSCC-023-JZG-0078</w:t>
      </w:r>
    </w:p>
    <w:p>
      <w:pPr>
        <w:jc w:val="center"/>
      </w:pPr>
      <w:r>
        <w:rPr>
          <w:b/>
          <w:sz w:val="24"/>
        </w:rPr>
        <w:t>项目名称：</w:t>
      </w:r>
      <w:r>
        <w:rPr>
          <w:b/>
          <w:sz w:val="24"/>
        </w:rPr>
        <w:t>中山市村镇低效工业园改造升级展示中心项目</w:t>
      </w:r>
    </w:p>
    <w:p>
      <w:pPr>
        <w:jc w:val="center"/>
      </w:pPr>
      <w:r>
        <w:rPr>
          <w:b/>
          <w:sz w:val="24"/>
        </w:rPr>
        <w:t>采购人：</w:t>
      </w:r>
      <w:r>
        <w:rPr>
          <w:b/>
          <w:sz w:val="24"/>
        </w:rPr>
        <w:t>中山市自然资源局</w:t>
      </w:r>
    </w:p>
    <w:p>
      <w:pPr>
        <w:jc w:val="center"/>
      </w:pPr>
      <w:r>
        <w:rPr>
          <w:b/>
          <w:sz w:val="24"/>
        </w:rPr>
        <w:t>采购代理机构：</w:t>
      </w:r>
      <w:r>
        <w:rPr>
          <w:b/>
          <w:sz w:val="24"/>
        </w:rPr>
        <w:t>中山市翠城工程管理有限公司</w:t>
      </w:r>
    </w:p>
    <w:p>
      <w:pPr>
        <w:ind w:firstLine="480"/>
      </w:pPr>
    </w:p>
    <w:p>
      <w:r>
        <w:rPr/>
        <w:t xml:space="preserve"> </w:t>
      </w:r>
    </w:p>
    <w:p/>
    <w:p>
      <w:pPr>
        <w:jc w:val="center"/>
      </w:pPr>
      <w:r>
        <w:rPr>
          <w:b/>
          <w:sz w:val="36"/>
        </w:rPr>
        <w:t>第一章 磋商邀请</w:t>
      </w:r>
    </w:p>
    <w:p>
      <w:pPr>
        <w:ind w:firstLine="480"/>
      </w:pPr>
      <w:r>
        <w:rPr/>
        <w:t>中山市翠城工程管理有限公司</w:t>
      </w:r>
      <w:r>
        <w:rPr/>
        <w:t>受</w:t>
      </w:r>
      <w:r>
        <w:rPr/>
        <w:t>中山市自然资源局</w:t>
      </w:r>
      <w:r>
        <w:rPr/>
        <w:t>的委托，采用</w:t>
      </w:r>
      <w:r>
        <w:rPr/>
        <w:t>竞争性磋商</w:t>
      </w:r>
      <w:r>
        <w:rPr/>
        <w:t>方式组织采购</w:t>
      </w:r>
      <w:r>
        <w:rPr/>
        <w:t>中山市村镇低效工业园改造升级展示中心项目</w:t>
      </w:r>
      <w:r>
        <w:rPr/>
        <w:t>。欢迎符合资格条件的供应商参加。</w:t>
      </w:r>
    </w:p>
    <w:p>
      <w:r>
        <w:rPr>
          <w:b/>
          <w:sz w:val="28"/>
        </w:rPr>
        <w:t>一.项目概述</w:t>
      </w:r>
    </w:p>
    <w:p>
      <w:r>
        <w:rPr>
          <w:b/>
          <w:sz w:val="24"/>
        </w:rPr>
        <w:t>1.名称与编号</w:t>
      </w:r>
    </w:p>
    <w:p>
      <w:pPr>
        <w:ind w:firstLine="480"/>
      </w:pPr>
      <w:r>
        <w:rPr/>
        <w:t>采购项目名称：</w:t>
      </w:r>
      <w:r>
        <w:rPr/>
        <w:t>中山市村镇低效工业园改造升级展示中心项目</w:t>
      </w:r>
    </w:p>
    <w:p>
      <w:pPr>
        <w:ind w:firstLine="480"/>
      </w:pPr>
      <w:r>
        <w:rPr/>
        <w:t>采购计划编号：</w:t>
      </w:r>
      <w:r>
        <w:rPr/>
        <w:t>442000-2023-05253</w:t>
      </w:r>
    </w:p>
    <w:p>
      <w:pPr>
        <w:ind w:firstLine="480"/>
      </w:pPr>
      <w:r>
        <w:rPr/>
        <w:t>采购项目编号：</w:t>
      </w:r>
      <w:r>
        <w:rPr/>
        <w:t>ZSCC-023-JZG-0078</w:t>
      </w:r>
    </w:p>
    <w:p>
      <w:pPr>
        <w:ind w:firstLine="480"/>
      </w:pPr>
      <w:r>
        <w:rPr/>
        <w:t>采购方式：</w:t>
      </w:r>
      <w:r>
        <w:rPr/>
        <w:t>竞争性磋商</w:t>
      </w:r>
    </w:p>
    <w:p>
      <w:pPr>
        <w:ind w:firstLine="480"/>
      </w:pPr>
      <w:r>
        <w:rPr/>
        <w:t>预算金额：</w:t>
      </w:r>
      <w:r>
        <w:rPr/>
        <w:t>1,980,000.00</w:t>
      </w:r>
      <w:r>
        <w:rPr/>
        <w:t>元</w:t>
      </w:r>
    </w:p>
    <w:p>
      <w:r>
        <w:rPr>
          <w:b/>
          <w:sz w:val="24"/>
        </w:rPr>
        <w:t>2.项目内容及需求情况（采购项目技术规格、参数及要求）</w:t>
      </w:r>
    </w:p>
    <w:p>
      <w:pPr>
        <w:ind w:firstLine="480"/>
      </w:pPr>
    </w:p>
    <w:p/>
    <w:p>
      <w:r>
        <w:rPr/>
        <w:t>采购包1(中山市村镇低效工业园改造升级展示中心项目):</w:t>
      </w:r>
    </w:p>
    <w:p>
      <w:r>
        <w:rPr/>
        <w:t>采购包预算金额：1,980,000.00元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其他建筑工程</w:t>
            </w:r>
          </w:p>
        </w:tc>
        <w:tc>
          <w:tcPr>
            <w:tcW w:type="dxa" w:w="2136"/>
          </w:tcPr>
          <w:p>
            <w:r>
              <w:rPr/>
              <w:t>中山市村镇低效工业园改造升级展示中心项目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合同履行期限：自合同签订之日起至合同全部服务履行完毕之日止</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关于分公司投标的要求：根据政府采购法实施条例释义精神，政府采购的供应商应当具备独立承担民事责任的能力，分公司参与投标（报价）的，原则上需提供具有法人资格的总公司的营业执照副本复印件及授权书，但银行、保险、石油石化、电力、电信等有行业特殊情况的，允许分公司在具有总公司有关文件制度或相关授权授章文件，能证明总公司授权分公司独立开展业务的情况下参与投标。】</w:t>
      </w:r>
    </w:p>
    <w:p/>
    <w:p>
      <w:r>
        <w:rPr/>
        <w:t>2）有依法缴纳税收和社会保障资金的良好记录：响应文件提交截止日前12个月内任意1个月依法缴纳税收和社会保障资金的相关材料。 如依法免税或不需要缴纳社会保障资金的， 提供相应证明材料。</w:t>
      </w:r>
    </w:p>
    <w:p/>
    <w:p>
      <w:r>
        <w:rPr/>
        <w:t>3）具有良好的商业信誉和健全的财务会计制度：提供2022年度经审计的财务状况报告，或响应文件提交截止日前12个月内任意1个月的财务报表复印件（财务报表须包含资产负债表、利润表），或基本开户行出具的资信证明材料复印件。</w:t>
      </w:r>
    </w:p>
    <w:p/>
    <w:p>
      <w:r>
        <w:rPr/>
        <w:t>4）履行合同所必需的设备和专业技术能力：提供承诺函（格式自拟，其中承诺内容包括但不限于：“我方具有履行本项目合同所必需的设备及专业技术能力。”）或提供《设备和专业技术能力情况表》（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采购包1（中山市村镇低效工业园改造升级展示中心项目）：</w:t>
      </w:r>
      <w:r>
        <w:rPr/>
        <w:t>本项目属于专门面向中小企业采购的项目，供应商须符合本项目所属行业(建筑业)政策划型标准的中型或小型或微型企业的划型标准。监狱企业、残疾人福利单位视同小型、微型企业。</w:t>
      </w:r>
    </w:p>
    <w:p/>
    <w:p>
      <w:r>
        <w:rPr>
          <w:b/>
          <w:sz w:val="24"/>
        </w:rPr>
        <w:t>3.本项目特定的资格要求：</w:t>
      </w:r>
    </w:p>
    <w:p>
      <w:pPr>
        <w:ind w:firstLine="480"/>
      </w:pPr>
    </w:p>
    <w:p/>
    <w:p>
      <w:r>
        <w:rPr/>
        <w:t>采购包1（中山市村镇低效工业园改造升级展示中心项目）：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有有效的建筑装修装饰工程专业承包二级以上（含二级）资质，并具有有效的安全生产许可证【提供资质证书和安全生产许可证复印件并加盖公章。资质证书、安全生产许可证过期的，如能提供相关部门顺延证书有效期的文件，且符合文件规定的，则视为仍然有效。】</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广东省公共资源交易平台网(https://ygp.gdzwfw.gov.cn/#/442000/index），中山市翠城工程管理有限公司网（http://www.ccbidding.com/）</w:t>
      </w:r>
    </w:p>
    <w:p>
      <w:r>
        <w:rPr>
          <w:b/>
          <w:sz w:val="28"/>
        </w:rPr>
        <w:t>六.本项目联系方式：</w:t>
      </w:r>
    </w:p>
    <w:p>
      <w:r>
        <w:rPr>
          <w:b/>
          <w:sz w:val="24"/>
        </w:rPr>
        <w:t>1.采购人信息</w:t>
      </w:r>
    </w:p>
    <w:p>
      <w:pPr>
        <w:ind w:firstLine="480"/>
      </w:pPr>
      <w:r>
        <w:rPr/>
        <w:t>名称：</w:t>
      </w:r>
      <w:r>
        <w:rPr/>
        <w:t>中山市自然资源局</w:t>
      </w:r>
    </w:p>
    <w:p>
      <w:pPr>
        <w:ind w:firstLine="480"/>
      </w:pPr>
      <w:r>
        <w:rPr/>
        <w:t>地址：</w:t>
      </w:r>
      <w:r>
        <w:rPr/>
        <w:t>中山市石岐区兴中道二号</w:t>
      </w:r>
    </w:p>
    <w:p>
      <w:pPr>
        <w:ind w:firstLine="480"/>
      </w:pPr>
      <w:r>
        <w:rPr/>
        <w:t>联系方式：</w:t>
      </w:r>
      <w:r>
        <w:rPr/>
        <w:t>0760-88268189</w:t>
      </w:r>
    </w:p>
    <w:p>
      <w:r>
        <w:rPr>
          <w:b/>
          <w:sz w:val="24"/>
        </w:rPr>
        <w:t>2.采购代理机构信息</w:t>
      </w:r>
    </w:p>
    <w:p>
      <w:pPr>
        <w:ind w:firstLine="480"/>
      </w:pPr>
      <w:r>
        <w:rPr/>
        <w:t>名称：</w:t>
      </w:r>
      <w:r>
        <w:rPr/>
        <w:t>中山市翠城工程管理有限公司</w:t>
      </w:r>
    </w:p>
    <w:p>
      <w:pPr>
        <w:ind w:firstLine="480"/>
      </w:pPr>
      <w:r>
        <w:rPr/>
        <w:t>地址：</w:t>
      </w:r>
      <w:r>
        <w:rPr/>
        <w:t>广东省中山市火炬开发区中山六路60号传盛东方名都11卡</w:t>
      </w:r>
    </w:p>
    <w:p>
      <w:pPr>
        <w:ind w:firstLine="480"/>
      </w:pPr>
      <w:r>
        <w:rPr/>
        <w:t>联系方式：</w:t>
      </w:r>
      <w:r>
        <w:rPr/>
        <w:t>0760-89896168、415722310@qq.com</w:t>
      </w:r>
    </w:p>
    <w:p>
      <w:r>
        <w:rPr>
          <w:b/>
          <w:sz w:val="24"/>
        </w:rPr>
        <w:t>3.项目联系方式</w:t>
      </w:r>
    </w:p>
    <w:p>
      <w:pPr>
        <w:ind w:firstLine="480"/>
      </w:pPr>
      <w:r>
        <w:rPr/>
        <w:t>项目联系人：</w:t>
      </w:r>
      <w:r>
        <w:rPr/>
        <w:t>贺工、陈工</w:t>
      </w:r>
    </w:p>
    <w:p>
      <w:pPr>
        <w:ind w:firstLine="480"/>
      </w:pPr>
      <w:r>
        <w:rPr/>
        <w:t>电话：</w:t>
      </w:r>
      <w:r>
        <w:rPr/>
        <w:t>0760-89896168、415722310@qq.com</w:t>
      </w:r>
    </w:p>
    <w:p>
      <w:r>
        <w:rPr>
          <w:b/>
          <w:sz w:val="24"/>
        </w:rPr>
        <w:t>4.技术支持联系方式</w:t>
      </w:r>
    </w:p>
    <w:p>
      <w:pPr>
        <w:ind w:firstLine="480"/>
      </w:pPr>
      <w:r>
        <w:rPr/>
        <w:t>云平台联系方式：020-88696588</w:t>
      </w:r>
    </w:p>
    <w:p>
      <w:r>
        <w:rPr/>
        <w:t>采购代理机构：</w:t>
      </w:r>
      <w:r>
        <w:rPr/>
        <w:t>中山市翠城工程管理有限公司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项目名称</w:t>
      </w:r>
      <w:r>
        <w:rPr>
          <w:sz w:val="21"/>
        </w:rPr>
        <w:t>：</w:t>
      </w:r>
      <w:r>
        <w:rPr>
          <w:sz w:val="21"/>
        </w:rPr>
        <w:t>中山市村镇低效工业园改造升级展示中心项目</w:t>
      </w:r>
    </w:p>
    <w:p>
      <w:pPr>
        <w:jc w:val="both"/>
      </w:pPr>
      <w:r>
        <w:rPr>
          <w:b/>
          <w:sz w:val="21"/>
        </w:rPr>
        <w:t>（二）项目建筑面积：</w:t>
      </w:r>
      <w:r>
        <w:rPr>
          <w:sz w:val="21"/>
        </w:rPr>
        <w:t>展厅布展面积约</w:t>
      </w:r>
      <w:r>
        <w:rPr>
          <w:sz w:val="21"/>
        </w:rPr>
        <w:t>1554</w:t>
      </w:r>
      <w:r>
        <w:rPr>
          <w:sz w:val="21"/>
        </w:rPr>
        <w:t>平方米。</w:t>
      </w:r>
    </w:p>
    <w:p>
      <w:pPr>
        <w:jc w:val="both"/>
      </w:pPr>
      <w:r>
        <w:rPr>
          <w:b/>
          <w:sz w:val="21"/>
        </w:rPr>
        <w:t>（三）</w:t>
      </w:r>
      <w:r>
        <w:rPr>
          <w:b/>
          <w:sz w:val="21"/>
        </w:rPr>
        <w:t>项目</w:t>
      </w:r>
      <w:r>
        <w:rPr>
          <w:b/>
          <w:sz w:val="21"/>
        </w:rPr>
        <w:t>服务内容及要求</w:t>
      </w:r>
      <w:r>
        <w:rPr>
          <w:sz w:val="21"/>
        </w:rPr>
        <w:t>：</w:t>
      </w:r>
      <w:r>
        <w:rPr>
          <w:sz w:val="21"/>
        </w:rPr>
        <w:t>本项目计划在</w:t>
      </w:r>
      <w:r>
        <w:rPr>
          <w:sz w:val="21"/>
        </w:rPr>
        <w:t>市博览中心建设工改展示中心，以图文、多媒体交互等方式，向参观者展示现阶段工改成果以及未来规划。项目内容涉及展示中心的</w:t>
      </w:r>
      <w:r>
        <w:rPr>
          <w:sz w:val="21"/>
        </w:rPr>
        <w:t>内容大纲方案编写</w:t>
      </w:r>
      <w:r>
        <w:rPr>
          <w:sz w:val="21"/>
        </w:rPr>
        <w:t>、布展方案设计、制作、设备采购、安装、调试。</w:t>
      </w:r>
      <w:r>
        <w:rPr>
          <w:sz w:val="21"/>
        </w:rPr>
        <w:t>所有布展定制实施、</w:t>
      </w:r>
      <w:r>
        <w:rPr>
          <w:sz w:val="21"/>
        </w:rPr>
        <w:t>配套设备采购</w:t>
      </w:r>
      <w:r>
        <w:rPr>
          <w:sz w:val="21"/>
        </w:rPr>
        <w:t>等必须严格按照采购人要求完成，在项目实施过程中，必须服从采购人及相关部门的监督、管理和指挥。</w:t>
      </w:r>
      <w:r>
        <w:rPr>
          <w:sz w:val="21"/>
        </w:rPr>
        <w:t>展示时间为</w:t>
      </w:r>
      <w:r>
        <w:rPr>
          <w:sz w:val="21"/>
        </w:rPr>
        <w:t>长期</w:t>
      </w:r>
      <w:r>
        <w:rPr>
          <w:sz w:val="21"/>
        </w:rPr>
        <w:t>，具体以采购人实际通知为准。</w:t>
      </w:r>
      <w:r>
        <w:rPr>
          <w:sz w:val="21"/>
        </w:rPr>
        <w:t>本项目为交钥匙项目，成交人承包及负责磋商文件对成交人要求的一切事宜及责任。</w:t>
      </w:r>
    </w:p>
    <w:p>
      <w:pPr>
        <w:jc w:val="both"/>
      </w:pPr>
      <w:r>
        <w:rPr>
          <w:b/>
          <w:sz w:val="21"/>
        </w:rPr>
        <w:t>（四）</w:t>
      </w:r>
      <w:r>
        <w:rPr>
          <w:b/>
          <w:sz w:val="21"/>
        </w:rPr>
        <w:t>预算金额</w:t>
      </w:r>
      <w:r>
        <w:rPr>
          <w:sz w:val="21"/>
        </w:rPr>
        <w:t>：</w:t>
      </w:r>
      <w:r>
        <w:rPr>
          <w:sz w:val="21"/>
        </w:rPr>
        <w:t>1980000元</w:t>
      </w:r>
      <w:r>
        <w:rPr>
          <w:sz w:val="21"/>
        </w:rPr>
        <w:t>，供应商的投标（响应）文件报价不得超过预算金额，否则视为</w:t>
      </w:r>
      <w:r>
        <w:rPr>
          <w:sz w:val="21"/>
        </w:rPr>
        <w:t>无效响应。</w:t>
      </w:r>
    </w:p>
    <w:p>
      <w:pPr>
        <w:jc w:val="both"/>
      </w:pPr>
      <w:r>
        <w:rPr>
          <w:b/>
          <w:sz w:val="21"/>
        </w:rPr>
        <w:t>（五）现场踏勘：</w:t>
      </w:r>
      <w:r>
        <w:rPr>
          <w:sz w:val="21"/>
        </w:rPr>
        <w:t>因本项目涉及现场施工，为了让各供应商对改造现场有更清晰的了解，采购人将集中组织现场勘察，采购人不承担任何责任，因现场踏勘所产生的费用由供应商自理。</w:t>
      </w:r>
    </w:p>
    <w:p>
      <w:pPr>
        <w:jc w:val="both"/>
      </w:pPr>
      <w:r>
        <w:rPr>
          <w:sz w:val="21"/>
        </w:rPr>
        <w:t>集中时间：</w:t>
      </w:r>
      <w:r>
        <w:rPr>
          <w:sz w:val="21"/>
          <w:u w:val="single"/>
        </w:rPr>
        <w:t>2023</w:t>
      </w:r>
      <w:r>
        <w:rPr>
          <w:sz w:val="21"/>
          <w:u w:val="single"/>
        </w:rPr>
        <w:t>年</w:t>
      </w:r>
      <w:r>
        <w:rPr>
          <w:sz w:val="21"/>
          <w:u w:val="single"/>
        </w:rPr>
        <w:t>11</w:t>
      </w:r>
      <w:r>
        <w:rPr>
          <w:sz w:val="21"/>
          <w:u w:val="single"/>
        </w:rPr>
        <w:t>月</w:t>
      </w:r>
      <w:r>
        <w:rPr>
          <w:sz w:val="21"/>
          <w:u w:val="single"/>
        </w:rPr>
        <w:t>4</w:t>
      </w:r>
      <w:r>
        <w:rPr>
          <w:sz w:val="21"/>
          <w:u w:val="single"/>
        </w:rPr>
        <w:t>日</w:t>
      </w:r>
      <w:r>
        <w:rPr>
          <w:sz w:val="21"/>
          <w:u w:val="single"/>
        </w:rPr>
        <w:t>10</w:t>
      </w:r>
      <w:r>
        <w:rPr>
          <w:sz w:val="21"/>
          <w:u w:val="single"/>
        </w:rPr>
        <w:t>点</w:t>
      </w:r>
      <w:r>
        <w:rPr>
          <w:sz w:val="21"/>
          <w:u w:val="single"/>
        </w:rPr>
        <w:t>00</w:t>
      </w:r>
      <w:r>
        <w:rPr>
          <w:sz w:val="21"/>
          <w:u w:val="single"/>
        </w:rPr>
        <w:t>分；</w:t>
      </w:r>
    </w:p>
    <w:p>
      <w:pPr>
        <w:jc w:val="both"/>
      </w:pPr>
      <w:r>
        <w:rPr>
          <w:sz w:val="21"/>
        </w:rPr>
        <w:t>集中地点：</w:t>
      </w:r>
      <w:r>
        <w:rPr>
          <w:sz w:val="21"/>
          <w:u w:val="single"/>
        </w:rPr>
        <w:t>中山市博览中心会议中心；</w:t>
      </w:r>
    </w:p>
    <w:p>
      <w:pPr>
        <w:jc w:val="both"/>
      </w:pPr>
      <w:r>
        <w:rPr>
          <w:sz w:val="21"/>
        </w:rPr>
        <w:t>联系人：</w:t>
      </w:r>
      <w:r>
        <w:rPr>
          <w:sz w:val="21"/>
          <w:u w:val="single"/>
        </w:rPr>
        <w:t>何敏健；</w:t>
      </w:r>
    </w:p>
    <w:p>
      <w:pPr>
        <w:jc w:val="both"/>
      </w:pPr>
      <w:r>
        <w:rPr>
          <w:sz w:val="21"/>
        </w:rPr>
        <w:t>联系电话：</w:t>
      </w:r>
      <w:r>
        <w:rPr>
          <w:sz w:val="21"/>
          <w:u w:val="single"/>
        </w:rPr>
        <w:t>13560612800</w:t>
      </w:r>
      <w:r>
        <w:rPr>
          <w:sz w:val="21"/>
          <w:u w:val="single"/>
        </w:rPr>
        <w:t>。</w:t>
      </w:r>
    </w:p>
    <w:p>
      <w:pPr>
        <w:jc w:val="left"/>
      </w:pPr>
      <w:r>
        <w:rPr>
          <w:b/>
          <w:color w:val="000000"/>
          <w:sz w:val="21"/>
        </w:rPr>
        <w:t>（</w:t>
      </w:r>
      <w:r>
        <w:rPr>
          <w:b/>
          <w:color w:val="000000"/>
          <w:sz w:val="21"/>
        </w:rPr>
        <w:t>六</w:t>
      </w:r>
      <w:r>
        <w:rPr>
          <w:b/>
          <w:color w:val="000000"/>
          <w:sz w:val="21"/>
        </w:rPr>
        <w:t>）材料说明及施工</w:t>
      </w:r>
      <w:r>
        <w:rPr>
          <w:b/>
          <w:color w:val="000000"/>
          <w:sz w:val="21"/>
        </w:rPr>
        <w:t>要求</w:t>
      </w:r>
      <w:r>
        <w:rPr>
          <w:b/>
          <w:color w:val="000000"/>
          <w:sz w:val="21"/>
        </w:rPr>
        <w:t>：</w:t>
      </w:r>
    </w:p>
    <w:p>
      <w:pPr>
        <w:jc w:val="both"/>
      </w:pPr>
      <w:r>
        <w:rPr>
          <w:sz w:val="21"/>
        </w:rPr>
        <w:t>1、</w:t>
      </w:r>
      <w:r>
        <w:rPr>
          <w:sz w:val="21"/>
        </w:rPr>
        <w:t>本项目中所用材料</w:t>
      </w:r>
      <w:r>
        <w:rPr>
          <w:sz w:val="21"/>
        </w:rPr>
        <w:t>设备</w:t>
      </w:r>
      <w:r>
        <w:rPr>
          <w:sz w:val="21"/>
        </w:rPr>
        <w:t>应符合国家有关标准的规定，项目质量必须满足国家相关规范。所有设备、材料采购前必须征得采购人的书面同意</w:t>
      </w:r>
      <w:r>
        <w:rPr>
          <w:sz w:val="21"/>
        </w:rPr>
        <w:t>。</w:t>
      </w:r>
      <w:r>
        <w:rPr>
          <w:sz w:val="21"/>
        </w:rPr>
        <w:t xml:space="preserve"> </w:t>
      </w:r>
    </w:p>
    <w:p>
      <w:pPr>
        <w:jc w:val="both"/>
      </w:pPr>
      <w:r>
        <w:rPr>
          <w:sz w:val="21"/>
        </w:rPr>
        <w:t>2、严格按照国家和地方现行施工验收规范、标准进行施工。</w:t>
      </w:r>
    </w:p>
    <w:p>
      <w:pPr>
        <w:jc w:val="both"/>
      </w:pPr>
      <w:r>
        <w:rPr>
          <w:sz w:val="21"/>
        </w:rPr>
        <w:t>3、严格按照采购人提供的</w:t>
      </w:r>
      <w:r>
        <w:rPr>
          <w:sz w:val="21"/>
        </w:rPr>
        <w:t>项目需求清单</w:t>
      </w:r>
      <w:r>
        <w:rPr>
          <w:sz w:val="21"/>
        </w:rPr>
        <w:t>要求进行施工。</w:t>
      </w:r>
    </w:p>
    <w:p>
      <w:pPr>
        <w:jc w:val="both"/>
      </w:pPr>
      <w:r>
        <w:rPr>
          <w:sz w:val="21"/>
        </w:rPr>
        <w:t>4、每天清理施工现场周边垃圾，减少灰尘及噪音，不得影响周围环境。</w:t>
      </w:r>
    </w:p>
    <w:p>
      <w:pPr>
        <w:jc w:val="both"/>
      </w:pPr>
      <w:r>
        <w:rPr>
          <w:sz w:val="21"/>
        </w:rPr>
        <w:t>5、采购人不提供施工所需的食宿、办公场地，均由成交供应商在施工现场外自行解决，其费用由成交供应商自理。</w:t>
      </w:r>
    </w:p>
    <w:p>
      <w:pPr>
        <w:jc w:val="both"/>
      </w:pPr>
      <w:r>
        <w:rPr>
          <w:sz w:val="21"/>
        </w:rPr>
        <w:t>6、采购人不提供临时及材料加工场，临时设施及材料加工由成交供应商在施工现场以外解决，其费用由成交供应商自理。</w:t>
      </w:r>
    </w:p>
    <w:p>
      <w:pPr>
        <w:jc w:val="both"/>
      </w:pPr>
      <w:r>
        <w:rPr>
          <w:sz w:val="21"/>
        </w:rPr>
        <w:t>7、施工时间安排：</w:t>
      </w:r>
      <w:r>
        <w:rPr>
          <w:sz w:val="21"/>
        </w:rPr>
        <w:t>上午：</w:t>
      </w:r>
      <w:r>
        <w:rPr>
          <w:sz w:val="21"/>
        </w:rPr>
        <w:t>7：00——12:00，下午 14:30——20:00，如</w:t>
      </w:r>
      <w:r>
        <w:rPr>
          <w:sz w:val="21"/>
        </w:rPr>
        <w:t>遇到特殊情况，以采购人书面或口头通知为准。</w:t>
      </w:r>
    </w:p>
    <w:p>
      <w:pPr>
        <w:jc w:val="both"/>
      </w:pPr>
      <w:r>
        <w:rPr>
          <w:sz w:val="21"/>
        </w:rPr>
        <w:t>8、成交供应商按照指定地点用水、用电，并向采购人缴纳成本价水电费。</w:t>
      </w:r>
    </w:p>
    <w:p>
      <w:pPr>
        <w:jc w:val="both"/>
      </w:pPr>
      <w:r>
        <w:rPr>
          <w:sz w:val="21"/>
        </w:rPr>
        <w:t>9、成交供应商应确保施工现场的清洁卫生，建筑垃圾须当日清理干净，不得留在现场过夜。</w:t>
      </w:r>
    </w:p>
    <w:p>
      <w:pPr>
        <w:jc w:val="both"/>
      </w:pPr>
      <w:r>
        <w:rPr>
          <w:sz w:val="21"/>
        </w:rPr>
        <w:t>（</w:t>
      </w:r>
      <w:r>
        <w:rPr>
          <w:sz w:val="21"/>
        </w:rPr>
        <w:t>七</w:t>
      </w:r>
      <w:r>
        <w:rPr>
          <w:sz w:val="21"/>
        </w:rPr>
        <w:t>）除采购人有明确规定外，成交人不得以任何方式转包或分包本项目。</w:t>
      </w:r>
    </w:p>
    <w:p>
      <w:pPr>
        <w:jc w:val="both"/>
      </w:pPr>
      <w:r>
        <w:rPr>
          <w:sz w:val="21"/>
        </w:rPr>
        <w:t>（</w:t>
      </w:r>
      <w:r>
        <w:rPr>
          <w:sz w:val="21"/>
        </w:rPr>
        <w:t>八</w:t>
      </w:r>
      <w:r>
        <w:rPr>
          <w:sz w:val="21"/>
        </w:rPr>
        <w:t>）采购人有权在签订合同时对项目方案作出适当修改、调整及对产品数量作适量增加或减少，并有权对方案作出深化设计要求。</w:t>
      </w:r>
    </w:p>
    <w:p>
      <w:pPr>
        <w:jc w:val="both"/>
      </w:pPr>
      <w:r>
        <w:rPr>
          <w:sz w:val="21"/>
        </w:rPr>
        <w:t>（</w:t>
      </w:r>
      <w:r>
        <w:rPr>
          <w:sz w:val="21"/>
        </w:rPr>
        <w:t>九</w:t>
      </w:r>
      <w:r>
        <w:rPr>
          <w:sz w:val="21"/>
        </w:rPr>
        <w:t>）在磋商文件中凡有</w:t>
      </w:r>
      <w:r>
        <w:rPr>
          <w:sz w:val="21"/>
        </w:rPr>
        <w:t>“★”标识的内容条款被视为重要的响应要求、技术指标要求和性能要求。供应商必须对此作出回答并完全满足这些要求不可以出现任何负偏离，如果出现负偏离则将被视为无效响应。</w:t>
      </w:r>
    </w:p>
    <w:p>
      <w:pPr>
        <w:jc w:val="both"/>
      </w:pPr>
      <w:r>
        <w:rPr>
          <w:sz w:val="21"/>
        </w:rPr>
        <w:t>（</w:t>
      </w:r>
      <w:r>
        <w:rPr>
          <w:sz w:val="21"/>
        </w:rPr>
        <w:t>十</w:t>
      </w:r>
      <w:r>
        <w:rPr>
          <w:sz w:val="21"/>
        </w:rPr>
        <w:t>）本项目不接受联合体报价。</w:t>
      </w:r>
    </w:p>
    <w:p>
      <w:pPr>
        <w:jc w:val="both"/>
      </w:pPr>
      <w:r>
        <w:rPr>
          <w:sz w:val="21"/>
        </w:rPr>
        <w:t>（十</w:t>
      </w:r>
      <w:r>
        <w:rPr>
          <w:sz w:val="21"/>
        </w:rPr>
        <w:t>一</w:t>
      </w:r>
      <w:r>
        <w:rPr>
          <w:sz w:val="21"/>
        </w:rPr>
        <w:t>）其他协助采购人需求的相关工作。</w:t>
      </w:r>
    </w:p>
    <w:p>
      <w:pPr>
        <w:jc w:val="both"/>
      </w:pPr>
    </w:p>
    <w:p>
      <w:pPr>
        <w:jc w:val="both"/>
      </w:pPr>
    </w:p>
    <w:p/>
    <w:p/>
    <w:p>
      <w:r>
        <w:rPr/>
        <w:t xml:space="preserve"> </w:t>
      </w:r>
    </w:p>
    <w:p>
      <w:pPr>
        <w:jc w:val="both"/>
      </w:pPr>
      <w:r>
        <w:rPr>
          <w:b/>
          <w:sz w:val="28"/>
        </w:rPr>
        <w:t>二</w:t>
      </w:r>
      <w:r>
        <w:rPr>
          <w:b/>
          <w:sz w:val="28"/>
        </w:rPr>
        <w:t>、项目</w:t>
      </w:r>
      <w:r>
        <w:rPr>
          <w:b/>
          <w:sz w:val="28"/>
        </w:rPr>
        <w:t>概述</w:t>
      </w:r>
      <w:r>
        <w:rPr>
          <w:b/>
          <w:sz w:val="28"/>
        </w:rPr>
        <w:t>：</w:t>
      </w:r>
    </w:p>
    <w:p>
      <w:pPr>
        <w:jc w:val="center"/>
      </w:pPr>
      <w:r>
        <w:rPr/>
        <w:t xml:space="preserve">                                                   </w:t>
      </w:r>
      <w:r>
        <w:drawing>
          <wp:inline distT="0" distR="0" distB="0" distL="0">
            <wp:extent cx="5267325" cy="513397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67325" cy="5133975"/>
                    </a:xfrm>
                    <a:prstGeom prst="rect">
                      <a:avLst/>
                    </a:prstGeom>
                  </pic:spPr>
                </pic:pic>
              </a:graphicData>
            </a:graphic>
          </wp:inline>
        </w:drawing>
      </w:r>
    </w:p>
    <w:p>
      <w:pPr>
        <w:jc w:val="center"/>
      </w:pPr>
      <w:r>
        <w:rPr>
          <w:b/>
          <w:color w:val="000000"/>
          <w:sz w:val="24"/>
        </w:rPr>
        <w:t>工改展示中心平面图</w:t>
      </w:r>
    </w:p>
    <w:p>
      <w:pPr>
        <w:jc w:val="center"/>
      </w:pPr>
      <w:r>
        <w:rPr>
          <w:b/>
          <w:color w:val="000000"/>
          <w:sz w:val="24"/>
        </w:rPr>
        <w:t>上图红线范围为工改展示中心建设部分，面积约</w:t>
      </w:r>
      <w:r>
        <w:rPr>
          <w:b/>
          <w:color w:val="000000"/>
          <w:sz w:val="24"/>
        </w:rPr>
        <w:t>1554</w:t>
      </w:r>
      <w:r>
        <w:rPr>
          <w:b/>
          <w:color w:val="000000"/>
          <w:sz w:val="24"/>
        </w:rPr>
        <w:t>平方米。</w:t>
      </w:r>
    </w:p>
    <w:p/>
    <w:p>
      <w:pPr>
        <w:ind w:firstLine="480"/>
      </w:pPr>
    </w:p>
    <w:p/>
    <w:p>
      <w:r>
        <w:rPr/>
        <w:t>采购包1（中山市村镇低效工业园改造升级展示中心项目）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自合同签订之日起至2023年12月18日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项目签订合同之日起30个日历天内支付90万元；完成验收且验收合格之日起60个日历天内支付至合同价的97%；质保期为一年，自采购人验收合格后起算，于2024年12月前支付剩余款。以上支付时间不含政府财政支付部门审核的时间。 2、成交供应商凭以下有效文件与采购人结算：（1）合同；（2）开具的增值税普通发票；（3）项目完成报告（由采购人代表签字或加盖采购人公章）；（4）成交通知书。</w:t>
            </w:r>
          </w:p>
        </w:tc>
      </w:tr>
      <w:tr>
        <w:tc>
          <w:tcPr>
            <w:tcW w:type="dxa" w:w="4153"/>
          </w:tcPr>
          <w:p>
            <w:r>
              <w:rPr/>
              <w:t>验收要求</w:t>
            </w:r>
          </w:p>
        </w:tc>
        <w:tc>
          <w:tcPr>
            <w:tcW w:type="dxa" w:w="4153"/>
          </w:tcPr>
          <w:p/>
          <w:p/>
          <w:p/>
          <w:p>
            <w:r>
              <w:rPr/>
              <w:t>1期：供应商在项目完成当日向采购人送交《项目完成报告》，报告内容需清楚交代项目概况和完成内容。 采购人自收到《项目完成报告》后对项目完成情况进行实地验收，验收合格后由采购人在《项目完成报告》上签署验收合格字样，并以此作为结算的依据。 验收存在的质量问题及其它问题，供应商必须按要求进行整改，以最终符合验收要求日期为完成日期。</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本项目按总价的报价方式进行报价，总价报价的最高限价为1980,000.00元，响应总价不得高于预算总价，高于最高限价的响应报价为无效响应报价；响应报价以大写为准，小写保留到小数点后两位数。本项目响应报价包含但不限于材料、劳务、机械设备、设计、安装、运输及施工、项目施工期间保险、装卸、质量、工期、安全、保修资料移交（归档）、通过验收及整理验收资料、各项税费、技术措施费、政策性文件规定费用及合同包含的所有风险、责任等各项应有的费用等各项税费相应支出费用。上述费用不管是否在响应供应商报价表中单列，均视为响应总价中已包含该费用。</w:t>
            </w:r>
          </w:p>
        </w:tc>
      </w:tr>
      <w:tr>
        <w:tc>
          <w:tcPr>
            <w:tcW w:type="dxa" w:w="2076"/>
          </w:tcPr>
          <w:p>
            <w:pPr>
              <w:jc w:val="center"/>
            </w:pPr>
          </w:p>
        </w:tc>
        <w:tc>
          <w:tcPr>
            <w:tcW w:type="dxa" w:w="2076"/>
          </w:tcPr>
          <w:p>
            <w:pPr>
              <w:jc w:val="center"/>
            </w:pPr>
            <w:r>
              <w:rPr/>
              <w:t>2</w:t>
            </w:r>
          </w:p>
        </w:tc>
        <w:tc>
          <w:tcPr>
            <w:tcW w:type="dxa" w:w="2076"/>
          </w:tcPr>
          <w:p>
            <w:pPr>
              <w:jc w:val="left"/>
            </w:pPr>
            <w:r>
              <w:rPr/>
              <w:t>质保期</w:t>
            </w:r>
          </w:p>
        </w:tc>
        <w:tc>
          <w:tcPr>
            <w:tcW w:type="dxa" w:w="2076"/>
          </w:tcPr>
          <w:p>
            <w:pPr>
              <w:jc w:val="left"/>
            </w:pPr>
            <w:r>
              <w:rPr/>
              <w:t>质保期为一年，自采购人验收合格后起算。满质保期后如采购人有需求，应提供有偿优惠维修。</w:t>
            </w:r>
          </w:p>
        </w:tc>
      </w:tr>
      <w:tr>
        <w:tc>
          <w:tcPr>
            <w:tcW w:type="dxa" w:w="2076"/>
          </w:tcPr>
          <w:p>
            <w:pPr>
              <w:jc w:val="center"/>
            </w:pPr>
          </w:p>
        </w:tc>
        <w:tc>
          <w:tcPr>
            <w:tcW w:type="dxa" w:w="2076"/>
          </w:tcPr>
          <w:p>
            <w:pPr>
              <w:jc w:val="center"/>
            </w:pPr>
            <w:r>
              <w:rPr/>
              <w:t>3</w:t>
            </w:r>
          </w:p>
        </w:tc>
        <w:tc>
          <w:tcPr>
            <w:tcW w:type="dxa" w:w="2076"/>
          </w:tcPr>
          <w:p>
            <w:pPr>
              <w:jc w:val="left"/>
            </w:pPr>
            <w:r>
              <w:rPr/>
              <w:t>项目负责人</w:t>
            </w:r>
          </w:p>
        </w:tc>
        <w:tc>
          <w:tcPr>
            <w:tcW w:type="dxa" w:w="2076"/>
          </w:tcPr>
          <w:p>
            <w:pPr>
              <w:jc w:val="left"/>
            </w:pPr>
            <w:r>
              <w:rPr/>
              <w:t>供应商需委派一名人员作为本项目的项目负责人，负责项目的全过程跟进服务。</w:t>
            </w:r>
          </w:p>
        </w:tc>
      </w:tr>
      <w:tr>
        <w:tc>
          <w:tcPr>
            <w:tcW w:type="dxa" w:w="2076"/>
          </w:tcPr>
          <w:p>
            <w:pPr>
              <w:jc w:val="center"/>
            </w:pPr>
          </w:p>
        </w:tc>
        <w:tc>
          <w:tcPr>
            <w:tcW w:type="dxa" w:w="2076"/>
          </w:tcPr>
          <w:p>
            <w:pPr>
              <w:jc w:val="center"/>
            </w:pPr>
            <w:r>
              <w:rPr/>
              <w:t>4</w:t>
            </w:r>
          </w:p>
        </w:tc>
        <w:tc>
          <w:tcPr>
            <w:tcW w:type="dxa" w:w="2076"/>
          </w:tcPr>
          <w:p>
            <w:pPr>
              <w:jc w:val="left"/>
            </w:pPr>
            <w:r>
              <w:rPr/>
              <w:t>施工安全</w:t>
            </w:r>
          </w:p>
        </w:tc>
        <w:tc>
          <w:tcPr>
            <w:tcW w:type="dxa" w:w="2076"/>
          </w:tcPr>
          <w:p>
            <w:pPr>
              <w:jc w:val="left"/>
            </w:pPr>
            <w:r>
              <w:rPr/>
              <w:t>不发生伤亡安全事故，供应商须保证现场制作人员全部购买人身意外保险，保证按照有关规定确保安全施工，接受采购人监督，所有安全责任均由供应商自负，采购人不承担任何责任。</w:t>
            </w:r>
          </w:p>
        </w:tc>
      </w:tr>
      <w:tr>
        <w:tc>
          <w:tcPr>
            <w:tcW w:type="dxa" w:w="2076"/>
          </w:tcPr>
          <w:p>
            <w:pPr>
              <w:jc w:val="center"/>
            </w:pPr>
          </w:p>
        </w:tc>
        <w:tc>
          <w:tcPr>
            <w:tcW w:type="dxa" w:w="2076"/>
          </w:tcPr>
          <w:p>
            <w:pPr>
              <w:jc w:val="center"/>
            </w:pPr>
            <w:r>
              <w:rPr/>
              <w:t>5</w:t>
            </w:r>
          </w:p>
        </w:tc>
        <w:tc>
          <w:tcPr>
            <w:tcW w:type="dxa" w:w="2076"/>
          </w:tcPr>
          <w:p>
            <w:pPr>
              <w:jc w:val="left"/>
            </w:pPr>
            <w:r>
              <w:rPr/>
              <w:t>诚实信用</w:t>
            </w:r>
          </w:p>
        </w:tc>
        <w:tc>
          <w:tcPr>
            <w:tcW w:type="dxa" w:w="2076"/>
          </w:tcPr>
          <w:p>
            <w:pPr>
              <w:jc w:val="left"/>
            </w:pPr>
            <w:r>
              <w:rPr/>
              <w:t>供应商保证此次响应报价包含磋商文件中采购范围内全部内容，如有丢项、漏项或计算错误，供应商承诺不再向采购人提出调整报价的要求（采购人提出新增要求除外）；中标后严格按照响应文件要求，直接承包管理，不转包，不擅自将项目分包给第三方，如出现转包或其他违约，经过采购人查实后，取消合作资格，并按照签约金额的10%支付违约金；如采购人已支付费用，同时全额退还。</w:t>
            </w:r>
          </w:p>
        </w:tc>
      </w:tr>
      <w:tr>
        <w:tc>
          <w:tcPr>
            <w:tcW w:type="dxa" w:w="2076"/>
          </w:tcPr>
          <w:p>
            <w:pPr>
              <w:jc w:val="center"/>
            </w:pPr>
          </w:p>
        </w:tc>
        <w:tc>
          <w:tcPr>
            <w:tcW w:type="dxa" w:w="2076"/>
          </w:tcPr>
          <w:p>
            <w:pPr>
              <w:jc w:val="center"/>
            </w:pPr>
            <w:r>
              <w:rPr/>
              <w:t>6</w:t>
            </w:r>
          </w:p>
        </w:tc>
        <w:tc>
          <w:tcPr>
            <w:tcW w:type="dxa" w:w="2076"/>
          </w:tcPr>
          <w:p>
            <w:pPr>
              <w:jc w:val="left"/>
            </w:pPr>
            <w:r>
              <w:rPr/>
              <w:t>设备、材料保管</w:t>
            </w:r>
          </w:p>
        </w:tc>
        <w:tc>
          <w:tcPr>
            <w:tcW w:type="dxa" w:w="2076"/>
          </w:tcPr>
          <w:p>
            <w:pPr>
              <w:jc w:val="left"/>
            </w:pPr>
            <w:r>
              <w:rPr/>
              <w:t>因供应商保管不善造成的设备和材料丢失、毁损，由供应商负全部责任。</w:t>
            </w:r>
          </w:p>
        </w:tc>
      </w:tr>
      <w:tr>
        <w:tc>
          <w:tcPr>
            <w:tcW w:type="dxa" w:w="2076"/>
          </w:tcPr>
          <w:p>
            <w:pPr>
              <w:jc w:val="center"/>
            </w:pPr>
          </w:p>
        </w:tc>
        <w:tc>
          <w:tcPr>
            <w:tcW w:type="dxa" w:w="2076"/>
          </w:tcPr>
          <w:p>
            <w:pPr>
              <w:jc w:val="center"/>
            </w:pPr>
            <w:r>
              <w:rPr/>
              <w:t>7</w:t>
            </w:r>
          </w:p>
        </w:tc>
        <w:tc>
          <w:tcPr>
            <w:tcW w:type="dxa" w:w="2076"/>
          </w:tcPr>
          <w:p>
            <w:pPr>
              <w:jc w:val="left"/>
            </w:pPr>
            <w:r>
              <w:rPr/>
              <w:t>采购人配合条件</w:t>
            </w:r>
          </w:p>
        </w:tc>
        <w:tc>
          <w:tcPr>
            <w:tcW w:type="dxa" w:w="2076"/>
          </w:tcPr>
          <w:p>
            <w:pPr>
              <w:jc w:val="left"/>
            </w:pPr>
            <w:r>
              <w:rPr/>
              <w:t>成交供应商应当配合采购人，完成其他与采购业务相关的工作。采购人配合事项：供应商可在响应文件中列明在项目实施过程中要求采购人提供的配合条件。</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其他建筑工程</w:t>
            </w:r>
          </w:p>
        </w:tc>
        <w:tc>
          <w:tcPr>
            <w:tcW w:type="dxa" w:w="933"/>
          </w:tcPr>
          <w:p>
            <w:pPr>
              <w:jc w:val="left"/>
            </w:pPr>
            <w:r>
              <w:rPr/>
              <w:t>中山市村镇低效工业园改造升级展示中心项目</w:t>
            </w:r>
          </w:p>
        </w:tc>
        <w:tc>
          <w:tcPr>
            <w:tcW w:type="dxa" w:w="933"/>
          </w:tcPr>
          <w:p>
            <w:pPr>
              <w:jc w:val="left"/>
            </w:pPr>
            <w:r>
              <w:rPr/>
              <w:t>项</w:t>
            </w:r>
          </w:p>
        </w:tc>
        <w:tc>
          <w:tcPr>
            <w:tcW w:type="dxa" w:w="933"/>
          </w:tcPr>
          <w:p>
            <w:pPr>
              <w:jc w:val="right"/>
            </w:pPr>
            <w:r>
              <w:rPr/>
              <w:t>1.00</w:t>
            </w:r>
          </w:p>
        </w:tc>
        <w:tc>
          <w:tcPr>
            <w:tcW w:type="dxa" w:w="933"/>
          </w:tcPr>
          <w:p>
            <w:pPr>
              <w:jc w:val="right"/>
            </w:pPr>
            <w:r>
              <w:rPr/>
              <w:t>1,980,000.00</w:t>
            </w:r>
          </w:p>
        </w:tc>
        <w:tc>
          <w:tcPr>
            <w:tcW w:type="dxa" w:w="933"/>
          </w:tcPr>
          <w:p>
            <w:pPr>
              <w:jc w:val="right"/>
            </w:pPr>
            <w:r>
              <w:rPr/>
              <w:t>1,980,000.00</w:t>
            </w:r>
          </w:p>
        </w:tc>
        <w:tc>
          <w:tcPr>
            <w:tcW w:type="dxa" w:w="840"/>
          </w:tcPr>
          <w:p>
            <w:r>
              <w:rPr/>
              <w:t>建筑业</w:t>
            </w:r>
          </w:p>
        </w:tc>
        <w:tc>
          <w:tcPr>
            <w:tcW w:type="dxa" w:w="933"/>
          </w:tcPr>
          <w:p>
            <w:r>
              <w:rPr/>
              <w:t>详见附表一</w:t>
            </w:r>
          </w:p>
        </w:tc>
      </w:tr>
    </w:tbl>
    <w:p/>
    <w:p>
      <w:r>
        <w:rPr>
          <w:b/>
        </w:rPr>
        <w:t>附表</w:t>
      </w:r>
      <w:r>
        <w:rPr>
          <w:b/>
        </w:rPr>
        <w:t>一</w:t>
      </w:r>
      <w:r>
        <w:rPr>
          <w:b/>
        </w:rPr>
        <w:t>：</w:t>
      </w:r>
      <w:r>
        <w:rPr>
          <w:b/>
        </w:rPr>
        <w:t>中山市村镇低效工业园改造升级展示中心项目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一、项目需求清单</w:t>
            </w:r>
          </w:p>
          <w:tbl>
            <w:tblPr>
              <w:tblBorders>
                <w:top w:val="none" w:color="000000" w:sz="4"/>
                <w:left w:val="none" w:color="000000" w:sz="4"/>
                <w:bottom w:val="none" w:color="000000" w:sz="4"/>
                <w:right w:val="none" w:color="000000" w:sz="4"/>
                <w:insideH w:val="none"/>
                <w:insideV w:val="none"/>
              </w:tblBorders>
            </w:tblPr>
            <w:tblGrid>
              <w:gridCol w:w="538"/>
              <w:gridCol w:w="512"/>
              <w:gridCol w:w="2869"/>
              <w:gridCol w:w="512"/>
              <w:gridCol w:w="576"/>
              <w:gridCol w:w="550"/>
            </w:tblGrid>
            <w:tr>
              <w:tc>
                <w:tcPr>
                  <w:tcW w:type="dxa" w:w="53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512"/>
                  <w:tcBorders>
                    <w:top w:val="single" w:color="000000" w:sz="4"/>
                    <w:left w:val="none" w:color="000000" w:sz="4"/>
                    <w:bottom w:val="single" w:color="000000" w:sz="4"/>
                    <w:right w:val="single" w:color="000000" w:sz="4"/>
                  </w:tcBorders>
                  <w:vAlign w:val="top"/>
                </w:tcPr>
                <w:p>
                  <w:pPr>
                    <w:jc w:val="center"/>
                  </w:pPr>
                  <w:r>
                    <w:rPr>
                      <w:sz w:val="21"/>
                    </w:rPr>
                    <w:t>项目</w:t>
                  </w:r>
                </w:p>
              </w:tc>
              <w:tc>
                <w:tcPr>
                  <w:tcW w:type="dxa" w:w="2869"/>
                  <w:tcBorders>
                    <w:top w:val="single" w:color="000000" w:sz="4"/>
                    <w:left w:val="none" w:color="000000" w:sz="4"/>
                    <w:bottom w:val="single" w:color="000000" w:sz="4"/>
                    <w:right w:val="single" w:color="000000" w:sz="4"/>
                  </w:tcBorders>
                  <w:vAlign w:val="top"/>
                </w:tcPr>
                <w:p>
                  <w:pPr>
                    <w:jc w:val="center"/>
                  </w:pPr>
                  <w:r>
                    <w:rPr>
                      <w:sz w:val="21"/>
                    </w:rPr>
                    <w:t>工艺要求</w:t>
                  </w:r>
                </w:p>
              </w:tc>
              <w:tc>
                <w:tcPr>
                  <w:tcW w:type="dxa" w:w="512"/>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576"/>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550"/>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538"/>
                  <w:tcBorders>
                    <w:top w:val="none" w:color="000000" w:sz="4"/>
                    <w:left w:val="single" w:color="000000" w:sz="4"/>
                    <w:bottom w:val="single" w:color="000000" w:sz="4"/>
                    <w:right w:val="single" w:color="000000" w:sz="4"/>
                  </w:tcBorders>
                  <w:vAlign w:val="top"/>
                </w:tcPr>
                <w:p>
                  <w:pPr>
                    <w:jc w:val="both"/>
                  </w:pPr>
                  <w:r>
                    <w:rPr>
                      <w:sz w:val="21"/>
                    </w:rPr>
                    <w:t>1</w:t>
                  </w:r>
                </w:p>
              </w:tc>
              <w:tc>
                <w:tcPr>
                  <w:tcW w:type="dxa" w:w="512"/>
                  <w:tcBorders>
                    <w:top w:val="none" w:color="000000" w:sz="4"/>
                    <w:left w:val="none" w:color="000000" w:sz="4"/>
                    <w:bottom w:val="single" w:color="000000" w:sz="4"/>
                    <w:right w:val="single" w:color="000000" w:sz="4"/>
                  </w:tcBorders>
                  <w:vAlign w:val="top"/>
                </w:tcPr>
                <w:p>
                  <w:pPr>
                    <w:jc w:val="both"/>
                  </w:pPr>
                  <w:r>
                    <w:rPr>
                      <w:sz w:val="21"/>
                    </w:rPr>
                    <w:t>展示墙</w:t>
                  </w:r>
                </w:p>
              </w:tc>
              <w:tc>
                <w:tcPr>
                  <w:tcW w:type="dxa" w:w="2869"/>
                  <w:tcBorders>
                    <w:top w:val="none" w:color="000000" w:sz="4"/>
                    <w:left w:val="none" w:color="000000" w:sz="4"/>
                    <w:bottom w:val="single" w:color="000000" w:sz="4"/>
                    <w:right w:val="single" w:color="000000" w:sz="4"/>
                  </w:tcBorders>
                  <w:vAlign w:val="top"/>
                </w:tcPr>
                <w:p>
                  <w:pPr>
                    <w:jc w:val="both"/>
                  </w:pPr>
                  <w:r>
                    <w:rPr>
                      <w:sz w:val="21"/>
                    </w:rPr>
                    <w:t>造型符合设计方案要求，安装牢固美观；防火阻燃材料和不低于以下要求：</w:t>
                  </w:r>
                </w:p>
                <w:p>
                  <w:pPr>
                    <w:jc w:val="both"/>
                  </w:pPr>
                  <w:r>
                    <w:rPr>
                      <w:sz w:val="21"/>
                    </w:rPr>
                    <w:t>1、龙骨材料种类、规格、中距:轻钢龙骨 中距(mm)竖603横1500mm</w:t>
                  </w:r>
                  <w:r>
                    <w:rPr>
                      <w:sz w:val="21"/>
                    </w:rPr>
                    <w:t>；</w:t>
                  </w:r>
                </w:p>
                <w:p>
                  <w:pPr>
                    <w:jc w:val="both"/>
                  </w:pPr>
                  <w:r>
                    <w:rPr>
                      <w:sz w:val="21"/>
                    </w:rPr>
                    <w:t>2、基层材料种类、规格:难燃胶合板 9mm</w:t>
                  </w:r>
                  <w:r>
                    <w:rPr>
                      <w:sz w:val="21"/>
                    </w:rPr>
                    <w:t>；</w:t>
                  </w:r>
                </w:p>
                <w:p>
                  <w:pPr>
                    <w:jc w:val="both"/>
                  </w:pPr>
                  <w:r>
                    <w:rPr>
                      <w:sz w:val="21"/>
                    </w:rPr>
                    <w:t>3、面层材料品种、规格、颜色:硅酸钙板9mm</w:t>
                  </w:r>
                  <w:r>
                    <w:rPr>
                      <w:sz w:val="21"/>
                    </w:rPr>
                    <w:t>；</w:t>
                  </w:r>
                </w:p>
                <w:p>
                  <w:pPr>
                    <w:jc w:val="both"/>
                  </w:pPr>
                  <w:r>
                    <w:rPr>
                      <w:sz w:val="21"/>
                    </w:rPr>
                    <w:t>4、构件类型:钢结构框架、内封轻钢龙骨、面封双层层次造型</w:t>
                  </w:r>
                  <w:r>
                    <w:rPr>
                      <w:sz w:val="21"/>
                    </w:rPr>
                    <w:t>；</w:t>
                  </w:r>
                </w:p>
                <w:p>
                  <w:pPr>
                    <w:jc w:val="both"/>
                  </w:pPr>
                  <w:r>
                    <w:rPr>
                      <w:sz w:val="21"/>
                    </w:rPr>
                    <w:t>5、照明需使用专业展览灯具</w:t>
                  </w:r>
                  <w:r>
                    <w:rPr>
                      <w:sz w:val="21"/>
                    </w:rPr>
                    <w:t>；</w:t>
                  </w:r>
                </w:p>
                <w:p>
                  <w:pPr>
                    <w:jc w:val="both"/>
                  </w:pPr>
                  <w:r>
                    <w:rPr>
                      <w:sz w:val="21"/>
                    </w:rPr>
                    <w:t>6、不锈钢折边立体字背发光：采用高6cm不锈钢围边亚克力发光字制作。背面发光，不锈钢烤漆围边0.8mm,led防水光源，色温6500K内装防水电源</w:t>
                  </w:r>
                  <w:r>
                    <w:rPr>
                      <w:sz w:val="21"/>
                    </w:rPr>
                    <w:t>；</w:t>
                  </w:r>
                </w:p>
                <w:p>
                  <w:pPr>
                    <w:jc w:val="both"/>
                  </w:pPr>
                  <w:r>
                    <w:rPr>
                      <w:sz w:val="21"/>
                    </w:rPr>
                    <w:t>7、40mm厚安迪板造型烤漆，画面内容UV</w:t>
                  </w:r>
                  <w:r>
                    <w:rPr>
                      <w:sz w:val="21"/>
                    </w:rPr>
                    <w:t>；</w:t>
                  </w:r>
                </w:p>
                <w:p>
                  <w:pPr>
                    <w:jc w:val="both"/>
                  </w:pPr>
                  <w:r>
                    <w:rPr>
                      <w:sz w:val="21"/>
                    </w:rPr>
                    <w:t>8、10mm亚克力烤漆雕刻底板+立体字：使用两层透明或有色亚克力根据设计进行激光雕刻，经过热弯、抛光、丝印、喷油等工序，再把两层亚克力进行粘接成型</w:t>
                  </w:r>
                  <w:r>
                    <w:rPr>
                      <w:sz w:val="21"/>
                    </w:rPr>
                    <w:t>；</w:t>
                  </w:r>
                </w:p>
                <w:p>
                  <w:pPr>
                    <w:jc w:val="both"/>
                  </w:pPr>
                  <w:r>
                    <w:rPr>
                      <w:sz w:val="21"/>
                    </w:rPr>
                    <w:t>9、加厚墙布切割造型高清喷绘：定制底纹墙布，画面内容UV</w:t>
                  </w:r>
                  <w:r>
                    <w:rPr>
                      <w:sz w:val="21"/>
                    </w:rPr>
                    <w:t>；</w:t>
                  </w:r>
                </w:p>
                <w:p>
                  <w:pPr>
                    <w:jc w:val="both"/>
                  </w:pPr>
                  <w:r>
                    <w:rPr>
                      <w:sz w:val="21"/>
                    </w:rPr>
                    <w:t>10、墙面需艺术造型处理</w:t>
                  </w:r>
                  <w:r>
                    <w:rPr>
                      <w:sz w:val="21"/>
                    </w:rPr>
                    <w:t>；</w:t>
                  </w:r>
                </w:p>
              </w:tc>
              <w:tc>
                <w:tcPr>
                  <w:tcW w:type="dxa" w:w="512"/>
                  <w:tcBorders>
                    <w:top w:val="none" w:color="000000" w:sz="4"/>
                    <w:left w:val="none" w:color="000000" w:sz="4"/>
                    <w:bottom w:val="single" w:color="000000" w:sz="4"/>
                    <w:right w:val="single" w:color="000000" w:sz="4"/>
                  </w:tcBorders>
                  <w:vAlign w:val="top"/>
                </w:tcPr>
                <w:p>
                  <w:pPr>
                    <w:jc w:val="both"/>
                  </w:pPr>
                  <w:r>
                    <w:rPr>
                      <w:sz w:val="21"/>
                    </w:rPr>
                    <w:t>1</w:t>
                  </w:r>
                </w:p>
              </w:tc>
              <w:tc>
                <w:tcPr>
                  <w:tcW w:type="dxa" w:w="576"/>
                  <w:tcBorders>
                    <w:top w:val="none" w:color="000000" w:sz="4"/>
                    <w:left w:val="none" w:color="000000" w:sz="4"/>
                    <w:bottom w:val="single" w:color="000000" w:sz="4"/>
                    <w:right w:val="single" w:color="000000" w:sz="4"/>
                  </w:tcBorders>
                  <w:vAlign w:val="top"/>
                </w:tcPr>
                <w:p>
                  <w:pPr>
                    <w:jc w:val="both"/>
                  </w:pPr>
                  <w:r>
                    <w:rPr>
                      <w:sz w:val="21"/>
                    </w:rPr>
                    <w:t>项</w:t>
                  </w:r>
                </w:p>
              </w:tc>
              <w:tc>
                <w:tcPr>
                  <w:tcW w:type="dxa" w:w="550"/>
                  <w:tcBorders>
                    <w:top w:val="none" w:color="000000" w:sz="4"/>
                    <w:left w:val="none" w:color="000000" w:sz="4"/>
                    <w:bottom w:val="single" w:color="000000" w:sz="4"/>
                    <w:right w:val="single" w:color="000000" w:sz="4"/>
                  </w:tcBorders>
                  <w:vAlign w:val="top"/>
                </w:tcPr>
                <w:p>
                  <w:pPr>
                    <w:jc w:val="both"/>
                  </w:pPr>
                </w:p>
              </w:tc>
            </w:tr>
            <w:tr>
              <w:tc>
                <w:tcPr>
                  <w:tcW w:type="dxa" w:w="538"/>
                  <w:tcBorders>
                    <w:top w:val="none" w:color="000000" w:sz="4"/>
                    <w:left w:val="single" w:color="000000" w:sz="4"/>
                    <w:bottom w:val="single" w:color="000000" w:sz="4"/>
                    <w:right w:val="single" w:color="000000" w:sz="4"/>
                  </w:tcBorders>
                  <w:vAlign w:val="top"/>
                </w:tcPr>
                <w:p>
                  <w:pPr>
                    <w:jc w:val="both"/>
                  </w:pPr>
                  <w:r>
                    <w:rPr>
                      <w:sz w:val="21"/>
                    </w:rPr>
                    <w:t>2</w:t>
                  </w:r>
                </w:p>
              </w:tc>
              <w:tc>
                <w:tcPr>
                  <w:tcW w:type="dxa" w:w="512"/>
                  <w:tcBorders>
                    <w:top w:val="none" w:color="000000" w:sz="4"/>
                    <w:left w:val="none" w:color="000000" w:sz="4"/>
                    <w:bottom w:val="single" w:color="000000" w:sz="4"/>
                    <w:right w:val="single" w:color="000000" w:sz="4"/>
                  </w:tcBorders>
                  <w:vAlign w:val="top"/>
                </w:tcPr>
                <w:p>
                  <w:pPr>
                    <w:jc w:val="both"/>
                  </w:pPr>
                  <w:r>
                    <w:rPr>
                      <w:sz w:val="21"/>
                    </w:rPr>
                    <w:t>多媒体展示系统1</w:t>
                  </w:r>
                </w:p>
              </w:tc>
              <w:tc>
                <w:tcPr>
                  <w:tcW w:type="dxa" w:w="2869"/>
                  <w:tcBorders>
                    <w:top w:val="none" w:color="000000" w:sz="4"/>
                    <w:left w:val="none" w:color="000000" w:sz="4"/>
                    <w:bottom w:val="single" w:color="000000" w:sz="4"/>
                    <w:right w:val="single" w:color="000000" w:sz="4"/>
                  </w:tcBorders>
                  <w:vAlign w:val="top"/>
                </w:tcPr>
                <w:p>
                  <w:pPr>
                    <w:jc w:val="both"/>
                  </w:pPr>
                  <w:r>
                    <w:rPr>
                      <w:sz w:val="21"/>
                    </w:rPr>
                    <w:t>符合设计方案要求，安装牢固美观；符合展览实施使用需求，不低于以下要求：</w:t>
                  </w:r>
                </w:p>
                <w:p>
                  <w:pPr>
                    <w:numPr>
                      <w:ilvl w:val="0"/>
                      <w:numId w:val="1"/>
                    </w:numPr>
                    <w:jc w:val="both"/>
                  </w:pPr>
                  <w:r>
                    <w:rPr>
                      <w:sz w:val="21"/>
                    </w:rPr>
                    <w:t>显示：小间距模板P2.5 - 全彩输出；输入电压（直流） 4.8-5.5V；像素构成 1R1G1B ；单元板功率 ≤28W；最大电流 ；5.5A±0.1A；结构特点 灯驱合一 ；弧形拼装；</w:t>
                  </w:r>
                </w:p>
                <w:p>
                  <w:pPr>
                    <w:numPr>
                      <w:ilvl w:val="0"/>
                      <w:numId w:val="1"/>
                    </w:numPr>
                    <w:jc w:val="both"/>
                  </w:pPr>
                  <w:r>
                    <w:rPr>
                      <w:sz w:val="21"/>
                    </w:rPr>
                    <w:t>屏控系统：信号发送卡、接收卡、线材一批</w:t>
                  </w:r>
                  <w:r>
                    <w:rPr>
                      <w:sz w:val="21"/>
                    </w:rPr>
                    <w:t>；</w:t>
                  </w:r>
                </w:p>
                <w:p>
                  <w:pPr>
                    <w:numPr>
                      <w:ilvl w:val="0"/>
                      <w:numId w:val="1"/>
                    </w:numPr>
                    <w:jc w:val="both"/>
                  </w:pPr>
                  <w:r>
                    <w:rPr>
                      <w:sz w:val="21"/>
                    </w:rPr>
                    <w:t>控制主机；I7/16G/1T/工控机箱/独立显卡/23寸监控显示屏/键盘鼠标/19寸触控屏幕</w:t>
                  </w:r>
                  <w:r>
                    <w:rPr>
                      <w:sz w:val="21"/>
                    </w:rPr>
                    <w:t>；</w:t>
                  </w:r>
                </w:p>
                <w:p>
                  <w:pPr>
                    <w:numPr>
                      <w:ilvl w:val="0"/>
                      <w:numId w:val="1"/>
                    </w:numPr>
                    <w:jc w:val="both"/>
                  </w:pPr>
                  <w:r>
                    <w:rPr>
                      <w:sz w:val="21"/>
                    </w:rPr>
                    <w:t>整体控制系统：全局操控（展示屏幕内容切换、灯光），程序开发+包含操控平板*2台，控制AP及相关网关硬件</w:t>
                  </w:r>
                  <w:r>
                    <w:rPr>
                      <w:sz w:val="21"/>
                    </w:rPr>
                    <w:t>；</w:t>
                  </w:r>
                </w:p>
              </w:tc>
              <w:tc>
                <w:tcPr>
                  <w:tcW w:type="dxa" w:w="512"/>
                  <w:tcBorders>
                    <w:top w:val="none" w:color="000000" w:sz="4"/>
                    <w:left w:val="none" w:color="000000" w:sz="4"/>
                    <w:bottom w:val="single" w:color="000000" w:sz="4"/>
                    <w:right w:val="single" w:color="000000" w:sz="4"/>
                  </w:tcBorders>
                  <w:vAlign w:val="top"/>
                </w:tcPr>
                <w:p>
                  <w:pPr>
                    <w:jc w:val="both"/>
                  </w:pPr>
                  <w:r>
                    <w:rPr>
                      <w:sz w:val="21"/>
                    </w:rPr>
                    <w:t>52</w:t>
                  </w:r>
                </w:p>
              </w:tc>
              <w:tc>
                <w:tcPr>
                  <w:tcW w:type="dxa" w:w="576"/>
                  <w:tcBorders>
                    <w:top w:val="none" w:color="000000" w:sz="4"/>
                    <w:left w:val="none" w:color="000000" w:sz="4"/>
                    <w:bottom w:val="single" w:color="000000" w:sz="4"/>
                    <w:right w:val="single" w:color="000000" w:sz="4"/>
                  </w:tcBorders>
                  <w:vAlign w:val="top"/>
                </w:tcPr>
                <w:p>
                  <w:pPr>
                    <w:jc w:val="both"/>
                  </w:pPr>
                  <w:r>
                    <w:rPr>
                      <w:sz w:val="21"/>
                    </w:rPr>
                    <w:t>平方米</w:t>
                  </w:r>
                </w:p>
              </w:tc>
              <w:tc>
                <w:tcPr>
                  <w:tcW w:type="dxa" w:w="550"/>
                  <w:tcBorders>
                    <w:top w:val="none" w:color="000000" w:sz="4"/>
                    <w:left w:val="none" w:color="000000" w:sz="4"/>
                    <w:bottom w:val="single" w:color="000000" w:sz="4"/>
                    <w:right w:val="single" w:color="000000" w:sz="4"/>
                  </w:tcBorders>
                  <w:vAlign w:val="top"/>
                </w:tcPr>
                <w:p>
                  <w:pPr>
                    <w:jc w:val="both"/>
                  </w:pPr>
                </w:p>
              </w:tc>
            </w:tr>
            <w:tr>
              <w:tc>
                <w:tcPr>
                  <w:tcW w:type="dxa" w:w="538"/>
                  <w:tcBorders>
                    <w:top w:val="none" w:color="000000" w:sz="4"/>
                    <w:left w:val="single" w:color="000000" w:sz="4"/>
                    <w:bottom w:val="single" w:color="000000" w:sz="4"/>
                    <w:right w:val="single" w:color="000000" w:sz="4"/>
                  </w:tcBorders>
                  <w:vAlign w:val="top"/>
                </w:tcPr>
                <w:p>
                  <w:pPr>
                    <w:jc w:val="both"/>
                  </w:pPr>
                  <w:r>
                    <w:rPr>
                      <w:sz w:val="21"/>
                    </w:rPr>
                    <w:t>3</w:t>
                  </w:r>
                </w:p>
              </w:tc>
              <w:tc>
                <w:tcPr>
                  <w:tcW w:type="dxa" w:w="512"/>
                  <w:tcBorders>
                    <w:top w:val="none" w:color="000000" w:sz="4"/>
                    <w:left w:val="none" w:color="000000" w:sz="4"/>
                    <w:bottom w:val="single" w:color="000000" w:sz="4"/>
                    <w:right w:val="single" w:color="000000" w:sz="4"/>
                  </w:tcBorders>
                  <w:vAlign w:val="top"/>
                </w:tcPr>
                <w:p>
                  <w:pPr>
                    <w:jc w:val="both"/>
                  </w:pPr>
                  <w:r>
                    <w:rPr>
                      <w:sz w:val="21"/>
                    </w:rPr>
                    <w:t>多媒体展示系统2</w:t>
                  </w:r>
                </w:p>
              </w:tc>
              <w:tc>
                <w:tcPr>
                  <w:tcW w:type="dxa" w:w="2869"/>
                  <w:tcBorders>
                    <w:top w:val="none" w:color="000000" w:sz="4"/>
                    <w:left w:val="none" w:color="000000" w:sz="4"/>
                    <w:bottom w:val="single" w:color="000000" w:sz="4"/>
                    <w:right w:val="single" w:color="000000" w:sz="4"/>
                  </w:tcBorders>
                  <w:vAlign w:val="top"/>
                </w:tcPr>
                <w:p>
                  <w:pPr>
                    <w:jc w:val="both"/>
                  </w:pPr>
                  <w:r>
                    <w:rPr>
                      <w:sz w:val="21"/>
                    </w:rPr>
                    <w:t>符合设计方案要求，安装牢固美观；符合展览实施使用需求，不低于以下要求：</w:t>
                  </w:r>
                </w:p>
                <w:p>
                  <w:pPr>
                    <w:jc w:val="both"/>
                  </w:pPr>
                  <w:r>
                    <w:rPr>
                      <w:sz w:val="21"/>
                    </w:rPr>
                    <w:t>121CM*68CM红外触控电视屏</w:t>
                  </w:r>
                </w:p>
                <w:p>
                  <w:pPr>
                    <w:jc w:val="both"/>
                  </w:pPr>
                  <w:r>
                    <w:rPr>
                      <w:sz w:val="21"/>
                    </w:rPr>
                    <w:t>1、搭载智能操作系统和独特的UI设计，可自由切换各场景主题；</w:t>
                  </w:r>
                </w:p>
                <w:p>
                  <w:pPr>
                    <w:jc w:val="both"/>
                  </w:pPr>
                  <w:r>
                    <w:rPr>
                      <w:sz w:val="21"/>
                    </w:rPr>
                    <w:t>2、高性能 CPU，4xA55架构，最大支持时钟 1.5GHz；</w:t>
                  </w:r>
                </w:p>
                <w:p>
                  <w:pPr>
                    <w:jc w:val="both"/>
                  </w:pPr>
                  <w:r>
                    <w:rPr>
                      <w:sz w:val="21"/>
                    </w:rPr>
                    <w:t>3、超窄边三等边框设计，外观整体（深铁灰）磨砂材质；</w:t>
                  </w:r>
                </w:p>
                <w:p>
                  <w:pPr>
                    <w:jc w:val="both"/>
                  </w:pPr>
                  <w:r>
                    <w:rPr>
                      <w:sz w:val="21"/>
                    </w:rPr>
                    <w:t>4、前拆式高精度红外触摸框，触摸精度达±1mm，触摸高度 3mm，支持 20 点触控，灵敏度高；</w:t>
                  </w:r>
                </w:p>
                <w:p>
                  <w:pPr>
                    <w:jc w:val="both"/>
                  </w:pPr>
                  <w:r>
                    <w:rPr>
                      <w:sz w:val="21"/>
                    </w:rPr>
                    <w:t>5、带OPS接口，可扩展双系统；2路USB 接口支持电脑和安卓共享USB功能；</w:t>
                  </w:r>
                </w:p>
                <w:p>
                  <w:pPr>
                    <w:jc w:val="both"/>
                  </w:pPr>
                  <w:r>
                    <w:rPr>
                      <w:sz w:val="21"/>
                    </w:rPr>
                    <w:t>6、前置智能笔吸附卡槽、无螺丝瞬间吸附，简单操作；</w:t>
                  </w:r>
                </w:p>
                <w:p>
                  <w:pPr>
                    <w:jc w:val="both"/>
                  </w:pPr>
                  <w:r>
                    <w:rPr>
                      <w:sz w:val="21"/>
                    </w:rPr>
                    <w:t>7、整体控制系统：全局操控（展示屏幕内容切换、灯光），程序开发，控制AP及相关网关硬件</w:t>
                  </w:r>
                  <w:r>
                    <w:rPr>
                      <w:sz w:val="21"/>
                    </w:rPr>
                    <w:t>；</w:t>
                  </w:r>
                </w:p>
              </w:tc>
              <w:tc>
                <w:tcPr>
                  <w:tcW w:type="dxa" w:w="512"/>
                  <w:tcBorders>
                    <w:top w:val="none" w:color="000000" w:sz="4"/>
                    <w:left w:val="none" w:color="000000" w:sz="4"/>
                    <w:bottom w:val="single" w:color="000000" w:sz="4"/>
                    <w:right w:val="single" w:color="000000" w:sz="4"/>
                  </w:tcBorders>
                  <w:vAlign w:val="top"/>
                </w:tcPr>
                <w:p>
                  <w:pPr>
                    <w:jc w:val="both"/>
                  </w:pPr>
                  <w:r>
                    <w:rPr>
                      <w:sz w:val="21"/>
                    </w:rPr>
                    <w:t>10</w:t>
                  </w:r>
                </w:p>
              </w:tc>
              <w:tc>
                <w:tcPr>
                  <w:tcW w:type="dxa" w:w="576"/>
                  <w:tcBorders>
                    <w:top w:val="none" w:color="000000" w:sz="4"/>
                    <w:left w:val="none" w:color="000000" w:sz="4"/>
                    <w:bottom w:val="single" w:color="000000" w:sz="4"/>
                    <w:right w:val="single" w:color="000000" w:sz="4"/>
                  </w:tcBorders>
                  <w:vAlign w:val="top"/>
                </w:tcPr>
                <w:p>
                  <w:pPr>
                    <w:jc w:val="both"/>
                  </w:pPr>
                  <w:r>
                    <w:rPr>
                      <w:sz w:val="21"/>
                    </w:rPr>
                    <w:t>套</w:t>
                  </w:r>
                </w:p>
              </w:tc>
              <w:tc>
                <w:tcPr>
                  <w:tcW w:type="dxa" w:w="550"/>
                  <w:tcBorders>
                    <w:top w:val="none" w:color="000000" w:sz="4"/>
                    <w:left w:val="none" w:color="000000" w:sz="4"/>
                    <w:bottom w:val="single" w:color="000000" w:sz="4"/>
                    <w:right w:val="single" w:color="000000" w:sz="4"/>
                  </w:tcBorders>
                  <w:vAlign w:val="top"/>
                </w:tcPr>
                <w:p>
                  <w:pPr>
                    <w:jc w:val="both"/>
                  </w:pPr>
                </w:p>
              </w:tc>
            </w:tr>
            <w:tr>
              <w:tc>
                <w:tcPr>
                  <w:tcW w:type="dxa" w:w="538"/>
                  <w:tcBorders>
                    <w:top w:val="none" w:color="000000" w:sz="4"/>
                    <w:left w:val="single" w:color="000000" w:sz="4"/>
                    <w:bottom w:val="single" w:color="000000" w:sz="4"/>
                    <w:right w:val="single" w:color="000000" w:sz="4"/>
                  </w:tcBorders>
                  <w:vAlign w:val="top"/>
                </w:tcPr>
                <w:p>
                  <w:pPr>
                    <w:jc w:val="both"/>
                  </w:pPr>
                  <w:r>
                    <w:rPr>
                      <w:sz w:val="21"/>
                    </w:rPr>
                    <w:t>4</w:t>
                  </w:r>
                </w:p>
              </w:tc>
              <w:tc>
                <w:tcPr>
                  <w:tcW w:type="dxa" w:w="512"/>
                  <w:tcBorders>
                    <w:top w:val="none" w:color="000000" w:sz="4"/>
                    <w:left w:val="none" w:color="000000" w:sz="4"/>
                    <w:bottom w:val="single" w:color="000000" w:sz="4"/>
                    <w:right w:val="single" w:color="000000" w:sz="4"/>
                  </w:tcBorders>
                  <w:vAlign w:val="top"/>
                </w:tcPr>
                <w:p>
                  <w:pPr>
                    <w:jc w:val="both"/>
                  </w:pPr>
                  <w:r>
                    <w:rPr>
                      <w:sz w:val="21"/>
                    </w:rPr>
                    <w:t>讲解系统</w:t>
                  </w:r>
                </w:p>
              </w:tc>
              <w:tc>
                <w:tcPr>
                  <w:tcW w:type="dxa" w:w="2869"/>
                  <w:tcBorders>
                    <w:top w:val="none" w:color="000000" w:sz="4"/>
                    <w:left w:val="none" w:color="000000" w:sz="4"/>
                    <w:bottom w:val="single" w:color="000000" w:sz="4"/>
                    <w:right w:val="single" w:color="000000" w:sz="4"/>
                  </w:tcBorders>
                  <w:vAlign w:val="top"/>
                </w:tcPr>
                <w:p>
                  <w:pPr>
                    <w:numPr>
                      <w:ilvl w:val="0"/>
                      <w:numId w:val="1"/>
                    </w:numPr>
                    <w:jc w:val="both"/>
                  </w:pPr>
                  <w:r>
                    <w:rPr>
                      <w:sz w:val="21"/>
                    </w:rPr>
                    <w:t>无线讲解器-参观讲解设备（1台发射器+ 50个接收机+ 1个充电消毒箱 (50人团队使用)</w:t>
                  </w:r>
                  <w:r>
                    <w:rPr>
                      <w:sz w:val="21"/>
                    </w:rPr>
                    <w:t>；</w:t>
                  </w:r>
                </w:p>
                <w:p>
                  <w:pPr>
                    <w:numPr>
                      <w:ilvl w:val="0"/>
                      <w:numId w:val="1"/>
                    </w:numPr>
                    <w:jc w:val="both"/>
                  </w:pPr>
                  <w:r>
                    <w:rPr>
                      <w:sz w:val="21"/>
                    </w:rPr>
                    <w:t>全场广播系统：音箱10个，数控功放机1台；麦克风4个（手持2个，穿戴2个）；无线接收器3台（自动切换，防风啸）；电源频率响应：20-160HZ</w:t>
                  </w:r>
                  <w:r>
                    <w:rPr>
                      <w:sz w:val="21"/>
                    </w:rPr>
                    <w:t>；</w:t>
                  </w:r>
                </w:p>
                <w:p>
                  <w:pPr>
                    <w:numPr>
                      <w:ilvl w:val="0"/>
                      <w:numId w:val="1"/>
                    </w:numPr>
                    <w:jc w:val="both"/>
                  </w:pPr>
                  <w:r>
                    <w:rPr>
                      <w:sz w:val="21"/>
                    </w:rPr>
                    <w:t>多媒体音效</w:t>
                  </w:r>
                  <w:r>
                    <w:rPr>
                      <w:sz w:val="21"/>
                    </w:rPr>
                    <w:t>；</w:t>
                  </w:r>
                </w:p>
              </w:tc>
              <w:tc>
                <w:tcPr>
                  <w:tcW w:type="dxa" w:w="512"/>
                  <w:tcBorders>
                    <w:top w:val="none" w:color="000000" w:sz="4"/>
                    <w:left w:val="none" w:color="000000" w:sz="4"/>
                    <w:bottom w:val="single" w:color="000000" w:sz="4"/>
                    <w:right w:val="single" w:color="000000" w:sz="4"/>
                  </w:tcBorders>
                  <w:vAlign w:val="top"/>
                </w:tcPr>
                <w:p>
                  <w:pPr>
                    <w:jc w:val="both"/>
                  </w:pPr>
                  <w:r>
                    <w:rPr>
                      <w:sz w:val="21"/>
                    </w:rPr>
                    <w:t>1</w:t>
                  </w:r>
                </w:p>
              </w:tc>
              <w:tc>
                <w:tcPr>
                  <w:tcW w:type="dxa" w:w="576"/>
                  <w:tcBorders>
                    <w:top w:val="none" w:color="000000" w:sz="4"/>
                    <w:left w:val="none" w:color="000000" w:sz="4"/>
                    <w:bottom w:val="single" w:color="000000" w:sz="4"/>
                    <w:right w:val="single" w:color="000000" w:sz="4"/>
                  </w:tcBorders>
                  <w:vAlign w:val="top"/>
                </w:tcPr>
                <w:p>
                  <w:pPr>
                    <w:jc w:val="both"/>
                  </w:pPr>
                  <w:r>
                    <w:rPr>
                      <w:sz w:val="21"/>
                    </w:rPr>
                    <w:t>套</w:t>
                  </w:r>
                </w:p>
              </w:tc>
              <w:tc>
                <w:tcPr>
                  <w:tcW w:type="dxa" w:w="550"/>
                  <w:tcBorders>
                    <w:top w:val="none" w:color="000000" w:sz="4"/>
                    <w:left w:val="none" w:color="000000" w:sz="4"/>
                    <w:bottom w:val="single" w:color="000000" w:sz="4"/>
                    <w:right w:val="single" w:color="000000" w:sz="4"/>
                  </w:tcBorders>
                  <w:vAlign w:val="top"/>
                </w:tcPr>
                <w:p>
                  <w:pPr>
                    <w:jc w:val="both"/>
                  </w:pPr>
                </w:p>
              </w:tc>
            </w:tr>
            <w:tr>
              <w:tc>
                <w:tcPr>
                  <w:tcW w:type="dxa" w:w="538"/>
                  <w:tcBorders>
                    <w:top w:val="none" w:color="000000" w:sz="4"/>
                    <w:left w:val="single" w:color="000000" w:sz="4"/>
                    <w:bottom w:val="single" w:color="000000" w:sz="4"/>
                    <w:right w:val="single" w:color="000000" w:sz="4"/>
                  </w:tcBorders>
                  <w:vAlign w:val="top"/>
                </w:tcPr>
                <w:p>
                  <w:pPr>
                    <w:jc w:val="both"/>
                  </w:pPr>
                  <w:r>
                    <w:rPr>
                      <w:sz w:val="21"/>
                    </w:rPr>
                    <w:t>5</w:t>
                  </w:r>
                </w:p>
              </w:tc>
              <w:tc>
                <w:tcPr>
                  <w:tcW w:type="dxa" w:w="512"/>
                  <w:tcBorders>
                    <w:top w:val="none" w:color="000000" w:sz="4"/>
                    <w:left w:val="none" w:color="000000" w:sz="4"/>
                    <w:bottom w:val="single" w:color="000000" w:sz="4"/>
                    <w:right w:val="single" w:color="000000" w:sz="4"/>
                  </w:tcBorders>
                  <w:vAlign w:val="top"/>
                </w:tcPr>
                <w:p>
                  <w:pPr>
                    <w:jc w:val="both"/>
                  </w:pPr>
                  <w:r>
                    <w:rPr>
                      <w:sz w:val="21"/>
                    </w:rPr>
                    <w:t>场景定制</w:t>
                  </w:r>
                </w:p>
              </w:tc>
              <w:tc>
                <w:tcPr>
                  <w:tcW w:type="dxa" w:w="2869"/>
                  <w:tcBorders>
                    <w:top w:val="none" w:color="000000" w:sz="4"/>
                    <w:left w:val="none" w:color="000000" w:sz="4"/>
                    <w:bottom w:val="single" w:color="000000" w:sz="4"/>
                    <w:right w:val="single" w:color="000000" w:sz="4"/>
                  </w:tcBorders>
                  <w:vAlign w:val="top"/>
                </w:tcPr>
                <w:p>
                  <w:pPr>
                    <w:jc w:val="both"/>
                  </w:pPr>
                  <w:r>
                    <w:rPr>
                      <w:sz w:val="21"/>
                    </w:rPr>
                    <w:t>根据设计方案需要，配合本项目的调性和内容，在展览中打造真实还原的展览场景；安装牢固美观；符合展览实施使用需求，不低于以下要求：</w:t>
                  </w:r>
                </w:p>
                <w:p>
                  <w:pPr>
                    <w:jc w:val="both"/>
                  </w:pPr>
                  <w:r>
                    <w:rPr>
                      <w:sz w:val="21"/>
                    </w:rPr>
                    <w:t>1、沉浸式考虑设计、整体打造；</w:t>
                  </w:r>
                </w:p>
                <w:p>
                  <w:pPr>
                    <w:jc w:val="both"/>
                  </w:pPr>
                  <w:r>
                    <w:rPr>
                      <w:sz w:val="21"/>
                    </w:rPr>
                    <w:t>2、墙面需艺术化造型；</w:t>
                  </w:r>
                </w:p>
                <w:p>
                  <w:pPr>
                    <w:jc w:val="both"/>
                  </w:pPr>
                  <w:r>
                    <w:rPr>
                      <w:sz w:val="21"/>
                    </w:rPr>
                    <w:t>3、配置实物展示或其它展示手法；</w:t>
                  </w:r>
                </w:p>
              </w:tc>
              <w:tc>
                <w:tcPr>
                  <w:tcW w:type="dxa" w:w="512"/>
                  <w:tcBorders>
                    <w:top w:val="none" w:color="000000" w:sz="4"/>
                    <w:left w:val="none" w:color="000000" w:sz="4"/>
                    <w:bottom w:val="single" w:color="000000" w:sz="4"/>
                    <w:right w:val="single" w:color="000000" w:sz="4"/>
                  </w:tcBorders>
                  <w:vAlign w:val="top"/>
                </w:tcPr>
                <w:p>
                  <w:pPr>
                    <w:jc w:val="both"/>
                  </w:pPr>
                  <w:r>
                    <w:rPr>
                      <w:sz w:val="21"/>
                    </w:rPr>
                    <w:t>1</w:t>
                  </w:r>
                </w:p>
              </w:tc>
              <w:tc>
                <w:tcPr>
                  <w:tcW w:type="dxa" w:w="576"/>
                  <w:tcBorders>
                    <w:top w:val="none" w:color="000000" w:sz="4"/>
                    <w:left w:val="none" w:color="000000" w:sz="4"/>
                    <w:bottom w:val="single" w:color="000000" w:sz="4"/>
                    <w:right w:val="single" w:color="000000" w:sz="4"/>
                  </w:tcBorders>
                  <w:vAlign w:val="top"/>
                </w:tcPr>
                <w:p>
                  <w:pPr>
                    <w:jc w:val="both"/>
                  </w:pPr>
                  <w:r>
                    <w:rPr>
                      <w:sz w:val="21"/>
                    </w:rPr>
                    <w:t>项</w:t>
                  </w:r>
                </w:p>
              </w:tc>
              <w:tc>
                <w:tcPr>
                  <w:tcW w:type="dxa" w:w="550"/>
                  <w:tcBorders>
                    <w:top w:val="none" w:color="000000" w:sz="4"/>
                    <w:left w:val="none" w:color="000000" w:sz="4"/>
                    <w:bottom w:val="single" w:color="000000" w:sz="4"/>
                    <w:right w:val="single" w:color="000000" w:sz="4"/>
                  </w:tcBorders>
                  <w:vAlign w:val="top"/>
                </w:tcPr>
                <w:p>
                  <w:pPr>
                    <w:jc w:val="both"/>
                  </w:pPr>
                </w:p>
              </w:tc>
            </w:tr>
            <w:tr>
              <w:tc>
                <w:tcPr>
                  <w:tcW w:type="dxa" w:w="538"/>
                  <w:tcBorders>
                    <w:top w:val="none" w:color="000000" w:sz="4"/>
                    <w:left w:val="single" w:color="000000" w:sz="4"/>
                    <w:bottom w:val="single" w:color="000000" w:sz="4"/>
                    <w:right w:val="single" w:color="000000" w:sz="4"/>
                  </w:tcBorders>
                  <w:vAlign w:val="top"/>
                </w:tcPr>
                <w:p>
                  <w:pPr>
                    <w:jc w:val="both"/>
                  </w:pPr>
                  <w:r>
                    <w:rPr>
                      <w:sz w:val="21"/>
                    </w:rPr>
                    <w:t>6</w:t>
                  </w:r>
                </w:p>
              </w:tc>
              <w:tc>
                <w:tcPr>
                  <w:tcW w:type="dxa" w:w="512"/>
                  <w:tcBorders>
                    <w:top w:val="none" w:color="000000" w:sz="4"/>
                    <w:left w:val="none" w:color="000000" w:sz="4"/>
                    <w:bottom w:val="single" w:color="000000" w:sz="4"/>
                    <w:right w:val="single" w:color="000000" w:sz="4"/>
                  </w:tcBorders>
                  <w:vAlign w:val="top"/>
                </w:tcPr>
                <w:p>
                  <w:pPr>
                    <w:jc w:val="both"/>
                  </w:pPr>
                  <w:r>
                    <w:rPr>
                      <w:sz w:val="21"/>
                    </w:rPr>
                    <w:t>其他造型</w:t>
                  </w:r>
                </w:p>
              </w:tc>
              <w:tc>
                <w:tcPr>
                  <w:tcW w:type="dxa" w:w="2869"/>
                  <w:tcBorders>
                    <w:top w:val="none" w:color="000000" w:sz="4"/>
                    <w:left w:val="none" w:color="000000" w:sz="4"/>
                    <w:bottom w:val="single" w:color="000000" w:sz="4"/>
                    <w:right w:val="single" w:color="000000" w:sz="4"/>
                  </w:tcBorders>
                  <w:vAlign w:val="top"/>
                </w:tcPr>
                <w:p>
                  <w:pPr>
                    <w:jc w:val="both"/>
                  </w:pPr>
                  <w:r>
                    <w:rPr>
                      <w:sz w:val="21"/>
                    </w:rPr>
                    <w:t>由于本项目场地为原有装修，需考虑对原有场地进行升级改造，在符合设计方案的要求下，包括但不限于、不低于以下要求：</w:t>
                  </w:r>
                </w:p>
                <w:p>
                  <w:pPr>
                    <w:numPr>
                      <w:ilvl w:val="0"/>
                      <w:numId w:val="1"/>
                    </w:numPr>
                    <w:jc w:val="both"/>
                  </w:pPr>
                  <w:r>
                    <w:rPr>
                      <w:sz w:val="21"/>
                    </w:rPr>
                    <w:t>地面改造</w:t>
                  </w:r>
                  <w:r>
                    <w:rPr>
                      <w:sz w:val="21"/>
                    </w:rPr>
                    <w:t>；</w:t>
                  </w:r>
                </w:p>
                <w:p>
                  <w:pPr>
                    <w:numPr>
                      <w:ilvl w:val="0"/>
                      <w:numId w:val="1"/>
                    </w:numPr>
                    <w:jc w:val="both"/>
                  </w:pPr>
                  <w:r>
                    <w:rPr>
                      <w:sz w:val="21"/>
                    </w:rPr>
                    <w:t>原有天花造型增加</w:t>
                  </w:r>
                  <w:r>
                    <w:rPr>
                      <w:sz w:val="21"/>
                    </w:rPr>
                    <w:t>；</w:t>
                  </w:r>
                </w:p>
                <w:p>
                  <w:pPr>
                    <w:numPr>
                      <w:ilvl w:val="0"/>
                      <w:numId w:val="1"/>
                    </w:numPr>
                    <w:jc w:val="both"/>
                  </w:pPr>
                  <w:r>
                    <w:rPr>
                      <w:sz w:val="21"/>
                    </w:rPr>
                    <w:t>原有墙面处理</w:t>
                  </w:r>
                  <w:r>
                    <w:rPr>
                      <w:sz w:val="21"/>
                    </w:rPr>
                    <w:t>；</w:t>
                  </w:r>
                </w:p>
                <w:p>
                  <w:pPr>
                    <w:numPr>
                      <w:ilvl w:val="0"/>
                      <w:numId w:val="1"/>
                    </w:numPr>
                    <w:jc w:val="both"/>
                  </w:pPr>
                  <w:r>
                    <w:rPr>
                      <w:sz w:val="21"/>
                    </w:rPr>
                    <w:t>展示接待中心</w:t>
                  </w:r>
                  <w:r>
                    <w:rPr>
                      <w:sz w:val="21"/>
                    </w:rPr>
                    <w:t>；</w:t>
                  </w:r>
                </w:p>
                <w:p>
                  <w:pPr>
                    <w:numPr>
                      <w:ilvl w:val="0"/>
                      <w:numId w:val="1"/>
                    </w:numPr>
                    <w:jc w:val="both"/>
                  </w:pPr>
                  <w:r>
                    <w:rPr>
                      <w:sz w:val="21"/>
                    </w:rPr>
                    <w:t>其他根据各</w:t>
                  </w:r>
                  <w:r>
                    <w:rPr>
                      <w:sz w:val="21"/>
                    </w:rPr>
                    <w:t>供应商</w:t>
                  </w:r>
                  <w:r>
                    <w:rPr>
                      <w:sz w:val="21"/>
                    </w:rPr>
                    <w:t>所提交的方案自行补充；</w:t>
                  </w:r>
                </w:p>
              </w:tc>
              <w:tc>
                <w:tcPr>
                  <w:tcW w:type="dxa" w:w="512"/>
                  <w:tcBorders>
                    <w:top w:val="none" w:color="000000" w:sz="4"/>
                    <w:left w:val="none" w:color="000000" w:sz="4"/>
                    <w:bottom w:val="single" w:color="000000" w:sz="4"/>
                    <w:right w:val="single" w:color="000000" w:sz="4"/>
                  </w:tcBorders>
                  <w:vAlign w:val="top"/>
                </w:tcPr>
                <w:p>
                  <w:pPr>
                    <w:jc w:val="both"/>
                  </w:pPr>
                  <w:r>
                    <w:rPr>
                      <w:sz w:val="21"/>
                    </w:rPr>
                    <w:t>1</w:t>
                  </w:r>
                </w:p>
              </w:tc>
              <w:tc>
                <w:tcPr>
                  <w:tcW w:type="dxa" w:w="576"/>
                  <w:tcBorders>
                    <w:top w:val="none" w:color="000000" w:sz="4"/>
                    <w:left w:val="none" w:color="000000" w:sz="4"/>
                    <w:bottom w:val="single" w:color="000000" w:sz="4"/>
                    <w:right w:val="single" w:color="000000" w:sz="4"/>
                  </w:tcBorders>
                  <w:vAlign w:val="top"/>
                </w:tcPr>
                <w:p>
                  <w:pPr>
                    <w:jc w:val="both"/>
                  </w:pPr>
                  <w:r>
                    <w:rPr>
                      <w:sz w:val="21"/>
                    </w:rPr>
                    <w:t>项</w:t>
                  </w:r>
                </w:p>
              </w:tc>
              <w:tc>
                <w:tcPr>
                  <w:tcW w:type="dxa" w:w="550"/>
                  <w:tcBorders>
                    <w:top w:val="none" w:color="000000" w:sz="4"/>
                    <w:left w:val="none" w:color="000000" w:sz="4"/>
                    <w:bottom w:val="single" w:color="000000" w:sz="4"/>
                    <w:right w:val="single" w:color="000000" w:sz="4"/>
                  </w:tcBorders>
                  <w:vAlign w:val="top"/>
                </w:tcPr>
                <w:p>
                  <w:pPr>
                    <w:jc w:val="both"/>
                  </w:pPr>
                </w:p>
              </w:tc>
            </w:tr>
            <w:tr>
              <w:tc>
                <w:tcPr>
                  <w:tcW w:type="dxa" w:w="5557"/>
                  <w:gridSpan w:val="6"/>
                  <w:tcBorders>
                    <w:top w:val="none" w:color="000000" w:sz="4"/>
                    <w:left w:val="single" w:color="000000" w:sz="4"/>
                    <w:bottom w:val="single" w:color="000000" w:sz="4"/>
                    <w:right w:val="single" w:color="000000" w:sz="4"/>
                  </w:tcBorders>
                  <w:vAlign w:val="top"/>
                </w:tcPr>
                <w:p>
                  <w:pPr>
                    <w:jc w:val="center"/>
                  </w:pPr>
                  <w:r>
                    <w:rPr>
                      <w:color w:val="000000"/>
                      <w:sz w:val="21"/>
                    </w:rPr>
                    <w:t>备注：1、以上尺寸（数量）为最小估算尺寸（数量），</w:t>
                  </w:r>
                  <w:r>
                    <w:rPr>
                      <w:color w:val="000000"/>
                      <w:sz w:val="21"/>
                    </w:rPr>
                    <w:t>供应商</w:t>
                  </w:r>
                  <w:r>
                    <w:rPr>
                      <w:color w:val="000000"/>
                      <w:sz w:val="21"/>
                    </w:rPr>
                    <w:t>报价的尺寸（数量）不能小于上述尺寸（数量），工艺材质不能低于上述工艺材质要求。2、各</w:t>
                  </w:r>
                  <w:r>
                    <w:rPr>
                      <w:color w:val="000000"/>
                      <w:sz w:val="21"/>
                    </w:rPr>
                    <w:t>供应商</w:t>
                  </w:r>
                  <w:r>
                    <w:rPr>
                      <w:color w:val="000000"/>
                      <w:sz w:val="21"/>
                    </w:rPr>
                    <w:t>根据所提交的技术文件拟定清单；</w:t>
                  </w:r>
                </w:p>
              </w:tc>
            </w:tr>
          </w:tbl>
          <w:p>
            <w:r>
              <w:rPr/>
              <w:t xml:space="preserve"> </w:t>
            </w:r>
          </w:p>
        </w:tc>
      </w:tr>
      <w:tr>
        <w:tc>
          <w:tcPr>
            <w:tcW w:type="dxa" w:w="2076"/>
          </w:tcPr>
          <w:p/>
        </w:tc>
        <w:tc>
          <w:tcPr>
            <w:tcW w:type="dxa" w:w="415"/>
          </w:tcPr>
          <w:p>
            <w:r>
              <w:rPr/>
              <w:t>2</w:t>
            </w:r>
          </w:p>
        </w:tc>
        <w:tc>
          <w:tcPr>
            <w:tcW w:type="dxa" w:w="5814"/>
          </w:tcPr>
          <w:p>
            <w:pPr>
              <w:jc w:val="both"/>
            </w:pPr>
            <w:r>
              <w:rPr>
                <w:b/>
                <w:sz w:val="21"/>
              </w:rPr>
              <w:t>二、总体要求</w:t>
            </w:r>
            <w:r>
              <w:rPr>
                <w:sz w:val="21"/>
              </w:rPr>
              <w:t>：</w:t>
            </w:r>
          </w:p>
          <w:p>
            <w:pPr>
              <w:jc w:val="both"/>
            </w:pPr>
            <w:r>
              <w:rPr>
                <w:sz w:val="21"/>
              </w:rPr>
              <w:t>（</w:t>
            </w:r>
            <w:r>
              <w:rPr>
                <w:sz w:val="21"/>
              </w:rPr>
              <w:t>1</w:t>
            </w:r>
            <w:r>
              <w:rPr>
                <w:sz w:val="21"/>
              </w:rPr>
              <w:t>）主题鲜明突出。</w:t>
            </w:r>
          </w:p>
          <w:p>
            <w:pPr>
              <w:jc w:val="both"/>
            </w:pPr>
            <w:r>
              <w:rPr>
                <w:sz w:val="21"/>
              </w:rPr>
              <w:t>（</w:t>
            </w:r>
            <w:r>
              <w:rPr>
                <w:sz w:val="21"/>
              </w:rPr>
              <w:t>2</w:t>
            </w:r>
            <w:r>
              <w:rPr>
                <w:sz w:val="21"/>
              </w:rPr>
              <w:t>）布展技术创新。通过声、光、电等技术，充分展现</w:t>
            </w:r>
            <w:r>
              <w:rPr>
                <w:b/>
                <w:sz w:val="21"/>
              </w:rPr>
              <w:t>工改</w:t>
            </w:r>
            <w:r>
              <w:rPr>
                <w:sz w:val="21"/>
              </w:rPr>
              <w:t>成果，展示方式要求有特色、有新意、有亮点、有吸引力。</w:t>
            </w:r>
          </w:p>
          <w:p>
            <w:pPr>
              <w:jc w:val="both"/>
            </w:pPr>
            <w:r>
              <w:rPr>
                <w:sz w:val="21"/>
              </w:rPr>
              <w:t>（</w:t>
            </w:r>
            <w:r>
              <w:rPr>
                <w:sz w:val="21"/>
              </w:rPr>
              <w:t>3</w:t>
            </w:r>
            <w:r>
              <w:rPr>
                <w:sz w:val="21"/>
              </w:rPr>
              <w:t>）展区布局合理。展区服务功能配置实用适当，满足参观、学习、交流的工作需求。在突出可观性的同时，可根据内容特性适当融入互动性。</w:t>
            </w:r>
          </w:p>
        </w:tc>
      </w:tr>
      <w:tr>
        <w:tc>
          <w:tcPr>
            <w:tcW w:type="dxa" w:w="2076"/>
          </w:tcPr>
          <w:p/>
        </w:tc>
        <w:tc>
          <w:tcPr>
            <w:tcW w:type="dxa" w:w="415"/>
          </w:tcPr>
          <w:p>
            <w:r>
              <w:rPr/>
              <w:t>3</w:t>
            </w:r>
          </w:p>
        </w:tc>
        <w:tc>
          <w:tcPr>
            <w:tcW w:type="dxa" w:w="5814"/>
          </w:tcPr>
          <w:p>
            <w:pPr>
              <w:jc w:val="both"/>
            </w:pPr>
            <w:r>
              <w:rPr>
                <w:b/>
                <w:sz w:val="21"/>
              </w:rPr>
              <w:t>三、深化设计要求</w:t>
            </w:r>
          </w:p>
          <w:p>
            <w:pPr>
              <w:ind w:firstLine="420"/>
              <w:jc w:val="both"/>
            </w:pPr>
            <w:r>
              <w:rPr>
                <w:sz w:val="21"/>
              </w:rPr>
              <w:t>1</w:t>
            </w:r>
            <w:r>
              <w:rPr>
                <w:sz w:val="21"/>
              </w:rPr>
              <w:t>、成交人中标后应按照采购人提供的资料及相关要求，完成深化设计方案，深化设计方案需经采购人审核确定后才能进行实施。</w:t>
            </w:r>
          </w:p>
          <w:p>
            <w:pPr>
              <w:ind w:firstLine="420"/>
              <w:jc w:val="both"/>
            </w:pPr>
            <w:r>
              <w:rPr>
                <w:sz w:val="21"/>
              </w:rPr>
              <w:t>2</w:t>
            </w:r>
            <w:r>
              <w:rPr>
                <w:sz w:val="21"/>
              </w:rPr>
              <w:t>、深化设计应满足和符合国家有关标准和规范的要求，符合采购人的需求。整体设计要求与使用要求相结合，达到内容和形式一致的效果。</w:t>
            </w:r>
          </w:p>
          <w:p>
            <w:pPr>
              <w:ind w:firstLine="420"/>
              <w:jc w:val="both"/>
            </w:pPr>
            <w:r>
              <w:rPr>
                <w:sz w:val="21"/>
              </w:rPr>
              <w:t>3</w:t>
            </w:r>
            <w:r>
              <w:rPr>
                <w:sz w:val="21"/>
              </w:rPr>
              <w:t>、相关服务要求</w:t>
            </w:r>
          </w:p>
          <w:p>
            <w:pPr>
              <w:jc w:val="both"/>
            </w:pPr>
            <w:r>
              <w:rPr>
                <w:sz w:val="21"/>
              </w:rPr>
              <w:t>成交人应要根据磋商文件的要求和深化设计方案进行相关采购、制作和就位，并完</w:t>
            </w:r>
            <w:r>
              <w:rPr>
                <w:sz w:val="21"/>
              </w:rPr>
              <w:t>成相关验收、质量保证和售后服务等</w:t>
            </w:r>
            <w:r>
              <w:rPr>
                <w:sz w:val="21"/>
              </w:rPr>
              <w:t>各项工作。各项工作必须满足采购人需求和紧密结合该项目的主题定位要求。整体风格效果要大气、能充分展示成果。所投入使用的材料、结构和就位方式应科学、环保，使用安全、可靠等。</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1.采购代理机构：本项目是指中山市翠城工程管理有限公司，负责整个采购活动的组织，依法负责编制和发布磋商文件，对磋商文件拥有最终的解释权，不以任何身份出任磋商小组成员。</w:t>
      </w:r>
    </w:p>
    <w:p>
      <w:pPr>
        <w:ind w:firstLine="480"/>
      </w:pPr>
      <w:r>
        <w:rPr/>
        <w:t>2.采购人：本项目是指</w:t>
      </w:r>
      <w:r>
        <w:rPr/>
        <w:t>中山市自然资源局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p/>
          <w:p>
            <w:r>
              <w:rPr/>
              <w:t>踏勘时间：2023-11-04 10:00:00</w:t>
            </w:r>
          </w:p>
          <w:p>
            <w:r>
              <w:rPr/>
              <w:t>踏勘地点：中山市博览中心会议中心</w:t>
            </w:r>
          </w:p>
          <w:p>
            <w:r>
              <w:rPr/>
              <w:t>联系人姓名：何敏健</w:t>
            </w:r>
          </w:p>
          <w:p>
            <w:r>
              <w:rPr/>
              <w:t>联系人电话：13560612800</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无：本项目为单包组采购，不适用兼投规则</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采购机构代理服务收费标准：招标代理服务费收费采用差额定率累进法计算方式 。参照中华人民共和国国家发展计划委员会颁发的计价格[2002]1980号、国家发改委[2003] 857号及发改价格[2011]534号文规定计算，如按以上标准计算招标代理服务费不足5000元则按5000元收取。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重要提示，1.1.在云平台进行在线签到及在线解密，供应商不需要委派代表前往开标现场。远程开标操作指南（供应商版）：https://gdgpo.czt.gd.gov.cn/help/transaction/gongyinshan.html。1.2.供应商的法定代表人或其授权代表在响应截止时间前30分钟，登录云平台开标大厅进行签到，并且填写授权代表的姓名与手机号码。若因签到时填写的授权代表信息有误而导致的不良后果，由供应商自行承担。1.3.开启时，供应商应当使用编制本项目（采购包）电子响应文件时加密所用数字证书在开始解密后按照采购代理机构规定的时间内完成电子投标文件的解密；1.4.供应商在参加开启以前须自行对使用电脑的网络环境、驱动安装、客户端安装以及数字证书的有效性等进行检测，确保可以正常使用。1.5.提交投标文件截止时间前无须提供纸质投标文件。发布结果公告后，各供应商须按采购代理机构的要求提供纸质投标文件供采购人与采购代理机构存档使用，且须保证电子投标文件与纸质投标文件内容一致。1.6.开标评标服务专线：020-83523973、020-83523967（只提供技术问题处理）。此专线只服务于云平台项目采购系统进行全流程电子招投标项目执行过程包括远程开标，投标文件解密，在线谈判、磋商等环节遇到的紧急技术问题服务保障。</w:t>
            </w:r>
          </w:p>
          <w:p>
            <w:pPr>
              <w:jc w:val="left"/>
            </w:pPr>
            <w:r>
              <w:rPr/>
              <w:t>适用政策，2.1 政府采购合同融资：参与政府采购的中小微企业供应商， 凭借中标（成交）通知书或政府采购合同向金融机构申请融资，金融机构以供应商信用审查和政府采购信誉为基础，按便捷贷款程序和优惠利率， 为其发放无财产抵押贷款。 详见《中山市财政局 中山市金融工作局 中国人民银行中山市中心支行关于开展中山市 政府采购合同融资工作的通知》，网址：https://gdgpo.czt.gd.gov.cn/freecms/site/guangdong/tzggzlm/info/2021/5738699.html； 2.2 根据《关于印发〈中山市政府采购支持中小微企业质押融资的实施意见〉的通知》规定： 根据《中国人民银行中山市中心支行中山市财政局中山市经济和信息化局中山市人民政府金融工作局关于印发&lt;中山市政府采购支持中小微企业质押融资的实施意见&gt;的通知》（中人银发【2017】 82号） 规定， 凡通过政府采购法定程序取得我市政府采购合同的中小微企业， 均可向辖内开展政府采购质押融资业务的银行机构申请办理融资业务。 截至当前， 辖内开展政府采购质押融资业务的银行机构报备的联系方式如下： 政府采购质押融资业务的银行机构联系人名单（1）中国农业发展银行中山市分行（客户业务部：邹可仕18802598981、 信贷与风险管理部： 陈小龙15889891688）。（2）中国工商银行中山分行（普惠金融事业部：陈炳菁18928108782、 普惠金融事业部：杨培鹏15900085352）。（3）中国农业银行中山分行（普惠金融事业部：赖思韵22644682）。（4）广发银行中山分行（普惠金融部：林光宇88862643）。（5）中国邮政储蓄银行中山市分行（小企业金融部： 黄嘉霖13824720741）。（6）中山农村商业银行（总行公司业务部：杜保森88884181）。（7）平安银行中山分行（普惠金融部：林晓冰13823931817）。（8）兴业银行中山分行（企业金融部：刘中芳0760-88368666-203172）。（9）招商银行中山分行公司金融事业部：唐庆颖13924998608）。（10）中国光大银行中山分行（公司业务管理部：张梓颖0760-88858067）。（11） 广州银行中山分行（公司金融部： 杨顺龙88776919）。（12）中信银行中山分行（普惠金融部：陈廷忠15113386853、普惠金融部：余超贤15918291829）。（13）渤海银行中山分行（公司金融部：李建夏13631124024/0760-87911816、分行营业部：徐艺：13928142042/0760-87911808）。（14）华夏银行中山分行（营销管理部： 叶怡28137855）。（15）东莞银行中山分行（业务部：赵荣耀13042854636/86939959）。（16） 东亚银行（中国）有限公司中山支行（中山支行：王涛89986282/18926998881）。（17）浦发银行中山分行（交易银行部： 付涛0760-89982303）。 2.2中小微企业有融资需求的，可通过应收账款融资服务平台（网址：www.crcrfsp.com）和中山市社会征信和金融服务一体化系统（网址：www.zsythxt.zs.gov.cn）向辖内特定或非特定银行机构咨询并提出融资申请。</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中山市翠城工程管理有限公司</w:t>
      </w:r>
      <w:r>
        <w:rPr/>
        <w:t>代收。具体操作要求详见</w:t>
      </w:r>
      <w:r>
        <w:rPr/>
        <w:t>中山市翠城工程管理有限公司</w:t>
      </w:r>
      <w:r>
        <w:rPr/>
        <w:t>有关指引，递交事宜请自行咨询</w:t>
      </w:r>
      <w:r>
        <w:rPr/>
        <w:t>中山市翠城工程管理有限公司</w:t>
      </w:r>
      <w:r>
        <w:rPr/>
        <w:t>；请各供应商在响应文件递交截止时间前按须知前附表规定的金额递交至</w:t>
      </w:r>
      <w:r>
        <w:rPr/>
        <w:t>中山市翠城工程管理有限公司</w:t>
      </w:r>
      <w:r>
        <w:rPr/>
        <w:t>，到账情况以开启时</w:t>
      </w:r>
      <w:r>
        <w:rPr/>
        <w:t>中山市翠城工程管理有限公司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广东省公共资源交易平台网(https://ygp.gdzwfw.gov.cn/#/442000/index），中山市翠城工程管理有限公司网（http://www.ccbidding.com/）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广东省公共资源交易平台网(https://ygp.gdzwfw.gov.cn/#/442000/index），中山市翠城工程管理有限公司网（http://www.ccbidding.com/）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梁海萍</w:t>
      </w:r>
    </w:p>
    <w:p>
      <w:pPr>
        <w:ind w:firstLine="480"/>
      </w:pPr>
      <w:r>
        <w:rPr/>
        <w:t>电话：</w:t>
      </w:r>
      <w:r>
        <w:rPr/>
        <w:t>13928181137</w:t>
      </w:r>
    </w:p>
    <w:p>
      <w:pPr>
        <w:ind w:firstLine="480"/>
      </w:pPr>
      <w:r>
        <w:rPr/>
        <w:t>传真：</w:t>
      </w:r>
      <w:r>
        <w:rPr/>
        <w:t>88837733</w:t>
      </w:r>
    </w:p>
    <w:p>
      <w:pPr>
        <w:ind w:firstLine="480"/>
      </w:pPr>
      <w:r>
        <w:rPr/>
        <w:t>邮箱：</w:t>
      </w:r>
      <w:r>
        <w:rPr/>
        <w:t>13106309@qq.com</w:t>
      </w:r>
    </w:p>
    <w:p>
      <w:pPr>
        <w:ind w:firstLine="480"/>
      </w:pPr>
      <w:r>
        <w:rPr/>
        <w:t>地址：</w:t>
      </w:r>
      <w:r>
        <w:rPr/>
        <w:t>广东省中山市火炬开发区中山六路60号传盛东方名都11卡</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村镇低效工业园改造升级展示中心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中山市翠城工程管理有限公司</w:t>
      </w:r>
      <w:r>
        <w:rPr/>
        <w:t>统一对外发布。</w:t>
      </w:r>
    </w:p>
    <w:p>
      <w:pPr>
        <w:ind w:firstLine="480"/>
      </w:pPr>
      <w:r>
        <w:rPr/>
        <w:t>（2）对</w:t>
      </w:r>
      <w:r>
        <w:rPr/>
        <w:t>中山市翠城工程管理有限公司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采购包1（中山市村镇低效工业园改造升级展示中心项目）：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采购包1（中山市村镇低效工业园改造升级展示中心项目）：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关于分公司投标的要求：根据政府采购法实施条例释义精神，政府采购的供应商应当具备独立承担民事责任的能力，分公司参与投标（报价）的，原则上需提供具有法人资格的总公司的营业执照副本复印件及授权书，但银行、保险、石油石化、电力、电信等有行业特殊情况的，允许分公司在具有总公司有关文件制度或相关授权授章文件，能证明总公司授权分公司独立开展业务的情况下参与投标。】</w:t>
            </w:r>
          </w:p>
        </w:tc>
      </w:tr>
      <w:tr>
        <w:tc>
          <w:tcPr>
            <w:tcW w:type="dxa" w:w="890"/>
          </w:tcPr>
          <w:p>
            <w:r>
              <w:rPr/>
              <w:t>2</w:t>
            </w:r>
          </w:p>
        </w:tc>
        <w:tc>
          <w:tcPr>
            <w:tcW w:type="dxa" w:w="3178"/>
          </w:tcPr>
          <w:p>
            <w:r>
              <w:rPr/>
              <w:t>有依法缴纳税收和社会保障资金的良好记录</w:t>
            </w:r>
          </w:p>
        </w:tc>
        <w:tc>
          <w:tcPr>
            <w:tcW w:type="dxa" w:w="4238"/>
          </w:tcPr>
          <w:p>
            <w:r>
              <w:rPr/>
              <w:t>响应文件提交截止日前12个月内任意1个月依法缴纳税收和社会保障资金的相关材料。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提供2022年度经审计的财务状况报告，或响应文件提交截止日前12个月内任意1个月的财务报表复印件（财务报表须包含资产负债表、利润表），或基本开户行出具的资信证明材料复印件。</w:t>
            </w:r>
          </w:p>
        </w:tc>
      </w:tr>
      <w:tr>
        <w:tc>
          <w:tcPr>
            <w:tcW w:type="dxa" w:w="890"/>
          </w:tcPr>
          <w:p>
            <w:r>
              <w:rPr/>
              <w:t>4</w:t>
            </w:r>
          </w:p>
        </w:tc>
        <w:tc>
          <w:tcPr>
            <w:tcW w:type="dxa" w:w="3178"/>
          </w:tcPr>
          <w:p>
            <w:r>
              <w:rPr/>
              <w:t>履行合同所必需的设备和专业技术能力</w:t>
            </w:r>
          </w:p>
        </w:tc>
        <w:tc>
          <w:tcPr>
            <w:tcW w:type="dxa" w:w="4238"/>
          </w:tcPr>
          <w:p>
            <w:r>
              <w:rPr/>
              <w:t>提供承诺函（格式自拟，其中承诺内容包括但不限于：“我方具有履行本项目合同所必需的设备及专业技术能力。”）或提供《设备和专业技术能力情况表》（格式自拟）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资质要求</w:t>
            </w:r>
          </w:p>
        </w:tc>
        <w:tc>
          <w:tcPr>
            <w:tcW w:type="dxa" w:w="4238"/>
          </w:tcPr>
          <w:p>
            <w:r>
              <w:rPr/>
              <w:t>供应商须具有有效的建筑装修装饰工程专业承包二级以上（含二级）资质，并具有有效的安全生产许可证【提供资质证书和安全生产许可证复印件并加盖公章。资质证书、安全生产许可证过期的，如能提供相关部门顺延证书有效期的文件，且符合文件规定的，则视为仍然有效。】</w:t>
            </w:r>
          </w:p>
        </w:tc>
      </w:tr>
      <w:tr>
        <w:tc>
          <w:tcPr>
            <w:tcW w:type="dxa" w:w="890"/>
          </w:tcPr>
          <w:p>
            <w:r>
              <w:rPr/>
              <w:t>9</w:t>
            </w:r>
          </w:p>
        </w:tc>
        <w:tc>
          <w:tcPr>
            <w:tcW w:type="dxa" w:w="3178"/>
          </w:tcPr>
          <w:p>
            <w:r>
              <w:rPr/>
              <w:t>本采购包专门面向中小企业采购</w:t>
            </w:r>
          </w:p>
        </w:tc>
        <w:tc>
          <w:tcPr>
            <w:tcW w:type="dxa" w:w="4238"/>
          </w:tcPr>
          <w:p>
            <w:r>
              <w:rPr/>
              <w:t>本项目属于专门面向中小企业采购的项目，供应商须符合本项目所属行业(建筑业)政策划型标准的中型或小型或微型企业的划型标准。监狱企业、残疾人福利单位视同小型、微型企业。</w:t>
            </w:r>
          </w:p>
        </w:tc>
      </w:tr>
    </w:tbl>
    <w:p/>
    <w:p>
      <w:pPr>
        <w:ind w:firstLine="480"/>
      </w:pPr>
      <w:r>
        <w:rPr/>
        <w:t>表二符合性审查表：</w:t>
      </w:r>
    </w:p>
    <w:p>
      <w:pPr>
        <w:ind w:firstLine="480"/>
      </w:pPr>
    </w:p>
    <w:p/>
    <w:p>
      <w:r>
        <w:rPr/>
        <w:t>采购包1（中山市村镇低效工业园改造升级展示中心项目）：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w:t>
            </w:r>
          </w:p>
        </w:tc>
        <w:tc>
          <w:tcPr>
            <w:tcW w:type="dxa" w:w="4238"/>
          </w:tcPr>
          <w:p>
            <w:r>
              <w:rPr/>
              <w:t>报价没有超出采购包预算金额</w:t>
            </w:r>
          </w:p>
        </w:tc>
      </w:tr>
      <w:tr>
        <w:tc>
          <w:tcPr>
            <w:tcW w:type="dxa" w:w="890"/>
          </w:tcPr>
          <w:p>
            <w:r>
              <w:rPr/>
              <w:t>2</w:t>
            </w:r>
          </w:p>
        </w:tc>
        <w:tc>
          <w:tcPr>
            <w:tcW w:type="dxa" w:w="3178"/>
          </w:tcPr>
          <w:p>
            <w:r>
              <w:rPr/>
              <w:t>报价合理性</w:t>
            </w:r>
          </w:p>
        </w:tc>
        <w:tc>
          <w:tcPr>
            <w:tcW w:type="dxa" w:w="4238"/>
          </w:tcPr>
          <w:p>
            <w:r>
              <w:rPr/>
              <w:t>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报价处理</w:t>
            </w:r>
          </w:p>
        </w:tc>
      </w:tr>
      <w:tr>
        <w:tc>
          <w:tcPr>
            <w:tcW w:type="dxa" w:w="890"/>
          </w:tcPr>
          <w:p>
            <w:r>
              <w:rPr/>
              <w:t>3</w:t>
            </w:r>
          </w:p>
        </w:tc>
        <w:tc>
          <w:tcPr>
            <w:tcW w:type="dxa" w:w="3178"/>
          </w:tcPr>
          <w:p>
            <w:r>
              <w:rPr/>
              <w:t>响应有效期</w:t>
            </w:r>
          </w:p>
        </w:tc>
        <w:tc>
          <w:tcPr>
            <w:tcW w:type="dxa" w:w="4238"/>
          </w:tcPr>
          <w:p>
            <w:r>
              <w:rPr/>
              <w:t>响应有效期满足磋商文件要求(不少于90个日历天)</w:t>
            </w:r>
          </w:p>
        </w:tc>
      </w:tr>
      <w:tr>
        <w:tc>
          <w:tcPr>
            <w:tcW w:type="dxa" w:w="890"/>
          </w:tcPr>
          <w:p>
            <w:r>
              <w:rPr/>
              <w:t>4</w:t>
            </w:r>
          </w:p>
        </w:tc>
        <w:tc>
          <w:tcPr>
            <w:tcW w:type="dxa" w:w="3178"/>
          </w:tcPr>
          <w:p>
            <w:r>
              <w:rPr/>
              <w:t>法定代表人证明书及法定代 表人授权委托书（如有）的 有效性</w:t>
            </w:r>
          </w:p>
        </w:tc>
        <w:tc>
          <w:tcPr>
            <w:tcW w:type="dxa" w:w="4238"/>
          </w:tcPr>
          <w:p>
            <w:r>
              <w:rPr/>
              <w:t>法定代表人证明书及法定代表人授权委托书（如有）有效</w:t>
            </w:r>
          </w:p>
        </w:tc>
      </w:tr>
      <w:tr>
        <w:tc>
          <w:tcPr>
            <w:tcW w:type="dxa" w:w="890"/>
          </w:tcPr>
          <w:p>
            <w:r>
              <w:rPr/>
              <w:t>5</w:t>
            </w:r>
          </w:p>
        </w:tc>
        <w:tc>
          <w:tcPr>
            <w:tcW w:type="dxa" w:w="3178"/>
          </w:tcPr>
          <w:p>
            <w:r>
              <w:rPr/>
              <w:t>带“★”号条款要求</w:t>
            </w:r>
          </w:p>
        </w:tc>
        <w:tc>
          <w:tcPr>
            <w:tcW w:type="dxa" w:w="4238"/>
          </w:tcPr>
          <w:p>
            <w:r>
              <w:rPr/>
              <w:t>实质性满足采购需求的带“★”号条款要求</w:t>
            </w:r>
          </w:p>
        </w:tc>
      </w:tr>
      <w:tr>
        <w:tc>
          <w:tcPr>
            <w:tcW w:type="dxa" w:w="890"/>
          </w:tcPr>
          <w:p>
            <w:r>
              <w:rPr/>
              <w:t>6</w:t>
            </w:r>
          </w:p>
        </w:tc>
        <w:tc>
          <w:tcPr>
            <w:tcW w:type="dxa" w:w="3178"/>
          </w:tcPr>
          <w:p>
            <w:r>
              <w:rPr/>
              <w:t>其他要求</w:t>
            </w:r>
          </w:p>
        </w:tc>
        <w:tc>
          <w:tcPr>
            <w:tcW w:type="dxa" w:w="4238"/>
          </w:tcPr>
          <w:p>
            <w:r>
              <w:rPr/>
              <w:t>无磋商文件或法规明确规定的其他无效情形</w:t>
            </w:r>
          </w:p>
        </w:tc>
      </w:tr>
      <w:tr>
        <w:tc>
          <w:tcPr>
            <w:tcW w:type="dxa" w:w="890"/>
          </w:tcPr>
          <w:p>
            <w:r>
              <w:rPr/>
              <w:t>7</w:t>
            </w:r>
          </w:p>
        </w:tc>
        <w:tc>
          <w:tcPr>
            <w:tcW w:type="dxa" w:w="3178"/>
          </w:tcPr>
          <w:p>
            <w:r>
              <w:rPr/>
              <w:t>响应文件</w:t>
            </w:r>
          </w:p>
        </w:tc>
        <w:tc>
          <w:tcPr>
            <w:tcW w:type="dxa" w:w="4238"/>
          </w:tcPr>
          <w:p>
            <w:r>
              <w:rPr/>
              <w:t>响应文件主要资料齐全，无内容不全或关键字迹模糊、无法辨认</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采购包1(中山市村镇低效工业园改造升级展示中心项目):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响应文件整体响应情况 (5.0分)</w:t>
            </w:r>
            <w:r>
              <w:rPr/>
              <w:t>，（等次分值选择：</w:t>
            </w:r>
            <w:r>
              <w:rPr/>
              <w:t>0.0;</w:t>
            </w:r>
            <w:r>
              <w:rPr/>
              <w:t>1.0;</w:t>
            </w:r>
            <w:r>
              <w:rPr/>
              <w:t>3.0;</w:t>
            </w:r>
            <w:r>
              <w:rPr/>
              <w:t>5.0;</w:t>
            </w:r>
            <w:r>
              <w:rPr/>
              <w:t>）</w:t>
            </w:r>
          </w:p>
        </w:tc>
        <w:tc>
          <w:tcPr>
            <w:tcW w:type="dxa" w:w="5076"/>
          </w:tcPr>
          <w:p>
            <w:pPr>
              <w:jc w:val="left"/>
            </w:pPr>
            <w:r>
              <w:rPr/>
              <w:t>磋商小组根据各供应商的响应文件整体响应情况进行对比评审： 1、响应文件完整，结构合理，内容具有逻辑性，响应内容全面、具体、准确，得5分； 2、响应文件完整，结构合理，内容具有逻辑性，响应内容较全面、具体，得3分； 3、响应文件有缺陷，结构不合理，内容顺序混乱，响应内容不全面、具体，得1分； 4、响应文件有严重缺陷，内容顺序混乱，响应内容不全面、表述模糊，得0分。</w:t>
            </w:r>
          </w:p>
        </w:tc>
      </w:tr>
      <w:tr>
        <w:tc>
          <w:tcPr>
            <w:tcW w:type="dxa" w:w="922"/>
            <w:gridSpan w:val="2"/>
            <w:vMerge/>
          </w:tcPr>
          <w:p/>
        </w:tc>
        <w:tc>
          <w:tcPr>
            <w:tcW w:type="dxa" w:w="2307"/>
          </w:tcPr>
          <w:p>
            <w:pPr>
              <w:jc w:val="left"/>
            </w:pPr>
            <w:r>
              <w:rPr/>
              <w:t>项目总体规划和设计方案 (20.0分)</w:t>
            </w:r>
            <w:r>
              <w:rPr/>
              <w:t>，（等次分值选择：</w:t>
            </w:r>
            <w:r>
              <w:rPr/>
              <w:t>0.0;</w:t>
            </w:r>
            <w:r>
              <w:rPr/>
              <w:t>5.0;</w:t>
            </w:r>
            <w:r>
              <w:rPr/>
              <w:t>10.0;</w:t>
            </w:r>
            <w:r>
              <w:rPr/>
              <w:t>20.0;</w:t>
            </w:r>
            <w:r>
              <w:rPr/>
              <w:t>）</w:t>
            </w:r>
          </w:p>
        </w:tc>
        <w:tc>
          <w:tcPr>
            <w:tcW w:type="dxa" w:w="5076"/>
          </w:tcPr>
          <w:p>
            <w:pPr>
              <w:jc w:val="left"/>
            </w:pPr>
            <w:r>
              <w:rPr/>
              <w:t>磋商小组根据各供应商的项目总体规划和设计方案（包括但不限于服务方案的总体原则和思路、设计方案等）进行综合评审：  1、对本项目的认识到位，规划和设计方案符合要求，各个环节措施考虑到位，得20分；  2、对本项目的认识到位，规划和设计方案基本符合要求，各个环节措施基本考虑到位，得10分； 3、对本项目的认识不到位，规划和设计方案不符合要求，各个环节措施考虑不到位，得5分； 4、未提供得0分。</w:t>
            </w:r>
          </w:p>
        </w:tc>
      </w:tr>
      <w:tr>
        <w:tc>
          <w:tcPr>
            <w:tcW w:type="dxa" w:w="922"/>
            <w:gridSpan w:val="2"/>
            <w:vMerge/>
          </w:tcPr>
          <w:p/>
        </w:tc>
        <w:tc>
          <w:tcPr>
            <w:tcW w:type="dxa" w:w="2307"/>
          </w:tcPr>
          <w:p>
            <w:pPr>
              <w:jc w:val="left"/>
            </w:pPr>
            <w:r>
              <w:rPr/>
              <w:t>项目的理解及内容大纲 (20.0分)</w:t>
            </w:r>
            <w:r>
              <w:rPr/>
              <w:t>，（等次分值选择：</w:t>
            </w:r>
            <w:r>
              <w:rPr/>
              <w:t>0.0;</w:t>
            </w:r>
            <w:r>
              <w:rPr/>
              <w:t>5.0;</w:t>
            </w:r>
            <w:r>
              <w:rPr/>
              <w:t>10.0;</w:t>
            </w:r>
            <w:r>
              <w:rPr/>
              <w:t>20.0;</w:t>
            </w:r>
            <w:r>
              <w:rPr/>
              <w:t>）</w:t>
            </w:r>
          </w:p>
        </w:tc>
        <w:tc>
          <w:tcPr>
            <w:tcW w:type="dxa" w:w="5076"/>
          </w:tcPr>
          <w:p>
            <w:pPr>
              <w:jc w:val="left"/>
            </w:pPr>
            <w:r>
              <w:rPr/>
              <w:t>磋商小组根据各供应商对本项目的理解程度以及梳理本项目的展陈内容和大纲进行综合评审： 1、内容大纲准备充分，理解符合本项目需求，得20分；  2、对重点难点分析基本准确，处理措施合理、有针对性，对项目实施有一定指导意义，得10分； 3、对重点难点分析不准确，处理措施不合理、针对性不强，对项目实施指导意义不强，得5分；  4、未提供得0分。</w:t>
            </w:r>
          </w:p>
        </w:tc>
      </w:tr>
      <w:tr>
        <w:tc>
          <w:tcPr>
            <w:tcW w:type="dxa" w:w="922"/>
            <w:gridSpan w:val="2"/>
            <w:vMerge/>
          </w:tcPr>
          <w:p/>
        </w:tc>
        <w:tc>
          <w:tcPr>
            <w:tcW w:type="dxa" w:w="2307"/>
          </w:tcPr>
          <w:p>
            <w:pPr>
              <w:jc w:val="left"/>
            </w:pPr>
            <w:r>
              <w:rPr/>
              <w:t>材料和设备投入计划、实施方案 (5.0分)</w:t>
            </w:r>
            <w:r>
              <w:rPr/>
              <w:t>，（等次分值选择：</w:t>
            </w:r>
            <w:r>
              <w:rPr/>
              <w:t>0.0;</w:t>
            </w:r>
            <w:r>
              <w:rPr/>
              <w:t>1.0;</w:t>
            </w:r>
            <w:r>
              <w:rPr/>
              <w:t>3.0;</w:t>
            </w:r>
            <w:r>
              <w:rPr/>
              <w:t>5.0;</w:t>
            </w:r>
            <w:r>
              <w:rPr/>
              <w:t>）</w:t>
            </w:r>
          </w:p>
        </w:tc>
        <w:tc>
          <w:tcPr>
            <w:tcW w:type="dxa" w:w="5076"/>
          </w:tcPr>
          <w:p>
            <w:pPr>
              <w:jc w:val="left"/>
            </w:pPr>
            <w:r>
              <w:rPr/>
              <w:t>磋商小组根据各供应商的材料和设备投入计划、实施方案进行评审： 1、材料和设备投入计划、实施方案优秀，得5分； 2、材料和设备投入计划、实施方案良好，得3分； 3、材料和设备投入计划、实施方案一般，得1分； 4、没有材料和设备投入计划，没有实施方案，得0分。</w:t>
            </w:r>
          </w:p>
        </w:tc>
      </w:tr>
      <w:tr>
        <w:tc>
          <w:tcPr>
            <w:tcW w:type="dxa" w:w="922"/>
            <w:gridSpan w:val="2"/>
            <w:vMerge/>
          </w:tcPr>
          <w:p/>
        </w:tc>
        <w:tc>
          <w:tcPr>
            <w:tcW w:type="dxa" w:w="2307"/>
          </w:tcPr>
          <w:p>
            <w:pPr>
              <w:jc w:val="left"/>
            </w:pPr>
            <w:r>
              <w:rPr/>
              <w:t>项目实施进度计划及工期保证措施 (5.0分)</w:t>
            </w:r>
            <w:r>
              <w:rPr/>
              <w:t>，（等次分值选择：</w:t>
            </w:r>
            <w:r>
              <w:rPr/>
              <w:t>0.0;</w:t>
            </w:r>
            <w:r>
              <w:rPr/>
              <w:t>1.0;</w:t>
            </w:r>
            <w:r>
              <w:rPr/>
              <w:t>3.0;</w:t>
            </w:r>
            <w:r>
              <w:rPr/>
              <w:t>5.0;</w:t>
            </w:r>
            <w:r>
              <w:rPr/>
              <w:t>）</w:t>
            </w:r>
          </w:p>
        </w:tc>
        <w:tc>
          <w:tcPr>
            <w:tcW w:type="dxa" w:w="5076"/>
          </w:tcPr>
          <w:p>
            <w:pPr>
              <w:jc w:val="left"/>
            </w:pPr>
            <w:r>
              <w:rPr/>
              <w:t>磋商小组根据各供应商提供的项目实施进度计划及工期保证措施进行评审：  1、针对本项目制定的工作安排合理、科学，工作思路清晰，有健全的保证措施控制项目进度的，得5分； 2、针对本项目制定的工作安排较合理、科学，工作思路清晰，有较好的保证措施控制项目进度的，得3分； 3、针对本项目制定的工作安排不够合理，工作思路不够清晰的，得1分； 4、未提供得0分。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磋商小组根据各供应商的售后服务方案进行评审，包括质保期内以及满质保期后的售后服务方案： 1、质保期内及满质保期后的售后服务方案完善具体清晰，得5分； 2、质保期内及满质保期后的维保服务方案一般具体可行，得3分； 3、质保期内及满质保期后的维保服务方案不可行，得1分； 4、未提供得0分。</w:t>
            </w:r>
          </w:p>
        </w:tc>
      </w:tr>
      <w:tr>
        <w:tc>
          <w:tcPr>
            <w:tcW w:type="dxa" w:w="922"/>
            <w:gridSpan w:val="2"/>
            <w:vMerge w:val="restart"/>
          </w:tcPr>
          <w:p>
            <w:pPr>
              <w:jc w:val="center"/>
            </w:pPr>
            <w:r>
              <w:rPr/>
              <w:t>商务部分</w:t>
            </w:r>
          </w:p>
        </w:tc>
        <w:tc>
          <w:tcPr>
            <w:tcW w:type="dxa" w:w="2307"/>
          </w:tcPr>
          <w:p>
            <w:pPr>
              <w:jc w:val="left"/>
            </w:pPr>
            <w:r>
              <w:rPr/>
              <w:t>同类项目经验 (10.0分)</w:t>
            </w:r>
            <w:r>
              <w:rPr/>
              <w:t>，（等次分值选择：</w:t>
            </w:r>
            <w:r>
              <w:rPr/>
              <w:t>0.0;</w:t>
            </w:r>
            <w:r>
              <w:rPr/>
              <w:t>5.0;</w:t>
            </w:r>
            <w:r>
              <w:rPr/>
              <w:t>10.0;</w:t>
            </w:r>
            <w:r>
              <w:rPr/>
              <w:t>）</w:t>
            </w:r>
          </w:p>
        </w:tc>
        <w:tc>
          <w:tcPr>
            <w:tcW w:type="dxa" w:w="5076"/>
          </w:tcPr>
          <w:p>
            <w:pPr>
              <w:jc w:val="left"/>
            </w:pPr>
            <w:r>
              <w:rPr/>
              <w:t>磋商小组根据各供应商提供2020年1月1日至今承接的同类项目业绩进行评分，每提供1个符合要求的业绩得5分，本项最高10分。 未提供的或提供材料不完整的不予计分。  【注：以合同签订时间为准，须同时提供有效的证明文件：合同可只提供首页、含金额页、盖章页（须含签订合同双方的单位名称、项目名称、服务内容、签订合同双方的落款盖章、合同金额等，合同复印件须加盖供应商公章。】</w:t>
            </w:r>
          </w:p>
        </w:tc>
      </w:tr>
      <w:tr>
        <w:tc>
          <w:tcPr>
            <w:tcW w:type="dxa" w:w="922"/>
            <w:gridSpan w:val="2"/>
            <w:vMerge/>
          </w:tcPr>
          <w:p/>
        </w:tc>
        <w:tc>
          <w:tcPr>
            <w:tcW w:type="dxa" w:w="2307"/>
          </w:tcPr>
          <w:p>
            <w:pPr>
              <w:jc w:val="left"/>
            </w:pPr>
            <w:r>
              <w:rPr/>
              <w:t>项目负责人实力 (10.0分)</w:t>
            </w:r>
            <w:r>
              <w:rPr/>
              <w:t>，（等次分值选择：</w:t>
            </w:r>
            <w:r>
              <w:rPr/>
              <w:t>0.0;</w:t>
            </w:r>
            <w:r>
              <w:rPr/>
              <w:t>10.0;</w:t>
            </w:r>
            <w:r>
              <w:rPr/>
              <w:t>）</w:t>
            </w:r>
          </w:p>
        </w:tc>
        <w:tc>
          <w:tcPr>
            <w:tcW w:type="dxa" w:w="5076"/>
          </w:tcPr>
          <w:p>
            <w:pPr>
              <w:jc w:val="left"/>
            </w:pPr>
            <w:r>
              <w:rPr/>
              <w:t>磋商小组根据供应商拟投入本项目的项目负责人情况进行评分： 项目负责人具有建筑工程专业二级或以上注册建造师资格的得10分，该项最高得10分，不提供不得分。【注：提供人员相关证书复印件等证明材料和提交响应文件截止时间前6个月任意1个月的社保证明，并加盖供应商公章。如果供应商成立时间或该人员入职不足1个月，则提供人员入职证明。代缴个税税单或参加社会保险的《投保单》或《社会保险参保人员证明》等证明均可，所有证明材料需加盖供应商公章。】</w:t>
            </w:r>
          </w:p>
        </w:tc>
      </w:tr>
      <w:tr>
        <w:tc>
          <w:tcPr>
            <w:tcW w:type="dxa" w:w="922"/>
            <w:gridSpan w:val="2"/>
            <w:vMerge/>
          </w:tcPr>
          <w:p/>
        </w:tc>
        <w:tc>
          <w:tcPr>
            <w:tcW w:type="dxa" w:w="2307"/>
          </w:tcPr>
          <w:p>
            <w:pPr>
              <w:jc w:val="left"/>
            </w:pPr>
            <w:r>
              <w:rPr/>
              <w:t>项目团队人员实力 (10.0分)</w:t>
            </w:r>
          </w:p>
        </w:tc>
        <w:tc>
          <w:tcPr>
            <w:tcW w:type="dxa" w:w="5076"/>
          </w:tcPr>
          <w:p>
            <w:pPr>
              <w:jc w:val="left"/>
            </w:pPr>
            <w:r>
              <w:rPr/>
              <w:t>根据供应商拟投入本项目的执行团队人员情况进行评分： 本项目执行团队中具有设计类本科及以上学历或中级及以上职称的人员每一名得2分，具有设计类专科学历的人员每一名得1分，不重复得分，按提供的人员最高学历或最高职称进行评分，本项最高得10分。未提供的或提供材料不完整的不得分。 【注：提供人员相关证书复印件等证明材料和提交响应文件截止时间前6个月任意1个月的社保证明，并加盖公章。如果供应商成立时间或该人员入职不足1个月，则提供人员入职证明。代缴个税税单或参加社会保险的《投保单》或《社会保险参保人员证明》等证明均可，所有证明材料需加盖供应商公章。若供应商未能提供该人员社保的，可以在响应文件中提供相关承诺书原件并加盖公章，格式自拟，承诺书内容包括但不限于以下内容：“若我单位成交，合同签订时保证按响应文件中所配备投入本项目的人员全部到位并提供所有人员以我单位缴纳的社保证明，否则视为我单位放弃成交资格”，视为满足评审要求。】</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48"/>
        </w:rPr>
        <w:t>广东省政府采购</w:t>
      </w:r>
    </w:p>
    <w:p>
      <w:pPr>
        <w:jc w:val="both"/>
      </w:pPr>
    </w:p>
    <w:p>
      <w:pPr>
        <w:jc w:val="center"/>
      </w:pPr>
      <w:r>
        <w:rPr/>
        <w:t xml:space="preserve"> </w:t>
      </w:r>
    </w:p>
    <w:p>
      <w:pPr>
        <w:jc w:val="center"/>
      </w:pPr>
      <w:r>
        <w:rPr>
          <w:b/>
          <w:sz w:val="48"/>
        </w:rPr>
        <w:t>合　同　书</w:t>
      </w:r>
    </w:p>
    <w:p>
      <w:pPr>
        <w:jc w:val="center"/>
      </w:pPr>
      <w:r>
        <w:br/>
      </w:r>
      <w:r>
        <w:br/>
      </w:r>
      <w:r>
        <w:br/>
      </w:r>
      <w:r>
        <w:br/>
      </w:r>
      <w:r>
        <w:br/>
      </w:r>
      <w:r>
        <w:br/>
      </w:r>
      <w:r>
        <w:br/>
      </w:r>
      <w:r>
        <w:br/>
      </w:r>
    </w:p>
    <w:p>
      <w:pPr>
        <w:jc w:val="center"/>
      </w:pPr>
      <w:r>
        <w:rPr>
          <w:sz w:val="28"/>
        </w:rPr>
        <w:t>采购计划编号：</w:t>
      </w:r>
      <w:r>
        <w:rPr>
          <w:sz w:val="28"/>
          <w:u w:val="single"/>
        </w:rPr>
        <w:t>442000-2023-05253</w:t>
      </w:r>
    </w:p>
    <w:p>
      <w:pPr>
        <w:jc w:val="center"/>
      </w:pPr>
      <w:r>
        <w:rPr/>
        <w:t xml:space="preserve"> </w:t>
      </w:r>
    </w:p>
    <w:p>
      <w:pPr>
        <w:jc w:val="center"/>
      </w:pPr>
      <w:r>
        <w:rPr>
          <w:sz w:val="28"/>
        </w:rPr>
        <w:t xml:space="preserve">   项目编号：</w:t>
      </w:r>
      <w:r>
        <w:rPr>
          <w:sz w:val="28"/>
          <w:u w:val="single"/>
        </w:rPr>
        <w:t>ZSCC-023-JZG-0078</w:t>
      </w:r>
    </w:p>
    <w:p>
      <w:pPr>
        <w:jc w:val="center"/>
      </w:pPr>
      <w:r>
        <w:rPr/>
        <w:t xml:space="preserve"> </w:t>
      </w:r>
    </w:p>
    <w:p>
      <w:pPr>
        <w:jc w:val="center"/>
      </w:pPr>
    </w:p>
    <w:p>
      <w:pPr>
        <w:jc w:val="center"/>
      </w:pPr>
      <w:r>
        <w:rPr>
          <w:sz w:val="28"/>
        </w:rPr>
        <w:t xml:space="preserve">                    项目名称：</w:t>
      </w:r>
      <w:r>
        <w:rPr>
          <w:sz w:val="28"/>
          <w:u w:val="single"/>
        </w:rPr>
        <w:t>中山市村镇低效工业园改造升级展示中心项目</w:t>
      </w:r>
    </w:p>
    <w:p>
      <w:pPr>
        <w:jc w:val="center"/>
      </w:pPr>
      <w:r>
        <w:rPr/>
        <w:t xml:space="preserve"> </w:t>
      </w:r>
    </w:p>
    <w:p>
      <w:pPr>
        <w:jc w:val="both"/>
      </w:pPr>
    </w:p>
    <w:p>
      <w:pPr>
        <w:jc w:val="both"/>
      </w:pPr>
    </w:p>
    <w:p>
      <w:pPr>
        <w:jc w:val="both"/>
      </w:pPr>
    </w:p>
    <w:p>
      <w:pPr>
        <w:jc w:val="both"/>
      </w:pPr>
    </w:p>
    <w:p>
      <w:pPr>
        <w:jc w:val="center"/>
      </w:pPr>
      <w:r>
        <w:rPr>
          <w:b/>
          <w:sz w:val="24"/>
        </w:rPr>
        <w:t>注：本合同范本仅供参考，成交人与采购人可根据招标文件、《采购需求书》及成交人的响应文件等相关文件，以及双方协商约定的其它事项进行修订。</w:t>
      </w:r>
    </w:p>
    <w:p>
      <w:pPr>
        <w:jc w:val="both"/>
      </w:pPr>
    </w:p>
    <w:p>
      <w:pPr>
        <w:jc w:val="both"/>
      </w:pPr>
    </w:p>
    <w:p>
      <w:pPr>
        <w:jc w:val="both"/>
      </w:pPr>
    </w:p>
    <w:p>
      <w:pPr>
        <w:jc w:val="both"/>
      </w:pPr>
    </w:p>
    <w:p>
      <w:pPr>
        <w:jc w:val="both"/>
      </w:pPr>
    </w:p>
    <w:p>
      <w:pPr>
        <w:jc w:val="both"/>
      </w:pPr>
      <w:r>
        <w:rPr>
          <w:sz w:val="21"/>
        </w:rPr>
        <w:t>甲方：</w:t>
      </w:r>
    </w:p>
    <w:p>
      <w:pPr>
        <w:jc w:val="both"/>
      </w:pPr>
      <w:r>
        <w:rPr>
          <w:sz w:val="21"/>
        </w:rPr>
        <w:t>乙方：</w:t>
      </w:r>
    </w:p>
    <w:p>
      <w:pPr>
        <w:jc w:val="both"/>
      </w:pPr>
      <w:r>
        <w:rPr>
          <w:sz w:val="21"/>
        </w:rPr>
        <w:t>根据</w:t>
      </w:r>
      <w:r>
        <w:rPr>
          <w:sz w:val="21"/>
          <w:u w:val="single"/>
        </w:rPr>
        <w:t>中山市</w:t>
      </w:r>
      <w:r>
        <w:rPr>
          <w:sz w:val="21"/>
          <w:u w:val="single"/>
        </w:rPr>
        <w:t>村镇低效工业园改造升级展示中心项目</w:t>
      </w:r>
      <w:r>
        <w:rPr>
          <w:sz w:val="21"/>
        </w:rPr>
        <w:t>的采购结果，按照《中华人民共和国采购法》《中华人民共和国民法典（合同编）》以及其它法律规定，经过双方友好协商，就如下协议条款达成一致，以便双方共同遵守。</w:t>
      </w:r>
    </w:p>
    <w:p>
      <w:pPr>
        <w:jc w:val="both"/>
      </w:pPr>
      <w:r>
        <w:rPr>
          <w:b/>
          <w:sz w:val="21"/>
        </w:rPr>
        <w:t>一、甲方委托乙方承担</w:t>
      </w:r>
      <w:r>
        <w:rPr>
          <w:b/>
          <w:sz w:val="21"/>
        </w:rPr>
        <w:t>“</w:t>
      </w:r>
      <w:r>
        <w:rPr>
          <w:b/>
          <w:sz w:val="21"/>
          <w:u w:val="single"/>
        </w:rPr>
        <w:t>中山市低效工业园改造展示中心项目</w:t>
      </w:r>
      <w:r>
        <w:rPr>
          <w:b/>
          <w:sz w:val="21"/>
        </w:rPr>
        <w:t>”</w:t>
      </w:r>
      <w:r>
        <w:rPr>
          <w:b/>
          <w:sz w:val="21"/>
        </w:rPr>
        <w:t>服务</w:t>
      </w:r>
      <w:r>
        <w:rPr>
          <w:b/>
          <w:sz w:val="21"/>
        </w:rPr>
        <w:t>范围包括以下约定内容：</w:t>
      </w:r>
    </w:p>
    <w:p>
      <w:pPr>
        <w:jc w:val="both"/>
      </w:pPr>
      <w:r>
        <w:rPr>
          <w:sz w:val="21"/>
        </w:rPr>
        <w:t>项目编号：</w:t>
      </w:r>
      <w:r>
        <w:rPr>
          <w:sz w:val="21"/>
          <w:u w:val="single"/>
        </w:rPr>
        <w:t>ZSCC-023-JZG-0078</w:t>
      </w:r>
    </w:p>
    <w:p>
      <w:pPr>
        <w:jc w:val="both"/>
      </w:pPr>
      <w:r>
        <w:rPr>
          <w:sz w:val="21"/>
        </w:rPr>
        <w:t>项目名称：</w:t>
      </w:r>
      <w:r>
        <w:rPr>
          <w:sz w:val="21"/>
          <w:u w:val="single"/>
        </w:rPr>
        <w:t>中山市低效工业园改造展示中心项目</w:t>
      </w:r>
    </w:p>
    <w:p>
      <w:pPr>
        <w:jc w:val="both"/>
      </w:pPr>
      <w:r>
        <w:rPr>
          <w:sz w:val="21"/>
        </w:rPr>
        <w:t>项目内容描述及要求：</w:t>
      </w:r>
    </w:p>
    <w:p>
      <w:pPr>
        <w:jc w:val="both"/>
      </w:pPr>
      <w:r>
        <w:rPr>
          <w:sz w:val="21"/>
        </w:rPr>
        <w:t>1</w:t>
      </w:r>
      <w:r>
        <w:rPr>
          <w:sz w:val="21"/>
        </w:rPr>
        <w:t>、本项目计划在</w:t>
      </w:r>
      <w:r>
        <w:rPr>
          <w:sz w:val="21"/>
        </w:rPr>
        <w:t>市博览中心建设工改展示中心，以图文、多媒体交互等方式，向参观者展示现阶段工改成果以及未来规划。</w:t>
      </w:r>
      <w:r>
        <w:rPr>
          <w:sz w:val="21"/>
        </w:rPr>
        <w:t>项目内容涉及展示中心的</w:t>
      </w:r>
      <w:r>
        <w:rPr>
          <w:sz w:val="21"/>
        </w:rPr>
        <w:t>内容大纲方案编写</w:t>
      </w:r>
      <w:r>
        <w:rPr>
          <w:sz w:val="21"/>
        </w:rPr>
        <w:t>、布展方案设计、制作、设备采购、安装、调试。</w:t>
      </w:r>
      <w:r>
        <w:rPr>
          <w:sz w:val="21"/>
        </w:rPr>
        <w:t>所有布展定制实施、</w:t>
      </w:r>
      <w:r>
        <w:rPr>
          <w:sz w:val="21"/>
        </w:rPr>
        <w:t>配套设备采购</w:t>
      </w:r>
      <w:r>
        <w:rPr>
          <w:sz w:val="21"/>
        </w:rPr>
        <w:t>等必须严格按照采购人要求完成，在项目实施过程中，必须服从</w:t>
      </w:r>
      <w:r>
        <w:rPr>
          <w:sz w:val="21"/>
        </w:rPr>
        <w:t>甲方</w:t>
      </w:r>
      <w:r>
        <w:rPr>
          <w:sz w:val="21"/>
        </w:rPr>
        <w:t>及相关部门的监督、管理和指挥。展示时间为</w:t>
      </w:r>
      <w:r>
        <w:rPr>
          <w:sz w:val="21"/>
        </w:rPr>
        <w:t>长期</w:t>
      </w:r>
      <w:r>
        <w:rPr>
          <w:sz w:val="21"/>
        </w:rPr>
        <w:t>，具体以</w:t>
      </w:r>
      <w:r>
        <w:rPr>
          <w:sz w:val="21"/>
        </w:rPr>
        <w:t>甲方</w:t>
      </w:r>
      <w:r>
        <w:rPr>
          <w:sz w:val="21"/>
        </w:rPr>
        <w:t>实际通知为准。</w:t>
      </w:r>
      <w:r>
        <w:rPr>
          <w:sz w:val="21"/>
        </w:rPr>
        <w:t>本项目为交钥匙项目，</w:t>
      </w:r>
      <w:r>
        <w:rPr>
          <w:sz w:val="21"/>
        </w:rPr>
        <w:t>乙方</w:t>
      </w:r>
      <w:r>
        <w:rPr>
          <w:sz w:val="21"/>
        </w:rPr>
        <w:t>承包及负责</w:t>
      </w:r>
      <w:r>
        <w:rPr>
          <w:sz w:val="21"/>
        </w:rPr>
        <w:t>本项目的</w:t>
      </w:r>
      <w:r>
        <w:rPr>
          <w:sz w:val="21"/>
        </w:rPr>
        <w:t>磋商文件</w:t>
      </w:r>
      <w:r>
        <w:rPr>
          <w:sz w:val="21"/>
        </w:rPr>
        <w:t>对</w:t>
      </w:r>
      <w:r>
        <w:rPr>
          <w:sz w:val="21"/>
        </w:rPr>
        <w:t>乙方</w:t>
      </w:r>
      <w:r>
        <w:rPr>
          <w:sz w:val="21"/>
        </w:rPr>
        <w:t>要求的一切事宜及责任。</w:t>
      </w:r>
    </w:p>
    <w:p>
      <w:pPr>
        <w:jc w:val="left"/>
      </w:pPr>
      <w:r>
        <w:rPr>
          <w:b/>
          <w:color w:val="000000"/>
          <w:sz w:val="21"/>
        </w:rPr>
        <w:t>二、</w:t>
      </w:r>
      <w:r>
        <w:rPr>
          <w:b/>
          <w:color w:val="000000"/>
          <w:sz w:val="21"/>
        </w:rPr>
        <w:t>材料说明及施工</w:t>
      </w:r>
      <w:r>
        <w:rPr>
          <w:b/>
          <w:color w:val="000000"/>
          <w:sz w:val="21"/>
        </w:rPr>
        <w:t>要求</w:t>
      </w:r>
      <w:r>
        <w:rPr>
          <w:b/>
          <w:color w:val="000000"/>
          <w:sz w:val="21"/>
        </w:rPr>
        <w:t>：</w:t>
      </w:r>
    </w:p>
    <w:p>
      <w:pPr>
        <w:jc w:val="left"/>
      </w:pPr>
      <w:r>
        <w:rPr>
          <w:sz w:val="21"/>
        </w:rPr>
        <w:t>1</w:t>
      </w:r>
      <w:r>
        <w:rPr>
          <w:sz w:val="21"/>
        </w:rPr>
        <w:t>、</w:t>
      </w:r>
      <w:r>
        <w:rPr>
          <w:sz w:val="21"/>
        </w:rPr>
        <w:t>本项目中所用材料</w:t>
      </w:r>
      <w:r>
        <w:rPr>
          <w:sz w:val="21"/>
        </w:rPr>
        <w:t>设备</w:t>
      </w:r>
      <w:r>
        <w:rPr>
          <w:sz w:val="21"/>
        </w:rPr>
        <w:t>应符合国家有关标准的规定，项目质量必须满足国家相关规范。所有设备、材料采购前必须征得</w:t>
      </w:r>
      <w:r>
        <w:rPr>
          <w:sz w:val="21"/>
        </w:rPr>
        <w:t>甲方</w:t>
      </w:r>
      <w:r>
        <w:rPr>
          <w:sz w:val="21"/>
        </w:rPr>
        <w:t>的书面同意</w:t>
      </w:r>
      <w:r>
        <w:rPr>
          <w:sz w:val="21"/>
        </w:rPr>
        <w:t>。</w:t>
      </w:r>
      <w:r>
        <w:rPr>
          <w:sz w:val="21"/>
        </w:rPr>
        <w:t xml:space="preserve"> </w:t>
      </w:r>
    </w:p>
    <w:p>
      <w:pPr>
        <w:jc w:val="both"/>
      </w:pPr>
      <w:r>
        <w:rPr>
          <w:sz w:val="21"/>
        </w:rPr>
        <w:t>2</w:t>
      </w:r>
      <w:r>
        <w:rPr>
          <w:sz w:val="21"/>
        </w:rPr>
        <w:t>、</w:t>
      </w:r>
      <w:r>
        <w:rPr>
          <w:sz w:val="21"/>
        </w:rPr>
        <w:t>严格按照国家和地方现行施工验收规范、标准进行施工。</w:t>
      </w:r>
    </w:p>
    <w:p>
      <w:pPr>
        <w:jc w:val="both"/>
      </w:pPr>
      <w:r>
        <w:rPr>
          <w:sz w:val="21"/>
        </w:rPr>
        <w:t>3</w:t>
      </w:r>
      <w:r>
        <w:rPr>
          <w:sz w:val="21"/>
        </w:rPr>
        <w:t>、</w:t>
      </w:r>
      <w:r>
        <w:rPr>
          <w:sz w:val="21"/>
        </w:rPr>
        <w:t>严格按照</w:t>
      </w:r>
      <w:r>
        <w:rPr>
          <w:sz w:val="21"/>
        </w:rPr>
        <w:t>甲方</w:t>
      </w:r>
      <w:r>
        <w:rPr>
          <w:sz w:val="21"/>
        </w:rPr>
        <w:t>提供的</w:t>
      </w:r>
      <w:r>
        <w:rPr>
          <w:sz w:val="21"/>
        </w:rPr>
        <w:t>项目需求清单</w:t>
      </w:r>
      <w:r>
        <w:rPr>
          <w:sz w:val="21"/>
        </w:rPr>
        <w:t>要求进行施工。</w:t>
      </w:r>
    </w:p>
    <w:p>
      <w:pPr>
        <w:jc w:val="both"/>
      </w:pPr>
      <w:r>
        <w:rPr>
          <w:sz w:val="21"/>
        </w:rPr>
        <w:t>4、</w:t>
      </w:r>
      <w:r>
        <w:rPr>
          <w:sz w:val="21"/>
        </w:rPr>
        <w:t>乙方</w:t>
      </w:r>
      <w:r>
        <w:rPr>
          <w:sz w:val="21"/>
        </w:rPr>
        <w:t>每天清理施工现场周边垃圾，减少灰尘及噪音，不得影响周围环境。</w:t>
      </w:r>
    </w:p>
    <w:p>
      <w:pPr>
        <w:jc w:val="both"/>
      </w:pPr>
      <w:r>
        <w:rPr>
          <w:sz w:val="21"/>
        </w:rPr>
        <w:t>5、</w:t>
      </w:r>
      <w:r>
        <w:rPr>
          <w:sz w:val="21"/>
        </w:rPr>
        <w:t>甲方</w:t>
      </w:r>
      <w:r>
        <w:rPr>
          <w:sz w:val="21"/>
        </w:rPr>
        <w:t>不提供施工所需的食宿、办公场地，均由</w:t>
      </w:r>
      <w:r>
        <w:rPr>
          <w:sz w:val="21"/>
        </w:rPr>
        <w:t>乙方</w:t>
      </w:r>
      <w:r>
        <w:rPr>
          <w:sz w:val="21"/>
        </w:rPr>
        <w:t>在施工现场外自行解决，其费用由</w:t>
      </w:r>
      <w:r>
        <w:rPr>
          <w:sz w:val="21"/>
        </w:rPr>
        <w:t>乙方</w:t>
      </w:r>
      <w:r>
        <w:rPr>
          <w:sz w:val="21"/>
        </w:rPr>
        <w:t>自理。</w:t>
      </w:r>
    </w:p>
    <w:p>
      <w:pPr>
        <w:jc w:val="both"/>
      </w:pPr>
      <w:r>
        <w:rPr>
          <w:sz w:val="21"/>
        </w:rPr>
        <w:t>6、</w:t>
      </w:r>
      <w:r>
        <w:rPr>
          <w:sz w:val="21"/>
        </w:rPr>
        <w:t>甲方</w:t>
      </w:r>
      <w:r>
        <w:rPr>
          <w:sz w:val="21"/>
        </w:rPr>
        <w:t>不提供临时及材料加工场，临时设施及材料加工由</w:t>
      </w:r>
      <w:r>
        <w:rPr>
          <w:sz w:val="21"/>
        </w:rPr>
        <w:t>乙方</w:t>
      </w:r>
      <w:r>
        <w:rPr>
          <w:sz w:val="21"/>
        </w:rPr>
        <w:t>在施工现场以外解决，其费用由</w:t>
      </w:r>
      <w:r>
        <w:rPr>
          <w:sz w:val="21"/>
        </w:rPr>
        <w:t>乙方</w:t>
      </w:r>
      <w:r>
        <w:rPr>
          <w:sz w:val="21"/>
        </w:rPr>
        <w:t>自理。</w:t>
      </w:r>
    </w:p>
    <w:p>
      <w:pPr>
        <w:jc w:val="both"/>
      </w:pPr>
      <w:r>
        <w:rPr>
          <w:sz w:val="21"/>
        </w:rPr>
        <w:t>7、施工时间安排：</w:t>
      </w:r>
      <w:r>
        <w:rPr>
          <w:sz w:val="21"/>
        </w:rPr>
        <w:t>上午：</w:t>
      </w:r>
      <w:r>
        <w:rPr>
          <w:sz w:val="21"/>
        </w:rPr>
        <w:t>7：00——12:00，下午 14:30——20:00，如</w:t>
      </w:r>
      <w:r>
        <w:rPr>
          <w:sz w:val="21"/>
        </w:rPr>
        <w:t>遇到特殊情况，以</w:t>
      </w:r>
      <w:r>
        <w:rPr>
          <w:sz w:val="21"/>
        </w:rPr>
        <w:t>甲方</w:t>
      </w:r>
      <w:r>
        <w:rPr>
          <w:sz w:val="21"/>
        </w:rPr>
        <w:t>书面或口头通知为准。</w:t>
      </w:r>
    </w:p>
    <w:p>
      <w:pPr>
        <w:jc w:val="both"/>
      </w:pPr>
      <w:r>
        <w:rPr>
          <w:sz w:val="21"/>
        </w:rPr>
        <w:t>8、</w:t>
      </w:r>
      <w:r>
        <w:rPr>
          <w:sz w:val="21"/>
        </w:rPr>
        <w:t>乙方</w:t>
      </w:r>
      <w:r>
        <w:rPr>
          <w:sz w:val="21"/>
        </w:rPr>
        <w:t>按照指定地点用水、用电，并向采购人缴纳成本价水电费。</w:t>
      </w:r>
    </w:p>
    <w:p>
      <w:pPr>
        <w:jc w:val="both"/>
      </w:pPr>
      <w:r>
        <w:rPr>
          <w:sz w:val="21"/>
        </w:rPr>
        <w:t>9、</w:t>
      </w:r>
      <w:r>
        <w:rPr>
          <w:sz w:val="21"/>
        </w:rPr>
        <w:t>乙方</w:t>
      </w:r>
      <w:r>
        <w:rPr>
          <w:sz w:val="21"/>
        </w:rPr>
        <w:t>应确保施工现场的清洁卫生，建筑垃圾须当日清理干净，不得留在现场过夜。</w:t>
      </w:r>
    </w:p>
    <w:p>
      <w:pPr>
        <w:jc w:val="both"/>
      </w:pPr>
      <w:r>
        <w:rPr>
          <w:b/>
          <w:sz w:val="21"/>
        </w:rPr>
        <w:t>三</w:t>
      </w:r>
      <w:r>
        <w:rPr>
          <w:b/>
          <w:sz w:val="21"/>
        </w:rPr>
        <w:t>、关于工期与验收</w:t>
      </w:r>
    </w:p>
    <w:p>
      <w:pPr>
        <w:jc w:val="left"/>
      </w:pPr>
      <w:r>
        <w:rPr>
          <w:sz w:val="21"/>
        </w:rPr>
        <w:t>乙方收到甲方进场通知后，于</w:t>
      </w:r>
      <w:r>
        <w:rPr>
          <w:sz w:val="21"/>
        </w:rPr>
        <w:t>2023</w:t>
      </w:r>
      <w:r>
        <w:rPr>
          <w:sz w:val="21"/>
        </w:rPr>
        <w:t>年</w:t>
      </w:r>
      <w:r>
        <w:rPr>
          <w:sz w:val="21"/>
        </w:rPr>
        <w:t>12</w:t>
      </w:r>
      <w:r>
        <w:rPr>
          <w:sz w:val="21"/>
        </w:rPr>
        <w:t>月</w:t>
      </w:r>
      <w:r>
        <w:rPr>
          <w:sz w:val="21"/>
        </w:rPr>
        <w:t>18</w:t>
      </w:r>
      <w:r>
        <w:rPr>
          <w:sz w:val="21"/>
        </w:rPr>
        <w:t>日前完成并交付甲方使用。</w:t>
      </w:r>
      <w:r>
        <w:rPr>
          <w:sz w:val="21"/>
        </w:rPr>
        <w:t>乙方</w:t>
      </w:r>
      <w:r>
        <w:rPr>
          <w:sz w:val="21"/>
        </w:rPr>
        <w:t>在项目完成当日向</w:t>
      </w:r>
      <w:r>
        <w:rPr>
          <w:sz w:val="21"/>
        </w:rPr>
        <w:t>甲方</w:t>
      </w:r>
      <w:r>
        <w:rPr>
          <w:sz w:val="21"/>
        </w:rPr>
        <w:t>送交《项目完成报告》，报告内容需清楚交代项目概况和完成内容。</w:t>
      </w:r>
      <w:r>
        <w:rPr>
          <w:sz w:val="21"/>
        </w:rPr>
        <w:t>甲方</w:t>
      </w:r>
      <w:r>
        <w:rPr>
          <w:sz w:val="21"/>
        </w:rPr>
        <w:t>自收到《项目完成报告》后对项目完成情况进行实地验收，验收合格后由</w:t>
      </w:r>
      <w:r>
        <w:rPr>
          <w:sz w:val="21"/>
        </w:rPr>
        <w:t>甲方</w:t>
      </w:r>
      <w:r>
        <w:rPr>
          <w:sz w:val="21"/>
        </w:rPr>
        <w:t>在《项目完成报告》上签署验收合格字样，并以此作为结算的依据。验收存在的质量问题及其它问题，</w:t>
      </w:r>
      <w:r>
        <w:rPr>
          <w:sz w:val="21"/>
        </w:rPr>
        <w:t>乙方</w:t>
      </w:r>
      <w:r>
        <w:rPr>
          <w:sz w:val="21"/>
        </w:rPr>
        <w:t>必须按要求进行整改，以最终符合验收要求日期为完成日期。</w:t>
      </w:r>
    </w:p>
    <w:p>
      <w:pPr>
        <w:jc w:val="both"/>
      </w:pPr>
      <w:r>
        <w:rPr>
          <w:b/>
          <w:sz w:val="21"/>
        </w:rPr>
        <w:t>四、质保期</w:t>
      </w:r>
    </w:p>
    <w:p>
      <w:pPr>
        <w:jc w:val="both"/>
      </w:pPr>
      <w:r>
        <w:rPr>
          <w:sz w:val="21"/>
        </w:rPr>
        <w:t>质保期为</w:t>
      </w:r>
      <w:r>
        <w:rPr>
          <w:b/>
          <w:sz w:val="21"/>
        </w:rPr>
        <w:t>一</w:t>
      </w:r>
      <w:r>
        <w:rPr>
          <w:b/>
          <w:sz w:val="21"/>
        </w:rPr>
        <w:t>年</w:t>
      </w:r>
      <w:r>
        <w:rPr>
          <w:sz w:val="21"/>
        </w:rPr>
        <w:t>，自</w:t>
      </w:r>
      <w:r>
        <w:rPr>
          <w:sz w:val="21"/>
        </w:rPr>
        <w:t>甲方</w:t>
      </w:r>
      <w:r>
        <w:rPr>
          <w:sz w:val="21"/>
        </w:rPr>
        <w:t>验收合格后起算</w:t>
      </w:r>
      <w:r>
        <w:rPr>
          <w:sz w:val="21"/>
        </w:rPr>
        <w:t>。满质保期后如</w:t>
      </w:r>
      <w:r>
        <w:rPr>
          <w:sz w:val="21"/>
        </w:rPr>
        <w:t>甲方</w:t>
      </w:r>
      <w:r>
        <w:rPr>
          <w:sz w:val="21"/>
        </w:rPr>
        <w:t>有需求，</w:t>
      </w:r>
      <w:r>
        <w:rPr>
          <w:sz w:val="21"/>
        </w:rPr>
        <w:t>乙方</w:t>
      </w:r>
      <w:r>
        <w:rPr>
          <w:sz w:val="21"/>
        </w:rPr>
        <w:t>应提供有偿优惠维修。</w:t>
      </w:r>
    </w:p>
    <w:p>
      <w:pPr>
        <w:jc w:val="both"/>
      </w:pPr>
      <w:r>
        <w:rPr>
          <w:b/>
          <w:sz w:val="21"/>
        </w:rPr>
        <w:t>五、安全施工</w:t>
      </w:r>
    </w:p>
    <w:p>
      <w:pPr>
        <w:jc w:val="both"/>
      </w:pPr>
      <w:r>
        <w:rPr>
          <w:sz w:val="21"/>
        </w:rPr>
        <w:t>乙方</w:t>
      </w:r>
      <w:r>
        <w:rPr>
          <w:sz w:val="21"/>
        </w:rPr>
        <w:t>须保证现场制作人员全部购买人身意外保险，保证按照有关规定确保安全施工，接受</w:t>
      </w:r>
      <w:r>
        <w:rPr>
          <w:sz w:val="21"/>
        </w:rPr>
        <w:t>甲方</w:t>
      </w:r>
      <w:r>
        <w:rPr>
          <w:sz w:val="21"/>
        </w:rPr>
        <w:t>监督，所有安全责任均由</w:t>
      </w:r>
      <w:r>
        <w:rPr>
          <w:sz w:val="21"/>
        </w:rPr>
        <w:t>乙方</w:t>
      </w:r>
      <w:r>
        <w:rPr>
          <w:sz w:val="21"/>
        </w:rPr>
        <w:t>自负，</w:t>
      </w:r>
      <w:r>
        <w:rPr>
          <w:sz w:val="21"/>
        </w:rPr>
        <w:t>甲方</w:t>
      </w:r>
      <w:r>
        <w:rPr>
          <w:sz w:val="21"/>
        </w:rPr>
        <w:t>不承担任何责任。</w:t>
      </w:r>
    </w:p>
    <w:p>
      <w:pPr>
        <w:jc w:val="both"/>
      </w:pPr>
      <w:r>
        <w:rPr>
          <w:b/>
          <w:sz w:val="21"/>
        </w:rPr>
        <w:t>六、诚实信用</w:t>
      </w:r>
    </w:p>
    <w:p>
      <w:pPr>
        <w:jc w:val="both"/>
      </w:pPr>
      <w:r>
        <w:rPr>
          <w:sz w:val="21"/>
        </w:rPr>
        <w:t>乙方</w:t>
      </w:r>
      <w:r>
        <w:rPr>
          <w:sz w:val="21"/>
        </w:rPr>
        <w:t>保证此</w:t>
      </w:r>
      <w:r>
        <w:rPr>
          <w:sz w:val="21"/>
        </w:rPr>
        <w:t>次</w:t>
      </w:r>
      <w:r>
        <w:rPr>
          <w:sz w:val="21"/>
        </w:rPr>
        <w:t>合同价</w:t>
      </w:r>
      <w:r>
        <w:rPr>
          <w:sz w:val="21"/>
        </w:rPr>
        <w:t>包含</w:t>
      </w:r>
      <w:r>
        <w:rPr>
          <w:sz w:val="21"/>
        </w:rPr>
        <w:t>本项目的</w:t>
      </w:r>
      <w:r>
        <w:rPr>
          <w:sz w:val="21"/>
        </w:rPr>
        <w:t>磋商文件中采购范围内全</w:t>
      </w:r>
      <w:r>
        <w:rPr>
          <w:sz w:val="21"/>
        </w:rPr>
        <w:t>部内容，如有丢项、漏项或计算错误，供应商承诺不再向采购人提出调整报价的要求（采购人提出新增要求除外）；中标后严格按照响应文件要求，直接承包管理，不转包，不擅自将项目分包给第三方，如出现转包或其他违约，经过采购人查实后，取消合作资格，并按照签约金额的</w:t>
      </w:r>
      <w:r>
        <w:rPr>
          <w:sz w:val="21"/>
        </w:rPr>
        <w:t>10%支付违约金；如采购人已支付费用，同时全额退还。</w:t>
      </w:r>
    </w:p>
    <w:p>
      <w:pPr>
        <w:jc w:val="both"/>
      </w:pPr>
      <w:r>
        <w:rPr>
          <w:b/>
          <w:sz w:val="21"/>
        </w:rPr>
        <w:t>七</w:t>
      </w:r>
      <w:r>
        <w:rPr>
          <w:b/>
          <w:sz w:val="21"/>
        </w:rPr>
        <w:t>、项目费用及支付方式</w:t>
      </w:r>
    </w:p>
    <w:p>
      <w:pPr>
        <w:jc w:val="both"/>
      </w:pPr>
      <w:r>
        <w:rPr>
          <w:sz w:val="21"/>
        </w:rPr>
        <w:t>1、</w:t>
      </w:r>
      <w:r>
        <w:rPr>
          <w:sz w:val="21"/>
        </w:rPr>
        <w:t>本合同总金额为￥</w:t>
      </w:r>
      <w:r>
        <w:rPr>
          <w:sz w:val="21"/>
        </w:rPr>
        <w:t>___________</w:t>
      </w:r>
      <w:r>
        <w:rPr>
          <w:sz w:val="21"/>
        </w:rPr>
        <w:t>元（大写人民币：</w:t>
      </w:r>
      <w:r>
        <w:rPr>
          <w:sz w:val="21"/>
        </w:rPr>
        <w:t>___________</w:t>
      </w:r>
      <w:r>
        <w:rPr>
          <w:sz w:val="21"/>
        </w:rPr>
        <w:t>元）。</w:t>
      </w:r>
    </w:p>
    <w:p>
      <w:pPr>
        <w:jc w:val="left"/>
      </w:pPr>
      <w:r>
        <w:rPr>
          <w:sz w:val="21"/>
        </w:rPr>
        <w:t>2、</w:t>
      </w:r>
      <w:r>
        <w:rPr>
          <w:sz w:val="21"/>
        </w:rPr>
        <w:t>项目签订合同</w:t>
      </w:r>
      <w:r>
        <w:rPr>
          <w:sz w:val="21"/>
        </w:rPr>
        <w:t>之日起</w:t>
      </w:r>
      <w:r>
        <w:rPr>
          <w:sz w:val="21"/>
        </w:rPr>
        <w:t>30个日历天内</w:t>
      </w:r>
      <w:r>
        <w:rPr>
          <w:sz w:val="21"/>
        </w:rPr>
        <w:t>支付</w:t>
      </w:r>
      <w:r>
        <w:rPr>
          <w:sz w:val="21"/>
        </w:rPr>
        <w:t>90万元</w:t>
      </w:r>
      <w:r>
        <w:rPr>
          <w:sz w:val="21"/>
        </w:rPr>
        <w:t>；完成验收且验收合格</w:t>
      </w:r>
      <w:r>
        <w:rPr>
          <w:sz w:val="21"/>
        </w:rPr>
        <w:t>之日起</w:t>
      </w:r>
      <w:r>
        <w:rPr>
          <w:sz w:val="21"/>
        </w:rPr>
        <w:t>60个日历天内</w:t>
      </w:r>
      <w:r>
        <w:rPr>
          <w:sz w:val="21"/>
        </w:rPr>
        <w:t>支付至合同价的</w:t>
      </w:r>
      <w:r>
        <w:rPr>
          <w:sz w:val="21"/>
        </w:rPr>
        <w:t>97%；质保期</w:t>
      </w:r>
      <w:r>
        <w:rPr>
          <w:sz w:val="21"/>
        </w:rPr>
        <w:t>为</w:t>
      </w:r>
      <w:r>
        <w:rPr>
          <w:sz w:val="21"/>
        </w:rPr>
        <w:t>一年，</w:t>
      </w:r>
      <w:r>
        <w:rPr>
          <w:sz w:val="21"/>
        </w:rPr>
        <w:t>自采购人验收合格后起算，于</w:t>
      </w:r>
      <w:r>
        <w:rPr>
          <w:sz w:val="21"/>
        </w:rPr>
        <w:t>2024年12月前支付剩余款。</w:t>
      </w:r>
      <w:r>
        <w:rPr>
          <w:sz w:val="21"/>
        </w:rPr>
        <w:t>以上支付时间不含政府财政支付部门审核的时间。。</w:t>
      </w:r>
    </w:p>
    <w:p>
      <w:pPr>
        <w:jc w:val="left"/>
      </w:pPr>
      <w:r>
        <w:rPr>
          <w:sz w:val="21"/>
        </w:rPr>
        <w:t>3、</w:t>
      </w:r>
      <w:r>
        <w:rPr>
          <w:sz w:val="21"/>
        </w:rPr>
        <w:t>成交供应商凭以下有效文件与采购人结算：（</w:t>
      </w:r>
      <w:r>
        <w:rPr>
          <w:sz w:val="21"/>
        </w:rPr>
        <w:t>1）合同；（2）开具的增值税普通发票；（3）项目完成报告（由采购人代表签字或加盖采购人公章）；（4）成交通知书。</w:t>
      </w:r>
    </w:p>
    <w:p>
      <w:pPr>
        <w:jc w:val="both"/>
      </w:pPr>
      <w:r>
        <w:rPr>
          <w:sz w:val="21"/>
        </w:rPr>
        <w:t>4、</w:t>
      </w:r>
      <w:r>
        <w:rPr>
          <w:sz w:val="21"/>
        </w:rPr>
        <w:t>乙方指定开户行如下：</w:t>
      </w:r>
    </w:p>
    <w:p>
      <w:pPr>
        <w:jc w:val="both"/>
      </w:pPr>
      <w:r>
        <w:rPr>
          <w:sz w:val="21"/>
        </w:rPr>
        <w:t>户</w:t>
      </w:r>
      <w:r>
        <w:rPr>
          <w:sz w:val="21"/>
        </w:rPr>
        <w:t xml:space="preserve">   </w:t>
      </w:r>
      <w:r>
        <w:rPr>
          <w:sz w:val="21"/>
        </w:rPr>
        <w:t>名：</w:t>
      </w:r>
      <w:r>
        <w:rPr>
          <w:sz w:val="21"/>
        </w:rPr>
        <w:t xml:space="preserve">  </w:t>
      </w:r>
    </w:p>
    <w:p>
      <w:pPr>
        <w:jc w:val="both"/>
      </w:pPr>
      <w:r>
        <w:rPr>
          <w:sz w:val="21"/>
        </w:rPr>
        <w:t>帐</w:t>
      </w:r>
      <w:r>
        <w:rPr>
          <w:sz w:val="21"/>
        </w:rPr>
        <w:t xml:space="preserve">   </w:t>
      </w:r>
      <w:r>
        <w:rPr>
          <w:sz w:val="21"/>
        </w:rPr>
        <w:t>号：</w:t>
      </w:r>
      <w:r>
        <w:rPr>
          <w:sz w:val="21"/>
        </w:rPr>
        <w:t xml:space="preserve">  </w:t>
      </w:r>
    </w:p>
    <w:p>
      <w:pPr>
        <w:jc w:val="both"/>
      </w:pPr>
      <w:r>
        <w:rPr>
          <w:sz w:val="21"/>
        </w:rPr>
        <w:t>开</w:t>
      </w:r>
      <w:r>
        <w:rPr>
          <w:sz w:val="21"/>
        </w:rPr>
        <w:t>户</w:t>
      </w:r>
      <w:r>
        <w:rPr>
          <w:sz w:val="21"/>
        </w:rPr>
        <w:t>行：</w:t>
      </w:r>
      <w:r>
        <w:rPr>
          <w:sz w:val="21"/>
        </w:rPr>
        <w:t xml:space="preserve">  </w:t>
      </w:r>
    </w:p>
    <w:p>
      <w:pPr>
        <w:jc w:val="both"/>
      </w:pPr>
      <w:r>
        <w:rPr>
          <w:b/>
          <w:sz w:val="21"/>
        </w:rPr>
        <w:t>八</w:t>
      </w:r>
      <w:r>
        <w:rPr>
          <w:b/>
          <w:sz w:val="21"/>
        </w:rPr>
        <w:t>、双方的权利及义务</w:t>
      </w:r>
    </w:p>
    <w:p>
      <w:pPr>
        <w:jc w:val="both"/>
      </w:pPr>
      <w:r>
        <w:rPr>
          <w:sz w:val="21"/>
        </w:rPr>
        <w:t>1、甲方的权利及义务</w:t>
      </w:r>
    </w:p>
    <w:p>
      <w:pPr>
        <w:jc w:val="both"/>
      </w:pPr>
      <w:r>
        <w:rPr>
          <w:sz w:val="21"/>
        </w:rPr>
        <w:t>（</w:t>
      </w:r>
      <w:r>
        <w:rPr>
          <w:sz w:val="21"/>
        </w:rPr>
        <w:t>1）甲方有权对乙方的设计提出建议和思路，以使乙方设计的作品更符合甲方单位文化内涵和布展意图。</w:t>
      </w:r>
    </w:p>
    <w:p>
      <w:pPr>
        <w:jc w:val="both"/>
      </w:pPr>
      <w:r>
        <w:rPr>
          <w:sz w:val="21"/>
        </w:rPr>
        <w:t>（</w:t>
      </w:r>
      <w:r>
        <w:rPr>
          <w:sz w:val="21"/>
        </w:rPr>
        <w:t xml:space="preserve">2）甲方有权对乙方所设计的作品进行审核，提出合理的修改要求和意见。 </w:t>
      </w:r>
    </w:p>
    <w:p>
      <w:pPr>
        <w:jc w:val="both"/>
      </w:pPr>
      <w:r>
        <w:rPr>
          <w:sz w:val="21"/>
        </w:rPr>
        <w:t>（</w:t>
      </w:r>
      <w:r>
        <w:rPr>
          <w:sz w:val="21"/>
        </w:rPr>
        <w:t xml:space="preserve">3）甲方有义务按照本合同约定向乙方支付合同费用，以保证项目的正常运行。 </w:t>
      </w:r>
    </w:p>
    <w:p>
      <w:pPr>
        <w:jc w:val="both"/>
      </w:pPr>
      <w:r>
        <w:rPr>
          <w:sz w:val="21"/>
        </w:rPr>
        <w:t>（</w:t>
      </w:r>
      <w:r>
        <w:rPr>
          <w:sz w:val="21"/>
        </w:rPr>
        <w:t>4）合同服务期间，甲方应积极协助乙方工作，及时提供乙方设计所需的各类图片、文字、证明材料、相关资质等资料，并应对上述资料的合法性、真实性负责。</w:t>
      </w:r>
    </w:p>
    <w:p>
      <w:pPr>
        <w:jc w:val="both"/>
      </w:pPr>
      <w:r>
        <w:rPr>
          <w:sz w:val="21"/>
        </w:rPr>
        <w:t>（</w:t>
      </w:r>
      <w:r>
        <w:rPr>
          <w:sz w:val="21"/>
        </w:rPr>
        <w:t>5）指定项目负责人_______作为甲方项目代表，负责合同履行，协调各单位。</w:t>
      </w:r>
    </w:p>
    <w:p>
      <w:pPr>
        <w:jc w:val="both"/>
      </w:pPr>
      <w:r>
        <w:rPr>
          <w:sz w:val="21"/>
        </w:rPr>
        <w:t>2、乙方的权利义务</w:t>
      </w:r>
    </w:p>
    <w:p>
      <w:pPr>
        <w:jc w:val="both"/>
      </w:pPr>
      <w:r>
        <w:rPr>
          <w:sz w:val="21"/>
        </w:rPr>
        <w:t>（</w:t>
      </w:r>
      <w:r>
        <w:rPr>
          <w:sz w:val="21"/>
        </w:rPr>
        <w:t>1）乙方可要求甲方提供有关单位资料供乙方设计制作参考。</w:t>
      </w:r>
    </w:p>
    <w:p>
      <w:pPr>
        <w:jc w:val="both"/>
      </w:pPr>
      <w:r>
        <w:rPr>
          <w:sz w:val="21"/>
        </w:rPr>
        <w:t>（</w:t>
      </w:r>
      <w:r>
        <w:rPr>
          <w:sz w:val="21"/>
        </w:rPr>
        <w:t xml:space="preserve">2）乙方有权要求甲方按照合同约定支付本合同约定款项。 </w:t>
      </w:r>
      <w:r>
        <w:rPr>
          <w:sz w:val="21"/>
        </w:rPr>
        <w:t xml:space="preserve"> </w:t>
      </w:r>
    </w:p>
    <w:p>
      <w:pPr>
        <w:jc w:val="both"/>
      </w:pPr>
      <w:r>
        <w:rPr>
          <w:sz w:val="21"/>
        </w:rPr>
        <w:t>（</w:t>
      </w:r>
      <w:r>
        <w:rPr>
          <w:sz w:val="21"/>
        </w:rPr>
        <w:t xml:space="preserve">3）乙方需按照甲方的要求进行作品设计制作，并保证其质量。 </w:t>
      </w:r>
    </w:p>
    <w:p>
      <w:pPr>
        <w:jc w:val="both"/>
      </w:pPr>
      <w:r>
        <w:rPr>
          <w:sz w:val="21"/>
        </w:rPr>
        <w:t>（</w:t>
      </w:r>
      <w:r>
        <w:rPr>
          <w:sz w:val="21"/>
        </w:rPr>
        <w:t>4）乙方需按照合同约定按时交付设计作品及电子稿</w:t>
      </w:r>
      <w:r>
        <w:rPr>
          <w:sz w:val="21"/>
        </w:rPr>
        <w:t>，</w:t>
      </w:r>
      <w:r>
        <w:rPr>
          <w:sz w:val="21"/>
        </w:rPr>
        <w:t>设计稿确定后，乙方必须出具书面验收单供甲方签字确认。</w:t>
      </w:r>
      <w:r>
        <w:rPr>
          <w:sz w:val="21"/>
        </w:rPr>
        <w:t xml:space="preserve"> </w:t>
      </w:r>
    </w:p>
    <w:p>
      <w:pPr>
        <w:jc w:val="both"/>
      </w:pPr>
      <w:r>
        <w:rPr>
          <w:sz w:val="21"/>
        </w:rPr>
        <w:t>（</w:t>
      </w:r>
      <w:r>
        <w:rPr>
          <w:sz w:val="21"/>
        </w:rPr>
        <w:t>5）乙方有向甲方通报工作进度的义务。</w:t>
      </w:r>
    </w:p>
    <w:p>
      <w:pPr>
        <w:jc w:val="both"/>
      </w:pPr>
      <w:r>
        <w:rPr>
          <w:sz w:val="21"/>
        </w:rPr>
        <w:t>（</w:t>
      </w:r>
      <w:r>
        <w:rPr>
          <w:sz w:val="21"/>
        </w:rPr>
        <w:t>6）指定项目负责人_______作为乙方项目代表，负责合同履行。按要求组织设计、施工、保质、保量、按期完成实施任务，解决由乙方负责的各项事宜。</w:t>
      </w:r>
    </w:p>
    <w:p>
      <w:pPr>
        <w:jc w:val="both"/>
      </w:pPr>
      <w:r>
        <w:rPr>
          <w:b/>
          <w:sz w:val="21"/>
        </w:rPr>
        <w:t>九</w:t>
      </w:r>
      <w:r>
        <w:rPr>
          <w:b/>
          <w:sz w:val="21"/>
        </w:rPr>
        <w:t>、违约责任</w:t>
      </w:r>
    </w:p>
    <w:p>
      <w:pPr>
        <w:jc w:val="both"/>
      </w:pPr>
      <w:r>
        <w:rPr>
          <w:sz w:val="21"/>
        </w:rPr>
        <w:t>1、除不可抗力外，甲乙双方应严格遵守本合同，否则，违约方须承担违约责任。</w:t>
      </w:r>
    </w:p>
    <w:p>
      <w:pPr>
        <w:jc w:val="both"/>
      </w:pPr>
      <w:r>
        <w:rPr>
          <w:sz w:val="21"/>
        </w:rPr>
        <w:t>2、如因乙方原因而延迟完工的，超过规定期限10个工作日起，每逾期一天支付合同总价款1‰的违约金。</w:t>
      </w:r>
    </w:p>
    <w:p>
      <w:pPr>
        <w:jc w:val="both"/>
      </w:pPr>
      <w:r>
        <w:rPr>
          <w:sz w:val="21"/>
        </w:rPr>
        <w:t>3、乙方严格按照响应文件要求，直接承包管理，不转包，不擅自将项目分包给第三方，如出现转包或其他违约，经过甲方查实后，取消合作资格，并按照签约金额的10%支付违约金；如甲方已支付费用，同时乙方需全额退还。</w:t>
      </w:r>
    </w:p>
    <w:p>
      <w:pPr>
        <w:jc w:val="both"/>
      </w:pPr>
      <w:r>
        <w:rPr>
          <w:sz w:val="21"/>
        </w:rPr>
        <w:t>4、合同签订后，因甲方原因单方面取消合同，造成损失应由甲方全部负责。</w:t>
      </w:r>
    </w:p>
    <w:p>
      <w:pPr>
        <w:jc w:val="both"/>
      </w:pPr>
      <w:r>
        <w:rPr>
          <w:b/>
          <w:sz w:val="21"/>
        </w:rPr>
        <w:t>十</w:t>
      </w:r>
      <w:r>
        <w:rPr>
          <w:b/>
          <w:sz w:val="21"/>
        </w:rPr>
        <w:t>、知识产权</w:t>
      </w:r>
    </w:p>
    <w:p>
      <w:pPr>
        <w:jc w:val="left"/>
      </w:pPr>
      <w:r>
        <w:rPr>
          <w:sz w:val="21"/>
        </w:rPr>
        <w:t>1</w:t>
      </w:r>
      <w:r>
        <w:rPr>
          <w:sz w:val="21"/>
        </w:rPr>
        <w:t>、</w:t>
      </w:r>
      <w:r>
        <w:rPr>
          <w:sz w:val="21"/>
        </w:rPr>
        <w:t>乙方应保证，甲方在中华人民共和国使用乙方提供的服务或服务的任何一部分时，如受第三方提出的侵犯其专利权、商标权或其他知识产权的起诉，由乙方承担一切责任。如甲方为此向第三方承担责任，或为乙方垫付赔偿</w:t>
      </w:r>
      <w:r>
        <w:rPr>
          <w:sz w:val="21"/>
        </w:rPr>
        <w:t>/</w:t>
      </w:r>
      <w:r>
        <w:rPr>
          <w:sz w:val="21"/>
        </w:rPr>
        <w:t>补偿的，甲方有权全额要求乙方清偿，并要求乙方支付自实际垫付款项之日起产生的垫付利息损失（利息损失的年利率按</w:t>
      </w:r>
      <w:r>
        <w:rPr>
          <w:sz w:val="21"/>
        </w:rPr>
        <w:t>LPR</w:t>
      </w:r>
      <w:r>
        <w:rPr>
          <w:sz w:val="21"/>
        </w:rPr>
        <w:t>四倍计），以及甲方因主张权利而支付的诉讼费用、调查费、律师费、诉保保险费等合理支出。</w:t>
      </w:r>
    </w:p>
    <w:p>
      <w:pPr>
        <w:jc w:val="left"/>
      </w:pPr>
      <w:r>
        <w:rPr>
          <w:sz w:val="21"/>
        </w:rPr>
        <w:t>2</w:t>
      </w:r>
      <w:r>
        <w:rPr>
          <w:sz w:val="21"/>
        </w:rPr>
        <w:t>、</w:t>
      </w:r>
      <w:r>
        <w:rPr>
          <w:sz w:val="21"/>
        </w:rPr>
        <w:t>如乙方提供的服务成果里有涉及图片、文字资料、音乐、声音、专利、专有技术等材料的使用，乙方应确保拥有合法的原始来源证明、相关权利人签发的使用许可证明。乙方保证向甲方提交的服务成果中所包含的创意、设计、图形、图片、文字、配音、配乐、</w:t>
      </w:r>
      <w:r>
        <w:rPr>
          <w:sz w:val="21"/>
        </w:rPr>
        <w:t>FLASH</w:t>
      </w:r>
      <w:r>
        <w:rPr>
          <w:sz w:val="21"/>
        </w:rPr>
        <w:t>片等，不侵犯任何第三方的知识产权，如有第三方以侵害知识产权为由向甲方主张权利，乙方将独立全额承担该损失。</w:t>
      </w:r>
    </w:p>
    <w:p>
      <w:pPr>
        <w:jc w:val="left"/>
      </w:pPr>
      <w:r>
        <w:rPr>
          <w:sz w:val="21"/>
        </w:rPr>
        <w:t>3</w:t>
      </w:r>
      <w:r>
        <w:rPr>
          <w:sz w:val="21"/>
        </w:rPr>
        <w:t>、</w:t>
      </w:r>
      <w:r>
        <w:rPr>
          <w:sz w:val="21"/>
        </w:rPr>
        <w:t>在完成验收且验收合格后甲方支付至合同价的97%之后，项目的所有成果所有权从乙方转至甲方所有。</w:t>
      </w:r>
    </w:p>
    <w:p>
      <w:pPr>
        <w:jc w:val="both"/>
      </w:pPr>
      <w:r>
        <w:rPr>
          <w:b/>
          <w:sz w:val="21"/>
        </w:rPr>
        <w:t>十一</w:t>
      </w:r>
      <w:r>
        <w:rPr>
          <w:b/>
          <w:sz w:val="21"/>
        </w:rPr>
        <w:t>、保密</w:t>
      </w:r>
      <w:r>
        <w:rPr>
          <w:sz w:val="21"/>
        </w:rPr>
        <w:t xml:space="preserve"> </w:t>
      </w:r>
    </w:p>
    <w:p>
      <w:pPr>
        <w:jc w:val="both"/>
      </w:pPr>
      <w:r>
        <w:rPr>
          <w:sz w:val="21"/>
        </w:rPr>
        <w:t>1</w:t>
      </w:r>
      <w:r>
        <w:rPr>
          <w:sz w:val="21"/>
        </w:rPr>
        <w:t>、</w:t>
      </w:r>
      <w:r>
        <w:rPr>
          <w:sz w:val="21"/>
        </w:rPr>
        <w:t>未事先得到甲方书面同意，乙方不得将涉及货物（服务）的任何保密资料透露或以其他方式提供给合同以外的其他方或乙方内部与本合同无关的任何人员，乙方不得对保密信息进行拷贝或抄写。</w:t>
      </w:r>
    </w:p>
    <w:p>
      <w:pPr>
        <w:jc w:val="both"/>
      </w:pPr>
      <w:r>
        <w:rPr>
          <w:sz w:val="21"/>
        </w:rPr>
        <w:t>2</w:t>
      </w:r>
      <w:r>
        <w:rPr>
          <w:sz w:val="21"/>
        </w:rPr>
        <w:t>、</w:t>
      </w:r>
      <w:r>
        <w:rPr>
          <w:sz w:val="21"/>
        </w:rPr>
        <w:t>乙方在合同履行期间知悉的甲方秘密（包括但不限于业务信息在内、技术资料、工作信息和政府数据等），同样负有保密责任。</w:t>
      </w:r>
    </w:p>
    <w:p>
      <w:pPr>
        <w:jc w:val="both"/>
      </w:pPr>
      <w:r>
        <w:rPr>
          <w:sz w:val="21"/>
        </w:rPr>
        <w:t>3</w:t>
      </w:r>
      <w:r>
        <w:rPr>
          <w:sz w:val="21"/>
        </w:rPr>
        <w:t>、</w:t>
      </w:r>
      <w:r>
        <w:rPr>
          <w:sz w:val="21"/>
        </w:rPr>
        <w:t>乙方的保密责任不因合同的终止而终止，保密期限：永久（除非甲方将有关信息向社会公开）。</w:t>
      </w:r>
    </w:p>
    <w:p>
      <w:pPr>
        <w:jc w:val="both"/>
      </w:pPr>
      <w:r>
        <w:rPr>
          <w:sz w:val="21"/>
        </w:rPr>
        <w:t>4</w:t>
      </w:r>
      <w:r>
        <w:rPr>
          <w:sz w:val="21"/>
        </w:rPr>
        <w:t>、</w:t>
      </w:r>
      <w:r>
        <w:rPr>
          <w:sz w:val="21"/>
        </w:rPr>
        <w:t>如乙方未能履行保密义务造成泄密的，甲方可依据有关规定追究乙方的责任。因乙方的泄密行为导致甲方被追究法律责任的，甲方承担责任后有权向乙方追偿所产生的一切经济损失及法律责任，同时乙方须向甲方支付合同总金额</w:t>
      </w:r>
      <w:r>
        <w:rPr>
          <w:sz w:val="21"/>
        </w:rPr>
        <w:t>20%</w:t>
      </w:r>
      <w:r>
        <w:rPr>
          <w:sz w:val="21"/>
        </w:rPr>
        <w:t>的违约金。</w:t>
      </w:r>
    </w:p>
    <w:p>
      <w:pPr>
        <w:jc w:val="both"/>
      </w:pPr>
      <w:r>
        <w:rPr>
          <w:sz w:val="21"/>
        </w:rPr>
        <w:t>保密期限自保密资料提供或披露之日起持续有效，不因合同的终止、解除、一方的违约而失效。</w:t>
      </w:r>
    </w:p>
    <w:p>
      <w:pPr>
        <w:jc w:val="both"/>
      </w:pPr>
      <w:r>
        <w:rPr>
          <w:b/>
          <w:sz w:val="21"/>
        </w:rPr>
        <w:t>十二</w:t>
      </w:r>
      <w:r>
        <w:rPr>
          <w:b/>
          <w:sz w:val="21"/>
        </w:rPr>
        <w:t>、免责条款</w:t>
      </w:r>
    </w:p>
    <w:p>
      <w:pPr>
        <w:jc w:val="both"/>
      </w:pPr>
      <w:r>
        <w:rPr>
          <w:sz w:val="21"/>
        </w:rPr>
        <w:t>由于不能预见、不能避免和不能克服的客观事件，致本合同不能履行或者不能完全履行时，遇到上述不可抗力事件的一方，应立即书面通知合同另一方，由合同双方按事件对履行合同影响的程度协商决定是否解除合同、或者部分免除履行合同的责任、或者延期履行合同。</w:t>
      </w:r>
    </w:p>
    <w:p>
      <w:pPr>
        <w:jc w:val="both"/>
      </w:pPr>
      <w:r>
        <w:rPr>
          <w:b/>
          <w:sz w:val="21"/>
        </w:rPr>
        <w:t>十三</w:t>
      </w:r>
      <w:r>
        <w:rPr>
          <w:b/>
          <w:sz w:val="21"/>
        </w:rPr>
        <w:t>、解决争议的办法</w:t>
      </w:r>
    </w:p>
    <w:p>
      <w:pPr>
        <w:jc w:val="both"/>
      </w:pPr>
      <w:r>
        <w:rPr>
          <w:sz w:val="21"/>
        </w:rPr>
        <w:t>凡因执行本合同所发生的或与本合同有关的一切争议，合同双方应通过友好协商解决；如果协商不成，</w:t>
      </w:r>
      <w:r>
        <w:rPr>
          <w:sz w:val="21"/>
        </w:rPr>
        <w:t>任何一方可向甲方所在地人民法院提起诉讼。</w:t>
      </w:r>
      <w:r>
        <w:rPr>
          <w:sz w:val="21"/>
        </w:rPr>
        <w:t xml:space="preserve"> </w:t>
      </w:r>
    </w:p>
    <w:p>
      <w:pPr>
        <w:jc w:val="both"/>
      </w:pPr>
      <w:r>
        <w:rPr>
          <w:b/>
          <w:sz w:val="21"/>
        </w:rPr>
        <w:t>十四</w:t>
      </w:r>
      <w:r>
        <w:rPr>
          <w:b/>
          <w:sz w:val="21"/>
        </w:rPr>
        <w:t>、其它</w:t>
      </w:r>
    </w:p>
    <w:p>
      <w:pPr>
        <w:jc w:val="both"/>
      </w:pPr>
      <w:r>
        <w:rPr>
          <w:sz w:val="21"/>
        </w:rPr>
        <w:t>1、本合同自甲乙双方签字盖章之日起生效，合同执行期内，甲乙双方均不得随意变更或解除合同。</w:t>
      </w:r>
    </w:p>
    <w:p>
      <w:pPr>
        <w:jc w:val="both"/>
      </w:pPr>
      <w:r>
        <w:rPr>
          <w:sz w:val="21"/>
        </w:rPr>
        <w:t>2、合同如有未尽事宜，经双方共同协商可签订补充协议，补充协议与本合同具有同等效力。</w:t>
      </w:r>
    </w:p>
    <w:p>
      <w:pPr>
        <w:jc w:val="both"/>
      </w:pPr>
      <w:r>
        <w:rPr>
          <w:sz w:val="21"/>
        </w:rPr>
        <w:t>3</w:t>
      </w:r>
      <w:r>
        <w:rPr>
          <w:sz w:val="21"/>
        </w:rPr>
        <w:t>、本合同共</w:t>
      </w:r>
      <w:r>
        <w:rPr>
          <w:sz w:val="21"/>
        </w:rPr>
        <w:t xml:space="preserve">   </w:t>
      </w:r>
      <w:r>
        <w:rPr>
          <w:sz w:val="21"/>
        </w:rPr>
        <w:t>页，一式</w:t>
      </w:r>
      <w:r>
        <w:rPr>
          <w:sz w:val="21"/>
        </w:rPr>
        <w:t xml:space="preserve">   </w:t>
      </w:r>
      <w:r>
        <w:rPr>
          <w:sz w:val="21"/>
        </w:rPr>
        <w:t>份，甲乙双方各执</w:t>
      </w:r>
      <w:r>
        <w:rPr>
          <w:sz w:val="21"/>
        </w:rPr>
        <w:t xml:space="preserve">   </w:t>
      </w:r>
      <w:r>
        <w:rPr>
          <w:sz w:val="21"/>
        </w:rPr>
        <w:t>份，每份均具同等效力。</w:t>
      </w:r>
    </w:p>
    <w:p>
      <w:pPr>
        <w:jc w:val="both"/>
      </w:pPr>
      <w:r>
        <w:rPr>
          <w:sz w:val="21"/>
        </w:rPr>
        <w:t>（以下无正文）</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甲方（盖章）：</w:t>
      </w:r>
      <w:r>
        <w:rPr>
          <w:sz w:val="21"/>
        </w:rPr>
        <w:t xml:space="preserve">                     </w:t>
      </w:r>
      <w:r>
        <w:rPr>
          <w:sz w:val="21"/>
        </w:rPr>
        <w:t>乙方（盖章）：</w:t>
      </w:r>
    </w:p>
    <w:p>
      <w:pPr>
        <w:jc w:val="both"/>
      </w:pPr>
      <w:r>
        <w:rPr>
          <w:sz w:val="21"/>
        </w:rPr>
        <w:t>签约代表（签字）：</w:t>
      </w:r>
      <w:r>
        <w:rPr>
          <w:sz w:val="21"/>
        </w:rPr>
        <w:t xml:space="preserve">                 </w:t>
      </w:r>
      <w:r>
        <w:rPr>
          <w:sz w:val="21"/>
        </w:rPr>
        <w:t>签约代表（签字）：</w:t>
      </w:r>
    </w:p>
    <w:p>
      <w:pPr>
        <w:jc w:val="both"/>
      </w:pPr>
      <w:r>
        <w:rPr>
          <w:sz w:val="21"/>
        </w:rPr>
        <w:t>电话：</w:t>
      </w:r>
      <w:r>
        <w:rPr>
          <w:sz w:val="21"/>
        </w:rPr>
        <w:t xml:space="preserve">                            </w:t>
      </w:r>
      <w:r>
        <w:rPr>
          <w:sz w:val="21"/>
        </w:rPr>
        <w:t>电话：</w:t>
      </w:r>
      <w:r>
        <w:rPr>
          <w:sz w:val="21"/>
        </w:rPr>
        <w:t xml:space="preserve">        </w:t>
      </w:r>
    </w:p>
    <w:p>
      <w:pPr>
        <w:jc w:val="left"/>
      </w:pPr>
      <w:r>
        <w:rPr>
          <w:sz w:val="21"/>
        </w:rPr>
        <w:t>日期：</w:t>
      </w:r>
      <w:r>
        <w:rPr>
          <w:sz w:val="21"/>
        </w:rPr>
        <w:t xml:space="preserve">  年     月                                      日期：    年     月</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442000-2023-05253</w:t>
      </w:r>
    </w:p>
    <w:p>
      <w:pPr>
        <w:jc w:val="center"/>
      </w:pPr>
      <w:r>
        <w:rPr>
          <w:b/>
          <w:sz w:val="24"/>
        </w:rPr>
        <w:t>采购项目编号：</w:t>
      </w:r>
      <w:r>
        <w:rPr>
          <w:b/>
          <w:sz w:val="24"/>
        </w:rPr>
        <w:t>ZSCC-023-JZG-0078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中山市翠城工程管理有限公司</w:t>
      </w:r>
    </w:p>
    <w:p>
      <w:pPr>
        <w:ind w:firstLine="480"/>
      </w:pPr>
      <w:r>
        <w:rPr/>
        <w:t>你方组织的</w:t>
      </w:r>
      <w:r>
        <w:rPr>
          <w:u w:val="single"/>
        </w:rPr>
        <w:t>“</w:t>
      </w:r>
      <w:r>
        <w:rPr>
          <w:u w:val="single"/>
        </w:rPr>
        <w:t>中山市村镇低效工业园改造升级展示中心项目</w:t>
      </w:r>
      <w:r>
        <w:rPr>
          <w:u w:val="single"/>
        </w:rPr>
        <w:t>”</w:t>
      </w:r>
      <w:r>
        <w:rPr/>
        <w:t>项目的竞争性磋商[采购项目编号为：</w:t>
      </w:r>
      <w:r>
        <w:rPr>
          <w:u w:val="single"/>
        </w:rPr>
        <w:t>ZSCC-023-JZG-0078</w:t>
      </w:r>
      <w:r>
        <w:rPr/>
        <w:t>]，我方愿参与响应。</w:t>
      </w:r>
    </w:p>
    <w:p>
      <w:pPr>
        <w:ind w:firstLine="480"/>
      </w:pPr>
      <w:r>
        <w:rPr/>
        <w:t>我方确认收到贵方提供的</w:t>
      </w:r>
      <w:r>
        <w:rPr>
          <w:u w:val="single"/>
        </w:rPr>
        <w:t>“</w:t>
      </w:r>
      <w:r>
        <w:rPr>
          <w:u w:val="single"/>
        </w:rPr>
        <w:t>中山市村镇低效工业园改造升级展示中心项目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中山市翠城工程管理有限公司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中山市村镇低效工业园改造升级展示中心项目</w:t>
      </w:r>
      <w:r>
        <w:rPr/>
        <w:t>”项目采购[采购项目编号为</w:t>
      </w:r>
      <w:r>
        <w:rPr/>
        <w:t>ZSCC-023-JZG-0078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中山市自然资源局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中山市翠城工程管理有限公司</w:t>
      </w:r>
    </w:p>
    <w:p>
      <w:pPr>
        <w:ind w:firstLine="480"/>
      </w:pPr>
      <w:r>
        <w:rPr/>
        <w:t>我单位参加贵公司组织的</w:t>
      </w:r>
      <w:r>
        <w:rPr/>
        <w:t>中山市村镇低效工业园改造升级展示中心项目</w:t>
      </w:r>
      <w:r>
        <w:rPr/>
        <w:t>（采购项目编号：</w:t>
      </w:r>
      <w:r>
        <w:rPr/>
        <w:t>ZSCC-023-JZG-0078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中山市翠城工程管理有限公司</w:t>
      </w:r>
    </w:p>
    <w:p>
      <w:pPr>
        <w:ind w:firstLine="480"/>
      </w:pPr>
      <w:r>
        <w:rPr/>
        <w:t>我单位已登记并准备参与“</w:t>
      </w:r>
      <w:r>
        <w:rPr/>
        <w:t>中山市村镇低效工业园改造升级展示中心项目</w:t>
      </w:r>
      <w:r>
        <w:rPr/>
        <w:t>”项目（采购项目编号：</w:t>
      </w:r>
      <w:r>
        <w:rPr/>
        <w:t>ZSCC-023-JZG-0078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