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442000-2023-05020</w:t>
      </w:r>
    </w:p>
    <w:p>
      <w:pPr>
        <w:jc w:val="center"/>
      </w:pPr>
      <w:r>
        <w:rPr>
          <w:b/>
          <w:sz w:val="24"/>
        </w:rPr>
        <w:t>采购项目编号：</w:t>
      </w:r>
      <w:r>
        <w:rPr>
          <w:b/>
          <w:sz w:val="24"/>
        </w:rPr>
        <w:t>ZSXCTAZ2306049G</w:t>
      </w:r>
    </w:p>
    <w:p>
      <w:pPr>
        <w:jc w:val="center"/>
      </w:pPr>
      <w:r>
        <w:rPr>
          <w:b/>
          <w:sz w:val="24"/>
        </w:rPr>
        <w:t>项目名称：</w:t>
      </w:r>
      <w:r>
        <w:rPr>
          <w:b/>
          <w:sz w:val="24"/>
        </w:rPr>
        <w:t>中山市公安局社会面治安巡防管控“四个一”体系前端感知系统项目</w:t>
      </w:r>
    </w:p>
    <w:p>
      <w:pPr>
        <w:jc w:val="center"/>
      </w:pPr>
      <w:r>
        <w:rPr>
          <w:b/>
          <w:sz w:val="24"/>
        </w:rPr>
        <w:t>采购人：</w:t>
      </w:r>
      <w:r>
        <w:rPr>
          <w:b/>
          <w:sz w:val="24"/>
        </w:rPr>
        <w:t>中山市公安局</w:t>
      </w:r>
    </w:p>
    <w:p>
      <w:pPr>
        <w:jc w:val="center"/>
      </w:pPr>
      <w:r>
        <w:rPr>
          <w:b/>
          <w:sz w:val="24"/>
        </w:rPr>
        <w:t>采购代理机构：</w:t>
      </w:r>
      <w:r>
        <w:rPr>
          <w:b/>
          <w:sz w:val="24"/>
        </w:rPr>
        <w:t>中山信诚招标有限公司</w:t>
      </w:r>
    </w:p>
    <w:p>
      <w:pPr>
        <w:ind w:firstLine="480"/>
      </w:pPr>
    </w:p>
    <w:p>
      <w:r>
        <w:rPr/>
        <w:t xml:space="preserve"> </w:t>
      </w:r>
    </w:p>
    <w:p/>
    <w:p>
      <w:pPr>
        <w:jc w:val="center"/>
      </w:pPr>
      <w:r>
        <w:rPr>
          <w:b/>
          <w:sz w:val="36"/>
        </w:rPr>
        <w:t>第一章投标邀请</w:t>
      </w:r>
    </w:p>
    <w:p>
      <w:pPr>
        <w:ind w:firstLine="480"/>
      </w:pPr>
      <w:r>
        <w:rPr/>
        <w:t>中山信诚招标有限公司</w:t>
      </w:r>
      <w:r>
        <w:rPr/>
        <w:t>受</w:t>
      </w:r>
      <w:r>
        <w:rPr/>
        <w:t>中山市公安局</w:t>
      </w:r>
      <w:r>
        <w:rPr/>
        <w:t>的委托，采用</w:t>
      </w:r>
      <w:r>
        <w:rPr/>
        <w:t>公开招标</w:t>
      </w:r>
      <w:r>
        <w:rPr/>
        <w:t>方式组织采购</w:t>
      </w:r>
      <w:r>
        <w:rPr/>
        <w:t>中山市公安局社会面治安巡防管控“四个一”体系前端感知系统项目</w:t>
      </w:r>
      <w:r>
        <w:rPr/>
        <w:t>。欢迎符合资格条件的国内供应商参加投标。</w:t>
      </w:r>
    </w:p>
    <w:p>
      <w:r>
        <w:rPr>
          <w:b/>
          <w:sz w:val="28"/>
        </w:rPr>
        <w:t>一.项目概述</w:t>
      </w:r>
    </w:p>
    <w:p>
      <w:r>
        <w:rPr>
          <w:b/>
          <w:sz w:val="24"/>
        </w:rPr>
        <w:t>1.名称与编号</w:t>
      </w:r>
    </w:p>
    <w:p>
      <w:pPr>
        <w:ind w:firstLine="480"/>
      </w:pPr>
      <w:r>
        <w:rPr/>
        <w:t>项目名称：</w:t>
      </w:r>
      <w:r>
        <w:rPr/>
        <w:t>中山市公安局社会面治安巡防管控“四个一”体系前端感知系统项目</w:t>
      </w:r>
    </w:p>
    <w:p>
      <w:pPr>
        <w:ind w:firstLine="480"/>
      </w:pPr>
      <w:r>
        <w:rPr/>
        <w:t>采购计划编号：</w:t>
      </w:r>
      <w:r>
        <w:rPr/>
        <w:t>442000-2023-05020</w:t>
      </w:r>
    </w:p>
    <w:p>
      <w:pPr>
        <w:ind w:firstLine="480"/>
      </w:pPr>
      <w:r>
        <w:rPr/>
        <w:t>采购项目编号：</w:t>
      </w:r>
      <w:r>
        <w:rPr/>
        <w:t>ZSXCTAZ2306049G</w:t>
      </w:r>
    </w:p>
    <w:p>
      <w:pPr>
        <w:ind w:firstLine="480"/>
      </w:pPr>
      <w:r>
        <w:rPr/>
        <w:t>采购方式：</w:t>
      </w:r>
      <w:r>
        <w:rPr/>
        <w:t>公开招标</w:t>
      </w:r>
    </w:p>
    <w:p>
      <w:pPr>
        <w:ind w:firstLine="480"/>
      </w:pPr>
      <w:r>
        <w:rPr/>
        <w:t>预算金额：</w:t>
      </w:r>
      <w:r>
        <w:rPr/>
        <w:t>27,327,120.00</w:t>
      </w:r>
      <w:r>
        <w:rPr/>
        <w:t>元</w:t>
      </w:r>
    </w:p>
    <w:p>
      <w:r>
        <w:rPr>
          <w:b/>
          <w:sz w:val="24"/>
        </w:rPr>
        <w:t>2.项目内容及需求情况（采购项目技术规格、参数及要求）</w:t>
      </w:r>
    </w:p>
    <w:p>
      <w:pPr>
        <w:ind w:firstLine="480"/>
      </w:pPr>
    </w:p>
    <w:p/>
    <w:p>
      <w:r>
        <w:rPr/>
        <w:t>采购包1(辅警通租赁):</w:t>
      </w:r>
    </w:p>
    <w:p>
      <w:r>
        <w:rPr/>
        <w:t>采购包预算金额：9,897,120.00元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其他租赁服务</w:t>
            </w:r>
          </w:p>
        </w:tc>
        <w:tc>
          <w:tcPr>
            <w:tcW w:type="dxa" w:w="2052"/>
          </w:tcPr>
          <w:p>
            <w:r>
              <w:rPr/>
              <w:t>辅警通租赁</w:t>
            </w:r>
          </w:p>
        </w:tc>
        <w:tc>
          <w:tcPr>
            <w:tcW w:type="dxa" w:w="977"/>
          </w:tcPr>
          <w:p>
            <w:r>
              <w:rPr/>
              <w:t>1.00(项)</w:t>
            </w:r>
          </w:p>
        </w:tc>
        <w:tc>
          <w:tcPr>
            <w:tcW w:type="dxa" w:w="977"/>
          </w:tcPr>
          <w:p>
            <w:r>
              <w:rPr/>
              <w:t>详见第二章</w:t>
            </w:r>
          </w:p>
        </w:tc>
        <w:tc>
          <w:tcPr>
            <w:tcW w:type="dxa" w:w="977"/>
          </w:tcPr>
          <w:p>
            <w:r>
              <w:rPr/>
              <w:t>9,897,120.00</w:t>
            </w:r>
          </w:p>
        </w:tc>
        <w:tc>
          <w:tcPr>
            <w:tcW w:type="dxa" w:w="977"/>
          </w:tcPr>
          <w:p>
            <w:r>
              <w:rPr/>
              <w:t>否</w:t>
            </w:r>
          </w:p>
        </w:tc>
      </w:tr>
    </w:tbl>
    <w:p/>
    <w:p>
      <w:r>
        <w:rPr/>
        <w:t>本采购包不接受联合体投标</w:t>
      </w:r>
    </w:p>
    <w:p/>
    <w:p>
      <w:r>
        <w:rPr/>
        <w:t>合同履行期限：签订分项合同起30个日历日内交付，服务期36个月。</w:t>
      </w:r>
    </w:p>
    <w:p/>
    <w:p>
      <w:r>
        <w:rPr/>
        <w:t>采购包2(前端感知设备):</w:t>
      </w:r>
    </w:p>
    <w:p>
      <w:r>
        <w:rPr/>
        <w:t>采购包预算金额：15,730,000.00元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安全、检查、监视、报警设备</w:t>
            </w:r>
          </w:p>
        </w:tc>
        <w:tc>
          <w:tcPr>
            <w:tcW w:type="dxa" w:w="2052"/>
          </w:tcPr>
          <w:p>
            <w:r>
              <w:rPr/>
              <w:t>移动布控球</w:t>
            </w:r>
          </w:p>
        </w:tc>
        <w:tc>
          <w:tcPr>
            <w:tcW w:type="dxa" w:w="977"/>
          </w:tcPr>
          <w:p>
            <w:r>
              <w:rPr/>
              <w:t>1.00(批)</w:t>
            </w:r>
          </w:p>
        </w:tc>
        <w:tc>
          <w:tcPr>
            <w:tcW w:type="dxa" w:w="977"/>
          </w:tcPr>
          <w:p>
            <w:r>
              <w:rPr/>
              <w:t>详见第二章</w:t>
            </w:r>
          </w:p>
        </w:tc>
        <w:tc>
          <w:tcPr>
            <w:tcW w:type="dxa" w:w="977"/>
          </w:tcPr>
          <w:p>
            <w:r>
              <w:rPr/>
              <w:t>346,500.00</w:t>
            </w:r>
          </w:p>
        </w:tc>
        <w:tc>
          <w:tcPr>
            <w:tcW w:type="dxa" w:w="977"/>
          </w:tcPr>
          <w:p>
            <w:r>
              <w:rPr/>
              <w:t>否</w:t>
            </w:r>
          </w:p>
        </w:tc>
      </w:tr>
      <w:tr>
        <w:tc>
          <w:tcPr>
            <w:tcW w:type="dxa" w:w="977"/>
          </w:tcPr>
          <w:p>
            <w:r>
              <w:rPr/>
              <w:t>2-2</w:t>
            </w:r>
          </w:p>
        </w:tc>
        <w:tc>
          <w:tcPr>
            <w:tcW w:type="dxa" w:w="1368"/>
          </w:tcPr>
          <w:p>
            <w:r>
              <w:rPr/>
              <w:t>安全、检查、监视、报警设备</w:t>
            </w:r>
          </w:p>
        </w:tc>
        <w:tc>
          <w:tcPr>
            <w:tcW w:type="dxa" w:w="2052"/>
          </w:tcPr>
          <w:p>
            <w:r>
              <w:rPr/>
              <w:t>车载视频采集设备</w:t>
            </w:r>
          </w:p>
        </w:tc>
        <w:tc>
          <w:tcPr>
            <w:tcW w:type="dxa" w:w="977"/>
          </w:tcPr>
          <w:p>
            <w:r>
              <w:rPr/>
              <w:t>1.00(批)</w:t>
            </w:r>
          </w:p>
        </w:tc>
        <w:tc>
          <w:tcPr>
            <w:tcW w:type="dxa" w:w="977"/>
          </w:tcPr>
          <w:p>
            <w:r>
              <w:rPr/>
              <w:t>详见第二章</w:t>
            </w:r>
          </w:p>
        </w:tc>
        <w:tc>
          <w:tcPr>
            <w:tcW w:type="dxa" w:w="977"/>
          </w:tcPr>
          <w:p>
            <w:r>
              <w:rPr/>
              <w:t>2,000,000.00</w:t>
            </w:r>
          </w:p>
        </w:tc>
        <w:tc>
          <w:tcPr>
            <w:tcW w:type="dxa" w:w="977"/>
          </w:tcPr>
          <w:p>
            <w:r>
              <w:rPr/>
              <w:t>否</w:t>
            </w:r>
          </w:p>
        </w:tc>
      </w:tr>
      <w:tr>
        <w:tc>
          <w:tcPr>
            <w:tcW w:type="dxa" w:w="977"/>
          </w:tcPr>
          <w:p>
            <w:r>
              <w:rPr/>
              <w:t>2-3</w:t>
            </w:r>
          </w:p>
        </w:tc>
        <w:tc>
          <w:tcPr>
            <w:tcW w:type="dxa" w:w="1368"/>
          </w:tcPr>
          <w:p>
            <w:r>
              <w:rPr/>
              <w:t>安全、检查、监视、报警设备</w:t>
            </w:r>
          </w:p>
        </w:tc>
        <w:tc>
          <w:tcPr>
            <w:tcW w:type="dxa" w:w="2052"/>
          </w:tcPr>
          <w:p>
            <w:r>
              <w:rPr/>
              <w:t>执法记录仪</w:t>
            </w:r>
          </w:p>
        </w:tc>
        <w:tc>
          <w:tcPr>
            <w:tcW w:type="dxa" w:w="977"/>
          </w:tcPr>
          <w:p>
            <w:r>
              <w:rPr/>
              <w:t>1.00(批)</w:t>
            </w:r>
          </w:p>
        </w:tc>
        <w:tc>
          <w:tcPr>
            <w:tcW w:type="dxa" w:w="977"/>
          </w:tcPr>
          <w:p>
            <w:r>
              <w:rPr/>
              <w:t>详见第二章</w:t>
            </w:r>
          </w:p>
        </w:tc>
        <w:tc>
          <w:tcPr>
            <w:tcW w:type="dxa" w:w="977"/>
          </w:tcPr>
          <w:p>
            <w:r>
              <w:rPr/>
              <w:t>7,602,200.00</w:t>
            </w:r>
          </w:p>
        </w:tc>
        <w:tc>
          <w:tcPr>
            <w:tcW w:type="dxa" w:w="977"/>
          </w:tcPr>
          <w:p>
            <w:r>
              <w:rPr/>
              <w:t>否</w:t>
            </w:r>
          </w:p>
        </w:tc>
      </w:tr>
      <w:tr>
        <w:tc>
          <w:tcPr>
            <w:tcW w:type="dxa" w:w="977"/>
          </w:tcPr>
          <w:p>
            <w:r>
              <w:rPr/>
              <w:t>2-4</w:t>
            </w:r>
          </w:p>
        </w:tc>
        <w:tc>
          <w:tcPr>
            <w:tcW w:type="dxa" w:w="1368"/>
          </w:tcPr>
          <w:p>
            <w:r>
              <w:rPr/>
              <w:t>安全、检查、监视、报警设备</w:t>
            </w:r>
          </w:p>
        </w:tc>
        <w:tc>
          <w:tcPr>
            <w:tcW w:type="dxa" w:w="2052"/>
          </w:tcPr>
          <w:p>
            <w:r>
              <w:rPr/>
              <w:t>采集工作站</w:t>
            </w:r>
          </w:p>
        </w:tc>
        <w:tc>
          <w:tcPr>
            <w:tcW w:type="dxa" w:w="977"/>
          </w:tcPr>
          <w:p>
            <w:r>
              <w:rPr/>
              <w:t>1.00(批)</w:t>
            </w:r>
          </w:p>
        </w:tc>
        <w:tc>
          <w:tcPr>
            <w:tcW w:type="dxa" w:w="977"/>
          </w:tcPr>
          <w:p>
            <w:r>
              <w:rPr/>
              <w:t>详见第二章</w:t>
            </w:r>
          </w:p>
        </w:tc>
        <w:tc>
          <w:tcPr>
            <w:tcW w:type="dxa" w:w="977"/>
          </w:tcPr>
          <w:p>
            <w:r>
              <w:rPr/>
              <w:t>1,079,000.00</w:t>
            </w:r>
          </w:p>
        </w:tc>
        <w:tc>
          <w:tcPr>
            <w:tcW w:type="dxa" w:w="977"/>
          </w:tcPr>
          <w:p>
            <w:r>
              <w:rPr/>
              <w:t>否</w:t>
            </w:r>
          </w:p>
        </w:tc>
      </w:tr>
      <w:tr>
        <w:tc>
          <w:tcPr>
            <w:tcW w:type="dxa" w:w="977"/>
          </w:tcPr>
          <w:p>
            <w:r>
              <w:rPr/>
              <w:t>2-5</w:t>
            </w:r>
          </w:p>
        </w:tc>
        <w:tc>
          <w:tcPr>
            <w:tcW w:type="dxa" w:w="1368"/>
          </w:tcPr>
          <w:p>
            <w:r>
              <w:rPr/>
              <w:t>安全、检查、监视、报警设备</w:t>
            </w:r>
          </w:p>
        </w:tc>
        <w:tc>
          <w:tcPr>
            <w:tcW w:type="dxa" w:w="2052"/>
          </w:tcPr>
          <w:p>
            <w:r>
              <w:rPr/>
              <w:t>350M手持数字集群对讲机</w:t>
            </w:r>
          </w:p>
        </w:tc>
        <w:tc>
          <w:tcPr>
            <w:tcW w:type="dxa" w:w="977"/>
          </w:tcPr>
          <w:p>
            <w:r>
              <w:rPr/>
              <w:t>1.00(批)</w:t>
            </w:r>
          </w:p>
        </w:tc>
        <w:tc>
          <w:tcPr>
            <w:tcW w:type="dxa" w:w="977"/>
          </w:tcPr>
          <w:p>
            <w:r>
              <w:rPr/>
              <w:t>详见第二章</w:t>
            </w:r>
          </w:p>
        </w:tc>
        <w:tc>
          <w:tcPr>
            <w:tcW w:type="dxa" w:w="977"/>
          </w:tcPr>
          <w:p>
            <w:r>
              <w:rPr/>
              <w:t>2,736,000.00</w:t>
            </w:r>
          </w:p>
        </w:tc>
        <w:tc>
          <w:tcPr>
            <w:tcW w:type="dxa" w:w="977"/>
          </w:tcPr>
          <w:p>
            <w:r>
              <w:rPr/>
              <w:t>否</w:t>
            </w:r>
          </w:p>
        </w:tc>
      </w:tr>
      <w:tr>
        <w:tc>
          <w:tcPr>
            <w:tcW w:type="dxa" w:w="977"/>
          </w:tcPr>
          <w:p>
            <w:r>
              <w:rPr/>
              <w:t>2-6</w:t>
            </w:r>
          </w:p>
        </w:tc>
        <w:tc>
          <w:tcPr>
            <w:tcW w:type="dxa" w:w="1368"/>
          </w:tcPr>
          <w:p>
            <w:r>
              <w:rPr/>
              <w:t>安全、检查、监视、报警设备</w:t>
            </w:r>
          </w:p>
        </w:tc>
        <w:tc>
          <w:tcPr>
            <w:tcW w:type="dxa" w:w="2052"/>
          </w:tcPr>
          <w:p>
            <w:r>
              <w:rPr/>
              <w:t>350M车载数字集群对讲机</w:t>
            </w:r>
          </w:p>
        </w:tc>
        <w:tc>
          <w:tcPr>
            <w:tcW w:type="dxa" w:w="977"/>
          </w:tcPr>
          <w:p>
            <w:r>
              <w:rPr/>
              <w:t>1.00(批)</w:t>
            </w:r>
          </w:p>
        </w:tc>
        <w:tc>
          <w:tcPr>
            <w:tcW w:type="dxa" w:w="977"/>
          </w:tcPr>
          <w:p>
            <w:r>
              <w:rPr/>
              <w:t>详见第二章</w:t>
            </w:r>
          </w:p>
        </w:tc>
        <w:tc>
          <w:tcPr>
            <w:tcW w:type="dxa" w:w="977"/>
          </w:tcPr>
          <w:p>
            <w:r>
              <w:rPr/>
              <w:t>1,966,300.00</w:t>
            </w:r>
          </w:p>
        </w:tc>
        <w:tc>
          <w:tcPr>
            <w:tcW w:type="dxa" w:w="977"/>
          </w:tcPr>
          <w:p>
            <w:r>
              <w:rPr/>
              <w:t>否</w:t>
            </w:r>
          </w:p>
        </w:tc>
      </w:tr>
    </w:tbl>
    <w:p/>
    <w:p>
      <w:r>
        <w:rPr/>
        <w:t>本采购包不接受联合体投标</w:t>
      </w:r>
    </w:p>
    <w:p/>
    <w:p>
      <w:r>
        <w:rPr/>
        <w:t>合同履行期限：分项合同生效之日起30个日历日内完成安装、调试和验收。</w:t>
      </w:r>
    </w:p>
    <w:p/>
    <w:p>
      <w:r>
        <w:rPr/>
        <w:t>采购包3(地图应用服务):</w:t>
      </w:r>
    </w:p>
    <w:p>
      <w:r>
        <w:rPr/>
        <w:t>采购包预算金额：1,700,000.00元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其他服务</w:t>
            </w:r>
          </w:p>
        </w:tc>
        <w:tc>
          <w:tcPr>
            <w:tcW w:type="dxa" w:w="2052"/>
          </w:tcPr>
          <w:p>
            <w:r>
              <w:rPr/>
              <w:t>地图应用服务</w:t>
            </w:r>
          </w:p>
        </w:tc>
        <w:tc>
          <w:tcPr>
            <w:tcW w:type="dxa" w:w="977"/>
          </w:tcPr>
          <w:p>
            <w:r>
              <w:rPr/>
              <w:t>1.00(项)</w:t>
            </w:r>
          </w:p>
        </w:tc>
        <w:tc>
          <w:tcPr>
            <w:tcW w:type="dxa" w:w="977"/>
          </w:tcPr>
          <w:p>
            <w:r>
              <w:rPr/>
              <w:t>详见第二章</w:t>
            </w:r>
          </w:p>
        </w:tc>
        <w:tc>
          <w:tcPr>
            <w:tcW w:type="dxa" w:w="977"/>
          </w:tcPr>
          <w:p>
            <w:r>
              <w:rPr/>
              <w:t>1,700,000.00</w:t>
            </w:r>
          </w:p>
        </w:tc>
        <w:tc>
          <w:tcPr>
            <w:tcW w:type="dxa" w:w="977"/>
          </w:tcPr>
          <w:p>
            <w:r>
              <w:rPr/>
              <w:t>否</w:t>
            </w:r>
          </w:p>
        </w:tc>
      </w:tr>
    </w:tbl>
    <w:p/>
    <w:p>
      <w:r>
        <w:rPr/>
        <w:t>本采购包不接受联合体投标</w:t>
      </w:r>
    </w:p>
    <w:p/>
    <w:p>
      <w:r>
        <w:rPr/>
        <w:t>合同履行期限：合同生效之日起3年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3）具有良好的商业信誉和健全的财务会计制度：供应商必须具有良好的商业信誉和健全的财务会计制度（提供2022年度财务状况报告或2023年至今任意一个月的财务报表或基本开户行出具的资信证明）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采购包1（辅警通租赁）：</w:t>
      </w:r>
      <w:r>
        <w:rPr/>
        <w:t>本采购包不属于专门面向中小企业采购的项目。</w:t>
      </w:r>
    </w:p>
    <w:p>
      <w:pPr>
        <w:jc w:val="left"/>
      </w:pPr>
    </w:p>
    <w:p>
      <w:r>
        <w:rPr/>
        <w:t>采购包2（前端感知设备）：</w:t>
      </w:r>
      <w:r>
        <w:rPr/>
        <w:t>本采购包不属于专门面向中小企业采购的项目。</w:t>
      </w:r>
    </w:p>
    <w:p>
      <w:pPr>
        <w:jc w:val="left"/>
      </w:pPr>
    </w:p>
    <w:p>
      <w:r>
        <w:rPr/>
        <w:t>采购包3（地图应用服务）：</w:t>
      </w:r>
      <w:r>
        <w:rPr/>
        <w:t>本采购包不属于专门面向中小企业采购的项目。</w:t>
      </w:r>
    </w:p>
    <w:p/>
    <w:p>
      <w:r>
        <w:rPr>
          <w:b/>
          <w:sz w:val="24"/>
        </w:rPr>
        <w:t>3.本项目特定的资格要求：</w:t>
      </w:r>
    </w:p>
    <w:p>
      <w:pPr>
        <w:ind w:firstLine="480"/>
      </w:pPr>
    </w:p>
    <w:p/>
    <w:p>
      <w:r>
        <w:rPr/>
        <w:t>采购包1（辅警通租赁）：</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采购包2（前端感知设备）：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采购包3（地图应用服务）：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3)投标人须具有测绘行政主管部门颁发的有效期内的乙级或以上测绘资质证书（提供证书复印件并加盖公章）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http://www.zsxct.com/</w:t>
      </w:r>
    </w:p>
    <w:p>
      <w:r>
        <w:rPr>
          <w:b/>
          <w:sz w:val="28"/>
        </w:rPr>
        <w:t>六.本项目联系方式：</w:t>
      </w:r>
    </w:p>
    <w:p>
      <w:r>
        <w:rPr>
          <w:b/>
          <w:sz w:val="24"/>
        </w:rPr>
        <w:t>1.采购人信息</w:t>
      </w:r>
    </w:p>
    <w:p>
      <w:pPr>
        <w:ind w:firstLine="480"/>
      </w:pPr>
      <w:r>
        <w:rPr/>
        <w:t>名称：</w:t>
      </w:r>
      <w:r>
        <w:rPr/>
        <w:t>中山市公安局</w:t>
      </w:r>
    </w:p>
    <w:p>
      <w:pPr>
        <w:ind w:firstLine="480"/>
      </w:pPr>
      <w:r>
        <w:rPr/>
        <w:t>地址：</w:t>
      </w:r>
      <w:r>
        <w:rPr/>
        <w:t>中山市东区兴中道26号</w:t>
      </w:r>
    </w:p>
    <w:p>
      <w:pPr>
        <w:ind w:firstLine="480"/>
      </w:pPr>
      <w:r>
        <w:rPr/>
        <w:t>联系方式：</w:t>
      </w:r>
      <w:r>
        <w:rPr/>
        <w:t>13590892070</w:t>
      </w:r>
    </w:p>
    <w:p>
      <w:r>
        <w:rPr>
          <w:b/>
          <w:sz w:val="24"/>
        </w:rPr>
        <w:t>2.采购代理机构信息</w:t>
      </w:r>
    </w:p>
    <w:p>
      <w:pPr>
        <w:ind w:firstLine="480"/>
      </w:pPr>
      <w:r>
        <w:rPr/>
        <w:t>名称：</w:t>
      </w:r>
      <w:r>
        <w:rPr/>
        <w:t>中山信诚招标有限公司</w:t>
      </w:r>
    </w:p>
    <w:p>
      <w:pPr>
        <w:ind w:firstLine="480"/>
      </w:pPr>
      <w:r>
        <w:rPr/>
        <w:t>地址：</w:t>
      </w:r>
      <w:r>
        <w:rPr/>
        <w:t>中山市东区东苑路119号（一、二层）</w:t>
      </w:r>
    </w:p>
    <w:p>
      <w:pPr>
        <w:ind w:firstLine="480"/>
      </w:pPr>
      <w:r>
        <w:rPr/>
        <w:t>联系方式：</w:t>
      </w:r>
      <w:r>
        <w:rPr/>
        <w:t>0760-89889135</w:t>
      </w:r>
    </w:p>
    <w:p>
      <w:r>
        <w:rPr>
          <w:b/>
          <w:sz w:val="24"/>
        </w:rPr>
        <w:t>3.项目联系方式</w:t>
      </w:r>
    </w:p>
    <w:p>
      <w:pPr>
        <w:ind w:firstLine="480"/>
      </w:pPr>
      <w:r>
        <w:rPr/>
        <w:t>项目联系人：</w:t>
      </w:r>
      <w:r>
        <w:rPr/>
        <w:t>谢加普</w:t>
      </w:r>
    </w:p>
    <w:p>
      <w:pPr>
        <w:ind w:firstLine="480"/>
      </w:pPr>
      <w:r>
        <w:rPr/>
        <w:t>电话：</w:t>
      </w:r>
      <w:r>
        <w:rPr/>
        <w:t>0760-89889135</w:t>
      </w:r>
    </w:p>
    <w:p>
      <w:r>
        <w:rPr>
          <w:b/>
          <w:sz w:val="24"/>
        </w:rPr>
        <w:t>4.技术支持联系方式</w:t>
      </w:r>
    </w:p>
    <w:p>
      <w:pPr>
        <w:ind w:firstLine="480"/>
      </w:pPr>
      <w:r>
        <w:rPr/>
        <w:t>云平台联系方式：020-88696588</w:t>
      </w:r>
    </w:p>
    <w:p>
      <w:r>
        <w:rPr/>
        <w:t>采购代理机构：</w:t>
      </w:r>
      <w:r>
        <w:rPr/>
        <w:t>中山信诚招标有限公司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w:t>
      </w:r>
      <w:r>
        <w:rPr>
          <w:sz w:val="21"/>
        </w:rPr>
        <w:t>中标人不得以任何方式转包或分包本项目。</w:t>
      </w:r>
    </w:p>
    <w:p>
      <w:pPr>
        <w:jc w:val="both"/>
      </w:pPr>
      <w:r>
        <w:rPr>
          <w:sz w:val="21"/>
        </w:rPr>
        <w:t>2</w:t>
      </w:r>
      <w:r>
        <w:rPr>
          <w:sz w:val="21"/>
        </w:rPr>
        <w:t>、本项目采购包</w:t>
      </w:r>
      <w:r>
        <w:rPr>
          <w:sz w:val="21"/>
        </w:rPr>
        <w:t>1</w:t>
      </w:r>
      <w:r>
        <w:rPr>
          <w:sz w:val="21"/>
        </w:rPr>
        <w:t>和采购包</w:t>
      </w:r>
      <w:r>
        <w:rPr>
          <w:sz w:val="21"/>
        </w:rPr>
        <w:t>2</w:t>
      </w:r>
      <w:r>
        <w:rPr>
          <w:sz w:val="21"/>
        </w:rPr>
        <w:t>的报价为设备的单项报价（报价客户端报单个设备单价），投标人应按照对应采购包的内容或设备名称进行各个设备的单项报价。</w:t>
      </w:r>
    </w:p>
    <w:p>
      <w:pPr>
        <w:jc w:val="both"/>
      </w:pPr>
      <w:r>
        <w:rPr>
          <w:sz w:val="21"/>
        </w:rPr>
        <w:t>3</w:t>
      </w:r>
      <w:r>
        <w:rPr>
          <w:sz w:val="21"/>
        </w:rPr>
        <w:t>、本项目采购包</w:t>
      </w:r>
      <w:r>
        <w:rPr>
          <w:sz w:val="21"/>
        </w:rPr>
        <w:t>1</w:t>
      </w:r>
      <w:r>
        <w:rPr>
          <w:sz w:val="21"/>
        </w:rPr>
        <w:t>和采购包</w:t>
      </w:r>
      <w:r>
        <w:rPr>
          <w:sz w:val="21"/>
        </w:rPr>
        <w:t>2</w:t>
      </w:r>
      <w:r>
        <w:rPr>
          <w:sz w:val="21"/>
        </w:rPr>
        <w:t>所涉及的镇区分局租赁或采购数量均为预测数量，采购数量以镇区分局的实际数量为准。</w:t>
      </w:r>
    </w:p>
    <w:p>
      <w:pPr>
        <w:jc w:val="both"/>
      </w:pPr>
      <w:r>
        <w:rPr>
          <w:sz w:val="21"/>
        </w:rPr>
        <w:t>4</w:t>
      </w:r>
      <w:r>
        <w:rPr>
          <w:sz w:val="21"/>
        </w:rPr>
        <w:t>、本项目采购包</w:t>
      </w:r>
      <w:r>
        <w:rPr>
          <w:sz w:val="21"/>
        </w:rPr>
        <w:t>1</w:t>
      </w:r>
      <w:r>
        <w:rPr>
          <w:sz w:val="21"/>
        </w:rPr>
        <w:t>和采购包</w:t>
      </w:r>
      <w:r>
        <w:rPr>
          <w:sz w:val="21"/>
        </w:rPr>
        <w:t>2</w:t>
      </w:r>
      <w:r>
        <w:rPr>
          <w:sz w:val="21"/>
        </w:rPr>
        <w:t>采购人按照中标人的单价与中标人签订框架合同，中标人与采购人及下属镇区分局签订分项合同。</w:t>
      </w:r>
    </w:p>
    <w:p>
      <w:pPr>
        <w:jc w:val="both"/>
      </w:pPr>
      <w:r>
        <w:rPr>
          <w:sz w:val="21"/>
        </w:rPr>
        <w:t>5</w:t>
      </w:r>
      <w:r>
        <w:rPr>
          <w:sz w:val="21"/>
        </w:rPr>
        <w:t>、采购包</w:t>
      </w:r>
      <w:r>
        <w:rPr>
          <w:sz w:val="21"/>
        </w:rPr>
        <w:t>1</w:t>
      </w:r>
      <w:r>
        <w:rPr>
          <w:sz w:val="21"/>
        </w:rPr>
        <w:t>报价要求：</w:t>
      </w:r>
    </w:p>
    <w:tbl>
      <w:tblPr>
        <w:tblW w:w="0" w:type="auto"/>
        <w:tblBorders>
          <w:top w:val="none" w:color="000000" w:sz="4"/>
          <w:left w:val="none" w:color="000000" w:sz="4"/>
          <w:bottom w:val="none" w:color="000000" w:sz="4"/>
          <w:right w:val="none" w:color="000000" w:sz="4"/>
          <w:insideH w:val="none"/>
          <w:insideV w:val="none"/>
        </w:tblBorders>
      </w:tblPr>
      <w:tblGrid>
        <w:gridCol w:w="780"/>
        <w:gridCol w:w="1178"/>
        <w:gridCol w:w="1060"/>
        <w:gridCol w:w="1354"/>
        <w:gridCol w:w="5993"/>
      </w:tblGrid>
      <w:tr>
        <w:tc>
          <w:tcPr>
            <w:tcW w:type="dxa" w:w="780"/>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178"/>
            <w:tcBorders>
              <w:top w:val="single" w:color="000000" w:sz="4"/>
              <w:left w:val="single" w:color="000000" w:sz="4"/>
              <w:bottom w:val="single" w:color="000000" w:sz="4"/>
              <w:right w:val="single" w:color="000000" w:sz="4"/>
            </w:tcBorders>
            <w:vAlign w:val="top"/>
          </w:tcPr>
          <w:p>
            <w:pPr>
              <w:jc w:val="both"/>
            </w:pPr>
            <w:r>
              <w:rPr>
                <w:sz w:val="21"/>
              </w:rPr>
              <w:t>内容</w:t>
            </w:r>
          </w:p>
        </w:tc>
        <w:tc>
          <w:tcPr>
            <w:tcW w:type="dxa" w:w="1060"/>
            <w:tcBorders>
              <w:top w:val="single" w:color="000000" w:sz="4"/>
              <w:left w:val="single" w:color="000000" w:sz="4"/>
              <w:bottom w:val="single" w:color="000000" w:sz="4"/>
              <w:right w:val="single" w:color="000000" w:sz="4"/>
            </w:tcBorders>
            <w:vAlign w:val="top"/>
          </w:tcPr>
          <w:p>
            <w:pPr>
              <w:jc w:val="both"/>
            </w:pPr>
            <w:r>
              <w:rPr>
                <w:sz w:val="21"/>
              </w:rPr>
              <w:t>单位</w:t>
            </w:r>
          </w:p>
        </w:tc>
        <w:tc>
          <w:tcPr>
            <w:tcW w:type="dxa" w:w="1354"/>
            <w:tcBorders>
              <w:top w:val="single" w:color="000000" w:sz="4"/>
              <w:left w:val="single" w:color="000000" w:sz="4"/>
              <w:bottom w:val="single" w:color="000000" w:sz="4"/>
              <w:right w:val="single" w:color="000000" w:sz="4"/>
            </w:tcBorders>
            <w:vAlign w:val="top"/>
          </w:tcPr>
          <w:p>
            <w:pPr>
              <w:jc w:val="both"/>
            </w:pPr>
            <w:r>
              <w:rPr>
                <w:sz w:val="21"/>
              </w:rPr>
              <w:t>报价上限（</w:t>
            </w:r>
            <w:r>
              <w:rPr>
                <w:sz w:val="21"/>
              </w:rPr>
              <w:t>元</w:t>
            </w:r>
            <w:r>
              <w:rPr>
                <w:sz w:val="21"/>
              </w:rPr>
              <w:t>）</w:t>
            </w:r>
          </w:p>
        </w:tc>
        <w:tc>
          <w:tcPr>
            <w:tcW w:type="dxa" w:w="5993"/>
            <w:tcBorders>
              <w:top w:val="single" w:color="000000" w:sz="4"/>
              <w:left w:val="single" w:color="000000" w:sz="4"/>
              <w:bottom w:val="single" w:color="000000" w:sz="4"/>
              <w:right w:val="single" w:color="000000" w:sz="4"/>
            </w:tcBorders>
            <w:vAlign w:val="top"/>
          </w:tcPr>
          <w:p>
            <w:pPr>
              <w:jc w:val="both"/>
            </w:pPr>
            <w:r>
              <w:rPr>
                <w:sz w:val="21"/>
              </w:rPr>
              <w:t>备注</w:t>
            </w:r>
          </w:p>
        </w:tc>
      </w:tr>
      <w:tr>
        <w:tc>
          <w:tcPr>
            <w:tcW w:type="dxa" w:w="780"/>
            <w:tcBorders>
              <w:top w:val="none" w:color="000000" w:sz="4"/>
              <w:left w:val="single" w:color="000000" w:sz="4"/>
              <w:bottom w:val="single" w:color="000000" w:sz="4"/>
              <w:right w:val="single" w:color="000000" w:sz="4"/>
            </w:tcBorders>
            <w:shd w:fill="FFFFFF"/>
            <w:vAlign w:val="top"/>
          </w:tcPr>
          <w:p>
            <w:pPr>
              <w:jc w:val="both"/>
            </w:pPr>
            <w:r>
              <w:rPr>
                <w:sz w:val="21"/>
              </w:rPr>
              <w:t>1</w:t>
            </w:r>
          </w:p>
        </w:tc>
        <w:tc>
          <w:tcPr>
            <w:tcW w:type="dxa" w:w="1178"/>
            <w:tcBorders>
              <w:top w:val="none" w:color="000000" w:sz="4"/>
              <w:left w:val="single" w:color="000000" w:sz="4"/>
              <w:bottom w:val="single" w:color="000000" w:sz="4"/>
              <w:right w:val="single" w:color="000000" w:sz="4"/>
            </w:tcBorders>
            <w:shd w:fill="FFFFFF"/>
            <w:vAlign w:val="top"/>
          </w:tcPr>
          <w:p>
            <w:pPr>
              <w:jc w:val="both"/>
            </w:pPr>
            <w:r>
              <w:rPr>
                <w:sz w:val="21"/>
              </w:rPr>
              <w:t>辅警通</w:t>
            </w:r>
          </w:p>
        </w:tc>
        <w:tc>
          <w:tcPr>
            <w:tcW w:type="dxa" w:w="1060"/>
            <w:tcBorders>
              <w:top w:val="none" w:color="000000" w:sz="4"/>
              <w:left w:val="single" w:color="000000" w:sz="4"/>
              <w:bottom w:val="single" w:color="000000" w:sz="4"/>
              <w:right w:val="single" w:color="000000" w:sz="4"/>
            </w:tcBorders>
            <w:shd w:fill="FFFFFF"/>
            <w:vAlign w:val="top"/>
          </w:tcPr>
          <w:p>
            <w:pPr>
              <w:jc w:val="both"/>
            </w:pPr>
            <w:r>
              <w:rPr>
                <w:sz w:val="21"/>
              </w:rPr>
              <w:t>户</w:t>
            </w:r>
            <w:r>
              <w:rPr>
                <w:sz w:val="21"/>
              </w:rPr>
              <w:t>/</w:t>
            </w:r>
            <w:r>
              <w:rPr>
                <w:sz w:val="21"/>
              </w:rPr>
              <w:t>月</w:t>
            </w:r>
          </w:p>
        </w:tc>
        <w:tc>
          <w:tcPr>
            <w:tcW w:type="dxa" w:w="1354"/>
            <w:tcBorders>
              <w:top w:val="none" w:color="000000" w:sz="4"/>
              <w:left w:val="single" w:color="000000" w:sz="4"/>
              <w:bottom w:val="single" w:color="000000" w:sz="4"/>
              <w:right w:val="single" w:color="000000" w:sz="4"/>
            </w:tcBorders>
            <w:shd w:fill="FFFFFF"/>
            <w:vAlign w:val="top"/>
          </w:tcPr>
          <w:p>
            <w:pPr>
              <w:jc w:val="both"/>
            </w:pPr>
            <w:r>
              <w:rPr>
                <w:sz w:val="21"/>
              </w:rPr>
              <w:t>158</w:t>
            </w:r>
          </w:p>
        </w:tc>
        <w:tc>
          <w:tcPr>
            <w:tcW w:type="dxa" w:w="5993"/>
            <w:tcBorders>
              <w:top w:val="none" w:color="000000" w:sz="4"/>
              <w:left w:val="single" w:color="000000" w:sz="4"/>
              <w:bottom w:val="single" w:color="000000" w:sz="4"/>
              <w:right w:val="single" w:color="000000" w:sz="4"/>
            </w:tcBorders>
            <w:shd w:fill="FFFFFF"/>
            <w:vAlign w:val="top"/>
          </w:tcPr>
          <w:p>
            <w:pPr>
              <w:jc w:val="both"/>
            </w:pPr>
            <w:r>
              <w:rPr>
                <w:sz w:val="21"/>
              </w:rPr>
              <w:t>租赁明细</w:t>
            </w:r>
            <w:r>
              <w:rPr>
                <w:sz w:val="21"/>
              </w:rPr>
              <w:t>：</w:t>
            </w:r>
            <w:r>
              <w:rPr>
                <w:sz w:val="21"/>
              </w:rPr>
              <w:t>采购包</w:t>
            </w:r>
            <w:r>
              <w:rPr>
                <w:sz w:val="21"/>
              </w:rPr>
              <w:t>1</w:t>
            </w:r>
            <w:r>
              <w:rPr>
                <w:sz w:val="21"/>
              </w:rPr>
              <w:t>用户需求中“一、采购事项”通讯套餐、</w:t>
            </w:r>
            <w:r>
              <w:rPr>
                <w:sz w:val="21"/>
              </w:rPr>
              <w:t>双系统移动终端</w:t>
            </w:r>
            <w:r>
              <w:rPr>
                <w:sz w:val="21"/>
              </w:rPr>
              <w:t>、</w:t>
            </w:r>
            <w:r>
              <w:rPr>
                <w:sz w:val="21"/>
              </w:rPr>
              <w:t>安全加密服务</w:t>
            </w:r>
            <w:r>
              <w:rPr>
                <w:sz w:val="21"/>
              </w:rPr>
              <w:t>、</w:t>
            </w:r>
            <w:r>
              <w:rPr>
                <w:sz w:val="21"/>
              </w:rPr>
              <w:t>MDM</w:t>
            </w:r>
            <w:r>
              <w:rPr>
                <w:sz w:val="21"/>
              </w:rPr>
              <w:t>终端安全管控服务</w:t>
            </w:r>
            <w:r>
              <w:rPr>
                <w:sz w:val="21"/>
              </w:rPr>
              <w:t>、</w:t>
            </w:r>
            <w:r>
              <w:rPr>
                <w:sz w:val="21"/>
              </w:rPr>
              <w:t>终端安装服务</w:t>
            </w:r>
            <w:r>
              <w:rPr>
                <w:sz w:val="21"/>
              </w:rPr>
              <w:t>、</w:t>
            </w:r>
            <w:r>
              <w:rPr>
                <w:sz w:val="21"/>
              </w:rPr>
              <w:t>互联链路</w:t>
            </w:r>
            <w:r>
              <w:rPr>
                <w:sz w:val="21"/>
              </w:rPr>
              <w:t>（按用户数分解）、</w:t>
            </w:r>
            <w:r>
              <w:rPr>
                <w:sz w:val="21"/>
              </w:rPr>
              <w:t>终端维护服务</w:t>
            </w:r>
            <w:r>
              <w:rPr>
                <w:sz w:val="21"/>
              </w:rPr>
              <w:t>（按用户数分解）。</w:t>
            </w:r>
          </w:p>
          <w:p>
            <w:pPr>
              <w:jc w:val="both"/>
            </w:pPr>
            <w:r>
              <w:rPr>
                <w:sz w:val="21"/>
              </w:rPr>
              <w:t>辅警通租赁费用报价不得高于最高限价</w:t>
            </w:r>
            <w:r>
              <w:rPr>
                <w:sz w:val="21"/>
              </w:rPr>
              <w:t>158</w:t>
            </w:r>
            <w:r>
              <w:rPr>
                <w:sz w:val="21"/>
              </w:rPr>
              <w:t>元</w:t>
            </w:r>
            <w:r>
              <w:rPr>
                <w:sz w:val="21"/>
              </w:rPr>
              <w:t>/</w:t>
            </w:r>
            <w:r>
              <w:rPr>
                <w:sz w:val="21"/>
              </w:rPr>
              <w:t>户</w:t>
            </w:r>
            <w:r>
              <w:rPr>
                <w:sz w:val="21"/>
              </w:rPr>
              <w:t>/</w:t>
            </w:r>
            <w:r>
              <w:rPr>
                <w:sz w:val="21"/>
              </w:rPr>
              <w:t>月，否则视为无效投标。</w:t>
            </w:r>
          </w:p>
          <w:p>
            <w:pPr>
              <w:jc w:val="both"/>
            </w:pPr>
            <w:r>
              <w:rPr>
                <w:sz w:val="21"/>
              </w:rPr>
              <w:t>镇区分局租赁数量以实际租赁为准。</w:t>
            </w:r>
          </w:p>
          <w:p>
            <w:pPr>
              <w:jc w:val="both"/>
            </w:pPr>
            <w:r>
              <w:rPr>
                <w:sz w:val="21"/>
              </w:rPr>
              <w:t>本采购包单项报价参与价格评审，单价作为合同单价。</w:t>
            </w:r>
          </w:p>
        </w:tc>
      </w:tr>
    </w:tbl>
    <w:p>
      <w:pPr>
        <w:jc w:val="both"/>
      </w:pPr>
    </w:p>
    <w:p>
      <w:pPr>
        <w:jc w:val="both"/>
      </w:pPr>
      <w:r>
        <w:rPr>
          <w:sz w:val="21"/>
        </w:rPr>
        <w:t>6</w:t>
      </w:r>
      <w:r>
        <w:rPr>
          <w:sz w:val="21"/>
        </w:rPr>
        <w:t>、采购包</w:t>
      </w:r>
      <w:r>
        <w:rPr>
          <w:sz w:val="21"/>
        </w:rPr>
        <w:t>2</w:t>
      </w:r>
      <w:r>
        <w:rPr>
          <w:sz w:val="21"/>
        </w:rPr>
        <w:t>报价要求：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85"/>
        <w:gridCol w:w="926"/>
        <w:gridCol w:w="720"/>
        <w:gridCol w:w="852"/>
        <w:gridCol w:w="1043"/>
        <w:gridCol w:w="867"/>
        <w:gridCol w:w="1396"/>
        <w:gridCol w:w="1205"/>
        <w:gridCol w:w="2822"/>
      </w:tblGrid>
      <w:tr>
        <w:tc>
          <w:tcPr>
            <w:tcW w:type="dxa" w:w="48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926"/>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720"/>
            <w:tcBorders>
              <w:top w:val="single" w:color="000000" w:sz="4"/>
              <w:left w:val="single" w:color="000000" w:sz="4"/>
              <w:bottom w:val="single" w:color="000000" w:sz="4"/>
              <w:right w:val="single" w:color="000000" w:sz="4"/>
            </w:tcBorders>
            <w:vAlign w:val="top"/>
          </w:tcPr>
          <w:p>
            <w:pPr>
              <w:jc w:val="both"/>
            </w:pPr>
            <w:r>
              <w:rPr>
                <w:sz w:val="21"/>
              </w:rPr>
              <w:t>单位</w:t>
            </w:r>
          </w:p>
        </w:tc>
        <w:tc>
          <w:tcPr>
            <w:tcW w:type="dxa" w:w="852"/>
            <w:tcBorders>
              <w:top w:val="single" w:color="000000" w:sz="4"/>
              <w:left w:val="single" w:color="000000" w:sz="4"/>
              <w:bottom w:val="single" w:color="000000" w:sz="4"/>
              <w:right w:val="single" w:color="000000" w:sz="4"/>
            </w:tcBorders>
            <w:vAlign w:val="top"/>
          </w:tcPr>
          <w:p>
            <w:pPr>
              <w:jc w:val="both"/>
            </w:pPr>
            <w:r>
              <w:rPr>
                <w:sz w:val="21"/>
              </w:rPr>
              <w:t>数量（</w:t>
            </w:r>
            <w:r>
              <w:rPr>
                <w:sz w:val="21"/>
              </w:rPr>
              <w:t>A</w:t>
            </w:r>
            <w:r>
              <w:rPr>
                <w:sz w:val="21"/>
              </w:rPr>
              <w:t>）</w:t>
            </w:r>
          </w:p>
        </w:tc>
        <w:tc>
          <w:tcPr>
            <w:tcW w:type="dxa" w:w="1043"/>
            <w:tcBorders>
              <w:top w:val="single" w:color="000000" w:sz="4"/>
              <w:left w:val="single" w:color="000000" w:sz="4"/>
              <w:bottom w:val="single" w:color="000000" w:sz="4"/>
              <w:right w:val="single" w:color="000000" w:sz="4"/>
            </w:tcBorders>
            <w:vAlign w:val="top"/>
          </w:tcPr>
          <w:p>
            <w:pPr>
              <w:jc w:val="both"/>
            </w:pPr>
            <w:r>
              <w:rPr>
                <w:sz w:val="21"/>
              </w:rPr>
              <w:t>报价上限（元）</w:t>
            </w:r>
          </w:p>
        </w:tc>
        <w:tc>
          <w:tcPr>
            <w:tcW w:type="dxa" w:w="867"/>
            <w:tcBorders>
              <w:top w:val="single" w:color="000000" w:sz="4"/>
              <w:left w:val="single" w:color="000000" w:sz="4"/>
              <w:bottom w:val="single" w:color="000000" w:sz="4"/>
              <w:right w:val="single" w:color="000000" w:sz="4"/>
            </w:tcBorders>
            <w:vAlign w:val="top"/>
          </w:tcPr>
          <w:p>
            <w:pPr>
              <w:jc w:val="both"/>
            </w:pPr>
            <w:r>
              <w:rPr>
                <w:sz w:val="21"/>
              </w:rPr>
              <w:t>价格系数（</w:t>
            </w:r>
            <w:r>
              <w:rPr>
                <w:sz w:val="21"/>
              </w:rPr>
              <w:t>P</w:t>
            </w:r>
            <w:r>
              <w:rPr>
                <w:sz w:val="21"/>
              </w:rPr>
              <w:t>）</w:t>
            </w:r>
          </w:p>
        </w:tc>
        <w:tc>
          <w:tcPr>
            <w:tcW w:type="dxa" w:w="1396"/>
            <w:tcBorders>
              <w:top w:val="single" w:color="000000" w:sz="4"/>
              <w:left w:val="single" w:color="000000" w:sz="4"/>
              <w:bottom w:val="single" w:color="000000" w:sz="4"/>
              <w:right w:val="single" w:color="000000" w:sz="4"/>
            </w:tcBorders>
            <w:vAlign w:val="top"/>
          </w:tcPr>
          <w:p>
            <w:pPr>
              <w:jc w:val="both"/>
            </w:pPr>
            <w:r>
              <w:rPr>
                <w:sz w:val="21"/>
              </w:rPr>
              <w:t>投标人设备单价报价</w:t>
            </w:r>
            <w:r>
              <w:rPr>
                <w:sz w:val="21"/>
              </w:rPr>
              <w:t>（</w:t>
            </w:r>
            <w:r>
              <w:rPr>
                <w:sz w:val="21"/>
              </w:rPr>
              <w:t>C</w:t>
            </w:r>
            <w:r>
              <w:rPr>
                <w:sz w:val="21"/>
              </w:rPr>
              <w:t>）</w:t>
            </w:r>
            <w:r>
              <w:rPr>
                <w:sz w:val="21"/>
              </w:rPr>
              <w:t>（元）</w:t>
            </w:r>
          </w:p>
        </w:tc>
        <w:tc>
          <w:tcPr>
            <w:tcW w:type="dxa" w:w="1205"/>
            <w:tcBorders>
              <w:top w:val="single" w:color="000000" w:sz="4"/>
              <w:left w:val="single" w:color="000000" w:sz="4"/>
              <w:bottom w:val="single" w:color="000000" w:sz="4"/>
              <w:right w:val="single" w:color="000000" w:sz="4"/>
            </w:tcBorders>
            <w:vAlign w:val="top"/>
          </w:tcPr>
          <w:p>
            <w:pPr>
              <w:jc w:val="both"/>
            </w:pPr>
            <w:r>
              <w:rPr>
                <w:sz w:val="21"/>
              </w:rPr>
              <w:t>名义投标报价（元）</w:t>
            </w:r>
          </w:p>
        </w:tc>
        <w:tc>
          <w:tcPr>
            <w:tcW w:type="dxa" w:w="2822"/>
            <w:tcBorders>
              <w:top w:val="single" w:color="000000" w:sz="4"/>
              <w:left w:val="single" w:color="000000" w:sz="4"/>
              <w:bottom w:val="single" w:color="000000" w:sz="4"/>
              <w:right w:val="single" w:color="000000" w:sz="4"/>
            </w:tcBorders>
            <w:vAlign w:val="top"/>
          </w:tcPr>
          <w:p>
            <w:pPr>
              <w:jc w:val="both"/>
            </w:pPr>
            <w:r>
              <w:rPr>
                <w:sz w:val="21"/>
              </w:rPr>
              <w:t>备注</w:t>
            </w:r>
          </w:p>
        </w:tc>
      </w:tr>
      <w:tr>
        <w:tc>
          <w:tcPr>
            <w:tcW w:type="dxa" w:w="485"/>
            <w:tcBorders>
              <w:top w:val="none" w:color="000000" w:sz="4"/>
              <w:left w:val="single" w:color="000000" w:sz="4"/>
              <w:bottom w:val="single" w:color="000000" w:sz="4"/>
              <w:right w:val="single" w:color="000000" w:sz="4"/>
            </w:tcBorders>
            <w:shd w:fill="FFFFFF"/>
            <w:vAlign w:val="top"/>
          </w:tcPr>
          <w:p>
            <w:pPr>
              <w:jc w:val="both"/>
            </w:pPr>
            <w:r>
              <w:rPr>
                <w:sz w:val="21"/>
              </w:rPr>
              <w:t>1</w:t>
            </w:r>
          </w:p>
        </w:tc>
        <w:tc>
          <w:tcPr>
            <w:tcW w:type="dxa" w:w="926"/>
            <w:tcBorders>
              <w:top w:val="none" w:color="000000" w:sz="4"/>
              <w:left w:val="single" w:color="000000" w:sz="4"/>
              <w:bottom w:val="single" w:color="000000" w:sz="4"/>
              <w:right w:val="single" w:color="000000" w:sz="4"/>
            </w:tcBorders>
            <w:shd w:fill="FFFFFF"/>
            <w:vAlign w:val="top"/>
          </w:tcPr>
          <w:p>
            <w:pPr>
              <w:jc w:val="both"/>
            </w:pPr>
            <w:r>
              <w:rPr>
                <w:sz w:val="21"/>
              </w:rPr>
              <w:t>移动布控球</w:t>
            </w:r>
          </w:p>
        </w:tc>
        <w:tc>
          <w:tcPr>
            <w:tcW w:type="dxa" w:w="720"/>
            <w:tcBorders>
              <w:top w:val="none" w:color="000000" w:sz="4"/>
              <w:left w:val="single" w:color="000000" w:sz="4"/>
              <w:bottom w:val="single" w:color="000000" w:sz="4"/>
              <w:right w:val="single" w:color="000000" w:sz="4"/>
            </w:tcBorders>
            <w:shd w:fill="FFFFFF"/>
            <w:vAlign w:val="top"/>
          </w:tcPr>
          <w:p>
            <w:pPr>
              <w:jc w:val="both"/>
            </w:pPr>
            <w:r>
              <w:rPr>
                <w:sz w:val="21"/>
              </w:rPr>
              <w:t>台</w:t>
            </w:r>
          </w:p>
        </w:tc>
        <w:tc>
          <w:tcPr>
            <w:tcW w:type="dxa" w:w="852"/>
            <w:tcBorders>
              <w:top w:val="none" w:color="000000" w:sz="4"/>
              <w:left w:val="single" w:color="000000" w:sz="4"/>
              <w:bottom w:val="single" w:color="000000" w:sz="4"/>
              <w:right w:val="single" w:color="000000" w:sz="4"/>
            </w:tcBorders>
            <w:shd w:fill="FFFFFF"/>
            <w:vAlign w:val="top"/>
          </w:tcPr>
          <w:p>
            <w:pPr>
              <w:jc w:val="both"/>
            </w:pPr>
            <w:r>
              <w:rPr>
                <w:sz w:val="21"/>
              </w:rPr>
              <w:t>20</w:t>
            </w:r>
          </w:p>
        </w:tc>
        <w:tc>
          <w:tcPr>
            <w:tcW w:type="dxa" w:w="1043"/>
            <w:tcBorders>
              <w:top w:val="none" w:color="000000" w:sz="4"/>
              <w:left w:val="single" w:color="000000" w:sz="4"/>
              <w:bottom w:val="single" w:color="000000" w:sz="4"/>
              <w:right w:val="single" w:color="000000" w:sz="4"/>
            </w:tcBorders>
            <w:shd w:fill="FFFFFF"/>
            <w:vAlign w:val="top"/>
          </w:tcPr>
          <w:p>
            <w:pPr>
              <w:jc w:val="both"/>
            </w:pPr>
            <w:r>
              <w:rPr>
                <w:sz w:val="21"/>
              </w:rPr>
              <w:t>17325</w:t>
            </w:r>
          </w:p>
        </w:tc>
        <w:tc>
          <w:tcPr>
            <w:tcW w:type="dxa" w:w="867"/>
            <w:tcBorders>
              <w:top w:val="none" w:color="000000" w:sz="4"/>
              <w:left w:val="single" w:color="000000" w:sz="4"/>
              <w:bottom w:val="single" w:color="000000" w:sz="4"/>
              <w:right w:val="single" w:color="000000" w:sz="4"/>
            </w:tcBorders>
            <w:shd w:fill="FFFFFF"/>
            <w:vAlign w:val="top"/>
          </w:tcPr>
          <w:p>
            <w:pPr>
              <w:jc w:val="both"/>
            </w:pPr>
            <w:r>
              <w:rPr>
                <w:sz w:val="21"/>
              </w:rPr>
              <w:t>0.02</w:t>
            </w:r>
          </w:p>
        </w:tc>
        <w:tc>
          <w:tcPr>
            <w:tcW w:type="dxa" w:w="1396"/>
            <w:tcBorders>
              <w:top w:val="none" w:color="000000" w:sz="4"/>
              <w:left w:val="single" w:color="000000" w:sz="4"/>
              <w:bottom w:val="single" w:color="000000" w:sz="4"/>
              <w:right w:val="single" w:color="000000" w:sz="4"/>
            </w:tcBorders>
            <w:shd w:fill="FFFFFF"/>
            <w:vAlign w:val="top"/>
          </w:tcPr>
          <w:p>
            <w:pPr>
              <w:jc w:val="both"/>
            </w:pPr>
          </w:p>
        </w:tc>
        <w:tc>
          <w:tcPr>
            <w:tcW w:type="dxa" w:w="1205"/>
            <w:vMerge w:val="restart"/>
            <w:tcBorders>
              <w:top w:val="none" w:color="000000" w:sz="4"/>
              <w:left w:val="single" w:color="000000" w:sz="4"/>
              <w:bottom w:val="single" w:color="000000" w:sz="4"/>
              <w:right w:val="single" w:color="000000" w:sz="4"/>
            </w:tcBorders>
            <w:shd w:fill="FFFFFF"/>
            <w:vAlign w:val="top"/>
          </w:tcPr>
          <w:p>
            <w:pPr>
              <w:jc w:val="both"/>
            </w:pPr>
          </w:p>
        </w:tc>
        <w:tc>
          <w:tcPr>
            <w:tcW w:type="dxa" w:w="2822"/>
            <w:vMerge w:val="restart"/>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、本采购包投标报价为设备单价，投标人的各项单价报价不得高于各设备的报价上限，否则视为无效投标。</w:t>
            </w:r>
          </w:p>
          <w:p>
            <w:pPr>
              <w:jc w:val="both"/>
            </w:pPr>
            <w:r>
              <w:rPr>
                <w:sz w:val="21"/>
              </w:rPr>
              <w:t>2</w:t>
            </w:r>
            <w:r>
              <w:rPr>
                <w:sz w:val="21"/>
              </w:rPr>
              <w:t>、采购人及其下属镇区分局按照投标人的各个设备单价与中标人签订相关合同。本采购包所涉及的采购数量，均为预测的最高采购数量。</w:t>
            </w:r>
          </w:p>
          <w:p>
            <w:pPr>
              <w:jc w:val="both"/>
            </w:pPr>
            <w:r>
              <w:rPr>
                <w:sz w:val="21"/>
              </w:rPr>
              <w:t>3</w:t>
            </w:r>
            <w:r>
              <w:rPr>
                <w:sz w:val="21"/>
              </w:rPr>
              <w:t>、投标人应结合自身报价，根据下列公式计算名义投标报价，并将本表</w:t>
            </w:r>
            <w:r>
              <w:rPr>
                <w:sz w:val="21"/>
              </w:rPr>
              <w:t>填写后</w:t>
            </w:r>
            <w:r>
              <w:rPr>
                <w:sz w:val="21"/>
              </w:rPr>
              <w:t>附在投标文件中。名义投标报价只参与价格评审，无需在报价客户端填写，只需附在投标文件中。</w:t>
            </w:r>
          </w:p>
          <w:p>
            <w:pPr>
              <w:jc w:val="both"/>
            </w:pPr>
            <w:r>
              <w:rPr>
                <w:sz w:val="21"/>
              </w:rPr>
              <w:t>4</w:t>
            </w:r>
            <w:r>
              <w:rPr>
                <w:sz w:val="21"/>
              </w:rPr>
              <w:t>、名义投标报价（即投标人参与价格评审的价格）</w:t>
            </w:r>
            <w:r>
              <w:rPr>
                <w:sz w:val="21"/>
              </w:rPr>
              <w:t>=A</w:t>
            </w:r>
            <w:r>
              <w:rPr>
                <w:sz w:val="21"/>
              </w:rPr>
              <w:t>1</w:t>
            </w:r>
            <w:r>
              <w:rPr>
                <w:sz w:val="21"/>
              </w:rPr>
              <w:t>·</w:t>
            </w:r>
            <w:r>
              <w:rPr>
                <w:sz w:val="21"/>
              </w:rPr>
              <w:t>C</w:t>
            </w:r>
            <w:r>
              <w:rPr>
                <w:sz w:val="21"/>
              </w:rPr>
              <w:t>1</w:t>
            </w:r>
            <w:r>
              <w:rPr>
                <w:sz w:val="21"/>
              </w:rPr>
              <w:t>·</w:t>
            </w:r>
            <w:r>
              <w:rPr>
                <w:sz w:val="21"/>
              </w:rPr>
              <w:t>P</w:t>
            </w:r>
            <w:r>
              <w:rPr>
                <w:sz w:val="21"/>
              </w:rPr>
              <w:t>1</w:t>
            </w:r>
            <w:r>
              <w:rPr>
                <w:sz w:val="21"/>
              </w:rPr>
              <w:t>+A</w:t>
            </w:r>
            <w:r>
              <w:rPr>
                <w:sz w:val="21"/>
              </w:rPr>
              <w:t>2</w:t>
            </w:r>
            <w:r>
              <w:rPr>
                <w:sz w:val="21"/>
              </w:rPr>
              <w:t>·</w:t>
            </w:r>
            <w:r>
              <w:rPr>
                <w:sz w:val="21"/>
              </w:rPr>
              <w:t>C</w:t>
            </w:r>
            <w:r>
              <w:rPr>
                <w:sz w:val="21"/>
              </w:rPr>
              <w:t>2</w:t>
            </w:r>
            <w:r>
              <w:rPr>
                <w:sz w:val="21"/>
              </w:rPr>
              <w:t>·</w:t>
            </w:r>
            <w:r>
              <w:rPr>
                <w:sz w:val="21"/>
              </w:rPr>
              <w:t>P</w:t>
            </w:r>
            <w:r>
              <w:rPr>
                <w:sz w:val="21"/>
              </w:rPr>
              <w:t>2</w:t>
            </w:r>
            <w:r>
              <w:rPr>
                <w:sz w:val="21"/>
              </w:rPr>
              <w:t>……</w:t>
            </w:r>
            <w:r>
              <w:rPr>
                <w:sz w:val="21"/>
              </w:rPr>
              <w:t>+A</w:t>
            </w:r>
            <w:r>
              <w:rPr>
                <w:sz w:val="21"/>
              </w:rPr>
              <w:t>6</w:t>
            </w:r>
            <w:r>
              <w:rPr>
                <w:sz w:val="21"/>
              </w:rPr>
              <w:t>·</w:t>
            </w:r>
            <w:r>
              <w:rPr>
                <w:sz w:val="21"/>
              </w:rPr>
              <w:t>C</w:t>
            </w:r>
            <w:r>
              <w:rPr>
                <w:sz w:val="21"/>
              </w:rPr>
              <w:t>6</w:t>
            </w:r>
            <w:r>
              <w:rPr>
                <w:sz w:val="21"/>
              </w:rPr>
              <w:t>·</w:t>
            </w:r>
            <w:r>
              <w:rPr>
                <w:sz w:val="21"/>
              </w:rPr>
              <w:t>P</w:t>
            </w:r>
            <w:r>
              <w:rPr>
                <w:sz w:val="21"/>
              </w:rPr>
              <w:t>6</w:t>
            </w:r>
          </w:p>
          <w:p>
            <w:pPr>
              <w:jc w:val="both"/>
            </w:pPr>
            <w:r>
              <w:rPr>
                <w:sz w:val="21"/>
              </w:rPr>
              <w:t>5</w:t>
            </w:r>
            <w:r>
              <w:rPr>
                <w:sz w:val="21"/>
              </w:rPr>
              <w:t>、价格</w:t>
            </w:r>
            <w:r>
              <w:rPr>
                <w:sz w:val="21"/>
              </w:rPr>
              <w:t>得分＝（评标基准价</w:t>
            </w:r>
            <w:r>
              <w:rPr>
                <w:sz w:val="21"/>
              </w:rPr>
              <w:t>/</w:t>
            </w:r>
            <w:r>
              <w:rPr>
                <w:sz w:val="21"/>
              </w:rPr>
              <w:t>名义</w:t>
            </w:r>
            <w:r>
              <w:rPr>
                <w:sz w:val="21"/>
              </w:rPr>
              <w:t>投标报价）</w:t>
            </w:r>
            <w:r>
              <w:rPr>
                <w:sz w:val="21"/>
              </w:rPr>
              <w:t>×价格分值【注：满足招标文件要求且</w:t>
            </w:r>
            <w:r>
              <w:rPr>
                <w:sz w:val="21"/>
              </w:rPr>
              <w:t>名义</w:t>
            </w:r>
            <w:r>
              <w:rPr>
                <w:sz w:val="21"/>
              </w:rPr>
              <w:t>投标价格最低的为评标基准价。】最低报价不是中标的唯一依据。因落实政府采购政策进行价格调整的，以调整后的价格计算评标基准价和</w:t>
            </w:r>
            <w:r>
              <w:rPr>
                <w:sz w:val="21"/>
              </w:rPr>
              <w:t>名义</w:t>
            </w:r>
            <w:r>
              <w:rPr>
                <w:sz w:val="21"/>
              </w:rPr>
              <w:t>投标报价</w:t>
            </w:r>
            <w:r>
              <w:rPr>
                <w:sz w:val="21"/>
              </w:rPr>
              <w:t>。</w:t>
            </w:r>
          </w:p>
          <w:p>
            <w:pPr>
              <w:jc w:val="both"/>
            </w:pPr>
            <w:r>
              <w:rPr>
                <w:sz w:val="21"/>
              </w:rPr>
              <w:t>6</w:t>
            </w:r>
            <w:r>
              <w:rPr>
                <w:sz w:val="21"/>
              </w:rPr>
              <w:t>、本表中的价格系数根据各设备总价占采购包总价的比重的而设定。</w:t>
            </w:r>
          </w:p>
        </w:tc>
      </w:tr>
      <w:tr>
        <w:tc>
          <w:tcPr>
            <w:tcW w:type="dxa" w:w="485"/>
            <w:tcBorders>
              <w:top w:val="none" w:color="000000" w:sz="4"/>
              <w:left w:val="single" w:color="000000" w:sz="4"/>
              <w:bottom w:val="single" w:color="000000" w:sz="4"/>
              <w:right w:val="single" w:color="000000" w:sz="4"/>
            </w:tcBorders>
            <w:shd w:fill="FFFFFF"/>
            <w:vAlign w:val="top"/>
          </w:tcPr>
          <w:p>
            <w:pPr>
              <w:jc w:val="both"/>
            </w:pPr>
            <w:r>
              <w:rPr>
                <w:sz w:val="21"/>
              </w:rPr>
              <w:t>2</w:t>
            </w:r>
          </w:p>
        </w:tc>
        <w:tc>
          <w:tcPr>
            <w:tcW w:type="dxa" w:w="926"/>
            <w:tcBorders>
              <w:top w:val="none" w:color="000000" w:sz="4"/>
              <w:left w:val="single" w:color="000000" w:sz="4"/>
              <w:bottom w:val="single" w:color="000000" w:sz="4"/>
              <w:right w:val="single" w:color="000000" w:sz="4"/>
            </w:tcBorders>
            <w:shd w:fill="FFFFFF"/>
            <w:vAlign w:val="top"/>
          </w:tcPr>
          <w:p>
            <w:pPr>
              <w:jc w:val="both"/>
            </w:pPr>
            <w:r>
              <w:rPr>
                <w:sz w:val="21"/>
              </w:rPr>
              <w:t>车载视频采集设备</w:t>
            </w:r>
          </w:p>
        </w:tc>
        <w:tc>
          <w:tcPr>
            <w:tcW w:type="dxa" w:w="720"/>
            <w:tcBorders>
              <w:top w:val="none" w:color="000000" w:sz="4"/>
              <w:left w:val="single" w:color="000000" w:sz="4"/>
              <w:bottom w:val="single" w:color="000000" w:sz="4"/>
              <w:right w:val="single" w:color="000000" w:sz="4"/>
            </w:tcBorders>
            <w:shd w:fill="FFFFFF"/>
            <w:vAlign w:val="top"/>
          </w:tcPr>
          <w:p>
            <w:pPr>
              <w:jc w:val="both"/>
            </w:pPr>
            <w:r>
              <w:rPr>
                <w:sz w:val="21"/>
              </w:rPr>
              <w:t>套</w:t>
            </w:r>
          </w:p>
        </w:tc>
        <w:tc>
          <w:tcPr>
            <w:tcW w:type="dxa" w:w="852"/>
            <w:tcBorders>
              <w:top w:val="none" w:color="000000" w:sz="4"/>
              <w:left w:val="single" w:color="000000" w:sz="4"/>
              <w:bottom w:val="single" w:color="000000" w:sz="4"/>
              <w:right w:val="single" w:color="000000" w:sz="4"/>
            </w:tcBorders>
            <w:shd w:fill="FFFFFF"/>
            <w:vAlign w:val="top"/>
          </w:tcPr>
          <w:p>
            <w:pPr>
              <w:jc w:val="both"/>
            </w:pPr>
            <w:r>
              <w:rPr>
                <w:sz w:val="21"/>
              </w:rPr>
              <w:t>40</w:t>
            </w:r>
          </w:p>
        </w:tc>
        <w:tc>
          <w:tcPr>
            <w:tcW w:type="dxa" w:w="1043"/>
            <w:tcBorders>
              <w:top w:val="none" w:color="000000" w:sz="4"/>
              <w:left w:val="single" w:color="000000" w:sz="4"/>
              <w:bottom w:val="single" w:color="000000" w:sz="4"/>
              <w:right w:val="single" w:color="000000" w:sz="4"/>
            </w:tcBorders>
            <w:shd w:fill="FFFFFF"/>
            <w:vAlign w:val="top"/>
          </w:tcPr>
          <w:p>
            <w:pPr>
              <w:jc w:val="both"/>
            </w:pPr>
            <w:r>
              <w:rPr>
                <w:sz w:val="21"/>
              </w:rPr>
              <w:t>50000</w:t>
            </w:r>
          </w:p>
        </w:tc>
        <w:tc>
          <w:tcPr>
            <w:tcW w:type="dxa" w:w="867"/>
            <w:tcBorders>
              <w:top w:val="none" w:color="000000" w:sz="4"/>
              <w:left w:val="single" w:color="000000" w:sz="4"/>
              <w:bottom w:val="single" w:color="000000" w:sz="4"/>
              <w:right w:val="single" w:color="000000" w:sz="4"/>
            </w:tcBorders>
            <w:shd w:fill="FFFFFF"/>
            <w:vAlign w:val="top"/>
          </w:tcPr>
          <w:p>
            <w:pPr>
              <w:jc w:val="both"/>
            </w:pPr>
            <w:r>
              <w:rPr>
                <w:sz w:val="21"/>
              </w:rPr>
              <w:t>0.13</w:t>
            </w:r>
          </w:p>
        </w:tc>
        <w:tc>
          <w:tcPr>
            <w:tcW w:type="dxa" w:w="1396"/>
            <w:tcBorders>
              <w:top w:val="none" w:color="000000" w:sz="4"/>
              <w:left w:val="single" w:color="000000" w:sz="4"/>
              <w:bottom w:val="single" w:color="000000" w:sz="4"/>
              <w:right w:val="single" w:color="000000" w:sz="4"/>
            </w:tcBorders>
            <w:shd w:fill="FFFFFF"/>
            <w:vAlign w:val="top"/>
          </w:tcPr>
          <w:p>
            <w:pPr>
              <w:jc w:val="both"/>
            </w:pPr>
          </w:p>
        </w:tc>
      </w:tr>
      <w:tr>
        <w:tc>
          <w:tcPr>
            <w:tcW w:type="dxa" w:w="485"/>
            <w:tcBorders>
              <w:top w:val="none" w:color="000000" w:sz="4"/>
              <w:left w:val="single" w:color="000000" w:sz="4"/>
              <w:bottom w:val="single" w:color="000000" w:sz="4"/>
              <w:right w:val="single" w:color="000000" w:sz="4"/>
            </w:tcBorders>
            <w:shd w:fill="FFFFFF"/>
            <w:vAlign w:val="top"/>
          </w:tcPr>
          <w:p>
            <w:pPr>
              <w:jc w:val="both"/>
            </w:pPr>
            <w:r>
              <w:rPr>
                <w:sz w:val="21"/>
              </w:rPr>
              <w:t>3</w:t>
            </w:r>
          </w:p>
        </w:tc>
        <w:tc>
          <w:tcPr>
            <w:tcW w:type="dxa" w:w="926"/>
            <w:tcBorders>
              <w:top w:val="none" w:color="000000" w:sz="4"/>
              <w:left w:val="single" w:color="000000" w:sz="4"/>
              <w:bottom w:val="single" w:color="000000" w:sz="4"/>
              <w:right w:val="single" w:color="000000" w:sz="4"/>
            </w:tcBorders>
            <w:shd w:fill="FFFFFF"/>
            <w:vAlign w:val="top"/>
          </w:tcPr>
          <w:p>
            <w:pPr>
              <w:jc w:val="both"/>
            </w:pPr>
            <w:r>
              <w:rPr>
                <w:sz w:val="21"/>
              </w:rPr>
              <w:t>执法记录仪</w:t>
            </w:r>
          </w:p>
        </w:tc>
        <w:tc>
          <w:tcPr>
            <w:tcW w:type="dxa" w:w="720"/>
            <w:tcBorders>
              <w:top w:val="none" w:color="000000" w:sz="4"/>
              <w:left w:val="single" w:color="000000" w:sz="4"/>
              <w:bottom w:val="single" w:color="000000" w:sz="4"/>
              <w:right w:val="single" w:color="000000" w:sz="4"/>
            </w:tcBorders>
            <w:shd w:fill="FFFFFF"/>
            <w:vAlign w:val="top"/>
          </w:tcPr>
          <w:p>
            <w:pPr>
              <w:jc w:val="both"/>
            </w:pPr>
            <w:r>
              <w:rPr>
                <w:sz w:val="21"/>
              </w:rPr>
              <w:t>台</w:t>
            </w:r>
          </w:p>
        </w:tc>
        <w:tc>
          <w:tcPr>
            <w:tcW w:type="dxa" w:w="852"/>
            <w:tcBorders>
              <w:top w:val="none" w:color="000000" w:sz="4"/>
              <w:left w:val="single" w:color="000000" w:sz="4"/>
              <w:bottom w:val="single" w:color="000000" w:sz="4"/>
              <w:right w:val="single" w:color="000000" w:sz="4"/>
            </w:tcBorders>
            <w:shd w:fill="FFFFFF"/>
            <w:vAlign w:val="top"/>
          </w:tcPr>
          <w:p>
            <w:pPr>
              <w:jc w:val="both"/>
            </w:pPr>
            <w:r>
              <w:rPr>
                <w:sz w:val="21"/>
              </w:rPr>
              <w:t>2396</w:t>
            </w:r>
          </w:p>
        </w:tc>
        <w:tc>
          <w:tcPr>
            <w:tcW w:type="dxa" w:w="1043"/>
            <w:tcBorders>
              <w:top w:val="none" w:color="000000" w:sz="4"/>
              <w:left w:val="single" w:color="000000" w:sz="4"/>
              <w:bottom w:val="single" w:color="000000" w:sz="4"/>
              <w:right w:val="single" w:color="000000" w:sz="4"/>
            </w:tcBorders>
            <w:shd w:fill="FFFFFF"/>
            <w:vAlign w:val="top"/>
          </w:tcPr>
          <w:p>
            <w:pPr>
              <w:jc w:val="both"/>
            </w:pPr>
            <w:r>
              <w:rPr>
                <w:sz w:val="21"/>
              </w:rPr>
              <w:t>3200</w:t>
            </w:r>
          </w:p>
        </w:tc>
        <w:tc>
          <w:tcPr>
            <w:tcW w:type="dxa" w:w="867"/>
            <w:tcBorders>
              <w:top w:val="none" w:color="000000" w:sz="4"/>
              <w:left w:val="single" w:color="000000" w:sz="4"/>
              <w:bottom w:val="single" w:color="000000" w:sz="4"/>
              <w:right w:val="single" w:color="000000" w:sz="4"/>
            </w:tcBorders>
            <w:shd w:fill="FFFFFF"/>
            <w:vAlign w:val="top"/>
          </w:tcPr>
          <w:p>
            <w:pPr>
              <w:jc w:val="both"/>
            </w:pPr>
            <w:r>
              <w:rPr>
                <w:sz w:val="21"/>
              </w:rPr>
              <w:t>0.49</w:t>
            </w:r>
          </w:p>
        </w:tc>
        <w:tc>
          <w:tcPr>
            <w:tcW w:type="dxa" w:w="1396"/>
            <w:tcBorders>
              <w:top w:val="none" w:color="000000" w:sz="4"/>
              <w:left w:val="single" w:color="000000" w:sz="4"/>
              <w:bottom w:val="single" w:color="000000" w:sz="4"/>
              <w:right w:val="single" w:color="000000" w:sz="4"/>
            </w:tcBorders>
            <w:shd w:fill="FFFFFF"/>
            <w:vAlign w:val="top"/>
          </w:tcPr>
          <w:p>
            <w:pPr>
              <w:jc w:val="both"/>
            </w:pPr>
          </w:p>
        </w:tc>
      </w:tr>
      <w:tr>
        <w:tc>
          <w:tcPr>
            <w:tcW w:type="dxa" w:w="485"/>
            <w:tcBorders>
              <w:top w:val="none" w:color="000000" w:sz="4"/>
              <w:left w:val="single" w:color="000000" w:sz="4"/>
              <w:bottom w:val="single" w:color="000000" w:sz="4"/>
              <w:right w:val="single" w:color="000000" w:sz="4"/>
            </w:tcBorders>
            <w:shd w:fill="FFFFFF"/>
            <w:vAlign w:val="top"/>
          </w:tcPr>
          <w:p>
            <w:pPr>
              <w:jc w:val="both"/>
            </w:pPr>
            <w:r>
              <w:rPr>
                <w:sz w:val="21"/>
              </w:rPr>
              <w:t>4</w:t>
            </w:r>
          </w:p>
        </w:tc>
        <w:tc>
          <w:tcPr>
            <w:tcW w:type="dxa" w:w="926"/>
            <w:tcBorders>
              <w:top w:val="none" w:color="000000" w:sz="4"/>
              <w:left w:val="single" w:color="000000" w:sz="4"/>
              <w:bottom w:val="single" w:color="000000" w:sz="4"/>
              <w:right w:val="single" w:color="000000" w:sz="4"/>
            </w:tcBorders>
            <w:shd w:fill="FFFFFF"/>
            <w:vAlign w:val="top"/>
          </w:tcPr>
          <w:p>
            <w:pPr>
              <w:jc w:val="both"/>
            </w:pPr>
            <w:r>
              <w:rPr>
                <w:sz w:val="21"/>
              </w:rPr>
              <w:t>采集工作站</w:t>
            </w:r>
          </w:p>
        </w:tc>
        <w:tc>
          <w:tcPr>
            <w:tcW w:type="dxa" w:w="720"/>
            <w:tcBorders>
              <w:top w:val="none" w:color="000000" w:sz="4"/>
              <w:left w:val="single" w:color="000000" w:sz="4"/>
              <w:bottom w:val="single" w:color="000000" w:sz="4"/>
              <w:right w:val="single" w:color="000000" w:sz="4"/>
            </w:tcBorders>
            <w:shd w:fill="FFFFFF"/>
            <w:vAlign w:val="top"/>
          </w:tcPr>
          <w:p>
            <w:pPr>
              <w:jc w:val="both"/>
            </w:pPr>
            <w:r>
              <w:rPr>
                <w:sz w:val="21"/>
              </w:rPr>
              <w:t>台</w:t>
            </w:r>
          </w:p>
        </w:tc>
        <w:tc>
          <w:tcPr>
            <w:tcW w:type="dxa" w:w="852"/>
            <w:tcBorders>
              <w:top w:val="none" w:color="000000" w:sz="4"/>
              <w:left w:val="single" w:color="000000" w:sz="4"/>
              <w:bottom w:val="single" w:color="000000" w:sz="4"/>
              <w:right w:val="single" w:color="000000" w:sz="4"/>
            </w:tcBorders>
            <w:shd w:fill="FFFFFF"/>
            <w:vAlign w:val="top"/>
          </w:tcPr>
          <w:p>
            <w:pPr>
              <w:jc w:val="both"/>
            </w:pPr>
            <w:r>
              <w:rPr>
                <w:sz w:val="21"/>
              </w:rPr>
              <w:t>83</w:t>
            </w:r>
          </w:p>
        </w:tc>
        <w:tc>
          <w:tcPr>
            <w:tcW w:type="dxa" w:w="1043"/>
            <w:tcBorders>
              <w:top w:val="none" w:color="000000" w:sz="4"/>
              <w:left w:val="single" w:color="000000" w:sz="4"/>
              <w:bottom w:val="single" w:color="000000" w:sz="4"/>
              <w:right w:val="single" w:color="000000" w:sz="4"/>
            </w:tcBorders>
            <w:shd w:fill="FFFFFF"/>
            <w:vAlign w:val="top"/>
          </w:tcPr>
          <w:p>
            <w:pPr>
              <w:jc w:val="both"/>
            </w:pPr>
            <w:r>
              <w:rPr>
                <w:sz w:val="21"/>
              </w:rPr>
              <w:t>13000</w:t>
            </w:r>
          </w:p>
        </w:tc>
        <w:tc>
          <w:tcPr>
            <w:tcW w:type="dxa" w:w="867"/>
            <w:tcBorders>
              <w:top w:val="none" w:color="000000" w:sz="4"/>
              <w:left w:val="single" w:color="000000" w:sz="4"/>
              <w:bottom w:val="single" w:color="000000" w:sz="4"/>
              <w:right w:val="single" w:color="000000" w:sz="4"/>
            </w:tcBorders>
            <w:shd w:fill="FFFFFF"/>
            <w:vAlign w:val="top"/>
          </w:tcPr>
          <w:p>
            <w:pPr>
              <w:jc w:val="both"/>
            </w:pPr>
            <w:r>
              <w:rPr>
                <w:sz w:val="21"/>
              </w:rPr>
              <w:t>0.07</w:t>
            </w:r>
          </w:p>
        </w:tc>
        <w:tc>
          <w:tcPr>
            <w:tcW w:type="dxa" w:w="1396"/>
            <w:tcBorders>
              <w:top w:val="none" w:color="000000" w:sz="4"/>
              <w:left w:val="single" w:color="000000" w:sz="4"/>
              <w:bottom w:val="single" w:color="000000" w:sz="4"/>
              <w:right w:val="single" w:color="000000" w:sz="4"/>
            </w:tcBorders>
            <w:shd w:fill="FFFFFF"/>
            <w:vAlign w:val="top"/>
          </w:tcPr>
          <w:p>
            <w:pPr>
              <w:jc w:val="both"/>
            </w:pPr>
          </w:p>
        </w:tc>
      </w:tr>
      <w:tr>
        <w:tc>
          <w:tcPr>
            <w:tcW w:type="dxa" w:w="485"/>
            <w:tcBorders>
              <w:top w:val="none" w:color="000000" w:sz="4"/>
              <w:left w:val="single" w:color="000000" w:sz="4"/>
              <w:bottom w:val="single" w:color="000000" w:sz="4"/>
              <w:right w:val="single" w:color="000000" w:sz="4"/>
            </w:tcBorders>
            <w:shd w:fill="FFFFFF"/>
            <w:vAlign w:val="top"/>
          </w:tcPr>
          <w:p>
            <w:pPr>
              <w:jc w:val="both"/>
            </w:pPr>
            <w:r>
              <w:rPr>
                <w:sz w:val="21"/>
              </w:rPr>
              <w:t>5</w:t>
            </w:r>
          </w:p>
        </w:tc>
        <w:tc>
          <w:tcPr>
            <w:tcW w:type="dxa" w:w="926"/>
            <w:tcBorders>
              <w:top w:val="none" w:color="000000" w:sz="4"/>
              <w:left w:val="single" w:color="000000" w:sz="4"/>
              <w:bottom w:val="single" w:color="000000" w:sz="4"/>
              <w:right w:val="single" w:color="000000" w:sz="4"/>
            </w:tcBorders>
            <w:shd w:fill="FFFFFF"/>
            <w:vAlign w:val="top"/>
          </w:tcPr>
          <w:p>
            <w:pPr>
              <w:jc w:val="both"/>
            </w:pPr>
            <w:r>
              <w:rPr>
                <w:sz w:val="21"/>
              </w:rPr>
              <w:t>350M</w:t>
            </w:r>
            <w:r>
              <w:rPr>
                <w:sz w:val="21"/>
              </w:rPr>
              <w:t>手持</w:t>
            </w:r>
            <w:r>
              <w:rPr>
                <w:sz w:val="21"/>
              </w:rPr>
              <w:t>数字集群对讲机</w:t>
            </w:r>
          </w:p>
        </w:tc>
        <w:tc>
          <w:tcPr>
            <w:tcW w:type="dxa" w:w="720"/>
            <w:tcBorders>
              <w:top w:val="none" w:color="000000" w:sz="4"/>
              <w:left w:val="single" w:color="000000" w:sz="4"/>
              <w:bottom w:val="single" w:color="000000" w:sz="4"/>
              <w:right w:val="single" w:color="000000" w:sz="4"/>
            </w:tcBorders>
            <w:shd w:fill="FFFFFF"/>
            <w:vAlign w:val="top"/>
          </w:tcPr>
          <w:p>
            <w:pPr>
              <w:jc w:val="both"/>
            </w:pPr>
            <w:r>
              <w:rPr>
                <w:sz w:val="21"/>
              </w:rPr>
              <w:t>台</w:t>
            </w:r>
          </w:p>
        </w:tc>
        <w:tc>
          <w:tcPr>
            <w:tcW w:type="dxa" w:w="852"/>
            <w:tcBorders>
              <w:top w:val="none" w:color="000000" w:sz="4"/>
              <w:left w:val="single" w:color="000000" w:sz="4"/>
              <w:bottom w:val="single" w:color="000000" w:sz="4"/>
              <w:right w:val="single" w:color="000000" w:sz="4"/>
            </w:tcBorders>
            <w:shd w:fill="FFFFFF"/>
            <w:vAlign w:val="top"/>
          </w:tcPr>
          <w:p>
            <w:pPr>
              <w:jc w:val="both"/>
            </w:pPr>
            <w:r>
              <w:rPr>
                <w:sz w:val="21"/>
              </w:rPr>
              <w:t>608</w:t>
            </w:r>
          </w:p>
        </w:tc>
        <w:tc>
          <w:tcPr>
            <w:tcW w:type="dxa" w:w="1043"/>
            <w:tcBorders>
              <w:top w:val="none" w:color="000000" w:sz="4"/>
              <w:left w:val="single" w:color="000000" w:sz="4"/>
              <w:bottom w:val="single" w:color="000000" w:sz="4"/>
              <w:right w:val="single" w:color="000000" w:sz="4"/>
            </w:tcBorders>
            <w:shd w:fill="FFFFFF"/>
            <w:vAlign w:val="top"/>
          </w:tcPr>
          <w:p>
            <w:pPr>
              <w:jc w:val="both"/>
            </w:pPr>
            <w:r>
              <w:rPr>
                <w:sz w:val="21"/>
              </w:rPr>
              <w:t>4500</w:t>
            </w:r>
          </w:p>
        </w:tc>
        <w:tc>
          <w:tcPr>
            <w:tcW w:type="dxa" w:w="867"/>
            <w:tcBorders>
              <w:top w:val="none" w:color="000000" w:sz="4"/>
              <w:left w:val="single" w:color="000000" w:sz="4"/>
              <w:bottom w:val="single" w:color="000000" w:sz="4"/>
              <w:right w:val="single" w:color="000000" w:sz="4"/>
            </w:tcBorders>
            <w:shd w:fill="FFFFFF"/>
            <w:vAlign w:val="top"/>
          </w:tcPr>
          <w:p>
            <w:pPr>
              <w:jc w:val="both"/>
            </w:pPr>
            <w:r>
              <w:rPr>
                <w:sz w:val="21"/>
              </w:rPr>
              <w:t>0.17</w:t>
            </w:r>
          </w:p>
        </w:tc>
        <w:tc>
          <w:tcPr>
            <w:tcW w:type="dxa" w:w="1396"/>
            <w:tcBorders>
              <w:top w:val="none" w:color="000000" w:sz="4"/>
              <w:left w:val="single" w:color="000000" w:sz="4"/>
              <w:bottom w:val="single" w:color="000000" w:sz="4"/>
              <w:right w:val="single" w:color="000000" w:sz="4"/>
            </w:tcBorders>
            <w:shd w:fill="FFFFFF"/>
            <w:vAlign w:val="top"/>
          </w:tcPr>
          <w:p>
            <w:pPr>
              <w:jc w:val="both"/>
            </w:pPr>
          </w:p>
        </w:tc>
      </w:tr>
      <w:tr>
        <w:tc>
          <w:tcPr>
            <w:tcW w:type="dxa" w:w="485"/>
            <w:tcBorders>
              <w:top w:val="none" w:color="000000" w:sz="4"/>
              <w:left w:val="single" w:color="000000" w:sz="4"/>
              <w:bottom w:val="single" w:color="000000" w:sz="4"/>
              <w:right w:val="single" w:color="000000" w:sz="4"/>
            </w:tcBorders>
            <w:shd w:fill="FFFFFF"/>
            <w:vAlign w:val="top"/>
          </w:tcPr>
          <w:p>
            <w:pPr>
              <w:jc w:val="both"/>
            </w:pPr>
            <w:r>
              <w:rPr>
                <w:sz w:val="21"/>
              </w:rPr>
              <w:t>6</w:t>
            </w:r>
          </w:p>
        </w:tc>
        <w:tc>
          <w:tcPr>
            <w:tcW w:type="dxa" w:w="926"/>
            <w:tcBorders>
              <w:top w:val="none" w:color="000000" w:sz="4"/>
              <w:left w:val="single" w:color="000000" w:sz="4"/>
              <w:bottom w:val="single" w:color="000000" w:sz="4"/>
              <w:right w:val="single" w:color="000000" w:sz="4"/>
            </w:tcBorders>
            <w:shd w:fill="FFFFFF"/>
            <w:vAlign w:val="top"/>
          </w:tcPr>
          <w:p>
            <w:pPr>
              <w:jc w:val="both"/>
            </w:pPr>
            <w:r>
              <w:rPr>
                <w:sz w:val="21"/>
              </w:rPr>
              <w:t>350M</w:t>
            </w:r>
            <w:r>
              <w:rPr>
                <w:sz w:val="21"/>
              </w:rPr>
              <w:t>车载</w:t>
            </w:r>
            <w:r>
              <w:rPr>
                <w:sz w:val="21"/>
              </w:rPr>
              <w:t>数字集群对讲机</w:t>
            </w:r>
          </w:p>
        </w:tc>
        <w:tc>
          <w:tcPr>
            <w:tcW w:type="dxa" w:w="720"/>
            <w:tcBorders>
              <w:top w:val="none" w:color="000000" w:sz="4"/>
              <w:left w:val="single" w:color="000000" w:sz="4"/>
              <w:bottom w:val="single" w:color="000000" w:sz="4"/>
              <w:right w:val="single" w:color="000000" w:sz="4"/>
            </w:tcBorders>
            <w:shd w:fill="FFFFFF"/>
            <w:vAlign w:val="top"/>
          </w:tcPr>
          <w:p>
            <w:pPr>
              <w:jc w:val="both"/>
            </w:pPr>
            <w:r>
              <w:rPr>
                <w:sz w:val="21"/>
              </w:rPr>
              <w:t>台</w:t>
            </w:r>
          </w:p>
        </w:tc>
        <w:tc>
          <w:tcPr>
            <w:tcW w:type="dxa" w:w="852"/>
            <w:tcBorders>
              <w:top w:val="none" w:color="000000" w:sz="4"/>
              <w:left w:val="single" w:color="000000" w:sz="4"/>
              <w:bottom w:val="single" w:color="000000" w:sz="4"/>
              <w:right w:val="single" w:color="000000" w:sz="4"/>
            </w:tcBorders>
            <w:shd w:fill="FFFFFF"/>
            <w:vAlign w:val="top"/>
          </w:tcPr>
          <w:p>
            <w:pPr>
              <w:jc w:val="both"/>
            </w:pPr>
            <w:r>
              <w:rPr>
                <w:sz w:val="21"/>
              </w:rPr>
              <w:t>371</w:t>
            </w:r>
          </w:p>
        </w:tc>
        <w:tc>
          <w:tcPr>
            <w:tcW w:type="dxa" w:w="1043"/>
            <w:tcBorders>
              <w:top w:val="none" w:color="000000" w:sz="4"/>
              <w:left w:val="single" w:color="000000" w:sz="4"/>
              <w:bottom w:val="single" w:color="000000" w:sz="4"/>
              <w:right w:val="single" w:color="000000" w:sz="4"/>
            </w:tcBorders>
            <w:shd w:fill="FFFFFF"/>
            <w:vAlign w:val="top"/>
          </w:tcPr>
          <w:p>
            <w:pPr>
              <w:jc w:val="both"/>
            </w:pPr>
            <w:r>
              <w:rPr>
                <w:sz w:val="21"/>
              </w:rPr>
              <w:t>5300</w:t>
            </w:r>
          </w:p>
        </w:tc>
        <w:tc>
          <w:tcPr>
            <w:tcW w:type="dxa" w:w="867"/>
            <w:tcBorders>
              <w:top w:val="none" w:color="000000" w:sz="4"/>
              <w:left w:val="single" w:color="000000" w:sz="4"/>
              <w:bottom w:val="single" w:color="000000" w:sz="4"/>
              <w:right w:val="single" w:color="000000" w:sz="4"/>
            </w:tcBorders>
            <w:shd w:fill="FFFFFF"/>
            <w:vAlign w:val="top"/>
          </w:tcPr>
          <w:p>
            <w:pPr>
              <w:jc w:val="both"/>
            </w:pPr>
            <w:r>
              <w:rPr>
                <w:sz w:val="21"/>
              </w:rPr>
              <w:t>0.12</w:t>
            </w:r>
          </w:p>
        </w:tc>
        <w:tc>
          <w:tcPr>
            <w:tcW w:type="dxa" w:w="1396"/>
            <w:tcBorders>
              <w:top w:val="none" w:color="000000" w:sz="4"/>
              <w:left w:val="single" w:color="000000" w:sz="4"/>
              <w:bottom w:val="single" w:color="000000" w:sz="4"/>
              <w:right w:val="single" w:color="000000" w:sz="4"/>
            </w:tcBorders>
            <w:shd w:fill="FFFFFF"/>
            <w:vAlign w:val="top"/>
          </w:tcPr>
          <w:p>
            <w:pPr>
              <w:jc w:val="both"/>
            </w:pPr>
          </w:p>
        </w:tc>
      </w:tr>
    </w:tbl>
    <w:p>
      <w:pPr>
        <w:jc w:val="both"/>
      </w:pPr>
    </w:p>
    <w:p>
      <w:pPr>
        <w:jc w:val="both"/>
      </w:pPr>
      <w:r>
        <w:rPr>
          <w:sz w:val="21"/>
        </w:rPr>
        <w:t>7</w:t>
      </w:r>
      <w:r>
        <w:rPr>
          <w:sz w:val="21"/>
        </w:rPr>
        <w:t>、采购包</w:t>
      </w:r>
      <w:r>
        <w:rPr>
          <w:sz w:val="21"/>
        </w:rPr>
        <w:t>3</w:t>
      </w:r>
      <w:r>
        <w:rPr>
          <w:sz w:val="21"/>
        </w:rPr>
        <w:t>报价要求：</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873"/>
        <w:gridCol w:w="2043"/>
        <w:gridCol w:w="1391"/>
        <w:gridCol w:w="1895"/>
        <w:gridCol w:w="4145"/>
      </w:tblGrid>
      <w:tr>
        <w:tc>
          <w:tcPr>
            <w:tcW w:type="dxa" w:w="873"/>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043"/>
            <w:tcBorders>
              <w:top w:val="single" w:color="000000" w:sz="4"/>
              <w:left w:val="none" w:color="000000" w:sz="4"/>
              <w:bottom w:val="single" w:color="000000" w:sz="4"/>
              <w:right w:val="single" w:color="000000" w:sz="4"/>
            </w:tcBorders>
            <w:vAlign w:val="top"/>
          </w:tcPr>
          <w:p>
            <w:pPr>
              <w:jc w:val="both"/>
            </w:pPr>
            <w:r>
              <w:rPr>
                <w:sz w:val="21"/>
              </w:rPr>
              <w:t>内容</w:t>
            </w:r>
          </w:p>
        </w:tc>
        <w:tc>
          <w:tcPr>
            <w:tcW w:type="dxa" w:w="1391"/>
            <w:tcBorders>
              <w:top w:val="single" w:color="000000" w:sz="4"/>
              <w:left w:val="none" w:color="000000" w:sz="4"/>
              <w:bottom w:val="single" w:color="000000" w:sz="4"/>
              <w:right w:val="single" w:color="000000" w:sz="4"/>
            </w:tcBorders>
            <w:vAlign w:val="top"/>
          </w:tcPr>
          <w:p>
            <w:pPr>
              <w:jc w:val="both"/>
            </w:pPr>
            <w:r>
              <w:rPr>
                <w:sz w:val="21"/>
              </w:rPr>
              <w:t>单位</w:t>
            </w:r>
          </w:p>
        </w:tc>
        <w:tc>
          <w:tcPr>
            <w:tcW w:type="dxa" w:w="1895"/>
            <w:tcBorders>
              <w:top w:val="single" w:color="000000" w:sz="4"/>
              <w:left w:val="none" w:color="000000" w:sz="4"/>
              <w:bottom w:val="single" w:color="000000" w:sz="4"/>
              <w:right w:val="single" w:color="000000" w:sz="4"/>
            </w:tcBorders>
            <w:vAlign w:val="top"/>
          </w:tcPr>
          <w:p>
            <w:pPr>
              <w:jc w:val="both"/>
            </w:pPr>
            <w:r>
              <w:rPr>
                <w:sz w:val="21"/>
              </w:rPr>
              <w:t>报价上限（元）</w:t>
            </w:r>
          </w:p>
        </w:tc>
        <w:tc>
          <w:tcPr>
            <w:tcW w:type="dxa" w:w="4145"/>
            <w:tcBorders>
              <w:top w:val="single" w:color="000000" w:sz="4"/>
              <w:left w:val="none" w:color="000000" w:sz="4"/>
              <w:bottom w:val="single" w:color="000000" w:sz="4"/>
              <w:right w:val="single" w:color="000000" w:sz="4"/>
            </w:tcBorders>
            <w:vAlign w:val="top"/>
          </w:tcPr>
          <w:p>
            <w:pPr>
              <w:jc w:val="both"/>
            </w:pPr>
            <w:r>
              <w:rPr>
                <w:sz w:val="21"/>
              </w:rPr>
              <w:t>备注</w:t>
            </w:r>
          </w:p>
        </w:tc>
      </w:tr>
      <w:tr>
        <w:tc>
          <w:tcPr>
            <w:tcW w:type="dxa" w:w="873"/>
            <w:tcBorders>
              <w:top w:val="none" w:color="000000" w:sz="4"/>
              <w:left w:val="single" w:color="000000" w:sz="4"/>
              <w:bottom w:val="single" w:color="000000" w:sz="4"/>
              <w:right w:val="single" w:color="000000" w:sz="4"/>
            </w:tcBorders>
            <w:shd w:fill="FFFFFF"/>
            <w:vAlign w:val="top"/>
          </w:tcPr>
          <w:p>
            <w:pPr>
              <w:jc w:val="both"/>
            </w:pPr>
            <w:r>
              <w:rPr>
                <w:sz w:val="21"/>
              </w:rPr>
              <w:t>1</w:t>
            </w:r>
          </w:p>
        </w:tc>
        <w:tc>
          <w:tcPr>
            <w:tcW w:type="dxa" w:w="2043"/>
            <w:tcBorders>
              <w:top w:val="none" w:color="000000" w:sz="4"/>
              <w:left w:val="none" w:color="000000" w:sz="4"/>
              <w:bottom w:val="single" w:color="000000" w:sz="4"/>
              <w:right w:val="single" w:color="000000" w:sz="4"/>
            </w:tcBorders>
            <w:shd w:fill="FFFFFF"/>
            <w:vAlign w:val="top"/>
          </w:tcPr>
          <w:p>
            <w:pPr>
              <w:jc w:val="both"/>
            </w:pPr>
            <w:r>
              <w:rPr>
                <w:sz w:val="21"/>
              </w:rPr>
              <w:t>地图应用服务</w:t>
            </w:r>
          </w:p>
        </w:tc>
        <w:tc>
          <w:tcPr>
            <w:tcW w:type="dxa" w:w="1391"/>
            <w:tcBorders>
              <w:top w:val="none" w:color="000000" w:sz="4"/>
              <w:left w:val="none" w:color="000000" w:sz="4"/>
              <w:bottom w:val="single" w:color="000000" w:sz="4"/>
              <w:right w:val="single" w:color="000000" w:sz="4"/>
            </w:tcBorders>
            <w:shd w:fill="FFFFFF"/>
            <w:vAlign w:val="top"/>
          </w:tcPr>
          <w:p>
            <w:pPr>
              <w:jc w:val="both"/>
            </w:pPr>
            <w:r>
              <w:rPr>
                <w:sz w:val="21"/>
              </w:rPr>
              <w:t>项</w:t>
            </w:r>
          </w:p>
        </w:tc>
        <w:tc>
          <w:tcPr>
            <w:tcW w:type="dxa" w:w="1895"/>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,700,000</w:t>
            </w:r>
          </w:p>
        </w:tc>
        <w:tc>
          <w:tcPr>
            <w:tcW w:type="dxa" w:w="4145"/>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采购包</w:t>
            </w:r>
            <w:r>
              <w:rPr>
                <w:sz w:val="21"/>
              </w:rPr>
              <w:t>3</w:t>
            </w:r>
            <w:r>
              <w:rPr>
                <w:sz w:val="21"/>
              </w:rPr>
              <w:t>报价为总价。</w:t>
            </w:r>
          </w:p>
          <w:p>
            <w:pPr>
              <w:jc w:val="both"/>
            </w:pPr>
            <w:r>
              <w:rPr>
                <w:sz w:val="21"/>
              </w:rPr>
              <w:t>2.</w:t>
            </w:r>
            <w:r>
              <w:rPr>
                <w:sz w:val="21"/>
              </w:rPr>
              <w:t>投标报价不得高于</w:t>
            </w:r>
            <w:r>
              <w:rPr>
                <w:sz w:val="21"/>
              </w:rPr>
              <w:t>报价上限</w:t>
            </w:r>
            <w:r>
              <w:rPr>
                <w:sz w:val="21"/>
              </w:rPr>
              <w:t>，否则视为无效投标。</w:t>
            </w:r>
          </w:p>
        </w:tc>
      </w:tr>
    </w:tbl>
    <w:p>
      <w:pPr>
        <w:jc w:val="both"/>
      </w:pPr>
    </w:p>
    <w:p>
      <w:pPr>
        <w:jc w:val="both"/>
      </w:pPr>
    </w:p>
    <w:p>
      <w:pPr>
        <w:jc w:val="both"/>
      </w:pPr>
    </w:p>
    <w:p/>
    <w:p>
      <w:pPr>
        <w:ind w:firstLine="480"/>
      </w:pPr>
    </w:p>
    <w:p/>
    <w:p>
      <w:r>
        <w:rPr/>
        <w:t>采购包1（辅警通租赁）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签订分项合同起安排备货，确保30个日历日内交付项目采购的各项内容，服务期36个月。</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32%,中山市公安局及各镇区分局与中标人分项合同签订并完成交付验收后，支付相应分项合同款总额的32%。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2期：支付比例17%,2024年上半年支付合同款总额的17%。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3期：支付比例17%,2024年下半年支付合同款总额的17%。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4期：支付比例17%,2025年上半年支付合同款总额的17%。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5期：支付比例17%,2025年下半年支付合同款总额的17%。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tc>
      </w:tr>
      <w:tr>
        <w:tc>
          <w:tcPr>
            <w:tcW w:type="dxa" w:w="4153"/>
          </w:tcPr>
          <w:p>
            <w:r>
              <w:rPr/>
              <w:t>验收要求</w:t>
            </w:r>
          </w:p>
        </w:tc>
        <w:tc>
          <w:tcPr>
            <w:tcW w:type="dxa" w:w="4153"/>
          </w:tcPr>
          <w:p/>
          <w:p/>
          <w:p/>
          <w:p>
            <w:r>
              <w:rPr/>
              <w:t>1期：1．项目验收：项目完成实施，即所有服务开通后，开展项目验收。中标人应负责在项目验收时将系统的全部有关产品说明书、安装手册、技术文件、资料、及安装、验收报告等文档汇集成册交付设备使用单位，配合验收工作。 2．中标人应根据招标文件的需求结合实际情况，在投标时提交所投产品的详细技术方案和详细的安装方案和供货清单。同时要给出售后服务方案、培训计划等。 3．整个项目的验收包括检查是否实现了采购人在招标文件中所要求的需求，是否与中标人提出的解决方案中既定目标完全一致。 4．本项目的验收由采购人组织。验收工作由采购人和中标人共同进行。在验收时，中标人应向采购人提供本项目的相关资料，按采购人提出的方式验收。由采购人对本项目的功能、质量、规格、数量、和其他相关项目进行检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其他，1.中山市公安局及下属镇区分局有权根据本项目采购结果，按照单价和中标人签订分项合同，租赁服务期自分项合同签订并通过验收之日起算，租赁服务期为36个月。 2.投标报价应包括：货物（或服务）及零配件的购置、运输保险、装卸、安装（含安装所需材料）、调试、质保期售后服务、技术培训费（包括技术资料的提供等）、各项措施费、税费等完成招标内容所需的一切费用。招标代理机构和采购人不接受只对本项目招标设备或服务的部分投标。 3.投标人如没有在投标文件中注明偏离（文字说明或在技术、商务对比表中注明）的参数、配置、条款被视为投标人完全接受（本招标文件）。</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其他租赁服务</w:t>
            </w:r>
          </w:p>
        </w:tc>
        <w:tc>
          <w:tcPr>
            <w:tcW w:type="dxa" w:w="831"/>
          </w:tcPr>
          <w:p>
            <w:pPr>
              <w:jc w:val="left"/>
            </w:pPr>
            <w:r>
              <w:rPr/>
              <w:t>辅警通租赁</w:t>
            </w:r>
          </w:p>
        </w:tc>
        <w:tc>
          <w:tcPr>
            <w:tcW w:type="dxa" w:w="831"/>
          </w:tcPr>
          <w:p>
            <w:pPr>
              <w:jc w:val="left"/>
            </w:pPr>
            <w:r>
              <w:rPr/>
              <w:t>项</w:t>
            </w:r>
          </w:p>
        </w:tc>
        <w:tc>
          <w:tcPr>
            <w:tcW w:type="dxa" w:w="831"/>
          </w:tcPr>
          <w:p>
            <w:pPr>
              <w:jc w:val="right"/>
            </w:pPr>
            <w:r>
              <w:rPr/>
              <w:t>1.00</w:t>
            </w:r>
          </w:p>
        </w:tc>
        <w:tc>
          <w:tcPr>
            <w:tcW w:type="dxa" w:w="831"/>
          </w:tcPr>
          <w:p>
            <w:pPr>
              <w:jc w:val="right"/>
            </w:pPr>
            <w:r>
              <w:rPr/>
              <w:t>9,897,120.00</w:t>
            </w:r>
          </w:p>
        </w:tc>
        <w:tc>
          <w:tcPr>
            <w:tcW w:type="dxa" w:w="831"/>
          </w:tcPr>
          <w:p>
            <w:pPr>
              <w:jc w:val="right"/>
            </w:pPr>
            <w:r>
              <w:rPr/>
              <w:t>9,897,120.00</w:t>
            </w:r>
          </w:p>
        </w:tc>
        <w:tc>
          <w:tcPr>
            <w:tcW w:type="dxa" w:w="831"/>
          </w:tcPr>
          <w:p>
            <w:r>
              <w:rPr/>
              <w:t>软件和信息技术服务业</w:t>
            </w:r>
          </w:p>
        </w:tc>
        <w:tc>
          <w:tcPr>
            <w:tcW w:type="dxa" w:w="831"/>
          </w:tcPr>
          <w:p>
            <w:r>
              <w:rPr/>
              <w:t>详见附表一</w:t>
            </w:r>
          </w:p>
        </w:tc>
      </w:tr>
    </w:tbl>
    <w:p/>
    <w:p>
      <w:r>
        <w:rPr>
          <w:b/>
        </w:rPr>
        <w:t>附表</w:t>
      </w:r>
      <w:r>
        <w:rPr>
          <w:b/>
        </w:rPr>
        <w:t>一</w:t>
      </w:r>
      <w:r>
        <w:rPr>
          <w:b/>
        </w:rPr>
        <w:t>：</w:t>
      </w:r>
      <w:r>
        <w:rPr>
          <w:b/>
        </w:rPr>
        <w:t>辅警通租赁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8"/>
              </w:rPr>
              <w:t>一、</w:t>
            </w:r>
            <w:r>
              <w:rPr>
                <w:b/>
                <w:sz w:val="28"/>
              </w:rPr>
              <w:t>采购事项</w:t>
            </w:r>
          </w:p>
          <w:p>
            <w:pPr>
              <w:ind w:firstLine="420"/>
              <w:jc w:val="both"/>
            </w:pPr>
            <w:r>
              <w:rPr>
                <w:sz w:val="21"/>
              </w:rPr>
              <w:t>1、本租赁项目预算均用于</w:t>
            </w:r>
            <w:r>
              <w:rPr>
                <w:sz w:val="21"/>
              </w:rPr>
              <w:t>辅警通</w:t>
            </w:r>
            <w:r>
              <w:rPr>
                <w:sz w:val="21"/>
              </w:rPr>
              <w:t>租赁</w:t>
            </w:r>
            <w:r>
              <w:rPr>
                <w:sz w:val="21"/>
              </w:rPr>
              <w:t>服务</w:t>
            </w:r>
            <w:r>
              <w:rPr>
                <w:sz w:val="21"/>
              </w:rPr>
              <w:t>，需求如下表：</w:t>
            </w:r>
          </w:p>
          <w:tbl>
            <w:tblPr>
              <w:tblBorders>
                <w:top w:val="none" w:color="000000" w:sz="4"/>
                <w:left w:val="none" w:color="000000" w:sz="4"/>
                <w:bottom w:val="none" w:color="000000" w:sz="4"/>
                <w:right w:val="none" w:color="000000" w:sz="4"/>
                <w:insideH w:val="none"/>
                <w:insideV w:val="none"/>
              </w:tblBorders>
            </w:tblPr>
            <w:tblGrid>
              <w:gridCol w:w="683"/>
              <w:gridCol w:w="831"/>
              <w:gridCol w:w="3209"/>
              <w:gridCol w:w="589"/>
              <w:gridCol w:w="726"/>
              <w:gridCol w:w="925"/>
            </w:tblGrid>
            <w:tr>
              <w:tc>
                <w:tcPr>
                  <w:tcW w:type="dxa" w:w="6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31"/>
                  <w:tcBorders>
                    <w:top w:val="single" w:color="000000" w:sz="4"/>
                    <w:left w:val="single" w:color="000000" w:sz="4"/>
                    <w:bottom w:val="single" w:color="000000" w:sz="4"/>
                    <w:right w:val="single" w:color="000000" w:sz="4"/>
                  </w:tcBorders>
                  <w:vAlign w:val="top"/>
                </w:tcPr>
                <w:p>
                  <w:pPr>
                    <w:jc w:val="center"/>
                  </w:pPr>
                  <w:r>
                    <w:rPr>
                      <w:b/>
                      <w:sz w:val="21"/>
                    </w:rPr>
                    <w:t>服务名称</w:t>
                  </w:r>
                </w:p>
              </w:tc>
              <w:tc>
                <w:tcPr>
                  <w:tcW w:type="dxa" w:w="3209"/>
                  <w:tcBorders>
                    <w:top w:val="single" w:color="000000" w:sz="4"/>
                    <w:left w:val="single" w:color="000000" w:sz="4"/>
                    <w:bottom w:val="single" w:color="000000" w:sz="4"/>
                    <w:right w:val="single" w:color="000000" w:sz="4"/>
                  </w:tcBorders>
                  <w:vAlign w:val="top"/>
                </w:tcPr>
                <w:p>
                  <w:pPr>
                    <w:jc w:val="center"/>
                  </w:pPr>
                  <w:r>
                    <w:rPr>
                      <w:b/>
                      <w:sz w:val="21"/>
                    </w:rPr>
                    <w:t>具体内容</w:t>
                  </w:r>
                </w:p>
              </w:tc>
              <w:tc>
                <w:tcPr>
                  <w:tcW w:type="dxa" w:w="589"/>
                  <w:tcBorders>
                    <w:top w:val="single" w:color="000000" w:sz="4"/>
                    <w:left w:val="single" w:color="000000" w:sz="4"/>
                    <w:bottom w:val="single" w:color="000000" w:sz="4"/>
                    <w:right w:val="single" w:color="000000" w:sz="4"/>
                  </w:tcBorders>
                  <w:vAlign w:val="top"/>
                </w:tcPr>
                <w:p>
                  <w:pPr>
                    <w:jc w:val="center"/>
                  </w:pPr>
                  <w:r>
                    <w:rPr>
                      <w:b/>
                      <w:sz w:val="21"/>
                    </w:rPr>
                    <w:t>服务</w:t>
                  </w:r>
                  <w:r>
                    <w:rPr>
                      <w:b/>
                      <w:sz w:val="21"/>
                    </w:rPr>
                    <w:t xml:space="preserve"> </w:t>
                  </w:r>
                  <w:r>
                    <w:rPr>
                      <w:b/>
                      <w:sz w:val="21"/>
                    </w:rPr>
                    <w:t>时间</w:t>
                  </w:r>
                </w:p>
              </w:tc>
              <w:tc>
                <w:tcPr>
                  <w:tcW w:type="dxa" w:w="726"/>
                  <w:tcBorders>
                    <w:top w:val="single" w:color="000000" w:sz="4"/>
                    <w:left w:val="single" w:color="000000" w:sz="4"/>
                    <w:bottom w:val="single" w:color="000000" w:sz="4"/>
                    <w:right w:val="single" w:color="000000" w:sz="4"/>
                  </w:tcBorders>
                  <w:vAlign w:val="top"/>
                </w:tcPr>
                <w:p>
                  <w:pPr>
                    <w:jc w:val="center"/>
                  </w:pPr>
                  <w:r>
                    <w:rPr>
                      <w:b/>
                      <w:sz w:val="21"/>
                    </w:rPr>
                    <w:t>中山市公安局租赁</w:t>
                  </w:r>
                  <w:r>
                    <w:rPr>
                      <w:b/>
                      <w:sz w:val="21"/>
                    </w:rPr>
                    <w:t xml:space="preserve"> </w:t>
                  </w:r>
                  <w:r>
                    <w:rPr>
                      <w:b/>
                      <w:sz w:val="21"/>
                    </w:rPr>
                    <w:t>数量</w:t>
                  </w:r>
                </w:p>
              </w:tc>
              <w:tc>
                <w:tcPr>
                  <w:tcW w:type="dxa" w:w="925"/>
                  <w:tcBorders>
                    <w:top w:val="single" w:color="000000" w:sz="4"/>
                    <w:left w:val="single" w:color="000000" w:sz="4"/>
                    <w:bottom w:val="single" w:color="000000" w:sz="4"/>
                    <w:right w:val="single" w:color="000000" w:sz="4"/>
                  </w:tcBorders>
                  <w:vAlign w:val="top"/>
                </w:tcPr>
                <w:p>
                  <w:pPr>
                    <w:jc w:val="center"/>
                  </w:pPr>
                  <w:r>
                    <w:rPr>
                      <w:b/>
                      <w:sz w:val="21"/>
                    </w:rPr>
                    <w:t>镇区分局</w:t>
                  </w:r>
                  <w:r>
                    <w:rPr>
                      <w:b/>
                      <w:sz w:val="21"/>
                    </w:rPr>
                    <w:t xml:space="preserve">    </w:t>
                  </w:r>
                  <w:r>
                    <w:rPr>
                      <w:b/>
                      <w:sz w:val="21"/>
                    </w:rPr>
                    <w:t>租赁数量（分局采购数量以实际为准）</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通讯套餐</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1、终端3</w:t>
                  </w:r>
                  <w:r>
                    <w:rPr>
                      <w:sz w:val="21"/>
                    </w:rPr>
                    <w:t>6</w:t>
                  </w:r>
                  <w:r>
                    <w:rPr>
                      <w:sz w:val="21"/>
                    </w:rPr>
                    <w:t>个月</w:t>
                  </w:r>
                  <w:r>
                    <w:rPr>
                      <w:sz w:val="21"/>
                    </w:rPr>
                    <w:t>5G通信流信费用。每月通话不少于</w:t>
                  </w:r>
                  <w:r>
                    <w:rPr>
                      <w:sz w:val="21"/>
                    </w:rPr>
                    <w:t>6</w:t>
                  </w:r>
                  <w:r>
                    <w:rPr>
                      <w:sz w:val="21"/>
                    </w:rPr>
                    <w:t>00分钟，100条短信，</w:t>
                  </w:r>
                  <w:r>
                    <w:rPr>
                      <w:sz w:val="21"/>
                    </w:rPr>
                    <w:t>15</w:t>
                  </w:r>
                  <w:r>
                    <w:rPr>
                      <w:sz w:val="21"/>
                    </w:rPr>
                    <w:t>G互联网流量、</w:t>
                  </w:r>
                  <w:r>
                    <w:rPr>
                      <w:sz w:val="21"/>
                    </w:rPr>
                    <w:t>15</w:t>
                  </w:r>
                  <w:r>
                    <w:rPr>
                      <w:sz w:val="21"/>
                    </w:rPr>
                    <w:t>G移动警务专网流量(全局用户专网流量形成流量池，各用户从流量池中使用专网流量)。当月互联网流量、专网流量未用完则结转下个月使用。</w:t>
                  </w:r>
                  <w:r>
                    <w:rPr>
                      <w:sz w:val="21"/>
                    </w:rPr>
                    <w:t>本采购包</w:t>
                  </w:r>
                  <w:r>
                    <w:rPr>
                      <w:sz w:val="21"/>
                    </w:rPr>
                    <w:t>辅警通</w:t>
                  </w:r>
                  <w:r>
                    <w:rPr>
                      <w:sz w:val="21"/>
                    </w:rPr>
                    <w:t>号码</w:t>
                  </w:r>
                  <w:r>
                    <w:rPr>
                      <w:sz w:val="21"/>
                    </w:rPr>
                    <w:t>之间</w:t>
                  </w:r>
                  <w:r>
                    <w:rPr>
                      <w:sz w:val="21"/>
                    </w:rPr>
                    <w:t>互打免费。</w:t>
                  </w:r>
                </w:p>
                <w:p>
                  <w:pPr>
                    <w:jc w:val="left"/>
                  </w:pPr>
                  <w:r>
                    <w:rPr>
                      <w:sz w:val="21"/>
                    </w:rPr>
                    <w:t>★</w:t>
                  </w:r>
                  <w:r>
                    <w:rPr>
                      <w:sz w:val="21"/>
                    </w:rPr>
                    <w:t>2、投标人须承诺，</w:t>
                  </w:r>
                  <w:r>
                    <w:rPr>
                      <w:sz w:val="21"/>
                    </w:rPr>
                    <w:t>如中标本项目但项目到期未中标后续项目，根据</w:t>
                  </w:r>
                  <w:r>
                    <w:rPr>
                      <w:sz w:val="21"/>
                    </w:rPr>
                    <w:t>采购人</w:t>
                  </w:r>
                  <w:r>
                    <w:rPr>
                      <w:sz w:val="21"/>
                    </w:rPr>
                    <w:t>要求无条件按照相关法规将所提供本项目的移动通信号码转网其他运营商。</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70套</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1670套</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双系统移动终端</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w:t>
                  </w:r>
                  <w:r>
                    <w:rPr>
                      <w:sz w:val="21"/>
                    </w:rPr>
                    <w:t>1</w:t>
                  </w:r>
                  <w:r>
                    <w:rPr>
                      <w:sz w:val="21"/>
                    </w:rPr>
                    <w:t>、</w:t>
                  </w:r>
                  <w:r>
                    <w:rPr>
                      <w:sz w:val="21"/>
                    </w:rPr>
                    <w:t>满足公安部《智能手机型移动警务终端第</w:t>
                  </w:r>
                  <w:r>
                    <w:rPr>
                      <w:sz w:val="21"/>
                    </w:rPr>
                    <w:t>1部分技术要求》（GA/T1466.1-2018）</w:t>
                  </w:r>
                  <w:r>
                    <w:rPr>
                      <w:sz w:val="21"/>
                    </w:rPr>
                    <w:t>技术要求和公安部对移动警务安全隐患整改要求。</w:t>
                  </w:r>
                  <w:r>
                    <w:rPr>
                      <w:sz w:val="21"/>
                    </w:rPr>
                    <w:t>提供报告日期为</w:t>
                  </w:r>
                  <w:r>
                    <w:rPr>
                      <w:sz w:val="21"/>
                    </w:rPr>
                    <w:t>2022年11月15日之后的公安部安全和警用电子产品质量检测中心检验报告复印件；如提供2022年11月15日及之前的公安部安全和警用电子产品质量检测中心检验报告复印件，需有针对上述安全隐患整改的补充检测报告复印件</w:t>
                  </w:r>
                  <w:r>
                    <w:rPr>
                      <w:sz w:val="21"/>
                    </w:rPr>
                    <w:t>。</w:t>
                  </w:r>
                </w:p>
                <w:p>
                  <w:pPr>
                    <w:jc w:val="left"/>
                  </w:pPr>
                  <w:r>
                    <w:rPr>
                      <w:sz w:val="21"/>
                    </w:rPr>
                    <w:t>2、</w:t>
                  </w:r>
                  <w:r>
                    <w:rPr>
                      <w:sz w:val="21"/>
                    </w:rPr>
                    <w:t>性能要求详见本需求书</w:t>
                  </w:r>
                  <w:r>
                    <w:rPr>
                      <w:sz w:val="21"/>
                    </w:rPr>
                    <w:t>“</w:t>
                  </w:r>
                  <w:r>
                    <w:rPr>
                      <w:sz w:val="21"/>
                    </w:rPr>
                    <w:t>三</w:t>
                  </w:r>
                  <w:r>
                    <w:rPr>
                      <w:sz w:val="21"/>
                    </w:rPr>
                    <w:t>、项目服务需求</w:t>
                  </w:r>
                  <w:r>
                    <w:rPr>
                      <w:sz w:val="21"/>
                    </w:rPr>
                    <w:t>”</w:t>
                  </w:r>
                  <w:r>
                    <w:rPr>
                      <w:sz w:val="21"/>
                    </w:rPr>
                    <w:t>。</w:t>
                  </w:r>
                </w:p>
                <w:p>
                  <w:pPr>
                    <w:jc w:val="left"/>
                  </w:pPr>
                  <w:r>
                    <w:rPr>
                      <w:sz w:val="21"/>
                    </w:rPr>
                    <w:t>3、</w:t>
                  </w:r>
                  <w:r>
                    <w:rPr>
                      <w:sz w:val="21"/>
                    </w:rPr>
                    <w:t>终端均需含原装充电器、充电线。</w:t>
                  </w:r>
                </w:p>
                <w:p>
                  <w:pPr>
                    <w:jc w:val="left"/>
                  </w:pPr>
                  <w:r>
                    <w:rPr>
                      <w:sz w:val="21"/>
                    </w:rPr>
                    <w:t>4、</w:t>
                  </w:r>
                  <w:r>
                    <w:rPr>
                      <w:sz w:val="21"/>
                    </w:rPr>
                    <w:t>为每个</w:t>
                  </w:r>
                  <w:r>
                    <w:rPr>
                      <w:sz w:val="21"/>
                    </w:rPr>
                    <w:t>分项合同所租赁的终端</w:t>
                  </w:r>
                  <w:r>
                    <w:rPr>
                      <w:sz w:val="21"/>
                    </w:rPr>
                    <w:t>提供免费</w:t>
                  </w:r>
                  <w:r>
                    <w:rPr>
                      <w:sz w:val="21"/>
                    </w:rPr>
                    <w:t>原装</w:t>
                  </w:r>
                  <w:r>
                    <w:rPr>
                      <w:sz w:val="21"/>
                    </w:rPr>
                    <w:t>屏幕修复服务，</w:t>
                  </w:r>
                  <w:r>
                    <w:rPr>
                      <w:sz w:val="21"/>
                    </w:rPr>
                    <w:t>总</w:t>
                  </w:r>
                  <w:r>
                    <w:rPr>
                      <w:sz w:val="21"/>
                    </w:rPr>
                    <w:t>数量</w:t>
                  </w:r>
                  <w:r>
                    <w:rPr>
                      <w:sz w:val="21"/>
                    </w:rPr>
                    <w:t>不超过</w:t>
                  </w:r>
                  <w:r>
                    <w:rPr>
                      <w:sz w:val="21"/>
                    </w:rPr>
                    <w:t>该</w:t>
                  </w:r>
                  <w:r>
                    <w:rPr>
                      <w:sz w:val="21"/>
                    </w:rPr>
                    <w:t>分项</w:t>
                  </w:r>
                  <w:r>
                    <w:rPr>
                      <w:sz w:val="21"/>
                    </w:rPr>
                    <w:t>合同所约定</w:t>
                  </w:r>
                  <w:r>
                    <w:rPr>
                      <w:sz w:val="21"/>
                    </w:rPr>
                    <w:t>租赁终端数量</w:t>
                  </w:r>
                  <w:r>
                    <w:rPr>
                      <w:sz w:val="21"/>
                    </w:rPr>
                    <w:t>的</w:t>
                  </w:r>
                  <w:r>
                    <w:rPr>
                      <w:sz w:val="21"/>
                    </w:rPr>
                    <w:t>3</w:t>
                  </w:r>
                  <w:r>
                    <w:rPr>
                      <w:sz w:val="21"/>
                    </w:rPr>
                    <w:t>%（不满</w:t>
                  </w:r>
                  <w:r>
                    <w:rPr>
                      <w:sz w:val="21"/>
                    </w:rPr>
                    <w:t>1</w:t>
                  </w:r>
                  <w:r>
                    <w:rPr>
                      <w:sz w:val="21"/>
                    </w:rPr>
                    <w:t>个</w:t>
                  </w:r>
                  <w:r>
                    <w:rPr>
                      <w:sz w:val="21"/>
                    </w:rPr>
                    <w:t>需向上折算成</w:t>
                  </w:r>
                  <w:r>
                    <w:rPr>
                      <w:sz w:val="21"/>
                    </w:rPr>
                    <w:t>1</w:t>
                  </w:r>
                  <w:r>
                    <w:rPr>
                      <w:sz w:val="21"/>
                    </w:rPr>
                    <w:t>个</w:t>
                  </w:r>
                  <w:r>
                    <w:rPr>
                      <w:sz w:val="21"/>
                    </w:rPr>
                    <w:t>）。</w:t>
                  </w:r>
                  <w:r>
                    <w:rPr>
                      <w:sz w:val="21"/>
                    </w:rPr>
                    <w:t>每台终端</w:t>
                  </w:r>
                  <w:r>
                    <w:rPr>
                      <w:sz w:val="21"/>
                    </w:rPr>
                    <w:t>免费更换</w:t>
                  </w:r>
                  <w:r>
                    <w:rPr>
                      <w:sz w:val="21"/>
                    </w:rPr>
                    <w:t>原装</w:t>
                  </w:r>
                  <w:r>
                    <w:rPr>
                      <w:sz w:val="21"/>
                    </w:rPr>
                    <w:t>电池</w:t>
                  </w:r>
                  <w:r>
                    <w:rPr>
                      <w:sz w:val="21"/>
                    </w:rPr>
                    <w:t>1次</w:t>
                  </w:r>
                  <w:r>
                    <w:rPr>
                      <w:sz w:val="21"/>
                    </w:rPr>
                    <w:t>，配套</w:t>
                  </w:r>
                  <w:r>
                    <w:rPr>
                      <w:sz w:val="21"/>
                    </w:rPr>
                    <w:t>UV光固化</w:t>
                  </w:r>
                  <w:r>
                    <w:rPr>
                      <w:sz w:val="21"/>
                    </w:rPr>
                    <w:t>钢化膜、带四角气泡手机保护壳。</w:t>
                  </w:r>
                  <w:r>
                    <w:rPr>
                      <w:sz w:val="21"/>
                    </w:rPr>
                    <w:t>租赁期内软硬件免费维保服务（维修时，需免费提供同型号或符合要求更高型号备用机）。</w:t>
                  </w:r>
                  <w:r>
                    <w:rPr>
                      <w:sz w:val="21"/>
                    </w:rPr>
                    <w:t>租赁</w:t>
                  </w:r>
                  <w:r>
                    <w:rPr>
                      <w:sz w:val="21"/>
                    </w:rPr>
                    <w:t>服务期满后终端自然报废，不回收。</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70台</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1670台</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安全加密服务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性能要求详见需求书</w:t>
                  </w:r>
                  <w:r>
                    <w:rPr>
                      <w:sz w:val="21"/>
                    </w:rPr>
                    <w:t>“</w:t>
                  </w:r>
                  <w:r>
                    <w:rPr>
                      <w:sz w:val="21"/>
                    </w:rPr>
                    <w:t>三</w:t>
                  </w:r>
                  <w:r>
                    <w:rPr>
                      <w:sz w:val="21"/>
                    </w:rPr>
                    <w:t>、项目服务需求</w:t>
                  </w:r>
                  <w:r>
                    <w:rPr>
                      <w:sz w:val="21"/>
                    </w:rPr>
                    <w:t>”</w:t>
                  </w:r>
                  <w:r>
                    <w:rPr>
                      <w:sz w:val="21"/>
                    </w:rPr>
                    <w:t>，</w:t>
                  </w:r>
                  <w:r>
                    <w:rPr>
                      <w:sz w:val="21"/>
                    </w:rPr>
                    <w:t>租赁</w:t>
                  </w:r>
                  <w:r>
                    <w:rPr>
                      <w:sz w:val="21"/>
                    </w:rPr>
                    <w:t>服务期满后自然报废，不回收。</w:t>
                  </w:r>
                  <w:r>
                    <w:rPr>
                      <w:sz w:val="21"/>
                    </w:rPr>
                    <w:t>租赁期内</w:t>
                  </w:r>
                  <w:r>
                    <w:rPr>
                      <w:sz w:val="21"/>
                    </w:rPr>
                    <w:t>提供</w:t>
                  </w:r>
                  <w:r>
                    <w:rPr>
                      <w:sz w:val="21"/>
                    </w:rPr>
                    <w:t>免费维保</w:t>
                  </w:r>
                  <w:r>
                    <w:rPr>
                      <w:sz w:val="21"/>
                    </w:rPr>
                    <w:t>和升级</w:t>
                  </w:r>
                  <w:r>
                    <w:rPr>
                      <w:sz w:val="21"/>
                    </w:rPr>
                    <w:t>服务</w:t>
                  </w:r>
                  <w:r>
                    <w:rPr>
                      <w:sz w:val="21"/>
                    </w:rPr>
                    <w:t>，</w:t>
                  </w:r>
                  <w:r>
                    <w:rPr>
                      <w:sz w:val="21"/>
                    </w:rPr>
                    <w:t>可与广东省公安厅安全接入平台进行身份认证。</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70个</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1670个</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MDM终端安全管控服务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性能要求详见本需求书</w:t>
                  </w:r>
                  <w:r>
                    <w:rPr>
                      <w:sz w:val="21"/>
                    </w:rPr>
                    <w:t>“</w:t>
                  </w:r>
                  <w:r>
                    <w:rPr>
                      <w:sz w:val="21"/>
                    </w:rPr>
                    <w:t>三</w:t>
                  </w:r>
                  <w:r>
                    <w:rPr>
                      <w:sz w:val="21"/>
                    </w:rPr>
                    <w:t>、项目服务需求</w:t>
                  </w:r>
                  <w:r>
                    <w:rPr>
                      <w:sz w:val="21"/>
                    </w:rPr>
                    <w:t>”</w:t>
                  </w:r>
                  <w:r>
                    <w:rPr>
                      <w:sz w:val="21"/>
                    </w:rPr>
                    <w:t>，租赁期内免费维保</w:t>
                  </w:r>
                  <w:r>
                    <w:rPr>
                      <w:sz w:val="21"/>
                    </w:rPr>
                    <w:t>和升级</w:t>
                  </w:r>
                  <w:r>
                    <w:rPr>
                      <w:sz w:val="21"/>
                    </w:rPr>
                    <w:t>服务</w:t>
                  </w:r>
                  <w:r>
                    <w:rPr>
                      <w:sz w:val="21"/>
                    </w:rPr>
                    <w:t>，</w:t>
                  </w:r>
                  <w:r>
                    <w:rPr>
                      <w:sz w:val="21"/>
                    </w:rPr>
                    <w:t>满足公安部、广东省公安厅对终端管控要求。</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70套</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1670套</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终端安装服务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移动终端安装、调试（刷</w:t>
                  </w:r>
                  <w:r>
                    <w:rPr>
                      <w:sz w:val="21"/>
                    </w:rPr>
                    <w:t>Rom、制作加密卡、设置拨号帐号、APP程序等）。</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70个</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1670个</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终端维护服务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建设期（合同签订到完成内部验收）内，提供</w:t>
                  </w:r>
                  <w:r>
                    <w:rPr>
                      <w:sz w:val="21"/>
                    </w:rPr>
                    <w:t>1</w:t>
                  </w:r>
                  <w:r>
                    <w:rPr>
                      <w:sz w:val="21"/>
                    </w:rPr>
                    <w:t>名项目经理、</w:t>
                  </w:r>
                  <w:r>
                    <w:rPr>
                      <w:sz w:val="21"/>
                    </w:rPr>
                    <w:t>2</w:t>
                  </w:r>
                  <w:r>
                    <w:rPr>
                      <w:sz w:val="21"/>
                    </w:rPr>
                    <w:t>名或以上驻场工程师。</w:t>
                  </w:r>
                </w:p>
                <w:p>
                  <w:pPr>
                    <w:jc w:val="left"/>
                  </w:pPr>
                  <w:r>
                    <w:rPr>
                      <w:sz w:val="21"/>
                    </w:rPr>
                    <w:t>2</w:t>
                  </w:r>
                  <w:r>
                    <w:rPr>
                      <w:sz w:val="21"/>
                    </w:rPr>
                    <w:t>、</w:t>
                  </w:r>
                  <w:r>
                    <w:rPr>
                      <w:sz w:val="21"/>
                    </w:rPr>
                    <w:t>租赁期（验收完成之日起至合同结束）内，提供</w:t>
                  </w:r>
                  <w:r>
                    <w:rPr>
                      <w:sz w:val="21"/>
                    </w:rPr>
                    <w:t>1</w:t>
                  </w:r>
                  <w:r>
                    <w:rPr>
                      <w:sz w:val="21"/>
                    </w:rPr>
                    <w:t>个工程师现场驻点服务，驻点人员需信息化相关专业、半年以上相关工作经验。（如遇系统重大故障、升级、改造，中标人需提供足够应急处置人员直至任务完成）</w:t>
                  </w:r>
                </w:p>
                <w:p>
                  <w:pPr>
                    <w:jc w:val="left"/>
                  </w:pPr>
                  <w:r>
                    <w:rPr>
                      <w:sz w:val="21"/>
                    </w:rPr>
                    <w:t>3</w:t>
                  </w:r>
                  <w:r>
                    <w:rPr>
                      <w:sz w:val="21"/>
                    </w:rPr>
                    <w:t>、提供平台定期巡检、故障检查、故障诊断、数据整理、数据备份迁移、服务联调等工作；提供在线</w:t>
                  </w:r>
                  <w:r>
                    <w:rPr>
                      <w:sz w:val="21"/>
                    </w:rPr>
                    <w:t>7*24</w:t>
                  </w:r>
                  <w:r>
                    <w:rPr>
                      <w:sz w:val="21"/>
                    </w:rPr>
                    <w:t>小时在线支持服务。</w:t>
                  </w:r>
                </w:p>
                <w:p>
                  <w:pPr>
                    <w:jc w:val="both"/>
                  </w:pPr>
                  <w:r>
                    <w:rPr>
                      <w:sz w:val="21"/>
                    </w:rPr>
                    <w:t>4</w:t>
                  </w:r>
                  <w:r>
                    <w:rPr>
                      <w:sz w:val="21"/>
                    </w:rPr>
                    <w:t>、辅警通终端软件版本配合省厅平台定期升级服务，包括新终端适配、软件功能升级、辅警应用测试和适配、平台功能迭代升级等服务。</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1651"/>
                  <w:gridSpan w:val="2"/>
                  <w:tcBorders>
                    <w:top w:val="none" w:color="000000" w:sz="4"/>
                    <w:left w:val="single" w:color="000000" w:sz="4"/>
                    <w:bottom w:val="single" w:color="000000" w:sz="4"/>
                    <w:right w:val="single" w:color="000000" w:sz="4"/>
                  </w:tcBorders>
                  <w:vAlign w:val="top"/>
                </w:tcPr>
                <w:p>
                  <w:pPr>
                    <w:jc w:val="center"/>
                  </w:pPr>
                  <w:r>
                    <w:rPr>
                      <w:sz w:val="21"/>
                    </w:rPr>
                    <w:t>1项</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互联链路</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辅警通</w:t>
                  </w:r>
                  <w:r>
                    <w:rPr>
                      <w:sz w:val="21"/>
                    </w:rPr>
                    <w:t>终端到</w:t>
                  </w:r>
                  <w:r>
                    <w:rPr>
                      <w:sz w:val="21"/>
                    </w:rPr>
                    <w:t>基站</w:t>
                  </w:r>
                  <w:r>
                    <w:rPr>
                      <w:sz w:val="21"/>
                    </w:rPr>
                    <w:t>5G网络接入</w:t>
                  </w:r>
                  <w:r>
                    <w:rPr>
                      <w:sz w:val="21"/>
                    </w:rPr>
                    <w:t>、基站到</w:t>
                  </w:r>
                  <w:r>
                    <w:rPr>
                      <w:sz w:val="21"/>
                    </w:rPr>
                    <w:t>中山市</w:t>
                  </w:r>
                  <w:r>
                    <w:rPr>
                      <w:sz w:val="21"/>
                    </w:rPr>
                    <w:t>公安</w:t>
                  </w:r>
                  <w:r>
                    <w:rPr>
                      <w:sz w:val="21"/>
                    </w:rPr>
                    <w:t>局移动警务系统</w:t>
                  </w:r>
                  <w:r>
                    <w:rPr>
                      <w:sz w:val="21"/>
                    </w:rPr>
                    <w:t>VPN</w:t>
                  </w:r>
                  <w:r>
                    <w:rPr>
                      <w:sz w:val="21"/>
                    </w:rPr>
                    <w:t>链路</w:t>
                  </w:r>
                  <w:r>
                    <w:rPr>
                      <w:sz w:val="21"/>
                    </w:rPr>
                    <w:t>（</w:t>
                  </w:r>
                  <w:r>
                    <w:rPr>
                      <w:sz w:val="21"/>
                    </w:rPr>
                    <w:t>1G</w:t>
                  </w:r>
                  <w:r>
                    <w:rPr>
                      <w:sz w:val="21"/>
                    </w:rPr>
                    <w:t>带宽</w:t>
                  </w:r>
                  <w:r>
                    <w:rPr>
                      <w:sz w:val="21"/>
                    </w:rPr>
                    <w:t>），</w:t>
                  </w:r>
                  <w:r>
                    <w:rPr>
                      <w:sz w:val="21"/>
                    </w:rPr>
                    <w:t>按照广东省公安厅规则进行部署。</w:t>
                  </w:r>
                  <w:r>
                    <w:rPr>
                      <w:sz w:val="21"/>
                    </w:rPr>
                    <w:t>因辅警通日常运维工作需要，需将公安移动信息网网络延伸至中山市公安局运维中心。</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1651"/>
                  <w:gridSpan w:val="2"/>
                  <w:tcBorders>
                    <w:top w:val="none" w:color="000000" w:sz="4"/>
                    <w:left w:val="single" w:color="000000" w:sz="4"/>
                    <w:bottom w:val="single" w:color="000000" w:sz="4"/>
                    <w:right w:val="single" w:color="000000" w:sz="4"/>
                  </w:tcBorders>
                  <w:vAlign w:val="top"/>
                </w:tcPr>
                <w:p>
                  <w:pPr>
                    <w:jc w:val="center"/>
                  </w:pPr>
                  <w:r>
                    <w:rPr>
                      <w:sz w:val="21"/>
                    </w:rPr>
                    <w:t>1</w:t>
                  </w:r>
                  <w:r>
                    <w:rPr>
                      <w:sz w:val="21"/>
                    </w:rPr>
                    <w:t>项</w:t>
                  </w:r>
                </w:p>
              </w:tc>
            </w:tr>
          </w:tbl>
          <w:p>
            <w:pPr>
              <w:ind w:firstLine="420"/>
              <w:jc w:val="both"/>
            </w:pPr>
            <w:r>
              <w:rPr>
                <w:sz w:val="21"/>
              </w:rPr>
              <w:t>1、</w:t>
            </w:r>
            <w:r>
              <w:rPr>
                <w:sz w:val="21"/>
              </w:rPr>
              <w:t>本项目为交钥匙工程，</w:t>
            </w:r>
            <w:r>
              <w:rPr>
                <w:sz w:val="21"/>
              </w:rPr>
              <w:t>投标人</w:t>
            </w:r>
            <w:r>
              <w:rPr>
                <w:sz w:val="21"/>
              </w:rPr>
              <w:t>须</w:t>
            </w:r>
            <w:r>
              <w:rPr>
                <w:sz w:val="21"/>
              </w:rPr>
              <w:t>承诺</w:t>
            </w:r>
            <w:r>
              <w:rPr>
                <w:sz w:val="21"/>
              </w:rPr>
              <w:t>：</w:t>
            </w:r>
            <w:r>
              <w:rPr>
                <w:sz w:val="21"/>
              </w:rPr>
              <w:t>与</w:t>
            </w:r>
            <w:r>
              <w:rPr>
                <w:sz w:val="21"/>
              </w:rPr>
              <w:t>中山</w:t>
            </w:r>
            <w:r>
              <w:rPr>
                <w:sz w:val="21"/>
              </w:rPr>
              <w:t>市公安局及各</w:t>
            </w:r>
            <w:r>
              <w:rPr>
                <w:sz w:val="21"/>
              </w:rPr>
              <w:t>镇区分局</w:t>
            </w:r>
            <w:r>
              <w:rPr>
                <w:sz w:val="21"/>
              </w:rPr>
              <w:t>签订</w:t>
            </w:r>
            <w:r>
              <w:rPr>
                <w:sz w:val="21"/>
              </w:rPr>
              <w:t>分项</w:t>
            </w:r>
            <w:r>
              <w:rPr>
                <w:sz w:val="21"/>
              </w:rPr>
              <w:t>合同起安排备货，确保</w:t>
            </w:r>
            <w:r>
              <w:rPr>
                <w:sz w:val="21"/>
              </w:rPr>
              <w:t>30</w:t>
            </w:r>
            <w:r>
              <w:rPr>
                <w:sz w:val="21"/>
              </w:rPr>
              <w:t>个日历</w:t>
            </w:r>
            <w:r>
              <w:rPr>
                <w:sz w:val="21"/>
              </w:rPr>
              <w:t>日内保质保量交付项目采购的各项内容</w:t>
            </w:r>
            <w:r>
              <w:rPr>
                <w:sz w:val="21"/>
              </w:rPr>
              <w:t>；</w:t>
            </w:r>
            <w:r>
              <w:rPr>
                <w:sz w:val="21"/>
              </w:rPr>
              <w:t>项目周期里，如中标终端机型停产，中标人需提供同等或更高性能的</w:t>
            </w:r>
            <w:r>
              <w:rPr>
                <w:sz w:val="21"/>
              </w:rPr>
              <w:t>同品牌</w:t>
            </w:r>
            <w:r>
              <w:rPr>
                <w:sz w:val="21"/>
              </w:rPr>
              <w:t>合规替代机型，差价由中标人承担</w:t>
            </w:r>
            <w:r>
              <w:rPr>
                <w:sz w:val="21"/>
              </w:rPr>
              <w:t>；在</w:t>
            </w:r>
            <w:r>
              <w:rPr>
                <w:sz w:val="21"/>
              </w:rPr>
              <w:t>分项合同所约定的服务时间和服务内容范围内，采购人预留未办理的辅警通终端、套餐、安全加密服务、</w:t>
            </w:r>
            <w:r>
              <w:rPr>
                <w:sz w:val="21"/>
              </w:rPr>
              <w:t>MDM终端安全管控服务</w:t>
            </w:r>
            <w:r>
              <w:rPr>
                <w:sz w:val="21"/>
              </w:rPr>
              <w:t>等，采购人可随时办理</w:t>
            </w:r>
            <w:r>
              <w:rPr>
                <w:sz w:val="21"/>
              </w:rPr>
              <w:t>；</w:t>
            </w:r>
            <w:r>
              <w:rPr>
                <w:sz w:val="21"/>
              </w:rPr>
              <w:t>租赁期内，提供采购内容的免费维保及技术支持服务。</w:t>
            </w:r>
          </w:p>
          <w:p>
            <w:pPr>
              <w:jc w:val="both"/>
            </w:pPr>
            <w:r>
              <w:rPr>
                <w:sz w:val="21"/>
              </w:rPr>
              <w:t xml:space="preserve">  </w:t>
            </w:r>
            <w:r>
              <w:rPr>
                <w:b/>
                <w:sz w:val="21"/>
              </w:rPr>
              <w:t>★</w:t>
            </w:r>
            <w:r>
              <w:rPr>
                <w:sz w:val="21"/>
              </w:rPr>
              <w:t>2、</w:t>
            </w:r>
            <w:r>
              <w:rPr>
                <w:sz w:val="21"/>
              </w:rPr>
              <w:t>辅警</w:t>
            </w:r>
            <w:r>
              <w:rPr>
                <w:sz w:val="21"/>
              </w:rPr>
              <w:t>通</w:t>
            </w:r>
            <w:r>
              <w:rPr>
                <w:sz w:val="21"/>
              </w:rPr>
              <w:t>终端接入公安移动信息网，</w:t>
            </w:r>
            <w:r>
              <w:rPr>
                <w:sz w:val="21"/>
              </w:rPr>
              <w:t>中标人须</w:t>
            </w:r>
            <w:r>
              <w:rPr>
                <w:sz w:val="21"/>
              </w:rPr>
              <w:t>自行提供</w:t>
            </w:r>
            <w:r>
              <w:rPr>
                <w:sz w:val="21"/>
              </w:rPr>
              <w:t>公安移动信息网入网</w:t>
            </w:r>
            <w:r>
              <w:rPr>
                <w:sz w:val="21"/>
              </w:rPr>
              <w:t>所需</w:t>
            </w:r>
            <w:r>
              <w:rPr>
                <w:sz w:val="21"/>
              </w:rPr>
              <w:t>设备，包含但不仅限于</w:t>
            </w:r>
            <w:r>
              <w:rPr>
                <w:sz w:val="21"/>
              </w:rPr>
              <w:t>交换机</w:t>
            </w:r>
            <w:r>
              <w:rPr>
                <w:sz w:val="21"/>
              </w:rPr>
              <w:t>、路由器</w:t>
            </w:r>
            <w:r>
              <w:rPr>
                <w:sz w:val="21"/>
              </w:rPr>
              <w:t>等</w:t>
            </w:r>
            <w:r>
              <w:rPr>
                <w:sz w:val="21"/>
              </w:rPr>
              <w:t>设备</w:t>
            </w:r>
            <w:r>
              <w:rPr>
                <w:sz w:val="21"/>
              </w:rPr>
              <w:t>，并</w:t>
            </w:r>
            <w:r>
              <w:rPr>
                <w:sz w:val="21"/>
              </w:rPr>
              <w:t>于签订合同</w:t>
            </w:r>
            <w:r>
              <w:rPr>
                <w:sz w:val="21"/>
              </w:rPr>
              <w:t>30天内</w:t>
            </w:r>
            <w:r>
              <w:rPr>
                <w:sz w:val="21"/>
              </w:rPr>
              <w:t>顺利与中山市公安局入网设备对接入网。</w:t>
            </w:r>
          </w:p>
          <w:p>
            <w:pPr>
              <w:jc w:val="both"/>
            </w:pPr>
            <w:r>
              <w:rPr>
                <w:sz w:val="21"/>
              </w:rPr>
              <w:t xml:space="preserve">   3、</w:t>
            </w:r>
            <w:r>
              <w:rPr>
                <w:sz w:val="21"/>
              </w:rPr>
              <w:t>服务期内终端故障时</w:t>
            </w:r>
            <w:r>
              <w:rPr>
                <w:sz w:val="21"/>
              </w:rPr>
              <w:t>，</w:t>
            </w:r>
            <w:r>
              <w:rPr>
                <w:sz w:val="21"/>
              </w:rPr>
              <w:t>中标</w:t>
            </w:r>
            <w:r>
              <w:rPr>
                <w:sz w:val="21"/>
              </w:rPr>
              <w:t>人</w:t>
            </w:r>
            <w:r>
              <w:rPr>
                <w:sz w:val="21"/>
              </w:rPr>
              <w:t>或其委托维修单位</w:t>
            </w:r>
            <w:r>
              <w:rPr>
                <w:sz w:val="21"/>
              </w:rPr>
              <w:t>须在采购人监督下开展维修工作。</w:t>
            </w:r>
          </w:p>
          <w:p>
            <w:pPr>
              <w:jc w:val="both"/>
            </w:pPr>
            <w:r>
              <w:rPr>
                <w:b/>
                <w:sz w:val="28"/>
              </w:rPr>
              <w:t>二、</w:t>
            </w:r>
            <w:r>
              <w:rPr>
                <w:b/>
                <w:sz w:val="28"/>
              </w:rPr>
              <w:t>建设依据</w:t>
            </w:r>
          </w:p>
          <w:p>
            <w:pPr>
              <w:ind w:firstLine="407"/>
              <w:jc w:val="both"/>
            </w:pPr>
            <w:r>
              <w:rPr>
                <w:sz w:val="21"/>
              </w:rPr>
              <w:t>中山市公安局</w:t>
            </w:r>
            <w:r>
              <w:rPr>
                <w:sz w:val="21"/>
              </w:rPr>
              <w:t>辅警通租赁</w:t>
            </w:r>
            <w:r>
              <w:rPr>
                <w:sz w:val="21"/>
              </w:rPr>
              <w:t>遵循以下规范：</w:t>
            </w:r>
          </w:p>
          <w:p>
            <w:pPr>
              <w:ind w:firstLine="407"/>
              <w:jc w:val="both"/>
            </w:pPr>
            <w:r>
              <w:rPr>
                <w:sz w:val="21"/>
              </w:rPr>
              <w:t>1、</w:t>
            </w:r>
            <w:r>
              <w:rPr>
                <w:sz w:val="21"/>
              </w:rPr>
              <w:t>《全国公安移动警务建设总体技术方案（</w:t>
            </w:r>
            <w:r>
              <w:rPr>
                <w:sz w:val="21"/>
              </w:rPr>
              <w:t>2016 版）》（公科信〔2016〕79 号）</w:t>
            </w:r>
          </w:p>
          <w:p>
            <w:pPr>
              <w:ind w:firstLine="407"/>
              <w:jc w:val="both"/>
            </w:pPr>
            <w:r>
              <w:rPr>
                <w:sz w:val="21"/>
              </w:rPr>
              <w:t>2、</w:t>
            </w:r>
            <w:r>
              <w:rPr>
                <w:sz w:val="21"/>
              </w:rPr>
              <w:t>公安部《公安信息移动接入及应用系统建设技术指导书》</w:t>
            </w:r>
          </w:p>
          <w:p>
            <w:pPr>
              <w:ind w:firstLine="407"/>
              <w:jc w:val="both"/>
            </w:pPr>
            <w:r>
              <w:rPr>
                <w:sz w:val="21"/>
              </w:rPr>
              <w:t>3、</w:t>
            </w:r>
            <w:r>
              <w:rPr>
                <w:sz w:val="21"/>
              </w:rPr>
              <w:t>公安部《移动警务视频安全接入规范》</w:t>
            </w:r>
          </w:p>
          <w:p>
            <w:pPr>
              <w:ind w:firstLine="407"/>
              <w:jc w:val="both"/>
            </w:pPr>
            <w:r>
              <w:rPr>
                <w:sz w:val="21"/>
              </w:rPr>
              <w:t>4、</w:t>
            </w:r>
            <w:r>
              <w:rPr>
                <w:sz w:val="21"/>
              </w:rPr>
              <w:t>公安部《移动警务系统安全管理暂行规定》</w:t>
            </w:r>
          </w:p>
          <w:p>
            <w:pPr>
              <w:ind w:firstLine="407"/>
              <w:jc w:val="both"/>
            </w:pPr>
            <w:r>
              <w:rPr>
                <w:sz w:val="21"/>
              </w:rPr>
              <w:t>5、</w:t>
            </w:r>
            <w:r>
              <w:rPr>
                <w:sz w:val="21"/>
              </w:rPr>
              <w:t>公安部《关于大力推进基础信息化建设的意见》</w:t>
            </w:r>
          </w:p>
          <w:p>
            <w:pPr>
              <w:ind w:firstLine="407"/>
              <w:jc w:val="both"/>
            </w:pPr>
            <w:r>
              <w:rPr>
                <w:sz w:val="21"/>
              </w:rPr>
              <w:t>6、</w:t>
            </w:r>
            <w:r>
              <w:rPr>
                <w:sz w:val="21"/>
              </w:rPr>
              <w:t>公安部《公安发展</w:t>
            </w:r>
            <w:r>
              <w:rPr>
                <w:sz w:val="21"/>
              </w:rPr>
              <w:t>“十三五”规划（2016-2020）》</w:t>
            </w:r>
          </w:p>
          <w:p>
            <w:pPr>
              <w:ind w:firstLine="407"/>
              <w:jc w:val="both"/>
            </w:pPr>
            <w:r>
              <w:rPr>
                <w:sz w:val="21"/>
              </w:rPr>
              <w:t>7、</w:t>
            </w:r>
            <w:r>
              <w:rPr>
                <w:sz w:val="21"/>
              </w:rPr>
              <w:t>《公安机关信息化国产密码应用规划（</w:t>
            </w:r>
            <w:r>
              <w:rPr>
                <w:sz w:val="21"/>
              </w:rPr>
              <w:t>2016-2020 年）》</w:t>
            </w:r>
          </w:p>
          <w:p>
            <w:pPr>
              <w:ind w:firstLine="407"/>
              <w:jc w:val="both"/>
            </w:pPr>
            <w:r>
              <w:rPr>
                <w:sz w:val="21"/>
              </w:rPr>
              <w:t>8、</w:t>
            </w:r>
            <w:r>
              <w:rPr>
                <w:sz w:val="21"/>
              </w:rPr>
              <w:t>GB/T25070-2010《信息安全技术信息系统等级保护安全设计技术要求》</w:t>
            </w:r>
          </w:p>
          <w:p>
            <w:pPr>
              <w:ind w:firstLine="407"/>
              <w:jc w:val="both"/>
            </w:pPr>
            <w:r>
              <w:rPr>
                <w:sz w:val="21"/>
              </w:rPr>
              <w:t>9、</w:t>
            </w:r>
            <w:r>
              <w:rPr>
                <w:sz w:val="21"/>
              </w:rPr>
              <w:t>GM/T0034-2014《基于 SM2 密码算法的证书认证系统密码及其相关安全技术规范》</w:t>
            </w:r>
          </w:p>
          <w:p>
            <w:pPr>
              <w:ind w:firstLine="407"/>
              <w:jc w:val="both"/>
            </w:pPr>
            <w:r>
              <w:rPr>
                <w:sz w:val="21"/>
              </w:rPr>
              <w:t>10、</w:t>
            </w:r>
            <w:r>
              <w:rPr>
                <w:sz w:val="21"/>
              </w:rPr>
              <w:t>GM/T0022-2014《IPSecVPN 技术规范》</w:t>
            </w:r>
          </w:p>
          <w:p>
            <w:pPr>
              <w:ind w:firstLine="407"/>
              <w:jc w:val="both"/>
            </w:pPr>
            <w:r>
              <w:rPr>
                <w:sz w:val="21"/>
              </w:rPr>
              <w:t>11、</w:t>
            </w:r>
            <w:r>
              <w:rPr>
                <w:sz w:val="21"/>
              </w:rPr>
              <w:t>GM/T0024-2014《SSLVPN 技术规范》</w:t>
            </w:r>
          </w:p>
          <w:p>
            <w:pPr>
              <w:jc w:val="both"/>
            </w:pPr>
            <w:r>
              <w:rPr>
                <w:b/>
                <w:sz w:val="28"/>
              </w:rPr>
              <w:t>三、</w:t>
            </w:r>
            <w:r>
              <w:rPr>
                <w:b/>
                <w:sz w:val="28"/>
              </w:rPr>
              <w:t>项目服务需求</w:t>
            </w:r>
          </w:p>
          <w:p>
            <w:pPr>
              <w:ind w:firstLine="422"/>
              <w:jc w:val="both"/>
            </w:pPr>
            <w:r>
              <w:rPr>
                <w:b/>
                <w:sz w:val="21"/>
              </w:rPr>
              <w:t>1、</w:t>
            </w:r>
            <w:r>
              <w:rPr>
                <w:b/>
                <w:sz w:val="21"/>
              </w:rPr>
              <w:t>移动警务终端服务需求</w:t>
            </w:r>
          </w:p>
          <w:p>
            <w:pPr>
              <w:ind w:firstLine="422"/>
              <w:jc w:val="both"/>
            </w:pPr>
            <w:r>
              <w:rPr>
                <w:b/>
                <w:sz w:val="21"/>
              </w:rPr>
              <w:t>1</w:t>
            </w:r>
            <w:r>
              <w:rPr>
                <w:b/>
                <w:sz w:val="21"/>
              </w:rPr>
              <w:t>.1 流量服务需求</w:t>
            </w:r>
          </w:p>
          <w:p>
            <w:pPr>
              <w:ind w:firstLine="420"/>
              <w:jc w:val="both"/>
            </w:pPr>
            <w:r>
              <w:rPr>
                <w:sz w:val="21"/>
              </w:rPr>
              <w:t>终端</w:t>
            </w:r>
            <w:r>
              <w:rPr>
                <w:sz w:val="21"/>
              </w:rPr>
              <w:t>3</w:t>
            </w:r>
            <w:r>
              <w:rPr>
                <w:sz w:val="21"/>
              </w:rPr>
              <w:t>6</w:t>
            </w:r>
            <w:r>
              <w:rPr>
                <w:sz w:val="21"/>
              </w:rPr>
              <w:t>个月</w:t>
            </w:r>
            <w:r>
              <w:rPr>
                <w:sz w:val="21"/>
              </w:rPr>
              <w:t>5G通信流信费用。每月通话不少于</w:t>
            </w:r>
            <w:r>
              <w:rPr>
                <w:sz w:val="21"/>
              </w:rPr>
              <w:t>6</w:t>
            </w:r>
            <w:r>
              <w:rPr>
                <w:sz w:val="21"/>
              </w:rPr>
              <w:t>00分钟，100条短信，</w:t>
            </w:r>
            <w:r>
              <w:rPr>
                <w:sz w:val="21"/>
              </w:rPr>
              <w:t>15</w:t>
            </w:r>
            <w:r>
              <w:rPr>
                <w:sz w:val="21"/>
              </w:rPr>
              <w:t>G互联网流量、</w:t>
            </w:r>
            <w:r>
              <w:rPr>
                <w:sz w:val="21"/>
              </w:rPr>
              <w:t>15</w:t>
            </w:r>
            <w:r>
              <w:rPr>
                <w:sz w:val="21"/>
              </w:rPr>
              <w:t>G移动警务专网流量(全局用户专网流量形成流量池，各用户从流量池中使用专网流量)。当月互联网流量、专网流量未用完则结转下个月使用。</w:t>
            </w:r>
            <w:r>
              <w:rPr>
                <w:sz w:val="21"/>
              </w:rPr>
              <w:t>本采购包辅警通</w:t>
            </w:r>
            <w:r>
              <w:rPr>
                <w:sz w:val="21"/>
              </w:rPr>
              <w:t>号码</w:t>
            </w:r>
            <w:r>
              <w:rPr>
                <w:sz w:val="21"/>
              </w:rPr>
              <w:t>之间</w:t>
            </w:r>
            <w:r>
              <w:rPr>
                <w:sz w:val="21"/>
              </w:rPr>
              <w:t>互打免费。</w:t>
            </w:r>
          </w:p>
          <w:p>
            <w:pPr>
              <w:ind w:firstLine="422"/>
              <w:jc w:val="both"/>
            </w:pPr>
            <w:r>
              <w:rPr>
                <w:b/>
                <w:sz w:val="21"/>
              </w:rPr>
              <w:t>1</w:t>
            </w:r>
            <w:r>
              <w:rPr>
                <w:b/>
                <w:sz w:val="21"/>
              </w:rPr>
              <w:t>.2 服务要求</w:t>
            </w:r>
          </w:p>
          <w:p>
            <w:pPr>
              <w:ind w:firstLine="420"/>
              <w:jc w:val="both"/>
            </w:pPr>
            <w:r>
              <w:rPr>
                <w:sz w:val="21"/>
              </w:rPr>
              <w:t>需通过</w:t>
            </w:r>
            <w:r>
              <w:rPr>
                <w:sz w:val="21"/>
              </w:rPr>
              <w:t>5G专线接入</w:t>
            </w:r>
            <w:r>
              <w:rPr>
                <w:sz w:val="21"/>
              </w:rPr>
              <w:t>公安</w:t>
            </w:r>
            <w:r>
              <w:rPr>
                <w:sz w:val="21"/>
              </w:rPr>
              <w:t>移动信息网，为移动警务提供大带宽、低时延、广连接和更安全的网络环境，并实现以下功能：</w:t>
            </w:r>
          </w:p>
          <w:p>
            <w:pPr>
              <w:ind w:firstLine="420"/>
              <w:jc w:val="both"/>
            </w:pPr>
            <w:r>
              <w:rPr>
                <w:sz w:val="21"/>
              </w:rPr>
              <w:t>（</w:t>
            </w:r>
            <w:r>
              <w:rPr>
                <w:sz w:val="21"/>
              </w:rPr>
              <w:t>1）稳定的高带宽接入，APN 用户不需绕行运营商核心网，缩短逻辑路径，降低时延。</w:t>
            </w:r>
          </w:p>
          <w:p>
            <w:pPr>
              <w:ind w:firstLine="420"/>
              <w:jc w:val="both"/>
            </w:pPr>
            <w:r>
              <w:rPr>
                <w:sz w:val="21"/>
              </w:rPr>
              <w:t>（</w:t>
            </w:r>
            <w:r>
              <w:rPr>
                <w:sz w:val="21"/>
              </w:rPr>
              <w:t>2</w:t>
            </w:r>
            <w:r>
              <w:rPr>
                <w:sz w:val="21"/>
              </w:rPr>
              <w:t>）可通过</w:t>
            </w:r>
            <w:r>
              <w:rPr>
                <w:sz w:val="21"/>
              </w:rPr>
              <w:t>5G</w:t>
            </w:r>
            <w:r>
              <w:rPr>
                <w:sz w:val="21"/>
              </w:rPr>
              <w:t>切片技术，实现客户的无线专网，确保数据安全性和保密性。</w:t>
            </w:r>
          </w:p>
          <w:p>
            <w:pPr>
              <w:ind w:firstLine="420"/>
              <w:jc w:val="both"/>
            </w:pPr>
            <w:r>
              <w:rPr>
                <w:sz w:val="21"/>
              </w:rPr>
              <w:t>（</w:t>
            </w:r>
            <w:r>
              <w:rPr>
                <w:sz w:val="21"/>
              </w:rPr>
              <w:t>3</w:t>
            </w:r>
            <w:r>
              <w:rPr>
                <w:sz w:val="21"/>
              </w:rPr>
              <w:t>）在重大活动安保及节假日期间，能根据</w:t>
            </w:r>
            <w:r>
              <w:rPr>
                <w:sz w:val="21"/>
              </w:rPr>
              <w:t>采购人</w:t>
            </w:r>
            <w:r>
              <w:rPr>
                <w:sz w:val="21"/>
              </w:rPr>
              <w:t>的要求，做好支撑保障，必要时能根据要求到现场做技术支持，接到通知后</w:t>
            </w:r>
            <w:r>
              <w:rPr>
                <w:sz w:val="21"/>
              </w:rPr>
              <w:t>30 分钟内响应，2 小时内到达现场。</w:t>
            </w:r>
          </w:p>
          <w:p>
            <w:pPr>
              <w:ind w:firstLine="420"/>
              <w:jc w:val="both"/>
            </w:pPr>
            <w:r>
              <w:rPr>
                <w:sz w:val="21"/>
              </w:rPr>
              <w:t>5</w:t>
            </w:r>
            <w:r>
              <w:rPr>
                <w:sz w:val="21"/>
              </w:rPr>
              <w:t>G网络接入白名单要求：</w:t>
            </w:r>
          </w:p>
          <w:p>
            <w:pPr>
              <w:ind w:firstLine="420"/>
              <w:jc w:val="both"/>
            </w:pPr>
            <w:r>
              <w:rPr>
                <w:sz w:val="21"/>
              </w:rPr>
              <w:t>（</w:t>
            </w:r>
            <w:r>
              <w:rPr>
                <w:sz w:val="21"/>
              </w:rPr>
              <w:t>1）将本项目</w:t>
            </w:r>
            <w:r>
              <w:rPr>
                <w:sz w:val="21"/>
              </w:rPr>
              <w:t>辅警通</w:t>
            </w:r>
            <w:r>
              <w:rPr>
                <w:sz w:val="21"/>
              </w:rPr>
              <w:t>号码设为白名单，优先加入附近基站</w:t>
            </w:r>
            <w:r>
              <w:rPr>
                <w:sz w:val="21"/>
              </w:rPr>
              <w:t>。</w:t>
            </w:r>
            <w:r>
              <w:rPr>
                <w:sz w:val="21"/>
              </w:rPr>
              <w:t>针对</w:t>
            </w:r>
            <w:r>
              <w:rPr>
                <w:sz w:val="21"/>
              </w:rPr>
              <w:t>采购人</w:t>
            </w:r>
            <w:r>
              <w:rPr>
                <w:sz w:val="21"/>
              </w:rPr>
              <w:t>实际需求提供相应的网络优化保障服务，例如大型活动，重要会议，节日保障以及特殊区域与位置的网络信号加强与优化保障。</w:t>
            </w:r>
          </w:p>
          <w:p>
            <w:pPr>
              <w:ind w:firstLine="420"/>
              <w:jc w:val="both"/>
            </w:pPr>
            <w:r>
              <w:rPr>
                <w:sz w:val="21"/>
              </w:rPr>
              <w:t>（</w:t>
            </w:r>
            <w:r>
              <w:rPr>
                <w:sz w:val="21"/>
              </w:rPr>
              <w:t>2</w:t>
            </w:r>
            <w:r>
              <w:rPr>
                <w:sz w:val="21"/>
              </w:rPr>
              <w:t>）</w:t>
            </w:r>
            <w:r>
              <w:rPr>
                <w:sz w:val="21"/>
              </w:rPr>
              <w:t>当用户欠费时，中标人需短信或电话提醒用户欠费及缴费方式。欠费期间，不得停止通话及网络服务。</w:t>
            </w:r>
          </w:p>
          <w:p>
            <w:pPr>
              <w:ind w:firstLine="422"/>
              <w:jc w:val="both"/>
            </w:pPr>
            <w:r>
              <w:rPr>
                <w:b/>
                <w:sz w:val="21"/>
              </w:rPr>
              <w:t>1.3终端参数需求</w:t>
            </w:r>
          </w:p>
          <w:tbl>
            <w:tblPr>
              <w:tblInd w:type="dxa" w:w="135"/>
              <w:tblBorders>
                <w:top w:val="none" w:color="000000" w:sz="4"/>
                <w:left w:val="none" w:color="000000" w:sz="4"/>
                <w:bottom w:val="none" w:color="000000" w:sz="4"/>
                <w:right w:val="none" w:color="000000" w:sz="4"/>
                <w:insideH w:val="none"/>
                <w:insideV w:val="none"/>
              </w:tblBorders>
            </w:tblPr>
            <w:tblGrid>
              <w:gridCol w:w="798"/>
              <w:gridCol w:w="1011"/>
              <w:gridCol w:w="5170"/>
            </w:tblGrid>
            <w:tr>
              <w:tc>
                <w:tcPr>
                  <w:tcW w:type="dxa" w:w="798"/>
                  <w:tcBorders>
                    <w:top w:val="single" w:color="000000" w:sz="4"/>
                    <w:left w:val="single" w:color="000000" w:sz="4"/>
                    <w:bottom w:val="single" w:color="000000" w:sz="4"/>
                    <w:right w:val="single" w:color="000000" w:sz="4"/>
                  </w:tcBorders>
                  <w:vAlign w:val="top"/>
                </w:tcPr>
                <w:p>
                  <w:pPr>
                    <w:jc w:val="both"/>
                  </w:pPr>
                  <w:r>
                    <w:rPr>
                      <w:b/>
                      <w:sz w:val="21"/>
                    </w:rPr>
                    <w:t>分类</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分项</w:t>
                  </w:r>
                </w:p>
              </w:tc>
              <w:tc>
                <w:tcPr>
                  <w:tcW w:type="dxa" w:w="5170"/>
                  <w:tcBorders>
                    <w:top w:val="single" w:color="000000" w:sz="4"/>
                    <w:left w:val="single" w:color="000000" w:sz="4"/>
                    <w:bottom w:val="single" w:color="000000" w:sz="4"/>
                    <w:right w:val="single" w:color="000000" w:sz="4"/>
                  </w:tcBorders>
                  <w:vAlign w:val="top"/>
                </w:tcPr>
                <w:p>
                  <w:pPr>
                    <w:jc w:val="center"/>
                  </w:pPr>
                  <w:r>
                    <w:rPr>
                      <w:b/>
                      <w:sz w:val="21"/>
                    </w:rPr>
                    <w:t>技术参数</w:t>
                  </w:r>
                </w:p>
              </w:tc>
            </w:tr>
            <w:tr>
              <w:tc>
                <w:tcPr>
                  <w:tcW w:type="dxa" w:w="798"/>
                  <w:vMerge w:val="restart"/>
                  <w:tcBorders>
                    <w:top w:val="none" w:color="000000" w:sz="4"/>
                    <w:left w:val="single" w:color="000000" w:sz="4"/>
                    <w:bottom w:val="single" w:color="000000" w:sz="4"/>
                    <w:right w:val="single" w:color="000000" w:sz="4"/>
                  </w:tcBorders>
                  <w:vAlign w:val="top"/>
                </w:tcPr>
                <w:p>
                  <w:pPr>
                    <w:jc w:val="left"/>
                  </w:pPr>
                  <w:r>
                    <w:rPr>
                      <w:sz w:val="21"/>
                    </w:rPr>
                    <w:t>通用</w:t>
                  </w:r>
                </w:p>
                <w:p>
                  <w:pPr>
                    <w:jc w:val="left"/>
                  </w:pPr>
                  <w:r>
                    <w:rPr>
                      <w:sz w:val="21"/>
                    </w:rPr>
                    <w:t>配置</w:t>
                  </w:r>
                </w:p>
                <w:p>
                  <w:pPr>
                    <w:jc w:val="left"/>
                  </w:pPr>
                  <w:r>
                    <w:rPr>
                      <w:sz w:val="21"/>
                    </w:rPr>
                    <w:t>要求</w:t>
                  </w:r>
                </w:p>
              </w:tc>
              <w:tc>
                <w:tcPr>
                  <w:tcW w:type="dxa" w:w="1011"/>
                  <w:tcBorders>
                    <w:top w:val="none" w:color="000000" w:sz="4"/>
                    <w:left w:val="single" w:color="000000" w:sz="4"/>
                    <w:bottom w:val="single" w:color="000000" w:sz="4"/>
                    <w:right w:val="single" w:color="000000" w:sz="4"/>
                  </w:tcBorders>
                  <w:vAlign w:val="top"/>
                </w:tcPr>
                <w:p>
                  <w:pPr>
                    <w:jc w:val="center"/>
                  </w:pPr>
                  <w:r>
                    <w:rPr>
                      <w:sz w:val="21"/>
                    </w:rPr>
                    <w:t>基本需求</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▲产品应为国产成熟 5G 终端，且其安全相关核心部件（CPU）需国产化（提供证书复印件或证明材料并加盖厂商公章）</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操作系统</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安卓</w:t>
                  </w:r>
                  <w:r>
                    <w:rPr>
                      <w:sz w:val="21"/>
                    </w:rPr>
                    <w:t>Android10.0 及以上</w:t>
                  </w:r>
                  <w:r>
                    <w:rPr>
                      <w:sz w:val="21"/>
                    </w:rPr>
                    <w:t>或鸿蒙</w:t>
                  </w:r>
                  <w:r>
                    <w:rPr>
                      <w:sz w:val="21"/>
                    </w:rPr>
                    <w:t>；采用双安卓</w:t>
                  </w:r>
                  <w:r>
                    <w:rPr>
                      <w:sz w:val="21"/>
                    </w:rPr>
                    <w:t>或鸿蒙</w:t>
                  </w:r>
                  <w:r>
                    <w:rPr>
                      <w:sz w:val="21"/>
                    </w:rPr>
                    <w:t>操作系统；</w:t>
                  </w:r>
                  <w:r>
                    <w:rPr>
                      <w:sz w:val="21"/>
                    </w:rPr>
                    <w:t>可定制开机动画。</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中央处理器</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w:t>
                  </w:r>
                  <w:r>
                    <w:rPr>
                      <w:sz w:val="21"/>
                    </w:rPr>
                    <w:t>≥</w:t>
                  </w:r>
                  <w:r>
                    <w:rPr>
                      <w:sz w:val="21"/>
                    </w:rPr>
                    <w:t>8</w:t>
                  </w:r>
                  <w:r>
                    <w:rPr>
                      <w:sz w:val="21"/>
                    </w:rPr>
                    <w:t>核，最高主频</w:t>
                  </w:r>
                  <w:r>
                    <w:rPr>
                      <w:sz w:val="21"/>
                    </w:rPr>
                    <w:t>≥2.</w:t>
                  </w:r>
                  <w:r>
                    <w:rPr>
                      <w:sz w:val="21"/>
                    </w:rPr>
                    <w:t>5</w:t>
                  </w:r>
                  <w:r>
                    <w:rPr>
                      <w:sz w:val="21"/>
                    </w:rPr>
                    <w:t>GHz</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网络支持</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支持</w:t>
                  </w:r>
                  <w:r>
                    <w:rPr>
                      <w:sz w:val="21"/>
                    </w:rPr>
                    <w:t>Micro SIM 卡（15*12mm）</w:t>
                  </w:r>
                  <w:r>
                    <w:rPr>
                      <w:sz w:val="21"/>
                    </w:rPr>
                    <w:t>或</w:t>
                  </w:r>
                  <w:r>
                    <w:rPr>
                      <w:sz w:val="21"/>
                    </w:rPr>
                    <w:t>Nano SIM（12.3*8.8mm）</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网络制式应支持</w:t>
                  </w:r>
                  <w:r>
                    <w:rPr>
                      <w:sz w:val="21"/>
                    </w:rPr>
                    <w:t>：</w:t>
                  </w:r>
                  <w:r>
                    <w:rPr>
                      <w:sz w:val="21"/>
                    </w:rPr>
                    <w:t>移动、联通、电信</w:t>
                  </w:r>
                  <w:r>
                    <w:rPr>
                      <w:sz w:val="21"/>
                    </w:rPr>
                    <w:t>5G/4G/3G/2G 全网络无线通讯。</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w:t>
                  </w:r>
                  <w:r>
                    <w:rPr>
                      <w:sz w:val="21"/>
                    </w:rPr>
                    <w:t>支持双卡双待</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传感器</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支持</w:t>
                  </w:r>
                  <w:r>
                    <w:rPr>
                      <w:sz w:val="21"/>
                    </w:rPr>
                    <w:t>RL</w:t>
                  </w:r>
                  <w:r>
                    <w:rPr>
                      <w:sz w:val="21"/>
                    </w:rPr>
                    <w:t>识别</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具备</w:t>
                  </w:r>
                  <w:r>
                    <w:rPr>
                      <w:sz w:val="21"/>
                    </w:rPr>
                    <w:t>NFC 功能</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存储</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w:t>
                  </w:r>
                  <w:r>
                    <w:rPr>
                      <w:sz w:val="21"/>
                    </w:rPr>
                    <w:t>运行内存（</w:t>
                  </w:r>
                  <w:r>
                    <w:rPr>
                      <w:sz w:val="21"/>
                    </w:rPr>
                    <w:t>RAM）≥8GB</w:t>
                  </w:r>
                  <w:r>
                    <w:rPr>
                      <w:sz w:val="21"/>
                    </w:rPr>
                    <w:t>，</w:t>
                  </w:r>
                  <w:r>
                    <w:rPr>
                      <w:sz w:val="21"/>
                    </w:rPr>
                    <w:t>机身内存（</w:t>
                  </w:r>
                  <w:r>
                    <w:rPr>
                      <w:sz w:val="21"/>
                    </w:rPr>
                    <w:t>ROM）≥128GB</w:t>
                  </w:r>
                  <w:r>
                    <w:rPr>
                      <w:sz w:val="21"/>
                    </w:rPr>
                    <w:t>。</w:t>
                  </w:r>
                  <w:r>
                    <w:rPr>
                      <w:sz w:val="21"/>
                    </w:rPr>
                    <w:t xml:space="preserve">         </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摄像头</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后置</w:t>
                  </w:r>
                  <w:r>
                    <w:rPr>
                      <w:sz w:val="21"/>
                    </w:rPr>
                    <w:t>摄像头数量</w:t>
                  </w:r>
                  <w:r>
                    <w:rPr>
                      <w:sz w:val="21"/>
                    </w:rPr>
                    <w:t>≥</w:t>
                  </w:r>
                  <w:r>
                    <w:rPr>
                      <w:sz w:val="21"/>
                    </w:rPr>
                    <w:t>3</w:t>
                  </w:r>
                  <w:r>
                    <w:rPr>
                      <w:sz w:val="21"/>
                    </w:rPr>
                    <w:t>个，</w:t>
                  </w:r>
                  <w:r>
                    <w:rPr>
                      <w:sz w:val="21"/>
                    </w:rPr>
                    <w:t>主摄像头</w:t>
                  </w:r>
                  <w:r>
                    <w:rPr>
                      <w:sz w:val="21"/>
                    </w:rPr>
                    <w:t>像素</w:t>
                  </w:r>
                  <w:r>
                    <w:rPr>
                      <w:sz w:val="21"/>
                    </w:rPr>
                    <w:t>≥</w:t>
                  </w:r>
                  <w:r>
                    <w:rPr>
                      <w:sz w:val="21"/>
                    </w:rPr>
                    <w:t>40</w:t>
                  </w:r>
                  <w:r>
                    <w:rPr>
                      <w:sz w:val="21"/>
                    </w:rPr>
                    <w:t>00万</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前置摄像头数量</w:t>
                  </w:r>
                  <w:r>
                    <w:rPr>
                      <w:sz w:val="21"/>
                    </w:rPr>
                    <w:t>≥</w:t>
                  </w:r>
                  <w:r>
                    <w:rPr>
                      <w:sz w:val="21"/>
                    </w:rPr>
                    <w:t>1个</w:t>
                  </w:r>
                  <w:r>
                    <w:rPr>
                      <w:sz w:val="21"/>
                    </w:rPr>
                    <w:t>，像素</w:t>
                  </w:r>
                  <w:r>
                    <w:rPr>
                      <w:sz w:val="21"/>
                    </w:rPr>
                    <w:t>≥</w:t>
                  </w:r>
                  <w:r>
                    <w:rPr>
                      <w:sz w:val="21"/>
                    </w:rPr>
                    <w:t>32</w:t>
                  </w:r>
                  <w:r>
                    <w:rPr>
                      <w:sz w:val="21"/>
                    </w:rPr>
                    <w:t>00 万</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配置</w:t>
                  </w:r>
                  <w:r>
                    <w:rPr>
                      <w:sz w:val="21"/>
                    </w:rPr>
                    <w:t>LED 闪光灯，支持手电筒模式</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传输功能</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WLAN 协议 802.11a/b/g/n/ac（wave2），mimo,VHT160,</w:t>
                  </w:r>
                  <w:r>
                    <w:rPr>
                      <w:sz w:val="21"/>
                    </w:rPr>
                    <w:t>WLAN 频率 2.4GHz 和 5G</w:t>
                  </w:r>
                  <w:r>
                    <w:rPr>
                      <w:sz w:val="21"/>
                    </w:rPr>
                    <w:t>Hz。</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支持</w:t>
                  </w:r>
                  <w:r>
                    <w:rPr>
                      <w:sz w:val="21"/>
                    </w:rPr>
                    <w:t>WLAN 直连</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支持不低于</w:t>
                  </w:r>
                  <w:r>
                    <w:rPr>
                      <w:sz w:val="21"/>
                    </w:rPr>
                    <w:t>Bluetooth5.</w:t>
                  </w:r>
                  <w:r>
                    <w:rPr>
                      <w:sz w:val="21"/>
                    </w:rPr>
                    <w:t>2</w:t>
                  </w:r>
                  <w:r>
                    <w:rPr>
                      <w:sz w:val="21"/>
                    </w:rPr>
                    <w:t>协议</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支持</w:t>
                  </w:r>
                  <w:r>
                    <w:rPr>
                      <w:sz w:val="21"/>
                    </w:rPr>
                    <w:t>USB2.0 及以上高速传输标准及充电功能和 OTG 功能。</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位置定位</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w:t>
                  </w:r>
                  <w:r>
                    <w:rPr>
                      <w:sz w:val="21"/>
                    </w:rPr>
                    <w:t>内置北斗模块</w:t>
                  </w:r>
                  <w:r>
                    <w:rPr>
                      <w:sz w:val="21"/>
                    </w:rPr>
                    <w:t>,支持独立北斗模式</w:t>
                  </w:r>
                  <w:r>
                    <w:rPr>
                      <w:sz w:val="21"/>
                    </w:rPr>
                    <w:t>。</w:t>
                  </w:r>
                  <w:r>
                    <w:rPr>
                      <w:sz w:val="21"/>
                    </w:rPr>
                    <w:t>（投标人提供承诺函并加盖公章）</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其它</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工作系统和</w:t>
                  </w:r>
                  <w:r>
                    <w:rPr>
                      <w:sz w:val="21"/>
                    </w:rPr>
                    <w:t>互联网</w:t>
                  </w:r>
                  <w:r>
                    <w:rPr>
                      <w:sz w:val="21"/>
                    </w:rPr>
                    <w:t>系统能手动任意切换，支持指纹切换、快捷按钮切换</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工作系统应具备语音电话白名单或者等同功能</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▲工作系统可支持对接主流</w:t>
                  </w:r>
                  <w:r>
                    <w:rPr>
                      <w:sz w:val="21"/>
                    </w:rPr>
                    <w:t>移动警务</w:t>
                  </w:r>
                  <w:r>
                    <w:rPr>
                      <w:sz w:val="21"/>
                    </w:rPr>
                    <w:t>应用软件，免费开放接口，并能提供相应的技术支撑</w:t>
                  </w:r>
                  <w:r>
                    <w:rPr>
                      <w:sz w:val="21"/>
                    </w:rPr>
                    <w:t>。</w:t>
                  </w:r>
                  <w:r>
                    <w:rPr>
                      <w:sz w:val="21"/>
                    </w:rPr>
                    <w:t>（投标人提供承诺函并加盖公章）</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双系统终端可按照需求出厂预制主流</w:t>
                  </w:r>
                  <w:r>
                    <w:rPr>
                      <w:sz w:val="21"/>
                    </w:rPr>
                    <w:t>移动</w:t>
                  </w:r>
                  <w:r>
                    <w:rPr>
                      <w:sz w:val="21"/>
                    </w:rPr>
                    <w:t>警务软件及</w:t>
                  </w:r>
                  <w:r>
                    <w:rPr>
                      <w:sz w:val="21"/>
                    </w:rPr>
                    <w:t>APN 参数</w:t>
                  </w:r>
                  <w:r>
                    <w:rPr>
                      <w:sz w:val="21"/>
                    </w:rPr>
                    <w:t>。</w:t>
                  </w:r>
                </w:p>
              </w:tc>
            </w:tr>
            <w:tr>
              <w:tc>
                <w:tcPr>
                  <w:tcW w:type="dxa" w:w="798"/>
                  <w:vMerge w:val="restart"/>
                  <w:tcBorders>
                    <w:top w:val="none" w:color="000000" w:sz="4"/>
                    <w:left w:val="single" w:color="000000" w:sz="4"/>
                    <w:bottom w:val="single" w:color="000000" w:sz="4"/>
                    <w:right w:val="single" w:color="000000" w:sz="4"/>
                  </w:tcBorders>
                  <w:vAlign w:val="top"/>
                </w:tcPr>
                <w:p>
                  <w:pPr>
                    <w:jc w:val="left"/>
                  </w:pPr>
                  <w:r>
                    <w:rPr>
                      <w:sz w:val="21"/>
                    </w:rPr>
                    <w:t>性能</w:t>
                  </w:r>
                </w:p>
                <w:p>
                  <w:pPr>
                    <w:jc w:val="left"/>
                  </w:pPr>
                  <w:r>
                    <w:rPr>
                      <w:sz w:val="21"/>
                    </w:rPr>
                    <w:t>要求</w:t>
                  </w: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屏幕性能</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尺寸应为</w:t>
                  </w:r>
                  <w:r>
                    <w:rPr>
                      <w:sz w:val="21"/>
                    </w:rPr>
                    <w:t>≥6.</w:t>
                  </w:r>
                  <w:r>
                    <w:rPr>
                      <w:sz w:val="21"/>
                    </w:rPr>
                    <w:t>5</w:t>
                  </w:r>
                  <w:r>
                    <w:rPr>
                      <w:sz w:val="21"/>
                    </w:rPr>
                    <w:t>英寸</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w:t>
                  </w:r>
                  <w:r>
                    <w:rPr>
                      <w:sz w:val="21"/>
                    </w:rPr>
                    <w:t>分辨率</w:t>
                  </w:r>
                  <w:r>
                    <w:rPr>
                      <w:sz w:val="21"/>
                    </w:rPr>
                    <w:t>≥2340x1080</w:t>
                  </w:r>
                  <w:r>
                    <w:rPr>
                      <w:sz w:val="21"/>
                    </w:rPr>
                    <w:t>，</w:t>
                  </w:r>
                  <w:r>
                    <w:rPr>
                      <w:sz w:val="21"/>
                    </w:rPr>
                    <w:t>多点触控触摸屏</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电池性能</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使用锂聚合物电池</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电池容量为</w:t>
                  </w:r>
                  <w:r>
                    <w:rPr>
                      <w:sz w:val="21"/>
                    </w:rPr>
                    <w:t>≥4000mAh，支持快充功能</w:t>
                  </w:r>
                  <w:r>
                    <w:rPr>
                      <w:sz w:val="21"/>
                    </w:rPr>
                    <w:t>。</w:t>
                  </w:r>
                </w:p>
              </w:tc>
            </w:tr>
          </w:tbl>
          <w:p>
            <w:pPr>
              <w:ind w:firstLine="422"/>
              <w:jc w:val="left"/>
            </w:pPr>
            <w:r>
              <w:rPr>
                <w:b/>
                <w:sz w:val="21"/>
              </w:rPr>
              <w:t>1.4 功能需求</w:t>
            </w:r>
          </w:p>
          <w:tbl>
            <w:tblPr>
              <w:tblInd w:type="dxa" w:w="135"/>
              <w:tblBorders>
                <w:top w:val="none" w:color="000000" w:sz="4"/>
                <w:left w:val="none" w:color="000000" w:sz="4"/>
                <w:bottom w:val="none" w:color="000000" w:sz="4"/>
                <w:right w:val="none" w:color="000000" w:sz="4"/>
                <w:insideH w:val="none"/>
                <w:insideV w:val="none"/>
              </w:tblBorders>
            </w:tblPr>
            <w:tblGrid>
              <w:gridCol w:w="528"/>
              <w:gridCol w:w="1421"/>
              <w:gridCol w:w="5047"/>
            </w:tblGrid>
            <w:tr>
              <w:tc>
                <w:tcPr>
                  <w:tcW w:type="dxa" w:w="52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1"/>
                  <w:tcBorders>
                    <w:top w:val="single" w:color="000000" w:sz="4"/>
                    <w:left w:val="none" w:color="000000" w:sz="4"/>
                    <w:bottom w:val="single" w:color="000000" w:sz="4"/>
                    <w:right w:val="single" w:color="000000" w:sz="4"/>
                  </w:tcBorders>
                  <w:vAlign w:val="top"/>
                </w:tcPr>
                <w:p>
                  <w:pPr>
                    <w:jc w:val="center"/>
                  </w:pPr>
                  <w:r>
                    <w:rPr>
                      <w:b/>
                      <w:sz w:val="21"/>
                    </w:rPr>
                    <w:t>分项</w:t>
                  </w:r>
                </w:p>
              </w:tc>
              <w:tc>
                <w:tcPr>
                  <w:tcW w:type="dxa" w:w="5047"/>
                  <w:tcBorders>
                    <w:top w:val="single" w:color="000000" w:sz="4"/>
                    <w:left w:val="none" w:color="000000" w:sz="4"/>
                    <w:bottom w:val="single" w:color="000000" w:sz="4"/>
                    <w:right w:val="single" w:color="000000" w:sz="4"/>
                  </w:tcBorders>
                  <w:vAlign w:val="top"/>
                </w:tcPr>
                <w:p>
                  <w:pPr>
                    <w:jc w:val="center"/>
                  </w:pPr>
                  <w:r>
                    <w:rPr>
                      <w:b/>
                      <w:sz w:val="21"/>
                    </w:rPr>
                    <w:t>功能需求</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系统要求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采用单</w:t>
                  </w:r>
                  <w:r>
                    <w:rPr>
                      <w:sz w:val="21"/>
                    </w:rPr>
                    <w:t>kernel、双安卓</w:t>
                  </w:r>
                  <w:r>
                    <w:rPr>
                      <w:sz w:val="21"/>
                    </w:rPr>
                    <w:t>或鸿蒙</w:t>
                  </w:r>
                  <w:r>
                    <w:rPr>
                      <w:sz w:val="21"/>
                    </w:rPr>
                    <w:t>系统方式实现，一个系统为安全系统，一个为互联网系统，定制开机画面</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要求两个系统完全隔离，数据不能共享；两个系统的配置各自独立，互不影响</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两个系统的应用完全独立，互不影响</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两个系统预置，任何一个系统不能删除，创建或控制另外一个系统</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对于此定制机型，只能刷定制的双系统</w:t>
                  </w:r>
                  <w:r>
                    <w:rPr>
                      <w:sz w:val="21"/>
                    </w:rPr>
                    <w:t>ROM 包，不能刷其他 ROM 包</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系统防</w:t>
                  </w:r>
                  <w:r>
                    <w:rPr>
                      <w:sz w:val="21"/>
                    </w:rPr>
                    <w:t>ROOT</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电话要求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w:t>
                  </w:r>
                  <w:r>
                    <w:rPr>
                      <w:sz w:val="21"/>
                    </w:rPr>
                    <w:t>均</w:t>
                  </w:r>
                  <w:r>
                    <w:rPr>
                      <w:sz w:val="21"/>
                    </w:rPr>
                    <w:t>能接电话</w:t>
                  </w:r>
                  <w:r>
                    <w:rPr>
                      <w:sz w:val="21"/>
                    </w:rPr>
                    <w:t>，</w:t>
                  </w:r>
                  <w:r>
                    <w:rPr>
                      <w:sz w:val="21"/>
                    </w:rPr>
                    <w:t>通话记录保存</w:t>
                  </w:r>
                  <w:r>
                    <w:rPr>
                      <w:sz w:val="21"/>
                    </w:rPr>
                    <w:t>在通话时所在系统，</w:t>
                  </w:r>
                  <w:r>
                    <w:rPr>
                      <w:sz w:val="21"/>
                    </w:rPr>
                    <w:t>通话过程不能切换系统</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w:t>
                  </w:r>
                  <w:r>
                    <w:rPr>
                      <w:sz w:val="21"/>
                    </w:rPr>
                    <w:t>均能</w:t>
                  </w:r>
                  <w:r>
                    <w:rPr>
                      <w:sz w:val="21"/>
                    </w:rPr>
                    <w:t>支持</w:t>
                  </w:r>
                  <w:r>
                    <w:rPr>
                      <w:sz w:val="21"/>
                    </w:rPr>
                    <w:t>CDMA</w:t>
                  </w:r>
                  <w:r>
                    <w:rPr>
                      <w:sz w:val="21"/>
                    </w:rPr>
                    <w:t>以及</w:t>
                  </w:r>
                  <w:r>
                    <w:rPr>
                      <w:sz w:val="21"/>
                    </w:rPr>
                    <w:t>GSM 双卡双待通话，LTE 数据能够自动回落到 CDMA、CDMA 可自动升LTE</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短信要求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w:t>
                  </w:r>
                  <w:r>
                    <w:rPr>
                      <w:sz w:val="21"/>
                    </w:rPr>
                    <w:t>均能</w:t>
                  </w:r>
                  <w:r>
                    <w:rPr>
                      <w:sz w:val="21"/>
                    </w:rPr>
                    <w:t>收短信，</w:t>
                  </w:r>
                  <w:r>
                    <w:rPr>
                      <w:sz w:val="21"/>
                    </w:rPr>
                    <w:t>短信</w:t>
                  </w:r>
                  <w:r>
                    <w:rPr>
                      <w:sz w:val="21"/>
                    </w:rPr>
                    <w:t>记录保存</w:t>
                  </w:r>
                  <w:r>
                    <w:rPr>
                      <w:sz w:val="21"/>
                    </w:rPr>
                    <w:t>在接收时所在系统，</w:t>
                  </w:r>
                  <w:r>
                    <w:rPr>
                      <w:sz w:val="21"/>
                    </w:rPr>
                    <w:t>两个系统短信相互独立存储，相互不能访问</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通信录要求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两个系统通信录相互独立，不能相互访问。如当前在互联网系统来电，互联网系统电话本没来电号码记录，则即使在安全系统中有记录，来电也只能显示号码，不能显示来电人名称</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安全系统数据业务</w:t>
                  </w:r>
                </w:p>
                <w:p>
                  <w:pPr>
                    <w:jc w:val="center"/>
                  </w:pPr>
                  <w:r>
                    <w:rPr>
                      <w:sz w:val="21"/>
                    </w:rPr>
                    <w:t>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安全系统采用独立的</w:t>
                  </w:r>
                  <w:r>
                    <w:rPr>
                      <w:sz w:val="21"/>
                    </w:rPr>
                    <w:t>APN，只能通过</w:t>
                  </w:r>
                  <w:r>
                    <w:rPr>
                      <w:sz w:val="21"/>
                    </w:rPr>
                    <w:t>VPDN</w:t>
                  </w:r>
                  <w:r>
                    <w:rPr>
                      <w:sz w:val="21"/>
                    </w:rPr>
                    <w:t xml:space="preserve"> </w:t>
                  </w:r>
                  <w:r>
                    <w:rPr>
                      <w:sz w:val="21"/>
                    </w:rPr>
                    <w:t>接入专网做数据业务</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APN 接入点中身份验证类型默认为 paporchap，可修改名称，代理，端口等其他设置可修改，并采用默认设置</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VPDN</w:t>
                  </w:r>
                  <w:r>
                    <w:rPr>
                      <w:sz w:val="21"/>
                    </w:rPr>
                    <w:t>要求在运营商的</w:t>
                  </w:r>
                  <w:r>
                    <w:rPr>
                      <w:sz w:val="21"/>
                    </w:rPr>
                    <w:t>2G/3G/4G</w:t>
                  </w:r>
                  <w:r>
                    <w:rPr>
                      <w:sz w:val="21"/>
                    </w:rPr>
                    <w:t>/5G</w:t>
                  </w:r>
                  <w:r>
                    <w:rPr>
                      <w:sz w:val="21"/>
                    </w:rPr>
                    <w:t>各制式的网络切换时，程序自动拨号联网，不需要用户手工点击开关来联网</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VPDN</w:t>
                  </w:r>
                  <w:r>
                    <w:rPr>
                      <w:sz w:val="21"/>
                    </w:rPr>
                    <w:t xml:space="preserve"> </w:t>
                  </w:r>
                  <w:r>
                    <w:rPr>
                      <w:sz w:val="21"/>
                    </w:rPr>
                    <w:t>要求进入安全系统时，后台自动（拨号连接，用户不感知，</w:t>
                  </w:r>
                  <w:r>
                    <w:rPr>
                      <w:sz w:val="21"/>
                    </w:rPr>
                    <w:t>APN 不可查看，出厂时写入)</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VPDN配置要求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VPDN</w:t>
                  </w:r>
                  <w:r>
                    <w:rPr>
                      <w:sz w:val="21"/>
                    </w:rPr>
                    <w:t xml:space="preserve"> </w:t>
                  </w:r>
                  <w:r>
                    <w:rPr>
                      <w:sz w:val="21"/>
                    </w:rPr>
                    <w:t>支持可配置，配置的参数包括但不限于：</w:t>
                  </w:r>
                  <w:r>
                    <w:rPr>
                      <w:sz w:val="21"/>
                    </w:rPr>
                    <w:t>APN 名称，用户名，密码，鉴权类型，IP 地址类型</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安全系统的</w:t>
                  </w:r>
                  <w:r>
                    <w:rPr>
                      <w:sz w:val="21"/>
                    </w:rPr>
                    <w:t>GSM 关闭数据，只保留通话，不支持彩信</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双系统数据同时在</w:t>
                  </w:r>
                </w:p>
                <w:p>
                  <w:pPr>
                    <w:jc w:val="center"/>
                  </w:pPr>
                  <w:r>
                    <w:rPr>
                      <w:sz w:val="21"/>
                    </w:rPr>
                    <w:t>线要求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场景包括安全系统</w:t>
                  </w:r>
                  <w:r>
                    <w:rPr>
                      <w:sz w:val="21"/>
                    </w:rPr>
                    <w:t>VPDN</w:t>
                  </w:r>
                  <w:r>
                    <w:rPr>
                      <w:sz w:val="21"/>
                    </w:rPr>
                    <w:t xml:space="preserve"> </w:t>
                  </w:r>
                  <w:r>
                    <w:rPr>
                      <w:sz w:val="21"/>
                    </w:rPr>
                    <w:t>接入网络，同时互联网系统的</w:t>
                  </w:r>
                  <w:r>
                    <w:rPr>
                      <w:sz w:val="21"/>
                    </w:rPr>
                    <w:t>WIFI 或者移动数据接入网络。</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支持双系统同时在线，当前系统应能够看到另外一个系统的通知栏消息，但不能看到数据</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421"/>
                  <w:vMerge w:val="restart"/>
                  <w:tcBorders>
                    <w:top w:val="none" w:color="000000" w:sz="4"/>
                    <w:left w:val="none" w:color="000000" w:sz="4"/>
                    <w:bottom w:val="none" w:color="000000" w:sz="4"/>
                    <w:right w:val="single" w:color="000000" w:sz="4"/>
                  </w:tcBorders>
                  <w:vAlign w:val="top"/>
                </w:tcPr>
                <w:p>
                  <w:pPr>
                    <w:jc w:val="center"/>
                  </w:pPr>
                  <w:r>
                    <w:rPr>
                      <w:sz w:val="21"/>
                    </w:rPr>
                    <w:t>外部接口屏蔽要求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安全系统的</w:t>
                  </w:r>
                  <w:r>
                    <w:rPr>
                      <w:sz w:val="21"/>
                    </w:rPr>
                    <w:t>BT/互联网禁止，USB 只保留充电功能。互联网系统不做限制</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421"/>
                  <w:vMerge/>
                  <w:tcBorders>
                    <w:top w:val="none" w:color="000000" w:sz="4"/>
                    <w:left w:val="none" w:color="000000" w:sz="4"/>
                    <w:bottom w:val="non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安全系统支持</w:t>
                  </w:r>
                  <w:r>
                    <w:rPr>
                      <w:sz w:val="21"/>
                    </w:rPr>
                    <w:t>NFC</w:t>
                  </w:r>
                  <w:r>
                    <w:rPr>
                      <w:sz w:val="21"/>
                    </w:rPr>
                    <w:t>读卡功能，但禁止传输数据，互联网系统不对</w:t>
                  </w:r>
                  <w:r>
                    <w:rPr>
                      <w:sz w:val="21"/>
                    </w:rPr>
                    <w:t>NFC</w:t>
                  </w:r>
                  <w:r>
                    <w:rPr>
                      <w:sz w:val="21"/>
                    </w:rPr>
                    <w:t>做功能限制</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421"/>
                  <w:vMerge/>
                  <w:tcBorders>
                    <w:top w:val="none" w:color="000000" w:sz="4"/>
                    <w:left w:val="none" w:color="000000" w:sz="4"/>
                    <w:bottom w:val="non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工作区设置、下拉工具框等处，都不显示</w:t>
                  </w:r>
                  <w:r>
                    <w:rPr>
                      <w:sz w:val="21"/>
                    </w:rPr>
                    <w:t>WiFi</w:t>
                  </w:r>
                  <w:r>
                    <w:rPr>
                      <w:sz w:val="21"/>
                    </w:rPr>
                    <w:t>、</w:t>
                  </w:r>
                  <w:r>
                    <w:rPr>
                      <w:sz w:val="21"/>
                    </w:rPr>
                    <w:t>NFC、</w:t>
                  </w:r>
                  <w:r>
                    <w:rPr>
                      <w:sz w:val="21"/>
                    </w:rPr>
                    <w:t>位置信息</w:t>
                  </w:r>
                  <w:r>
                    <w:rPr>
                      <w:sz w:val="21"/>
                    </w:rPr>
                    <w:t>的启闭按钮，启动后也不在状态栏显示。</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OTA 升级功能</w:t>
                  </w:r>
                </w:p>
              </w:tc>
              <w:tc>
                <w:tcPr>
                  <w:tcW w:type="dxa" w:w="5047"/>
                  <w:tcBorders>
                    <w:top w:val="none" w:color="000000" w:sz="4"/>
                    <w:left w:val="none" w:color="000000" w:sz="4"/>
                    <w:bottom w:val="single" w:color="000000" w:sz="4"/>
                    <w:right w:val="single" w:color="000000" w:sz="4"/>
                  </w:tcBorders>
                  <w:vAlign w:val="top"/>
                </w:tcPr>
                <w:p>
                  <w:pPr>
                    <w:jc w:val="both"/>
                  </w:pPr>
                  <w:r>
                    <w:rPr>
                      <w:sz w:val="21"/>
                    </w:rPr>
                    <w:t>整个系统通过生活区</w:t>
                  </w:r>
                  <w:r>
                    <w:rPr>
                      <w:sz w:val="21"/>
                    </w:rPr>
                    <w:t>OTA 更新</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密码的要求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两个系统可以分别设置密码，指纹等。要求锁屏密码和进入系统时密码统一，只需要输入一次密码。</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系统切换的要求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锁屏状态下，可以切换系统，必须输入当前系统的解锁密码才能进入</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提供切换系统、禁止切换系统、解除禁止切换系统的接口，供有权限的第三方</w:t>
                  </w:r>
                  <w:r>
                    <w:rPr>
                      <w:sz w:val="21"/>
                    </w:rPr>
                    <w:t>APP</w:t>
                  </w:r>
                  <w:r>
                    <w:rPr>
                      <w:sz w:val="21"/>
                    </w:rPr>
                    <w:t>调用</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截屏</w:t>
                  </w:r>
                  <w:r>
                    <w:rPr>
                      <w:sz w:val="21"/>
                    </w:rPr>
                    <w:t>、</w:t>
                  </w:r>
                  <w:r>
                    <w:rPr>
                      <w:sz w:val="21"/>
                    </w:rPr>
                    <w:t>录屏要求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两个系统均提供截屏录屏接口，但是截屏，录屏的数据只能保存在用户当前操作的系统中，另一个系统不能访问。</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蓝牙设置要求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安全系统蓝牙只能由</w:t>
                  </w:r>
                  <w:r>
                    <w:rPr>
                      <w:sz w:val="21"/>
                    </w:rPr>
                    <w:t>MDM远程控制，可通过白名单机制实现精准管控。</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5047"/>
                  <w:tcBorders>
                    <w:top w:val="none" w:color="000000" w:sz="4"/>
                    <w:left w:val="none" w:color="000000" w:sz="4"/>
                    <w:bottom w:val="single" w:color="000000" w:sz="4"/>
                    <w:right w:val="single" w:color="000000" w:sz="4"/>
                  </w:tcBorders>
                  <w:vAlign w:val="top"/>
                </w:tcPr>
                <w:p>
                  <w:pPr>
                    <w:jc w:val="both"/>
                  </w:pPr>
                  <w:r>
                    <w:rPr>
                      <w:sz w:val="21"/>
                    </w:rPr>
                    <w:t>可增加的额外定制需求</w:t>
                  </w:r>
                  <w:r>
                    <w:rPr>
                      <w:sz w:val="21"/>
                    </w:rPr>
                    <w:t>。</w:t>
                  </w:r>
                </w:p>
              </w:tc>
            </w:tr>
          </w:tbl>
          <w:p>
            <w:pPr>
              <w:ind w:firstLine="422"/>
              <w:jc w:val="both"/>
            </w:pPr>
            <w:r>
              <w:rPr>
                <w:b/>
                <w:sz w:val="21"/>
              </w:rPr>
              <w:t>1.5 认证要求</w:t>
            </w:r>
          </w:p>
          <w:p>
            <w:pPr>
              <w:ind w:firstLine="420"/>
              <w:jc w:val="both"/>
            </w:pPr>
            <w:r>
              <w:rPr>
                <w:sz w:val="21"/>
              </w:rPr>
              <w:t>▲</w:t>
            </w:r>
            <w:r>
              <w:rPr>
                <w:sz w:val="21"/>
              </w:rPr>
              <w:t>辅警通</w:t>
            </w:r>
            <w:r>
              <w:rPr>
                <w:sz w:val="21"/>
              </w:rPr>
              <w:t>终端</w:t>
            </w:r>
            <w:r>
              <w:rPr>
                <w:sz w:val="21"/>
              </w:rPr>
              <w:t>需</w:t>
            </w:r>
            <w:r>
              <w:rPr>
                <w:sz w:val="21"/>
              </w:rPr>
              <w:t>具备</w:t>
            </w:r>
            <w:r>
              <w:rPr>
                <w:sz w:val="21"/>
              </w:rPr>
              <w:t>：</w:t>
            </w:r>
          </w:p>
          <w:p>
            <w:pPr>
              <w:ind w:firstLine="420"/>
              <w:jc w:val="both"/>
            </w:pPr>
            <w:r>
              <w:rPr>
                <w:sz w:val="21"/>
              </w:rPr>
              <w:t>电信设备进网许可证</w:t>
            </w:r>
            <w:r>
              <w:rPr>
                <w:sz w:val="21"/>
              </w:rPr>
              <w:t>；</w:t>
            </w:r>
          </w:p>
          <w:p>
            <w:pPr>
              <w:ind w:firstLine="420"/>
              <w:jc w:val="both"/>
            </w:pPr>
            <w:r>
              <w:rPr>
                <w:sz w:val="21"/>
              </w:rPr>
              <w:t>无线电发射设备型号核准证</w:t>
            </w:r>
            <w:r>
              <w:rPr>
                <w:sz w:val="21"/>
              </w:rPr>
              <w:t>；</w:t>
            </w:r>
          </w:p>
          <w:p>
            <w:pPr>
              <w:ind w:firstLine="420"/>
              <w:jc w:val="both"/>
            </w:pPr>
            <w:r>
              <w:rPr>
                <w:sz w:val="21"/>
              </w:rPr>
              <w:t>国家强制性产品认证证书（</w:t>
            </w:r>
            <w:r>
              <w:rPr>
                <w:sz w:val="21"/>
              </w:rPr>
              <w:t>CCC 证书）。</w:t>
            </w:r>
          </w:p>
          <w:p>
            <w:pPr>
              <w:jc w:val="both"/>
            </w:pPr>
            <w:r>
              <w:rPr>
                <w:b/>
                <w:sz w:val="21"/>
              </w:rPr>
              <w:t>2.</w:t>
            </w:r>
            <w:r>
              <w:rPr>
                <w:b/>
                <w:sz w:val="21"/>
              </w:rPr>
              <w:t>安全加密服务需求</w:t>
            </w:r>
          </w:p>
          <w:p>
            <w:pPr>
              <w:ind w:firstLine="422"/>
              <w:jc w:val="both"/>
            </w:pPr>
            <w:r>
              <w:rPr>
                <w:b/>
                <w:sz w:val="21"/>
              </w:rPr>
              <w:t>2.1 功能需求</w:t>
            </w:r>
          </w:p>
          <w:p>
            <w:pPr>
              <w:ind w:firstLine="420"/>
              <w:jc w:val="both"/>
            </w:pPr>
            <w:r>
              <w:rPr>
                <w:sz w:val="21"/>
              </w:rPr>
              <w:t>安全智能</w:t>
            </w:r>
            <w:r>
              <w:rPr>
                <w:sz w:val="21"/>
              </w:rPr>
              <w:t>加密</w:t>
            </w:r>
            <w:r>
              <w:rPr>
                <w:sz w:val="21"/>
              </w:rPr>
              <w:t>卡需经国家密码管理局安全审查，采用国产密码算法。可放置在一般的</w:t>
            </w:r>
            <w:r>
              <w:rPr>
                <w:sz w:val="21"/>
              </w:rPr>
              <w:t>SIM 卡上再插入智能终端的卡槽中，可为智能终端提供身份认证和信息加密服务，提供的主要加密服务包括：</w:t>
            </w:r>
          </w:p>
          <w:p>
            <w:pPr>
              <w:ind w:firstLine="420"/>
              <w:jc w:val="both"/>
            </w:pPr>
            <w:r>
              <w:rPr>
                <w:sz w:val="21"/>
              </w:rPr>
              <w:t>一是用于存储个人数字身份证书和签名私钥，为移动警务终端提供数字签名、签名验证和数据</w:t>
            </w:r>
            <w:r>
              <w:rPr>
                <w:sz w:val="21"/>
              </w:rPr>
              <w:t>加解密等密码服务</w:t>
            </w:r>
            <w:r>
              <w:rPr>
                <w:sz w:val="21"/>
              </w:rPr>
              <w:t>。</w:t>
            </w:r>
          </w:p>
          <w:p>
            <w:pPr>
              <w:ind w:firstLine="420"/>
              <w:jc w:val="both"/>
            </w:pPr>
            <w:r>
              <w:rPr>
                <w:sz w:val="21"/>
              </w:rPr>
              <w:t>二是用于实现</w:t>
            </w:r>
            <w:r>
              <w:rPr>
                <w:sz w:val="21"/>
              </w:rPr>
              <w:t>SM1 算法和密钥管理，为移动警务终端提供基于 SM1 算法的数据加解密服务。 移动警务终端设备配备安全智能</w:t>
            </w:r>
            <w:r>
              <w:rPr>
                <w:sz w:val="21"/>
              </w:rPr>
              <w:t>加密</w:t>
            </w:r>
            <w:r>
              <w:rPr>
                <w:sz w:val="21"/>
              </w:rPr>
              <w:t>卡，安装安全客户端软件后，具备以下功能：</w:t>
            </w:r>
          </w:p>
          <w:p>
            <w:pPr>
              <w:ind w:firstLine="420"/>
              <w:jc w:val="both"/>
            </w:pPr>
            <w:r>
              <w:rPr>
                <w:sz w:val="21"/>
              </w:rPr>
              <w:t>（</w:t>
            </w:r>
            <w:r>
              <w:rPr>
                <w:sz w:val="21"/>
              </w:rPr>
              <w:t>1</w:t>
            </w:r>
            <w:r>
              <w:rPr>
                <w:sz w:val="21"/>
              </w:rPr>
              <w:t>）</w:t>
            </w:r>
            <w:r>
              <w:rPr>
                <w:sz w:val="21"/>
              </w:rPr>
              <w:t>用户识别功能</w:t>
            </w:r>
            <w:r>
              <w:rPr>
                <w:sz w:val="21"/>
              </w:rPr>
              <w:t>：</w:t>
            </w:r>
            <w:r>
              <w:rPr>
                <w:sz w:val="21"/>
              </w:rPr>
              <w:t>安全智能</w:t>
            </w:r>
            <w:r>
              <w:rPr>
                <w:sz w:val="21"/>
              </w:rPr>
              <w:t>加密</w:t>
            </w:r>
            <w:r>
              <w:rPr>
                <w:sz w:val="21"/>
              </w:rPr>
              <w:t>卡提供基于</w:t>
            </w:r>
            <w:r>
              <w:rPr>
                <w:sz w:val="21"/>
              </w:rPr>
              <w:t>PIN 码的用户识别功能，合法用户可以设置和修改用户口令，非法用户无法通过口令验证，因而也无法使用移动应用功能；此外，PIN 码验证提供防暴力破解功能，连续错误输入口令次数超过设定次数将导致安全</w:t>
            </w:r>
            <w:r>
              <w:rPr>
                <w:sz w:val="21"/>
              </w:rPr>
              <w:t>加密</w:t>
            </w:r>
            <w:r>
              <w:rPr>
                <w:sz w:val="21"/>
              </w:rPr>
              <w:t>卡</w:t>
            </w:r>
            <w:r>
              <w:rPr>
                <w:sz w:val="21"/>
              </w:rPr>
              <w:t>PIN 码被锁定。</w:t>
            </w:r>
          </w:p>
          <w:p>
            <w:pPr>
              <w:ind w:firstLine="420"/>
              <w:jc w:val="both"/>
            </w:pPr>
            <w:r>
              <w:rPr>
                <w:sz w:val="21"/>
              </w:rPr>
              <w:t>（</w:t>
            </w:r>
            <w:r>
              <w:rPr>
                <w:sz w:val="21"/>
              </w:rPr>
              <w:t>2</w:t>
            </w:r>
            <w:r>
              <w:rPr>
                <w:sz w:val="21"/>
              </w:rPr>
              <w:t>）</w:t>
            </w:r>
            <w:r>
              <w:rPr>
                <w:sz w:val="21"/>
              </w:rPr>
              <w:t>信息安全存储功能</w:t>
            </w:r>
            <w:r>
              <w:rPr>
                <w:sz w:val="21"/>
              </w:rPr>
              <w:t>：</w:t>
            </w:r>
            <w:r>
              <w:rPr>
                <w:sz w:val="21"/>
              </w:rPr>
              <w:t>安全智能</w:t>
            </w:r>
            <w:r>
              <w:rPr>
                <w:sz w:val="21"/>
              </w:rPr>
              <w:t>加密</w:t>
            </w:r>
            <w:r>
              <w:rPr>
                <w:sz w:val="21"/>
              </w:rPr>
              <w:t>卡通过访问控制提供密钥等关键信息的安全存储，该信息的存储对访问进行了特殊标记；对称密钥信息加密存储，必须通过用户身份识别后才能进行读写。</w:t>
            </w:r>
          </w:p>
          <w:p>
            <w:pPr>
              <w:ind w:firstLine="420"/>
              <w:jc w:val="both"/>
            </w:pPr>
            <w:r>
              <w:rPr>
                <w:sz w:val="21"/>
              </w:rPr>
              <w:t>（</w:t>
            </w:r>
            <w:r>
              <w:rPr>
                <w:sz w:val="21"/>
              </w:rPr>
              <w:t>3</w:t>
            </w:r>
            <w:r>
              <w:rPr>
                <w:sz w:val="21"/>
              </w:rPr>
              <w:t>）</w:t>
            </w:r>
            <w:r>
              <w:rPr>
                <w:sz w:val="21"/>
              </w:rPr>
              <w:t>密码学运算功能</w:t>
            </w:r>
            <w:r>
              <w:rPr>
                <w:sz w:val="21"/>
              </w:rPr>
              <w:t>：</w:t>
            </w:r>
            <w:r>
              <w:rPr>
                <w:sz w:val="21"/>
              </w:rPr>
              <w:t>安全智能</w:t>
            </w:r>
            <w:r>
              <w:rPr>
                <w:sz w:val="21"/>
              </w:rPr>
              <w:t>加密卡</w:t>
            </w:r>
            <w:r>
              <w:rPr>
                <w:sz w:val="21"/>
              </w:rPr>
              <w:t>主要提供的密码学运算主要有：随机数生成国密</w:t>
            </w:r>
            <w:r>
              <w:rPr>
                <w:sz w:val="21"/>
              </w:rPr>
              <w:t>SM1 算法、国密 SM2 算法、SHA1 杂凑算法、RSA1024 算法等。</w:t>
            </w:r>
          </w:p>
          <w:p>
            <w:pPr>
              <w:ind w:firstLine="422"/>
              <w:jc w:val="both"/>
            </w:pPr>
            <w:r>
              <w:rPr>
                <w:b/>
                <w:sz w:val="21"/>
              </w:rPr>
              <w:t>2.2 参数需求</w:t>
            </w:r>
          </w:p>
          <w:p>
            <w:pPr>
              <w:ind w:firstLine="210"/>
              <w:jc w:val="both"/>
            </w:pPr>
            <w:r>
              <w:rPr>
                <w:sz w:val="21"/>
              </w:rPr>
              <w:t>▲</w:t>
            </w:r>
            <w:r>
              <w:rPr>
                <w:sz w:val="21"/>
              </w:rPr>
              <w:t>（</w:t>
            </w:r>
            <w:r>
              <w:rPr>
                <w:sz w:val="21"/>
              </w:rPr>
              <w:t>1</w:t>
            </w:r>
            <w:r>
              <w:rPr>
                <w:sz w:val="21"/>
              </w:rPr>
              <w:t>）</w:t>
            </w:r>
            <w:r>
              <w:rPr>
                <w:sz w:val="21"/>
              </w:rPr>
              <w:t>采用国产自主研发的密码芯片（提供证书复印件或证明材料并加盖厂商公章）。</w:t>
            </w:r>
          </w:p>
          <w:p>
            <w:pPr>
              <w:jc w:val="both"/>
            </w:pPr>
            <w:r>
              <w:rPr>
                <w:sz w:val="21"/>
              </w:rPr>
              <w:t>（</w:t>
            </w:r>
            <w:r>
              <w:rPr>
                <w:sz w:val="21"/>
              </w:rPr>
              <w:t>2</w:t>
            </w:r>
            <w:r>
              <w:rPr>
                <w:sz w:val="21"/>
              </w:rPr>
              <w:t>）</w:t>
            </w:r>
            <w:r>
              <w:rPr>
                <w:sz w:val="21"/>
              </w:rPr>
              <w:t>支持标准</w:t>
            </w:r>
            <w:r>
              <w:rPr>
                <w:sz w:val="21"/>
              </w:rPr>
              <w:t>SIM 卡、Micro SIM 卡和 Nano SIM 卡三种 SIM 卡类型。</w:t>
            </w:r>
          </w:p>
          <w:p>
            <w:pPr>
              <w:jc w:val="both"/>
            </w:pPr>
            <w:r>
              <w:rPr>
                <w:sz w:val="21"/>
              </w:rPr>
              <w:t>（</w:t>
            </w:r>
            <w:r>
              <w:rPr>
                <w:sz w:val="21"/>
              </w:rPr>
              <w:t>3</w:t>
            </w:r>
            <w:r>
              <w:rPr>
                <w:sz w:val="21"/>
              </w:rPr>
              <w:t>）</w:t>
            </w:r>
            <w:r>
              <w:rPr>
                <w:sz w:val="21"/>
              </w:rPr>
              <w:t>支持国密算法高速加解密，可满足流媒体加密需求。</w:t>
            </w:r>
          </w:p>
          <w:p>
            <w:pPr>
              <w:jc w:val="both"/>
            </w:pPr>
            <w:r>
              <w:rPr>
                <w:sz w:val="21"/>
              </w:rPr>
              <w:t>（</w:t>
            </w:r>
            <w:r>
              <w:rPr>
                <w:sz w:val="21"/>
              </w:rPr>
              <w:t>4</w:t>
            </w:r>
            <w:r>
              <w:rPr>
                <w:sz w:val="21"/>
              </w:rPr>
              <w:t>）</w:t>
            </w:r>
            <w:r>
              <w:rPr>
                <w:sz w:val="21"/>
              </w:rPr>
              <w:t>低功耗设计，满足手机的应用环境。</w:t>
            </w:r>
          </w:p>
          <w:p>
            <w:pPr>
              <w:jc w:val="both"/>
            </w:pPr>
            <w:r>
              <w:rPr>
                <w:sz w:val="21"/>
              </w:rPr>
              <w:t>（</w:t>
            </w:r>
            <w:r>
              <w:rPr>
                <w:sz w:val="21"/>
              </w:rPr>
              <w:t>5</w:t>
            </w:r>
            <w:r>
              <w:rPr>
                <w:sz w:val="21"/>
              </w:rPr>
              <w:t>）</w:t>
            </w:r>
            <w:r>
              <w:rPr>
                <w:sz w:val="21"/>
              </w:rPr>
              <w:t>支持基于国密算法的移动应用分发，防止未授权的应用访问。</w:t>
            </w:r>
          </w:p>
          <w:p>
            <w:pPr>
              <w:jc w:val="both"/>
            </w:pPr>
            <w:r>
              <w:rPr>
                <w:sz w:val="21"/>
              </w:rPr>
              <w:t>（</w:t>
            </w:r>
            <w:r>
              <w:rPr>
                <w:sz w:val="21"/>
              </w:rPr>
              <w:t>6</w:t>
            </w:r>
            <w:r>
              <w:rPr>
                <w:sz w:val="21"/>
              </w:rPr>
              <w:t>）</w:t>
            </w:r>
            <w:r>
              <w:rPr>
                <w:sz w:val="21"/>
              </w:rPr>
              <w:t>全面支持</w:t>
            </w:r>
            <w:r>
              <w:rPr>
                <w:sz w:val="21"/>
              </w:rPr>
              <w:t>Android</w:t>
            </w:r>
            <w:r>
              <w:rPr>
                <w:sz w:val="21"/>
              </w:rPr>
              <w:t>、鸿蒙</w:t>
            </w:r>
            <w:r>
              <w:rPr>
                <w:sz w:val="21"/>
              </w:rPr>
              <w:t>等主流操作系统平台。</w:t>
            </w:r>
          </w:p>
          <w:p>
            <w:pPr>
              <w:ind w:firstLine="420"/>
              <w:jc w:val="both"/>
            </w:pPr>
            <w:r>
              <w:rPr>
                <w:sz w:val="21"/>
              </w:rPr>
              <w:t>（</w:t>
            </w:r>
            <w:r>
              <w:rPr>
                <w:sz w:val="21"/>
              </w:rPr>
              <w:t>7</w:t>
            </w:r>
            <w:r>
              <w:rPr>
                <w:sz w:val="21"/>
              </w:rPr>
              <w:t>）</w:t>
            </w:r>
            <w:r>
              <w:rPr>
                <w:sz w:val="21"/>
              </w:rPr>
              <w:t>安全智能</w:t>
            </w:r>
            <w:r>
              <w:rPr>
                <w:sz w:val="21"/>
              </w:rPr>
              <w:t>加密</w:t>
            </w:r>
            <w:r>
              <w:rPr>
                <w:sz w:val="21"/>
              </w:rPr>
              <w:t>卡支持</w:t>
            </w:r>
            <w:r>
              <w:rPr>
                <w:sz w:val="21"/>
              </w:rPr>
              <w:t>SM1、SM2、SM3、SM4 等国密算法；</w:t>
            </w:r>
          </w:p>
          <w:p>
            <w:pPr>
              <w:ind w:firstLine="420"/>
              <w:jc w:val="both"/>
            </w:pPr>
            <w:r>
              <w:rPr>
                <w:sz w:val="21"/>
              </w:rPr>
              <w:t>（</w:t>
            </w:r>
            <w:r>
              <w:rPr>
                <w:sz w:val="21"/>
              </w:rPr>
              <w:t>8</w:t>
            </w:r>
            <w:r>
              <w:rPr>
                <w:sz w:val="21"/>
              </w:rPr>
              <w:t>）</w:t>
            </w:r>
            <w:r>
              <w:rPr>
                <w:sz w:val="21"/>
              </w:rPr>
              <w:t>安全智能</w:t>
            </w:r>
            <w:r>
              <w:rPr>
                <w:sz w:val="21"/>
              </w:rPr>
              <w:t>加密</w:t>
            </w:r>
            <w:r>
              <w:rPr>
                <w:sz w:val="21"/>
              </w:rPr>
              <w:t>卡可存储个人数字身份证书和签名私钥，为移动终端提供数字签名、签名验证和数据加密等密码服务；</w:t>
            </w:r>
          </w:p>
          <w:p>
            <w:pPr>
              <w:ind w:firstLine="420"/>
              <w:jc w:val="both"/>
            </w:pPr>
            <w:r>
              <w:rPr>
                <w:sz w:val="21"/>
              </w:rPr>
              <w:t>（</w:t>
            </w:r>
            <w:r>
              <w:rPr>
                <w:sz w:val="21"/>
              </w:rPr>
              <w:t>9</w:t>
            </w:r>
            <w:r>
              <w:rPr>
                <w:sz w:val="21"/>
              </w:rPr>
              <w:t>）</w:t>
            </w:r>
            <w:r>
              <w:rPr>
                <w:sz w:val="21"/>
              </w:rPr>
              <w:t>安全智能</w:t>
            </w:r>
            <w:r>
              <w:rPr>
                <w:sz w:val="21"/>
              </w:rPr>
              <w:t>加密</w:t>
            </w:r>
            <w:r>
              <w:rPr>
                <w:sz w:val="21"/>
              </w:rPr>
              <w:t>卡可实现</w:t>
            </w:r>
            <w:r>
              <w:rPr>
                <w:sz w:val="21"/>
              </w:rPr>
              <w:t>SM2 算法和密钥管理，为移动终端提供基于 SM2 算法的数据加解密服务；</w:t>
            </w:r>
          </w:p>
          <w:p>
            <w:pPr>
              <w:ind w:firstLine="210"/>
              <w:jc w:val="both"/>
            </w:pPr>
            <w:r>
              <w:rPr>
                <w:sz w:val="21"/>
              </w:rPr>
              <w:t>▲</w:t>
            </w:r>
            <w:r>
              <w:rPr>
                <w:sz w:val="21"/>
              </w:rPr>
              <w:t>（</w:t>
            </w:r>
            <w:r>
              <w:rPr>
                <w:sz w:val="21"/>
              </w:rPr>
              <w:t>10</w:t>
            </w:r>
            <w:r>
              <w:rPr>
                <w:sz w:val="21"/>
              </w:rPr>
              <w:t>）</w:t>
            </w:r>
            <w:r>
              <w:rPr>
                <w:sz w:val="21"/>
              </w:rPr>
              <w:t>安全智能卡能够跟</w:t>
            </w:r>
            <w:r>
              <w:rPr>
                <w:sz w:val="21"/>
              </w:rPr>
              <w:t>中山</w:t>
            </w:r>
            <w:r>
              <w:rPr>
                <w:sz w:val="21"/>
              </w:rPr>
              <w:t>本地移动警务安全接入平台、广东省公安厅移动警务安全认证平台互联互通</w:t>
            </w:r>
            <w:r>
              <w:rPr>
                <w:sz w:val="21"/>
              </w:rPr>
              <w:t>（投标人提供承诺函并加盖公章）</w:t>
            </w:r>
            <w:r>
              <w:rPr>
                <w:sz w:val="21"/>
              </w:rPr>
              <w:t>。</w:t>
            </w:r>
          </w:p>
          <w:p>
            <w:pPr>
              <w:jc w:val="both"/>
            </w:pPr>
            <w:r>
              <w:rPr>
                <w:sz w:val="21"/>
              </w:rPr>
              <w:t>（</w:t>
            </w:r>
            <w:r>
              <w:rPr>
                <w:sz w:val="21"/>
              </w:rPr>
              <w:t>11</w:t>
            </w:r>
            <w:r>
              <w:rPr>
                <w:sz w:val="21"/>
              </w:rPr>
              <w:t>）</w:t>
            </w:r>
            <w:r>
              <w:rPr>
                <w:sz w:val="21"/>
              </w:rPr>
              <w:t>SIM 卡可与安全智能卡插在同一卡槽。</w:t>
            </w:r>
          </w:p>
          <w:p>
            <w:pPr>
              <w:jc w:val="both"/>
            </w:pPr>
            <w:r>
              <w:rPr>
                <w:sz w:val="21"/>
              </w:rPr>
              <w:t>（</w:t>
            </w:r>
            <w:r>
              <w:rPr>
                <w:sz w:val="21"/>
              </w:rPr>
              <w:t>12</w:t>
            </w:r>
            <w:r>
              <w:rPr>
                <w:sz w:val="21"/>
              </w:rPr>
              <w:t>）</w:t>
            </w:r>
            <w:r>
              <w:rPr>
                <w:sz w:val="21"/>
              </w:rPr>
              <w:t>SM2 密钥对生成不少于 0.1s/对；</w:t>
            </w:r>
          </w:p>
          <w:p>
            <w:pPr>
              <w:jc w:val="both"/>
            </w:pPr>
            <w:r>
              <w:rPr>
                <w:sz w:val="21"/>
              </w:rPr>
              <w:t>（</w:t>
            </w:r>
            <w:r>
              <w:rPr>
                <w:sz w:val="21"/>
              </w:rPr>
              <w:t>13</w:t>
            </w:r>
            <w:r>
              <w:rPr>
                <w:sz w:val="21"/>
              </w:rPr>
              <w:t>）</w:t>
            </w:r>
            <w:r>
              <w:rPr>
                <w:sz w:val="21"/>
              </w:rPr>
              <w:t>SM2 签名不少于 13 次/s；</w:t>
            </w:r>
          </w:p>
          <w:p>
            <w:pPr>
              <w:jc w:val="both"/>
            </w:pPr>
            <w:r>
              <w:rPr>
                <w:sz w:val="21"/>
              </w:rPr>
              <w:t>（</w:t>
            </w:r>
            <w:r>
              <w:rPr>
                <w:sz w:val="21"/>
              </w:rPr>
              <w:t>14</w:t>
            </w:r>
            <w:r>
              <w:rPr>
                <w:sz w:val="21"/>
              </w:rPr>
              <w:t>）</w:t>
            </w:r>
            <w:r>
              <w:rPr>
                <w:sz w:val="21"/>
              </w:rPr>
              <w:t>SM2 验证不少于 12 次/s；</w:t>
            </w:r>
          </w:p>
          <w:p>
            <w:pPr>
              <w:jc w:val="both"/>
            </w:pPr>
            <w:r>
              <w:rPr>
                <w:sz w:val="21"/>
              </w:rPr>
              <w:t>（</w:t>
            </w:r>
            <w:r>
              <w:rPr>
                <w:sz w:val="21"/>
              </w:rPr>
              <w:t>15</w:t>
            </w:r>
            <w:r>
              <w:rPr>
                <w:sz w:val="21"/>
              </w:rPr>
              <w:t>）</w:t>
            </w:r>
            <w:r>
              <w:rPr>
                <w:sz w:val="21"/>
              </w:rPr>
              <w:t>SM2 加密不少于 5Kbps；</w:t>
            </w:r>
          </w:p>
          <w:p>
            <w:pPr>
              <w:jc w:val="both"/>
            </w:pPr>
            <w:r>
              <w:rPr>
                <w:sz w:val="21"/>
              </w:rPr>
              <w:t>（</w:t>
            </w:r>
            <w:r>
              <w:rPr>
                <w:sz w:val="21"/>
              </w:rPr>
              <w:t>16</w:t>
            </w:r>
            <w:r>
              <w:rPr>
                <w:sz w:val="21"/>
              </w:rPr>
              <w:t>）</w:t>
            </w:r>
            <w:r>
              <w:rPr>
                <w:sz w:val="21"/>
              </w:rPr>
              <w:t>SM2 解密不少于 6Kbps；</w:t>
            </w:r>
          </w:p>
          <w:p>
            <w:pPr>
              <w:jc w:val="both"/>
            </w:pPr>
            <w:r>
              <w:rPr>
                <w:sz w:val="21"/>
              </w:rPr>
              <w:t>（</w:t>
            </w:r>
            <w:r>
              <w:rPr>
                <w:sz w:val="21"/>
              </w:rPr>
              <w:t>17</w:t>
            </w:r>
            <w:r>
              <w:rPr>
                <w:sz w:val="21"/>
              </w:rPr>
              <w:t>）</w:t>
            </w:r>
            <w:r>
              <w:rPr>
                <w:sz w:val="21"/>
              </w:rPr>
              <w:t>SM3 摘要不少于 19Kbps；</w:t>
            </w:r>
          </w:p>
          <w:p>
            <w:pPr>
              <w:jc w:val="both"/>
            </w:pPr>
            <w:r>
              <w:rPr>
                <w:sz w:val="21"/>
              </w:rPr>
              <w:t>（</w:t>
            </w:r>
            <w:r>
              <w:rPr>
                <w:sz w:val="21"/>
              </w:rPr>
              <w:t>18</w:t>
            </w:r>
            <w:r>
              <w:rPr>
                <w:sz w:val="21"/>
              </w:rPr>
              <w:t>）</w:t>
            </w:r>
            <w:r>
              <w:rPr>
                <w:sz w:val="21"/>
              </w:rPr>
              <w:t>SM1 加解密不少于 13Kbps</w:t>
            </w:r>
          </w:p>
          <w:p>
            <w:pPr>
              <w:jc w:val="both"/>
            </w:pPr>
            <w:r>
              <w:rPr>
                <w:sz w:val="21"/>
              </w:rPr>
              <w:t>（</w:t>
            </w:r>
            <w:r>
              <w:rPr>
                <w:sz w:val="21"/>
              </w:rPr>
              <w:t>19</w:t>
            </w:r>
            <w:r>
              <w:rPr>
                <w:sz w:val="21"/>
              </w:rPr>
              <w:t>）</w:t>
            </w:r>
            <w:r>
              <w:rPr>
                <w:sz w:val="21"/>
              </w:rPr>
              <w:t>SM4 加解密不少于 10Mbps</w:t>
            </w:r>
          </w:p>
          <w:p>
            <w:pPr>
              <w:jc w:val="both"/>
            </w:pPr>
            <w:r>
              <w:rPr>
                <w:sz w:val="21"/>
              </w:rPr>
              <w:t>（</w:t>
            </w:r>
            <w:r>
              <w:rPr>
                <w:sz w:val="21"/>
              </w:rPr>
              <w:t>20</w:t>
            </w:r>
            <w:r>
              <w:rPr>
                <w:sz w:val="21"/>
              </w:rPr>
              <w:t>）</w:t>
            </w:r>
            <w:r>
              <w:rPr>
                <w:sz w:val="21"/>
              </w:rPr>
              <w:t>工作温度：</w:t>
            </w:r>
            <w:r>
              <w:rPr>
                <w:sz w:val="21"/>
              </w:rPr>
              <w:t>-25℃到+85℃；</w:t>
            </w:r>
          </w:p>
          <w:p>
            <w:pPr>
              <w:jc w:val="both"/>
            </w:pPr>
            <w:r>
              <w:rPr>
                <w:sz w:val="21"/>
              </w:rPr>
              <w:t>（</w:t>
            </w:r>
            <w:r>
              <w:rPr>
                <w:sz w:val="21"/>
              </w:rPr>
              <w:t>21</w:t>
            </w:r>
            <w:r>
              <w:rPr>
                <w:sz w:val="21"/>
              </w:rPr>
              <w:t>）</w:t>
            </w:r>
            <w:r>
              <w:rPr>
                <w:sz w:val="21"/>
              </w:rPr>
              <w:t>存放温度：</w:t>
            </w:r>
            <w:r>
              <w:rPr>
                <w:sz w:val="21"/>
              </w:rPr>
              <w:t>-40℃到+125℃；</w:t>
            </w:r>
          </w:p>
          <w:p>
            <w:pPr>
              <w:ind w:firstLine="422"/>
              <w:jc w:val="both"/>
            </w:pPr>
            <w:r>
              <w:rPr>
                <w:b/>
                <w:sz w:val="21"/>
              </w:rPr>
              <w:t>2.3 认证需求</w:t>
            </w:r>
          </w:p>
          <w:p>
            <w:pPr>
              <w:ind w:firstLine="420"/>
              <w:jc w:val="both"/>
            </w:pPr>
            <w:r>
              <w:rPr>
                <w:sz w:val="21"/>
              </w:rPr>
              <w:t>安全智能加密卡</w:t>
            </w:r>
            <w:r>
              <w:rPr>
                <w:sz w:val="21"/>
              </w:rPr>
              <w:t>应具备与达到等级保护（三级）安全水平的移动通信服务平台实现身份认证能力</w:t>
            </w:r>
            <w:r>
              <w:rPr>
                <w:sz w:val="21"/>
              </w:rPr>
              <w:t>；</w:t>
            </w:r>
          </w:p>
          <w:p>
            <w:pPr>
              <w:ind w:firstLine="630"/>
              <w:jc w:val="both"/>
            </w:pPr>
            <w:r>
              <w:rPr>
                <w:sz w:val="21"/>
              </w:rPr>
              <w:t>▲</w:t>
            </w:r>
            <w:r>
              <w:rPr>
                <w:sz w:val="21"/>
              </w:rPr>
              <w:t>安全智能加密卡</w:t>
            </w:r>
            <w:r>
              <w:rPr>
                <w:sz w:val="21"/>
              </w:rPr>
              <w:t>应具有国家密码管理部门颁发的商用密码产品认证证书</w:t>
            </w:r>
            <w:r>
              <w:rPr>
                <w:sz w:val="21"/>
              </w:rPr>
              <w:t>（</w:t>
            </w:r>
            <w:r>
              <w:rPr>
                <w:sz w:val="21"/>
              </w:rPr>
              <w:t>提供复印件并加盖厂家公章</w:t>
            </w:r>
            <w:r>
              <w:rPr>
                <w:sz w:val="21"/>
              </w:rPr>
              <w:t>）；</w:t>
            </w:r>
          </w:p>
          <w:p>
            <w:pPr>
              <w:ind w:firstLine="420"/>
              <w:jc w:val="both"/>
            </w:pPr>
            <w:r>
              <w:rPr>
                <w:sz w:val="21"/>
              </w:rPr>
              <w:t>为满足国产化和安全性，</w:t>
            </w:r>
            <w:r>
              <w:rPr>
                <w:sz w:val="21"/>
              </w:rPr>
              <w:t>安全智能加密卡</w:t>
            </w:r>
            <w:r>
              <w:rPr>
                <w:sz w:val="21"/>
              </w:rPr>
              <w:t>采用的安全芯片应为</w:t>
            </w:r>
            <w:r>
              <w:rPr>
                <w:sz w:val="21"/>
              </w:rPr>
              <w:t>国内</w:t>
            </w:r>
            <w:r>
              <w:rPr>
                <w:sz w:val="21"/>
              </w:rPr>
              <w:t>原厂商自主研发</w:t>
            </w:r>
            <w:r>
              <w:rPr>
                <w:sz w:val="21"/>
              </w:rPr>
              <w:t>。</w:t>
            </w:r>
          </w:p>
          <w:p>
            <w:pPr>
              <w:jc w:val="both"/>
            </w:pPr>
            <w:r>
              <w:rPr>
                <w:b/>
                <w:sz w:val="21"/>
              </w:rPr>
              <w:t>3.</w:t>
            </w:r>
            <w:r>
              <w:rPr>
                <w:b/>
                <w:sz w:val="21"/>
              </w:rPr>
              <w:t>MDM 终端安全管控服务需求</w:t>
            </w:r>
          </w:p>
          <w:p>
            <w:pPr>
              <w:ind w:firstLine="422"/>
              <w:jc w:val="both"/>
            </w:pPr>
            <w:r>
              <w:rPr>
                <w:b/>
                <w:sz w:val="21"/>
              </w:rPr>
              <w:t>3.1 功能需求</w:t>
            </w:r>
          </w:p>
          <w:p>
            <w:pPr>
              <w:ind w:firstLine="420"/>
              <w:jc w:val="both"/>
            </w:pPr>
            <w:r>
              <w:rPr>
                <w:sz w:val="21"/>
              </w:rPr>
              <w:t>（</w:t>
            </w:r>
            <w:r>
              <w:rPr>
                <w:sz w:val="21"/>
              </w:rPr>
              <w:t>1</w:t>
            </w:r>
            <w:r>
              <w:rPr>
                <w:sz w:val="21"/>
              </w:rPr>
              <w:t>）</w:t>
            </w:r>
            <w:r>
              <w:rPr>
                <w:sz w:val="21"/>
              </w:rPr>
              <w:t>开放平台</w:t>
            </w:r>
            <w:r>
              <w:rPr>
                <w:sz w:val="21"/>
              </w:rPr>
              <w:t>API 功能：提供管控能力开放 API，方便与统一业务平台和安全接入平台系统进行对接集成。还可以对界面进行定制化。</w:t>
            </w:r>
          </w:p>
          <w:p>
            <w:pPr>
              <w:ind w:firstLine="210"/>
              <w:jc w:val="both"/>
            </w:pPr>
            <w:r>
              <w:rPr>
                <w:sz w:val="21"/>
              </w:rPr>
              <w:t>▲</w:t>
            </w:r>
            <w:r>
              <w:rPr>
                <w:sz w:val="21"/>
              </w:rPr>
              <w:t>（</w:t>
            </w:r>
            <w:r>
              <w:rPr>
                <w:sz w:val="21"/>
              </w:rPr>
              <w:t>2</w:t>
            </w:r>
            <w:r>
              <w:rPr>
                <w:sz w:val="21"/>
              </w:rPr>
              <w:t>）</w:t>
            </w:r>
            <w:r>
              <w:rPr>
                <w:sz w:val="21"/>
              </w:rPr>
              <w:t>客户端</w:t>
            </w:r>
            <w:r>
              <w:rPr>
                <w:sz w:val="21"/>
              </w:rPr>
              <w:t>SDK 能力：以SDK的形式提供所有客户端功能。公安自行开发的或者第三方警务应用均可以集成该 SDK 实现设备管理的功能。</w:t>
            </w:r>
            <w:r>
              <w:rPr>
                <w:sz w:val="21"/>
              </w:rPr>
              <w:t>（投标人提供承诺函并加盖公章）</w:t>
            </w:r>
          </w:p>
          <w:p>
            <w:pPr>
              <w:ind w:firstLine="420"/>
              <w:jc w:val="both"/>
            </w:pPr>
            <w:r>
              <w:rPr>
                <w:sz w:val="21"/>
              </w:rPr>
              <w:t>（</w:t>
            </w:r>
            <w:r>
              <w:rPr>
                <w:sz w:val="21"/>
              </w:rPr>
              <w:t>3</w:t>
            </w:r>
            <w:r>
              <w:rPr>
                <w:sz w:val="21"/>
              </w:rPr>
              <w:t>）</w:t>
            </w:r>
            <w:r>
              <w:rPr>
                <w:sz w:val="21"/>
              </w:rPr>
              <w:t>大屏显示：支持在系统首页大屏显示系统关键数据，包括：设备状态、用户信息、系统状态监控、设备状态、设备违规情况、策略执行情况、应用安装情况等关键数据显示。</w:t>
            </w:r>
          </w:p>
          <w:p>
            <w:pPr>
              <w:ind w:firstLine="420"/>
              <w:jc w:val="both"/>
            </w:pPr>
            <w:r>
              <w:rPr>
                <w:sz w:val="21"/>
              </w:rPr>
              <w:t>（</w:t>
            </w:r>
            <w:r>
              <w:rPr>
                <w:sz w:val="21"/>
              </w:rPr>
              <w:t>4</w:t>
            </w:r>
            <w:r>
              <w:rPr>
                <w:sz w:val="21"/>
              </w:rPr>
              <w:t>）</w:t>
            </w:r>
            <w:r>
              <w:rPr>
                <w:sz w:val="21"/>
              </w:rPr>
              <w:t>在线帮助：管理平台支持在线帮助的功能，在每个页面上点击右上角的问号，即可在浏览器新的</w:t>
            </w:r>
            <w:r>
              <w:rPr>
                <w:sz w:val="21"/>
              </w:rPr>
              <w:t>Tab页打开当前所在页面的帮助信息。帮助信息包括每个功能页面的菜单导航操作、功能说明、FAQ、常用名词解释等信息。</w:t>
            </w:r>
          </w:p>
          <w:p>
            <w:pPr>
              <w:ind w:firstLine="420"/>
              <w:jc w:val="both"/>
            </w:pPr>
            <w:r>
              <w:rPr>
                <w:sz w:val="21"/>
              </w:rPr>
              <w:t>（</w:t>
            </w:r>
            <w:r>
              <w:rPr>
                <w:sz w:val="21"/>
              </w:rPr>
              <w:t>5</w:t>
            </w:r>
            <w:r>
              <w:rPr>
                <w:sz w:val="21"/>
              </w:rPr>
              <w:t>）</w:t>
            </w:r>
            <w:r>
              <w:rPr>
                <w:sz w:val="21"/>
              </w:rPr>
              <w:t>管理员分级权限细分至操作：管理平台提供的权限模板可以将权限分配至每个模块下面对应的操作，实现更细粒度的控制。同时，管理员还可以选择缺省的权限模板快速创建下级管理员。</w:t>
            </w:r>
          </w:p>
          <w:p>
            <w:pPr>
              <w:ind w:firstLine="420"/>
              <w:jc w:val="both"/>
            </w:pPr>
            <w:r>
              <w:rPr>
                <w:sz w:val="21"/>
              </w:rPr>
              <w:t>（</w:t>
            </w:r>
            <w:r>
              <w:rPr>
                <w:sz w:val="21"/>
              </w:rPr>
              <w:t>6</w:t>
            </w:r>
            <w:r>
              <w:rPr>
                <w:sz w:val="21"/>
              </w:rPr>
              <w:t>）</w:t>
            </w:r>
            <w:r>
              <w:rPr>
                <w:sz w:val="21"/>
              </w:rPr>
              <w:t>移动控制台：提供管理平台的移动</w:t>
            </w:r>
            <w:r>
              <w:rPr>
                <w:sz w:val="21"/>
              </w:rPr>
              <w:t>APP，支持双因子验证、自动登录和 IP 锁定功能。在移动管理控制台可进行系统监控和部分轻量操作。</w:t>
            </w:r>
          </w:p>
          <w:p>
            <w:pPr>
              <w:ind w:firstLine="420"/>
              <w:jc w:val="both"/>
            </w:pPr>
            <w:r>
              <w:rPr>
                <w:sz w:val="21"/>
              </w:rPr>
              <w:t>（</w:t>
            </w:r>
            <w:r>
              <w:rPr>
                <w:sz w:val="21"/>
              </w:rPr>
              <w:t>7</w:t>
            </w:r>
            <w:r>
              <w:rPr>
                <w:sz w:val="21"/>
              </w:rPr>
              <w:t>）</w:t>
            </w:r>
            <w:r>
              <w:rPr>
                <w:sz w:val="21"/>
              </w:rPr>
              <w:t>二维码激活：支持通过二维码下载客户端，通过扫描二维码激活设备，支持在用户列表预览</w:t>
            </w:r>
            <w:r>
              <w:rPr>
                <w:sz w:val="21"/>
              </w:rPr>
              <w:t>/下载激活二维码，提高激活工作效率。</w:t>
            </w:r>
          </w:p>
          <w:p>
            <w:pPr>
              <w:ind w:firstLine="420"/>
              <w:jc w:val="both"/>
            </w:pPr>
            <w:r>
              <w:rPr>
                <w:sz w:val="21"/>
              </w:rPr>
              <w:t>（</w:t>
            </w:r>
            <w:r>
              <w:rPr>
                <w:sz w:val="21"/>
              </w:rPr>
              <w:t>8</w:t>
            </w:r>
            <w:r>
              <w:rPr>
                <w:sz w:val="21"/>
              </w:rPr>
              <w:t>）</w:t>
            </w:r>
            <w:r>
              <w:rPr>
                <w:sz w:val="21"/>
              </w:rPr>
              <w:t>用户扩展字段：管理员可以给用户添加扩展字段，用于保存用户的扩展信息如警号，最多五个字段。</w:t>
            </w:r>
          </w:p>
          <w:p>
            <w:pPr>
              <w:ind w:firstLine="420"/>
              <w:jc w:val="both"/>
            </w:pPr>
            <w:r>
              <w:rPr>
                <w:sz w:val="21"/>
              </w:rPr>
              <w:t>（</w:t>
            </w:r>
            <w:r>
              <w:rPr>
                <w:sz w:val="21"/>
              </w:rPr>
              <w:t>9</w:t>
            </w:r>
            <w:r>
              <w:rPr>
                <w:sz w:val="21"/>
              </w:rPr>
              <w:t>）</w:t>
            </w:r>
            <w:r>
              <w:rPr>
                <w:sz w:val="21"/>
              </w:rPr>
              <w:t>用户标签：支持静态标签和动态标签，可根据删选条件灵活设置标签。</w:t>
            </w:r>
          </w:p>
          <w:p>
            <w:pPr>
              <w:ind w:firstLine="420"/>
              <w:jc w:val="both"/>
            </w:pPr>
            <w:r>
              <w:rPr>
                <w:sz w:val="21"/>
              </w:rPr>
              <w:t>（</w:t>
            </w:r>
            <w:r>
              <w:rPr>
                <w:sz w:val="21"/>
              </w:rPr>
              <w:t>10</w:t>
            </w:r>
            <w:r>
              <w:rPr>
                <w:sz w:val="21"/>
              </w:rPr>
              <w:t>）</w:t>
            </w:r>
            <w:r>
              <w:rPr>
                <w:sz w:val="21"/>
              </w:rPr>
              <w:t>必装应用设置：下发或更新警务应用时，提供多种灵活设置，可以设置应用必装或按需安装，支持静默安装、按时安装。并可统计用户应用安装情况。</w:t>
            </w:r>
          </w:p>
          <w:p>
            <w:pPr>
              <w:ind w:firstLine="420"/>
              <w:jc w:val="both"/>
            </w:pPr>
            <w:r>
              <w:rPr>
                <w:sz w:val="21"/>
              </w:rPr>
              <w:t>（</w:t>
            </w:r>
            <w:r>
              <w:rPr>
                <w:sz w:val="21"/>
              </w:rPr>
              <w:t>11</w:t>
            </w:r>
            <w:r>
              <w:rPr>
                <w:sz w:val="21"/>
              </w:rPr>
              <w:t>）</w:t>
            </w:r>
            <w:r>
              <w:rPr>
                <w:sz w:val="21"/>
              </w:rPr>
              <w:t>安全容器：提供企业应用安全容器，支持将企业应用推送到安全容器，支持应用数据加解密功能，支持一键清除容器应用产生的数据，支持对容器应用的内部数据复制、剪切、粘贴功能控制，支持启动</w:t>
            </w:r>
            <w:r>
              <w:rPr>
                <w:sz w:val="21"/>
              </w:rPr>
              <w:t>/禁用容器应用支持是否允许使用相机、麦克风、地理位置、读取短信、联系人、通话记录、手机号码、发送短信、媒体库、蓝牙、拨打电话、数据共享和打印功能。</w:t>
            </w:r>
          </w:p>
          <w:p>
            <w:pPr>
              <w:ind w:firstLine="420"/>
              <w:jc w:val="both"/>
            </w:pPr>
            <w:r>
              <w:rPr>
                <w:sz w:val="21"/>
              </w:rPr>
              <w:t>（</w:t>
            </w:r>
            <w:r>
              <w:rPr>
                <w:sz w:val="21"/>
              </w:rPr>
              <w:t>12</w:t>
            </w:r>
            <w:r>
              <w:rPr>
                <w:sz w:val="21"/>
              </w:rPr>
              <w:t>）</w:t>
            </w:r>
            <w:r>
              <w:rPr>
                <w:sz w:val="21"/>
              </w:rPr>
              <w:t>移动杀毒：提供企业杀毒客户端，支持配置自动扫描和处理危险的应用程序，手动扫描、升级病毒库，支持记录设备的所有杀毒记录，包括扫描时间，扫描应用数量，危险应用数量。</w:t>
            </w:r>
          </w:p>
          <w:p>
            <w:pPr>
              <w:ind w:firstLine="420"/>
              <w:jc w:val="both"/>
            </w:pPr>
            <w:r>
              <w:rPr>
                <w:sz w:val="21"/>
              </w:rPr>
              <w:t>（</w:t>
            </w:r>
            <w:r>
              <w:rPr>
                <w:sz w:val="21"/>
              </w:rPr>
              <w:t>13</w:t>
            </w:r>
            <w:r>
              <w:rPr>
                <w:sz w:val="21"/>
              </w:rPr>
              <w:t>）</w:t>
            </w:r>
            <w:r>
              <w:rPr>
                <w:sz w:val="21"/>
              </w:rPr>
              <w:t>安全浏览器：提供安全浏览器功能，支持设置网址黑白名单，设置书签，上传网址访问记录功能。</w:t>
            </w:r>
          </w:p>
          <w:p>
            <w:pPr>
              <w:ind w:firstLine="420"/>
              <w:jc w:val="both"/>
            </w:pPr>
            <w:r>
              <w:rPr>
                <w:sz w:val="21"/>
              </w:rPr>
              <w:t>（</w:t>
            </w:r>
            <w:r>
              <w:rPr>
                <w:sz w:val="21"/>
              </w:rPr>
              <w:t>14</w:t>
            </w:r>
            <w:r>
              <w:rPr>
                <w:sz w:val="21"/>
              </w:rPr>
              <w:t>）</w:t>
            </w:r>
            <w:r>
              <w:rPr>
                <w:sz w:val="21"/>
              </w:rPr>
              <w:t>远程协助：支持远程协助功能，当警务终端用户出现问题时，可在管理后台远程协助显示终端界面，快速解决问题，提高工作效率。</w:t>
            </w:r>
          </w:p>
          <w:p>
            <w:pPr>
              <w:ind w:firstLine="420"/>
              <w:jc w:val="both"/>
            </w:pPr>
            <w:r>
              <w:rPr>
                <w:sz w:val="21"/>
              </w:rPr>
              <w:t>（</w:t>
            </w:r>
            <w:r>
              <w:rPr>
                <w:sz w:val="21"/>
              </w:rPr>
              <w:t>15</w:t>
            </w:r>
            <w:r>
              <w:rPr>
                <w:sz w:val="21"/>
              </w:rPr>
              <w:t>）</w:t>
            </w:r>
            <w:r>
              <w:rPr>
                <w:sz w:val="21"/>
              </w:rPr>
              <w:t>时间</w:t>
            </w:r>
            <w:r>
              <w:rPr>
                <w:sz w:val="21"/>
              </w:rPr>
              <w:t>/地理围</w:t>
            </w:r>
            <w:r>
              <w:rPr>
                <w:sz w:val="21"/>
              </w:rPr>
              <w:t>L</w:t>
            </w:r>
            <w:r>
              <w:rPr>
                <w:sz w:val="21"/>
              </w:rPr>
              <w:t>：支持通过时间或地理纬度实现围</w:t>
            </w:r>
            <w:r>
              <w:rPr>
                <w:sz w:val="21"/>
              </w:rPr>
              <w:t>L</w:t>
            </w:r>
            <w:r>
              <w:rPr>
                <w:sz w:val="21"/>
              </w:rPr>
              <w:t>功能，支持在围</w:t>
            </w:r>
            <w:r>
              <w:rPr>
                <w:sz w:val="21"/>
              </w:rPr>
              <w:t>L</w:t>
            </w:r>
            <w:r>
              <w:rPr>
                <w:sz w:val="21"/>
              </w:rPr>
              <w:t>内连续锁屏、配置移动数据</w:t>
            </w:r>
            <w:r>
              <w:rPr>
                <w:sz w:val="21"/>
              </w:rPr>
              <w:t>WiFi、禁用摄像头、禁用蓝牙、相机安全提示、</w:t>
            </w:r>
            <w:r>
              <w:rPr>
                <w:sz w:val="21"/>
              </w:rPr>
              <w:t>DW</w:t>
            </w:r>
            <w:r>
              <w:rPr>
                <w:sz w:val="21"/>
              </w:rPr>
              <w:t>安全提示、通话白名单。</w:t>
            </w:r>
          </w:p>
          <w:p>
            <w:pPr>
              <w:ind w:firstLine="420"/>
              <w:jc w:val="both"/>
            </w:pPr>
            <w:r>
              <w:rPr>
                <w:sz w:val="21"/>
              </w:rPr>
              <w:t>（</w:t>
            </w:r>
            <w:r>
              <w:rPr>
                <w:sz w:val="21"/>
              </w:rPr>
              <w:t>16</w:t>
            </w:r>
            <w:r>
              <w:rPr>
                <w:sz w:val="21"/>
              </w:rPr>
              <w:t>）</w:t>
            </w:r>
            <w:r>
              <w:rPr>
                <w:sz w:val="21"/>
              </w:rPr>
              <w:t>机卡绑定：可设置机卡绑定策略，防止用户私自更换</w:t>
            </w:r>
            <w:r>
              <w:rPr>
                <w:sz w:val="21"/>
              </w:rPr>
              <w:t>SIM 卡。</w:t>
            </w:r>
          </w:p>
          <w:p>
            <w:pPr>
              <w:ind w:firstLine="420"/>
              <w:jc w:val="both"/>
            </w:pPr>
            <w:r>
              <w:rPr>
                <w:sz w:val="21"/>
              </w:rPr>
              <w:t>（</w:t>
            </w:r>
            <w:r>
              <w:rPr>
                <w:sz w:val="21"/>
              </w:rPr>
              <w:t>17</w:t>
            </w:r>
            <w:r>
              <w:rPr>
                <w:sz w:val="21"/>
              </w:rPr>
              <w:t>）</w:t>
            </w:r>
            <w:r>
              <w:rPr>
                <w:sz w:val="21"/>
              </w:rPr>
              <w:t>报表：报表功能，支持提供设备激活记录、资产报表、设备已安装应用报表、设备淘汰报表、设备违规处理报表、设备杀毒报表、</w:t>
            </w:r>
            <w:r>
              <w:rPr>
                <w:sz w:val="21"/>
              </w:rPr>
              <w:t>UEM 客户端统计报表、通话记录报表、短信记录报表、数据流量报表、用户详情报表、应用详情报表、应用安装统计报表、应用黑白名单报表、合规策略报表、内容报表。并支持导出为 excel 或 pdf 格式，支持报表订阅。</w:t>
            </w:r>
          </w:p>
          <w:p>
            <w:pPr>
              <w:ind w:firstLine="420"/>
              <w:jc w:val="both"/>
            </w:pPr>
            <w:r>
              <w:rPr>
                <w:sz w:val="21"/>
              </w:rPr>
              <w:t>▲</w:t>
            </w:r>
            <w:r>
              <w:rPr>
                <w:sz w:val="21"/>
              </w:rPr>
              <w:t>（</w:t>
            </w:r>
            <w:r>
              <w:rPr>
                <w:sz w:val="21"/>
              </w:rPr>
              <w:t>18</w:t>
            </w:r>
            <w:r>
              <w:rPr>
                <w:sz w:val="21"/>
              </w:rPr>
              <w:t>）具备</w:t>
            </w:r>
            <w:r>
              <w:rPr>
                <w:sz w:val="21"/>
              </w:rPr>
              <w:t>“</w:t>
            </w:r>
            <w:r>
              <w:rPr>
                <w:sz w:val="21"/>
              </w:rPr>
              <w:t>一终端一台账</w:t>
            </w:r>
            <w:r>
              <w:rPr>
                <w:sz w:val="21"/>
              </w:rPr>
              <w:t>”管理功能，对辅警通终端的</w:t>
            </w:r>
            <w:r>
              <w:rPr>
                <w:sz w:val="21"/>
              </w:rPr>
              <w:t>SN码、用户个人信息(姓名、辅警号、身份证号码、辅警通号码、所属单位、职务职级)、安全智能加密卡介质编号、终端流转使用记录等进行管理，须具有excel批量导入导出功能。</w:t>
            </w:r>
          </w:p>
          <w:p>
            <w:pPr>
              <w:ind w:firstLine="422"/>
              <w:jc w:val="both"/>
            </w:pPr>
            <w:r>
              <w:rPr>
                <w:b/>
                <w:sz w:val="21"/>
              </w:rPr>
              <w:t>3.2参数需求</w:t>
            </w:r>
          </w:p>
          <w:tbl>
            <w:tblPr>
              <w:tblBorders>
                <w:top w:val="none" w:color="000000" w:sz="4"/>
                <w:left w:val="none" w:color="000000" w:sz="4"/>
                <w:bottom w:val="none" w:color="000000" w:sz="4"/>
                <w:right w:val="none" w:color="000000" w:sz="4"/>
                <w:insideH w:val="none"/>
                <w:insideV w:val="none"/>
              </w:tblBorders>
            </w:tblPr>
            <w:tblGrid>
              <w:gridCol w:w="734"/>
              <w:gridCol w:w="867"/>
              <w:gridCol w:w="3997"/>
            </w:tblGrid>
            <w:tr>
              <w:tc>
                <w:tcPr>
                  <w:tcW w:type="dxa" w:w="734"/>
                  <w:tcBorders>
                    <w:top w:val="single" w:color="000000" w:sz="4"/>
                    <w:left w:val="single" w:color="000000" w:sz="4"/>
                    <w:bottom w:val="single" w:color="000000" w:sz="4"/>
                    <w:right w:val="single" w:color="000000" w:sz="4"/>
                  </w:tcBorders>
                  <w:vAlign w:val="top"/>
                </w:tcPr>
                <w:p>
                  <w:pPr>
                    <w:jc w:val="center"/>
                  </w:pPr>
                  <w:r>
                    <w:rPr>
                      <w:b/>
                      <w:sz w:val="21"/>
                    </w:rPr>
                    <w:t>功能模块</w:t>
                  </w:r>
                </w:p>
              </w:tc>
              <w:tc>
                <w:tcPr>
                  <w:tcW w:type="dxa" w:w="867"/>
                  <w:tcBorders>
                    <w:top w:val="single" w:color="000000" w:sz="4"/>
                    <w:left w:val="none" w:color="000000" w:sz="4"/>
                    <w:bottom w:val="single" w:color="000000" w:sz="4"/>
                    <w:right w:val="single" w:color="000000" w:sz="4"/>
                  </w:tcBorders>
                  <w:vAlign w:val="top"/>
                </w:tcPr>
                <w:p>
                  <w:pPr>
                    <w:jc w:val="center"/>
                  </w:pPr>
                  <w:r>
                    <w:rPr>
                      <w:b/>
                      <w:sz w:val="21"/>
                    </w:rPr>
                    <w:t>功能点</w:t>
                  </w:r>
                </w:p>
              </w:tc>
              <w:tc>
                <w:tcPr>
                  <w:tcW w:type="dxa" w:w="3997"/>
                  <w:tcBorders>
                    <w:top w:val="single" w:color="000000" w:sz="4"/>
                    <w:left w:val="none" w:color="000000" w:sz="4"/>
                    <w:bottom w:val="single" w:color="000000" w:sz="4"/>
                    <w:right w:val="single" w:color="000000" w:sz="4"/>
                  </w:tcBorders>
                  <w:vAlign w:val="top"/>
                </w:tcPr>
                <w:p>
                  <w:pPr>
                    <w:jc w:val="center"/>
                  </w:pPr>
                  <w:r>
                    <w:rPr>
                      <w:b/>
                      <w:sz w:val="21"/>
                    </w:rPr>
                    <w:t>功能描述</w:t>
                  </w:r>
                </w:p>
              </w:tc>
            </w:tr>
            <w:tr>
              <w:tc>
                <w:tcPr>
                  <w:tcW w:type="dxa" w:w="734"/>
                  <w:vMerge w:val="restart"/>
                  <w:tcBorders>
                    <w:top w:val="none" w:color="000000" w:sz="4"/>
                    <w:left w:val="single" w:color="000000" w:sz="4"/>
                    <w:bottom w:val="none" w:color="000000" w:sz="4"/>
                    <w:right w:val="single" w:color="000000" w:sz="4"/>
                  </w:tcBorders>
                  <w:vAlign w:val="top"/>
                </w:tcPr>
                <w:p>
                  <w:pPr>
                    <w:jc w:val="center"/>
                  </w:pPr>
                  <w:r>
                    <w:rPr>
                      <w:sz w:val="21"/>
                    </w:rPr>
                    <w:t>绑定与注册</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机卡绑定</w:t>
                  </w:r>
                </w:p>
              </w:tc>
              <w:tc>
                <w:tcPr>
                  <w:tcW w:type="dxa" w:w="3997"/>
                  <w:tcBorders>
                    <w:top w:val="none" w:color="000000" w:sz="4"/>
                    <w:left w:val="none" w:color="000000" w:sz="4"/>
                    <w:bottom w:val="single" w:color="000000" w:sz="4"/>
                    <w:right w:val="single" w:color="000000" w:sz="4"/>
                  </w:tcBorders>
                  <w:vAlign w:val="top"/>
                </w:tcPr>
                <w:p>
                  <w:pPr>
                    <w:jc w:val="both"/>
                  </w:pPr>
                  <w:r>
                    <w:rPr>
                      <w:sz w:val="21"/>
                    </w:rPr>
                    <w:t>平台能够支持将终端信息、人员信息、</w:t>
                  </w:r>
                  <w:r>
                    <w:rPr>
                      <w:sz w:val="21"/>
                    </w:rPr>
                    <w:t>SIM信息进行绑定注册，当手机上使用的号卡发生变化时，手机将进行异常行为监管，防止手机的违规使用。</w:t>
                  </w:r>
                </w:p>
              </w:tc>
            </w:tr>
            <w:tr>
              <w:tc>
                <w:tcPr>
                  <w:tcW w:type="dxa" w:w="734"/>
                  <w:vMerge/>
                  <w:tcBorders>
                    <w:top w:val="non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简单注册</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要求平台支持预先导入人员、设备、</w:t>
                  </w:r>
                  <w:r>
                    <w:rPr>
                      <w:sz w:val="21"/>
                    </w:rPr>
                    <w:t>SIM卡信息，设备安装客户端并插入SIM卡即可完成注册激活</w:t>
                  </w:r>
                  <w:r>
                    <w:rPr>
                      <w:sz w:val="21"/>
                    </w:rPr>
                    <w:t>。</w:t>
                  </w:r>
                </w:p>
              </w:tc>
            </w:tr>
            <w:tr>
              <w:tc>
                <w:tcPr>
                  <w:tcW w:type="dxa" w:w="734"/>
                  <w:vMerge w:val="restart"/>
                  <w:tcBorders>
                    <w:top w:val="single" w:color="000000" w:sz="4"/>
                    <w:left w:val="single" w:color="000000" w:sz="4"/>
                    <w:bottom w:val="none" w:color="000000" w:sz="4"/>
                    <w:right w:val="single" w:color="000000" w:sz="4"/>
                  </w:tcBorders>
                  <w:vAlign w:val="top"/>
                </w:tcPr>
                <w:p>
                  <w:pPr>
                    <w:jc w:val="center"/>
                  </w:pPr>
                  <w:r>
                    <w:rPr>
                      <w:sz w:val="21"/>
                    </w:rPr>
                    <w:t>设备安全管理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设备端口管理（开启</w:t>
                  </w:r>
                  <w:r>
                    <w:rPr>
                      <w:sz w:val="21"/>
                    </w:rPr>
                    <w:t>/关闭）</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要求平台可能够制设备上相关端口功能的开启和关闭，包括：蓝牙开启</w:t>
                  </w:r>
                  <w:r>
                    <w:rPr>
                      <w:sz w:val="21"/>
                    </w:rPr>
                    <w:t>/关闭、摄像头开启/关闭、麦克风开启/关闭、网络访问开关（WIFI开启/关闭、移动数据开启/关闭）、个人热点开启/关闭、</w:t>
                  </w:r>
                  <w:r>
                    <w:rPr>
                      <w:sz w:val="21"/>
                    </w:rPr>
                    <w:t>位置信息</w:t>
                  </w:r>
                  <w:r>
                    <w:rPr>
                      <w:sz w:val="21"/>
                    </w:rPr>
                    <w:t>开启</w:t>
                  </w:r>
                  <w:r>
                    <w:rPr>
                      <w:sz w:val="21"/>
                    </w:rPr>
                    <w:t>/关闭、USB开启/关闭、飞行模式功能开启/关闭</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设备锁机</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要求平台平台可以对手机进行远程锁定，锁定后无法正常使用手机的各项功能。</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设备擦除</w:t>
                  </w:r>
                  <w:r>
                    <w:rPr>
                      <w:sz w:val="21"/>
                    </w:rPr>
                    <w:t>/恢复出厂设置</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要求平台支持对单台、多台手机擦除手机数据，恢复出厂设置</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强制开启移动数据</w:t>
                  </w:r>
                </w:p>
              </w:tc>
              <w:tc>
                <w:tcPr>
                  <w:tcW w:type="dxa" w:w="3997"/>
                  <w:tcBorders>
                    <w:top w:val="none" w:color="000000" w:sz="4"/>
                    <w:left w:val="none" w:color="000000" w:sz="4"/>
                    <w:bottom w:val="single" w:color="000000" w:sz="4"/>
                    <w:right w:val="single" w:color="000000" w:sz="4"/>
                  </w:tcBorders>
                  <w:vAlign w:val="top"/>
                </w:tcPr>
                <w:p>
                  <w:pPr>
                    <w:jc w:val="both"/>
                  </w:pPr>
                  <w:r>
                    <w:rPr>
                      <w:sz w:val="21"/>
                    </w:rPr>
                    <w:t>为防止设备与服务器终端链接而脱管，要求平台能够下发指令强制设备开启移动数据。</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修改密码</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要求平台支持对单台、多台手机修改系统锁屏密码</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清除密码</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要求平台支持对单台、多台手机清除系统锁屏密码</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离线密码</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要求平台能够提供离线密码，以避免网络无法连接导致设备锁定后无法解锁。</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防止恢复出厂（硬恢复）</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w:t>
                  </w:r>
                  <w:r>
                    <w:rPr>
                      <w:sz w:val="21"/>
                    </w:rPr>
                    <w:t>Rom中预置初始化客户端，恢复出厂设置后不进行注册无法使用（需要硬件厂商配合）</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防止恢复出厂（软恢复）</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要求能够禁止用户使用设置菜单中的恢复出厂菜单功能</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防刷机</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要求终端进入工厂模式后无法被刷机</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离线管理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要求设备离线或者无网络情况下初始化、已下发或离线指令依然生效</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禁止修改系统时间</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要求设备禁止修改系统时间，并且与管控服务器时间同步</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远程协助</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要求平台支持远程协助功能，管理员能够通过</w:t>
                  </w:r>
                  <w:r>
                    <w:rPr>
                      <w:sz w:val="21"/>
                    </w:rPr>
                    <w:t>PC远程接管终端的界面并进行操作，帮助终端使用者解决问题</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软件资产管理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要求平台能够展示手机上应用的详细信息，包括软件名称、包名、版本号、软件大小、是否系统应用、是否白名单应用、安装时间、上报时间</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手机信息查询</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要求平台能够展示手机基本信息，包括：手机号码、用户名称、所属部门、手机状态、是否在线、是否</w:t>
                  </w:r>
                  <w:r>
                    <w:rPr>
                      <w:sz w:val="21"/>
                    </w:rPr>
                    <w:t>Root、是否外出、是否失联、最后连接时间等信息</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发送消息</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要求平台能够支持对单台、多台手机发送文本消息和通知。</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手机丢失</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要求手机发生丢失时平台支持擦除手机数据并解除人员、手机、</w:t>
                  </w:r>
                  <w:r>
                    <w:rPr>
                      <w:sz w:val="21"/>
                    </w:rPr>
                    <w:t>Sim卡绑定关系</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手机注销</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要求平台能够支持注销手机管理，注销后手机接触管理状态，清空管理指令</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w:t>
                  </w:r>
                  <w:r>
                    <w:rPr>
                      <w:sz w:val="21"/>
                    </w:rPr>
                    <w:t>DW</w:t>
                  </w:r>
                  <w:r>
                    <w:rPr>
                      <w:sz w:val="21"/>
                    </w:rPr>
                    <w:t>与</w:t>
                  </w:r>
                  <w:r>
                    <w:rPr>
                      <w:sz w:val="21"/>
                    </w:rPr>
                    <w:t>GJ</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要求平台能够查看手机最后一次上报位置信息、</w:t>
                  </w:r>
                  <w:r>
                    <w:rPr>
                      <w:sz w:val="21"/>
                    </w:rPr>
                    <w:t>GJ</w:t>
                  </w:r>
                  <w:r>
                    <w:rPr>
                      <w:sz w:val="21"/>
                    </w:rPr>
                    <w:t>信息，</w:t>
                  </w:r>
                  <w:r>
                    <w:rPr>
                      <w:sz w:val="21"/>
                    </w:rPr>
                    <w:t>GJ</w:t>
                  </w:r>
                  <w:r>
                    <w:rPr>
                      <w:sz w:val="21"/>
                    </w:rPr>
                    <w:t>信息默认保留一周，可配置</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手机分组</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要求平台能够支持按照不同条件创建手机分组，对手机灵活管理</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进程保活机制</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要求具备进程保护机制，在低电量模式以及系统清理内存模式下系统权限进程也仍然保活，能够正常接收指令和管控。</w:t>
                  </w:r>
                </w:p>
              </w:tc>
            </w:tr>
            <w:tr>
              <w:tc>
                <w:tcPr>
                  <w:tcW w:type="dxa" w:w="734"/>
                  <w:vMerge w:val="restart"/>
                  <w:tcBorders>
                    <w:top w:val="single" w:color="000000" w:sz="4"/>
                    <w:left w:val="single" w:color="000000" w:sz="4"/>
                    <w:bottom w:val="none" w:color="000000" w:sz="4"/>
                    <w:right w:val="single" w:color="000000" w:sz="4"/>
                  </w:tcBorders>
                  <w:shd w:fill="FFFFFF"/>
                  <w:vAlign w:val="top"/>
                </w:tcPr>
                <w:p>
                  <w:pPr>
                    <w:jc w:val="center"/>
                  </w:pPr>
                  <w:r>
                    <w:rPr>
                      <w:sz w:val="21"/>
                    </w:rPr>
                    <w:t>应用管理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应用白名单</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要求平台支持应用白名单功能，客户端仅允许白名单中的应用可以下载安装并使用，禁止手机使用白名单外的应用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应用黑名单</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要求平台支持应用黑名单，客户端禁止安装和使用黑名单中的应用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应用防卸载</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要求平台能够禁止用户卸载手机上所有的应用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应用静默</w:t>
                  </w:r>
                  <w:r>
                    <w:rPr>
                      <w:sz w:val="21"/>
                    </w:rPr>
                    <w:t>/强制安装</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要求平台支持应用静默</w:t>
                  </w:r>
                  <w:r>
                    <w:rPr>
                      <w:sz w:val="21"/>
                    </w:rPr>
                    <w:t>/强制安装</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客户端防卸载</w:t>
                  </w:r>
                </w:p>
              </w:tc>
              <w:tc>
                <w:tcPr>
                  <w:tcW w:type="dxa" w:w="3997"/>
                  <w:tcBorders>
                    <w:top w:val="none" w:color="000000" w:sz="4"/>
                    <w:left w:val="none" w:color="000000" w:sz="4"/>
                    <w:bottom w:val="single" w:color="000000" w:sz="4"/>
                    <w:right w:val="single" w:color="000000" w:sz="4"/>
                  </w:tcBorders>
                  <w:vAlign w:val="top"/>
                </w:tcPr>
                <w:p>
                  <w:pPr>
                    <w:jc w:val="both"/>
                  </w:pPr>
                  <w:r>
                    <w:rPr>
                      <w:sz w:val="21"/>
                    </w:rPr>
                    <w:t>产品支持客户端卸载保护机制，用户在界面上无法卸载客户端</w:t>
                  </w:r>
                  <w:r>
                    <w:rPr>
                      <w:sz w:val="21"/>
                    </w:rPr>
                    <w:t>。</w:t>
                  </w:r>
                </w:p>
              </w:tc>
            </w:tr>
            <w:tr>
              <w:tc>
                <w:tcPr>
                  <w:tcW w:type="dxa" w:w="734"/>
                  <w:vMerge w:val="restart"/>
                  <w:tcBorders>
                    <w:top w:val="single" w:color="000000" w:sz="4"/>
                    <w:left w:val="single" w:color="000000" w:sz="4"/>
                    <w:bottom w:val="none" w:color="000000" w:sz="4"/>
                    <w:right w:val="single" w:color="000000" w:sz="4"/>
                  </w:tcBorders>
                  <w:shd w:fill="FFFFFF"/>
                  <w:vAlign w:val="top"/>
                </w:tcPr>
                <w:p>
                  <w:pPr>
                    <w:jc w:val="center"/>
                  </w:pPr>
                  <w:r>
                    <w:rPr>
                      <w:sz w:val="21"/>
                    </w:rPr>
                    <w:t>策略管理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地理</w:t>
                  </w:r>
                  <w:r>
                    <w:rPr>
                      <w:sz w:val="21"/>
                    </w:rPr>
                    <w:t>围</w:t>
                  </w:r>
                  <w:r>
                    <w:rPr>
                      <w:sz w:val="21"/>
                    </w:rPr>
                    <w:t>L</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要求平台可配置地理</w:t>
                  </w:r>
                  <w:r>
                    <w:rPr>
                      <w:sz w:val="21"/>
                    </w:rPr>
                    <w:t>围</w:t>
                  </w:r>
                  <w:r>
                    <w:rPr>
                      <w:sz w:val="21"/>
                    </w:rPr>
                    <w:t>L</w:t>
                  </w:r>
                  <w:r>
                    <w:rPr>
                      <w:sz w:val="21"/>
                    </w:rPr>
                    <w:t>，当手机在指定的地理位置时自动触发管理策略</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时间</w:t>
                  </w:r>
                  <w:r>
                    <w:rPr>
                      <w:sz w:val="21"/>
                    </w:rPr>
                    <w:t>围</w:t>
                  </w:r>
                  <w:r>
                    <w:rPr>
                      <w:sz w:val="21"/>
                    </w:rPr>
                    <w:t>L</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要求平台可配置时间</w:t>
                  </w:r>
                  <w:r>
                    <w:rPr>
                      <w:sz w:val="21"/>
                    </w:rPr>
                    <w:t>围</w:t>
                  </w:r>
                  <w:r>
                    <w:rPr>
                      <w:sz w:val="21"/>
                    </w:rPr>
                    <w:t>L</w:t>
                  </w:r>
                  <w:r>
                    <w:rPr>
                      <w:sz w:val="21"/>
                    </w:rPr>
                    <w:t>，当手机在指定的时间段自动触发执行管理策略</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ROOT</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要求平台可配置手机</w:t>
                  </w:r>
                  <w:r>
                    <w:rPr>
                      <w:sz w:val="21"/>
                    </w:rPr>
                    <w:t>Root状态下的管理动作，当检测到手机发生Root，自动执行配置的管理，如将被锁机</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失联</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要求平台可配置手机失联状态下的管理动作，当检测到手机失联，自动执行配置的管理</w:t>
                  </w:r>
                  <w:r>
                    <w:rPr>
                      <w:sz w:val="21"/>
                    </w:rPr>
                    <w:t>。</w:t>
                  </w:r>
                </w:p>
              </w:tc>
            </w:tr>
            <w:tr>
              <w:tc>
                <w:tcPr>
                  <w:tcW w:type="dxa" w:w="734"/>
                  <w:vMerge w:val="restart"/>
                  <w:tcBorders>
                    <w:top w:val="single" w:color="000000" w:sz="4"/>
                    <w:left w:val="single" w:color="000000" w:sz="4"/>
                    <w:bottom w:val="none" w:color="000000" w:sz="4"/>
                    <w:right w:val="single" w:color="000000" w:sz="4"/>
                  </w:tcBorders>
                  <w:shd w:fill="FFFFFF"/>
                  <w:vAlign w:val="top"/>
                </w:tcPr>
                <w:p>
                  <w:pPr>
                    <w:jc w:val="center"/>
                  </w:pPr>
                  <w:r>
                    <w:rPr>
                      <w:sz w:val="21"/>
                    </w:rPr>
                    <w:t>报表管理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要求支持手机离线、</w:t>
                  </w:r>
                  <w:r>
                    <w:rPr>
                      <w:sz w:val="21"/>
                    </w:rPr>
                    <w:t>ROOT、失联（包含失联时间配置小时展示）的查询及导出</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敏感词全文报表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要求平台支持敏感词违规分析，详细信息包括敏感词、日期、次数、使用手机</w:t>
                  </w:r>
                  <w:r>
                    <w:rPr>
                      <w:sz w:val="21"/>
                    </w:rPr>
                    <w:t>ID、手机号码、用户名称、所属部门，支持报表导出功能</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限制状态报表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要求平台能够展示手机功能限制情况查询分析。</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要求平台能够汇总手机上应用的安装情况，可查看应用的详细安装信息，包括应用名称、包名、版本名称、是否系统应用、手机</w:t>
                  </w:r>
                  <w:r>
                    <w:rPr>
                      <w:sz w:val="21"/>
                    </w:rPr>
                    <w:t>ID、手机号码、用户名称、所属部门，支持报表导出功能</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网络监控报表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要求平台能够进行网络监控分析，每个手机按日期展示监控数据文件，可进行下载查看</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管理员日志报表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要求平台能够记录管理员的操作日志，支持查询和导出报表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客户端自更新统计</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要求平台能够查询统计</w:t>
                  </w:r>
                  <w:r>
                    <w:rPr>
                      <w:sz w:val="21"/>
                    </w:rPr>
                    <w:t>MDM客户端新版本的更新情况</w:t>
                  </w:r>
                  <w:r>
                    <w:rPr>
                      <w:sz w:val="21"/>
                    </w:rPr>
                    <w:t>。</w:t>
                  </w:r>
                </w:p>
              </w:tc>
            </w:tr>
            <w:tr>
              <w:tc>
                <w:tcPr>
                  <w:tcW w:type="dxa" w:w="734"/>
                  <w:vMerge w:val="restart"/>
                  <w:tcBorders>
                    <w:top w:val="single" w:color="000000" w:sz="4"/>
                    <w:left w:val="single" w:color="000000" w:sz="4"/>
                    <w:bottom w:val="single" w:color="000000" w:sz="4"/>
                    <w:right w:val="single" w:color="000000" w:sz="4"/>
                  </w:tcBorders>
                  <w:vAlign w:val="top"/>
                </w:tcPr>
                <w:p>
                  <w:pPr>
                    <w:jc w:val="center"/>
                  </w:pPr>
                  <w:r>
                    <w:rPr>
                      <w:sz w:val="21"/>
                    </w:rPr>
                    <w:t>组织结构管理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组织维护</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要求支持分级管理，对部门的增、删、改、查、批量导入</w:t>
                  </w:r>
                  <w:r>
                    <w:rPr>
                      <w:sz w:val="21"/>
                    </w:rPr>
                    <w:t>。</w:t>
                  </w:r>
                </w:p>
              </w:tc>
            </w:tr>
            <w:tr>
              <w:tc>
                <w:tcPr>
                  <w:tcW w:type="dxa" w:w="734"/>
                  <w:vMerge/>
                  <w:tcBorders>
                    <w:top w:val="single" w:color="000000" w:sz="4"/>
                    <w:left w:val="singl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人员维护</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要求支持人员的增、改、查、批量导入，绑定人员和</w:t>
                  </w:r>
                  <w:r>
                    <w:rPr>
                      <w:sz w:val="21"/>
                    </w:rPr>
                    <w:t>IMSI信息</w:t>
                  </w:r>
                  <w:r>
                    <w:rPr>
                      <w:sz w:val="21"/>
                    </w:rPr>
                    <w:t>。</w:t>
                  </w:r>
                </w:p>
              </w:tc>
            </w:tr>
            <w:tr>
              <w:tc>
                <w:tcPr>
                  <w:tcW w:type="dxa" w:w="734"/>
                  <w:vMerge/>
                  <w:tcBorders>
                    <w:top w:val="single" w:color="000000" w:sz="4"/>
                    <w:left w:val="singl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分组管理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要求平台支持根据管理要求创建不同的人员分组，通过分组进行策略管理。</w:t>
                  </w:r>
                </w:p>
              </w:tc>
            </w:tr>
            <w:tr>
              <w:tc>
                <w:tcPr>
                  <w:tcW w:type="dxa" w:w="734"/>
                  <w:vMerge w:val="restart"/>
                  <w:tcBorders>
                    <w:top w:val="none" w:color="000000" w:sz="4"/>
                    <w:left w:val="single" w:color="000000" w:sz="4"/>
                    <w:bottom w:val="none" w:color="000000" w:sz="4"/>
                    <w:right w:val="single" w:color="000000" w:sz="4"/>
                  </w:tcBorders>
                  <w:vAlign w:val="top"/>
                </w:tcPr>
                <w:p>
                  <w:pPr>
                    <w:jc w:val="center"/>
                  </w:pPr>
                  <w:r>
                    <w:rPr>
                      <w:sz w:val="21"/>
                    </w:rPr>
                    <w:t>系统管理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权限管理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要求平台能够创建多个管理员，对管理员可管理的组织机构范围进行设定，从而提供不同权限的管理账户。</w:t>
                  </w:r>
                </w:p>
              </w:tc>
            </w:tr>
            <w:tr>
              <w:tc>
                <w:tcPr>
                  <w:tcW w:type="dxa" w:w="734"/>
                  <w:vMerge/>
                  <w:tcBorders>
                    <w:top w:val="non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角色管理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要求平台通过不同管理功能的配置将管理员进行角色化区分。</w:t>
                  </w:r>
                </w:p>
              </w:tc>
            </w:tr>
            <w:tr>
              <w:tc>
                <w:tcPr>
                  <w:tcW w:type="dxa" w:w="734"/>
                  <w:vMerge/>
                  <w:tcBorders>
                    <w:top w:val="non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管理员管理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要求平台支持管理员的增、删、改、查、角色分配</w:t>
                  </w:r>
                  <w:r>
                    <w:rPr>
                      <w:sz w:val="21"/>
                    </w:rPr>
                    <w:t>。</w:t>
                  </w:r>
                </w:p>
              </w:tc>
            </w:tr>
            <w:tr>
              <w:tc>
                <w:tcPr>
                  <w:tcW w:type="dxa" w:w="734"/>
                  <w:vMerge w:val="restart"/>
                  <w:tcBorders>
                    <w:top w:val="single" w:color="000000" w:sz="4"/>
                    <w:left w:val="single" w:color="000000" w:sz="4"/>
                    <w:bottom w:val="none" w:color="000000" w:sz="4"/>
                    <w:right w:val="single" w:color="000000" w:sz="4"/>
                  </w:tcBorders>
                  <w:vAlign w:val="top"/>
                </w:tcPr>
                <w:p>
                  <w:pPr>
                    <w:jc w:val="center"/>
                  </w:pPr>
                  <w:r>
                    <w:rPr>
                      <w:sz w:val="21"/>
                    </w:rPr>
                    <w:t>监控统计</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手机监控</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要求平台能够统计系统已注册手机数量、在线手机量、</w:t>
                  </w:r>
                  <w:r>
                    <w:rPr>
                      <w:sz w:val="21"/>
                    </w:rPr>
                    <w:t>ROOT手机数量、失联手机数量等</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可视化展示</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要去平台能够可视化展示日新增手机数量、日发送指令数量、敏感词违规记录、失联手机记录等</w:t>
                  </w:r>
                  <w:r>
                    <w:rPr>
                      <w:sz w:val="21"/>
                    </w:rPr>
                    <w:t>。</w:t>
                  </w:r>
                </w:p>
              </w:tc>
            </w:tr>
            <w:tr>
              <w:tc>
                <w:tcPr>
                  <w:tcW w:type="dxa" w:w="734"/>
                  <w:tcBorders>
                    <w:top w:val="none" w:color="000000" w:sz="4"/>
                    <w:left w:val="single" w:color="000000" w:sz="4"/>
                    <w:bottom w:val="single" w:color="000000" w:sz="4"/>
                    <w:right w:val="single" w:color="000000" w:sz="4"/>
                  </w:tcBorders>
                  <w:vAlign w:val="top"/>
                </w:tcPr>
                <w:p>
                  <w:pPr>
                    <w:jc w:val="center"/>
                  </w:pPr>
                  <w:r>
                    <w:rPr>
                      <w:sz w:val="21"/>
                    </w:rPr>
                    <w:t>“</w:t>
                  </w:r>
                  <w:r>
                    <w:rPr>
                      <w:sz w:val="21"/>
                    </w:rPr>
                    <w:t>一终端一台账</w:t>
                  </w:r>
                  <w:r>
                    <w:rPr>
                      <w:sz w:val="21"/>
                    </w:rPr>
                    <w:t>”管理功能</w:t>
                  </w:r>
                </w:p>
              </w:tc>
              <w:tc>
                <w:tcPr>
                  <w:tcW w:type="dxa" w:w="867"/>
                  <w:tcBorders>
                    <w:top w:val="none" w:color="000000" w:sz="4"/>
                    <w:left w:val="none" w:color="000000" w:sz="4"/>
                    <w:bottom w:val="single" w:color="000000" w:sz="4"/>
                    <w:right w:val="single" w:color="000000" w:sz="4"/>
                  </w:tcBorders>
                  <w:vAlign w:val="top"/>
                </w:tcPr>
                <w:p>
                  <w:pPr>
                    <w:jc w:val="center"/>
                  </w:pPr>
                  <w:r>
                    <w:rPr>
                      <w:sz w:val="21"/>
                    </w:rPr>
                    <w:t>台账管理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对辅警通终端的</w:t>
                  </w:r>
                  <w:r>
                    <w:rPr>
                      <w:sz w:val="21"/>
                    </w:rPr>
                    <w:t>SN码、用户个人信息(姓名、辅警号、身份证号码、辅警通号码、所属单位、职务职级)、安全智能加密卡介质编号、终端流转使用记录等进行管理，须具有excel批量导入导出功能。</w:t>
                  </w:r>
                </w:p>
              </w:tc>
            </w:tr>
          </w:tbl>
          <w:p>
            <w:pPr>
              <w:jc w:val="both"/>
            </w:pPr>
            <w:r>
              <w:rPr>
                <w:b/>
                <w:sz w:val="21"/>
              </w:rPr>
              <w:t>3.3 认证需求</w:t>
            </w:r>
          </w:p>
          <w:p>
            <w:pPr>
              <w:ind w:firstLine="420"/>
              <w:jc w:val="both"/>
            </w:pPr>
            <w:r>
              <w:rPr>
                <w:sz w:val="21"/>
              </w:rPr>
              <w:t>具备等保三级备案证明（提供证书复印件并加盖厂商公章）</w:t>
            </w:r>
            <w:r>
              <w:rPr>
                <w:sz w:val="21"/>
              </w:rPr>
              <w:t>。</w:t>
            </w:r>
          </w:p>
          <w:p>
            <w:pPr>
              <w:ind w:firstLine="210"/>
              <w:jc w:val="both"/>
            </w:pPr>
            <w:r>
              <w:rPr>
                <w:sz w:val="21"/>
              </w:rPr>
              <w:t>▲</w:t>
            </w:r>
            <w:r>
              <w:rPr>
                <w:sz w:val="21"/>
              </w:rPr>
              <w:t>通过公安部</w:t>
            </w:r>
            <w:r>
              <w:rPr>
                <w:sz w:val="21"/>
              </w:rPr>
              <w:t>GA/T 1466.2 标准检测报告</w:t>
            </w:r>
            <w:r>
              <w:rPr>
                <w:sz w:val="21"/>
              </w:rPr>
              <w:t>。</w:t>
            </w:r>
          </w:p>
          <w:p>
            <w:pPr>
              <w:ind w:firstLine="420"/>
              <w:jc w:val="both"/>
            </w:pPr>
            <w:r>
              <w:rPr>
                <w:sz w:val="21"/>
              </w:rPr>
              <w:t>具备《</w:t>
            </w:r>
            <w:r>
              <w:rPr>
                <w:sz w:val="21"/>
              </w:rPr>
              <w:t>IT 产品信息安全认证证书》</w:t>
            </w:r>
            <w:r>
              <w:rPr>
                <w:sz w:val="21"/>
              </w:rPr>
              <w:t>。</w:t>
            </w:r>
          </w:p>
          <w:p>
            <w:pPr>
              <w:jc w:val="both"/>
            </w:pPr>
            <w:r>
              <w:rPr>
                <w:b/>
                <w:sz w:val="28"/>
              </w:rPr>
              <w:t>四、</w:t>
            </w:r>
            <w:r>
              <w:rPr>
                <w:b/>
                <w:sz w:val="28"/>
              </w:rPr>
              <w:t>项目实施要求</w:t>
            </w:r>
          </w:p>
          <w:p>
            <w:pPr>
              <w:ind w:firstLine="420"/>
              <w:jc w:val="both"/>
            </w:pPr>
            <w:r>
              <w:rPr>
                <w:sz w:val="21"/>
              </w:rPr>
              <w:t>1、具体实施要求</w:t>
            </w:r>
          </w:p>
          <w:p>
            <w:pPr>
              <w:ind w:firstLine="420"/>
              <w:jc w:val="both"/>
            </w:pPr>
            <w:r>
              <w:rPr>
                <w:sz w:val="21"/>
              </w:rPr>
              <w:t>按需求提供相应的</w:t>
            </w:r>
            <w:r>
              <w:rPr>
                <w:sz w:val="21"/>
              </w:rPr>
              <w:t>辅警通</w:t>
            </w:r>
            <w:r>
              <w:rPr>
                <w:sz w:val="21"/>
              </w:rPr>
              <w:t>终端服务、移动警务通信服务、流量套餐配置服务、</w:t>
            </w:r>
            <w:r>
              <w:rPr>
                <w:sz w:val="21"/>
              </w:rPr>
              <w:t>MDM 终端安全管控服务</w:t>
            </w:r>
            <w:r>
              <w:rPr>
                <w:sz w:val="21"/>
              </w:rPr>
              <w:t>、终端安装服务、互联链路布设</w:t>
            </w:r>
            <w:r>
              <w:rPr>
                <w:sz w:val="21"/>
              </w:rPr>
              <w:t>，并提供相应的业务办理服务及保障。</w:t>
            </w:r>
          </w:p>
          <w:p>
            <w:pPr>
              <w:ind w:firstLine="420"/>
              <w:jc w:val="both"/>
            </w:pPr>
            <w:r>
              <w:rPr>
                <w:sz w:val="21"/>
              </w:rPr>
              <w:t>在重大活动安保及节假日期间，能根据</w:t>
            </w:r>
            <w:r>
              <w:rPr>
                <w:sz w:val="21"/>
              </w:rPr>
              <w:t>采购人</w:t>
            </w:r>
            <w:r>
              <w:rPr>
                <w:sz w:val="21"/>
              </w:rPr>
              <w:t>的要求，做好支撑保障，必要时能根据要求到现场做技术支持。</w:t>
            </w:r>
          </w:p>
          <w:p>
            <w:pPr>
              <w:ind w:firstLine="420"/>
              <w:jc w:val="both"/>
            </w:pPr>
            <w:r>
              <w:rPr>
                <w:sz w:val="21"/>
              </w:rPr>
              <w:t>针对</w:t>
            </w:r>
            <w:r>
              <w:rPr>
                <w:sz w:val="21"/>
              </w:rPr>
              <w:t>采购人</w:t>
            </w:r>
            <w:r>
              <w:rPr>
                <w:sz w:val="21"/>
              </w:rPr>
              <w:t>实际需求提供相应的网络优化保障服务，例如大型活动，重要会议，节日保障以及特殊区域与位置的网络信号加强与优化保障，接到通知后</w:t>
            </w:r>
            <w:r>
              <w:rPr>
                <w:sz w:val="21"/>
              </w:rPr>
              <w:t>30 分钟内响应，2 小时内到达现场。</w:t>
            </w:r>
          </w:p>
          <w:p>
            <w:pPr>
              <w:jc w:val="both"/>
            </w:pPr>
            <w:r>
              <w:rPr>
                <w:sz w:val="21"/>
              </w:rPr>
              <w:t xml:space="preserve">    </w:t>
            </w:r>
            <w:r>
              <w:rPr>
                <w:sz w:val="21"/>
              </w:rPr>
              <w:t>中标人必须向采购人提供本项目采购的所有软件模块的安装、测试和维护服务的全部内容。</w:t>
            </w:r>
          </w:p>
          <w:p>
            <w:pPr>
              <w:jc w:val="both"/>
            </w:pPr>
            <w:r>
              <w:rPr>
                <w:sz w:val="21"/>
              </w:rPr>
              <w:t xml:space="preserve">    </w:t>
            </w:r>
            <w:r>
              <w:rPr>
                <w:sz w:val="21"/>
              </w:rPr>
              <w:t>中标人须提供项目所有管理、实施、驻点人员的社保证明给采购人审核</w:t>
            </w:r>
            <w:r>
              <w:rPr>
                <w:sz w:val="21"/>
              </w:rPr>
              <w:t>，</w:t>
            </w:r>
            <w:r>
              <w:rPr>
                <w:sz w:val="21"/>
              </w:rPr>
              <w:t>并签订</w:t>
            </w:r>
            <w:r>
              <w:rPr>
                <w:sz w:val="21"/>
              </w:rPr>
              <w:t>《广东省公安机关信息化建设第三方运维机构安全保密责任书》、《广东省公安机关信息化建设第三方运维人员安全保密责任书》</w:t>
            </w:r>
            <w:r>
              <w:rPr>
                <w:sz w:val="21"/>
              </w:rPr>
              <w:t>后方进场。</w:t>
            </w:r>
          </w:p>
          <w:p>
            <w:pPr>
              <w:jc w:val="both"/>
            </w:pPr>
            <w:r>
              <w:rPr>
                <w:sz w:val="21"/>
              </w:rPr>
              <w:t xml:space="preserve">    </w:t>
            </w:r>
            <w:r>
              <w:rPr>
                <w:sz w:val="21"/>
              </w:rPr>
              <w:t>租赁期内，</w:t>
            </w:r>
            <w:r>
              <w:rPr>
                <w:sz w:val="21"/>
              </w:rPr>
              <w:t>中标</w:t>
            </w:r>
            <w:r>
              <w:rPr>
                <w:sz w:val="21"/>
              </w:rPr>
              <w:t>人对提供的软硬件产品提供质量保证服务及产品免费技术支持售后服务。</w:t>
            </w:r>
          </w:p>
          <w:p>
            <w:pPr>
              <w:ind w:firstLine="420"/>
              <w:jc w:val="both"/>
            </w:pPr>
            <w:r>
              <w:rPr>
                <w:sz w:val="21"/>
              </w:rPr>
              <w:t>2、实施与验收</w:t>
            </w:r>
          </w:p>
          <w:p>
            <w:pPr>
              <w:ind w:firstLine="420"/>
              <w:jc w:val="both"/>
            </w:pPr>
            <w:r>
              <w:rPr>
                <w:sz w:val="21"/>
              </w:rPr>
              <w:t>（</w:t>
            </w:r>
            <w:r>
              <w:rPr>
                <w:sz w:val="21"/>
              </w:rPr>
              <w:t>1）项目实施：通过公开招投标确定供应用商，合同签订后</w:t>
            </w:r>
            <w:r>
              <w:rPr>
                <w:sz w:val="21"/>
              </w:rPr>
              <w:t>30日</w:t>
            </w:r>
            <w:r>
              <w:rPr>
                <w:sz w:val="21"/>
              </w:rPr>
              <w:t>内完成移动警务终端服务、移动警务通信服务、</w:t>
            </w:r>
            <w:r>
              <w:rPr>
                <w:sz w:val="21"/>
              </w:rPr>
              <w:t>MDM 终端安全管控服务和流量配置工作，办理移动警务服务的交付手续。</w:t>
            </w:r>
          </w:p>
          <w:p>
            <w:pPr>
              <w:ind w:firstLine="420"/>
              <w:jc w:val="both"/>
            </w:pPr>
            <w:r>
              <w:rPr>
                <w:sz w:val="21"/>
              </w:rPr>
              <w:t>（</w:t>
            </w:r>
            <w:r>
              <w:rPr>
                <w:sz w:val="21"/>
              </w:rPr>
              <w:t>2）项目验收：项目完成实施，即所有服务开通后，开展项目验收。中标人按采购人要求提交验收文档，配合验收工作。</w:t>
            </w:r>
          </w:p>
          <w:p>
            <w:pPr>
              <w:ind w:firstLine="420"/>
              <w:jc w:val="both"/>
            </w:pPr>
            <w:r>
              <w:rPr>
                <w:sz w:val="21"/>
              </w:rPr>
              <w:t>3、项目组织及人员要求</w:t>
            </w:r>
          </w:p>
          <w:p>
            <w:pPr>
              <w:ind w:firstLine="420"/>
              <w:jc w:val="both"/>
            </w:pPr>
            <w:r>
              <w:rPr>
                <w:sz w:val="21"/>
              </w:rPr>
              <w:t>为使项目按质、按量、按时及有序实施，中标人对本项目还必须建立一个完善和稳定的管理组织机构。</w:t>
            </w:r>
          </w:p>
          <w:p>
            <w:pPr>
              <w:ind w:firstLine="420"/>
              <w:jc w:val="both"/>
            </w:pPr>
            <w:r>
              <w:rPr>
                <w:sz w:val="21"/>
              </w:rPr>
              <w:t>▲建设期</w:t>
            </w:r>
            <w:r>
              <w:rPr>
                <w:sz w:val="21"/>
              </w:rPr>
              <w:t>（合同签订到完成内部验收）</w:t>
            </w:r>
            <w:r>
              <w:rPr>
                <w:sz w:val="21"/>
              </w:rPr>
              <w:t>内包括</w:t>
            </w:r>
            <w:r>
              <w:rPr>
                <w:sz w:val="21"/>
              </w:rPr>
              <w:t>1</w:t>
            </w:r>
            <w:r>
              <w:rPr>
                <w:sz w:val="21"/>
              </w:rPr>
              <w:t>名专职负责的项目经理</w:t>
            </w:r>
            <w:r>
              <w:rPr>
                <w:sz w:val="21"/>
              </w:rPr>
              <w:t>，</w:t>
            </w:r>
            <w:r>
              <w:rPr>
                <w:sz w:val="21"/>
              </w:rPr>
              <w:t>2名或以上</w:t>
            </w:r>
            <w:r>
              <w:rPr>
                <w:sz w:val="21"/>
              </w:rPr>
              <w:t>工程师提供现场驻点服务；租赁服务期</w:t>
            </w:r>
            <w:r>
              <w:rPr>
                <w:sz w:val="21"/>
              </w:rPr>
              <w:t>（</w:t>
            </w:r>
            <w:r>
              <w:rPr>
                <w:sz w:val="21"/>
              </w:rPr>
              <w:t>验收完成之日起至合同结束</w:t>
            </w:r>
            <w:r>
              <w:rPr>
                <w:sz w:val="21"/>
              </w:rPr>
              <w:t>）</w:t>
            </w:r>
            <w:r>
              <w:rPr>
                <w:sz w:val="21"/>
              </w:rPr>
              <w:t>提供</w:t>
            </w:r>
            <w:r>
              <w:rPr>
                <w:sz w:val="21"/>
              </w:rPr>
              <w:t>1</w:t>
            </w:r>
            <w:r>
              <w:rPr>
                <w:sz w:val="21"/>
              </w:rPr>
              <w:t>名</w:t>
            </w:r>
            <w:r>
              <w:rPr>
                <w:sz w:val="21"/>
              </w:rPr>
              <w:t>工程师现场驻点服务</w:t>
            </w:r>
            <w:r>
              <w:rPr>
                <w:sz w:val="21"/>
              </w:rPr>
              <w:t>。</w:t>
            </w:r>
          </w:p>
          <w:p>
            <w:pPr>
              <w:ind w:firstLine="420"/>
              <w:jc w:val="both"/>
            </w:pPr>
            <w:r>
              <w:rPr>
                <w:sz w:val="21"/>
              </w:rPr>
              <w:t>在项目负责人员方面，项目经理必须保障能在现场处理问题或交流情况</w:t>
            </w:r>
            <w:r>
              <w:rPr>
                <w:sz w:val="21"/>
              </w:rPr>
              <w:t>，</w:t>
            </w:r>
            <w:r>
              <w:rPr>
                <w:sz w:val="21"/>
              </w:rPr>
              <w:t>工程师明确驻点工程师的岗位（不允许兼岗），要求驻场期间技术人员须遵守采购人内部必要的安保、防疫以及保密工作要求，</w:t>
            </w:r>
            <w:r>
              <w:rPr>
                <w:sz w:val="21"/>
              </w:rPr>
              <w:t>未经采购人同意，</w:t>
            </w:r>
            <w:r>
              <w:rPr>
                <w:sz w:val="21"/>
              </w:rPr>
              <w:t>不得随意变更人员</w:t>
            </w:r>
            <w:r>
              <w:rPr>
                <w:sz w:val="21"/>
              </w:rPr>
              <w:t>。</w:t>
            </w:r>
          </w:p>
          <w:p>
            <w:pPr>
              <w:ind w:firstLine="420"/>
              <w:jc w:val="both"/>
            </w:pPr>
            <w:r>
              <w:rPr>
                <w:sz w:val="21"/>
              </w:rPr>
              <w:t>在</w:t>
            </w:r>
            <w:r>
              <w:rPr>
                <w:sz w:val="21"/>
              </w:rPr>
              <w:t>建设期</w:t>
            </w:r>
            <w:r>
              <w:rPr>
                <w:sz w:val="21"/>
              </w:rPr>
              <w:t>（合同签订到完成内部验收）</w:t>
            </w:r>
            <w:r>
              <w:rPr>
                <w:sz w:val="21"/>
              </w:rPr>
              <w:t>间，</w:t>
            </w:r>
            <w:r>
              <w:rPr>
                <w:sz w:val="21"/>
              </w:rPr>
              <w:t>项目组人员构成方面，必须配备如下几类人员：</w:t>
            </w:r>
          </w:p>
          <w:p>
            <w:pPr>
              <w:ind w:firstLine="420"/>
              <w:jc w:val="both"/>
            </w:pPr>
            <w:r>
              <w:rPr>
                <w:sz w:val="21"/>
              </w:rPr>
              <w:t>（</w:t>
            </w:r>
            <w:r>
              <w:rPr>
                <w:sz w:val="21"/>
              </w:rPr>
              <w:t>1）通信工程师</w:t>
            </w:r>
            <w:r>
              <w:rPr>
                <w:sz w:val="21"/>
              </w:rPr>
              <w:t>；</w:t>
            </w:r>
          </w:p>
          <w:p>
            <w:pPr>
              <w:ind w:firstLine="420"/>
              <w:jc w:val="both"/>
            </w:pPr>
            <w:r>
              <w:rPr>
                <w:sz w:val="21"/>
              </w:rPr>
              <w:t>（</w:t>
            </w:r>
            <w:r>
              <w:rPr>
                <w:sz w:val="21"/>
              </w:rPr>
              <w:t>2）协调管理人员</w:t>
            </w:r>
            <w:r>
              <w:rPr>
                <w:sz w:val="21"/>
              </w:rPr>
              <w:t>；</w:t>
            </w:r>
          </w:p>
          <w:p>
            <w:pPr>
              <w:ind w:firstLine="420"/>
              <w:jc w:val="both"/>
            </w:pPr>
            <w:r>
              <w:rPr>
                <w:sz w:val="21"/>
              </w:rPr>
              <w:t>（</w:t>
            </w:r>
            <w:r>
              <w:rPr>
                <w:sz w:val="21"/>
              </w:rPr>
              <w:t>3）信息安全专业人员</w:t>
            </w:r>
            <w:r>
              <w:rPr>
                <w:sz w:val="21"/>
              </w:rPr>
              <w:t>。</w:t>
            </w:r>
          </w:p>
          <w:p>
            <w:pPr>
              <w:ind w:firstLine="420"/>
              <w:jc w:val="both"/>
            </w:pPr>
            <w:r>
              <w:rPr>
                <w:sz w:val="21"/>
              </w:rPr>
              <w:t>4、项目文档要求</w:t>
            </w:r>
          </w:p>
          <w:p>
            <w:pPr>
              <w:ind w:firstLine="420"/>
              <w:jc w:val="both"/>
            </w:pPr>
            <w:r>
              <w:rPr>
                <w:sz w:val="21"/>
              </w:rPr>
              <w:t>（</w:t>
            </w:r>
            <w:r>
              <w:rPr>
                <w:sz w:val="21"/>
              </w:rPr>
              <w:t>1）文档内容要求</w:t>
            </w:r>
          </w:p>
          <w:p>
            <w:pPr>
              <w:ind w:firstLine="420"/>
              <w:jc w:val="both"/>
            </w:pPr>
            <w:r>
              <w:rPr>
                <w:sz w:val="21"/>
              </w:rPr>
              <w:t>项目管理应提交实施计划、进度报告以及采购人认为必要的其他文档。</w:t>
            </w:r>
          </w:p>
          <w:p>
            <w:pPr>
              <w:ind w:firstLine="420"/>
              <w:jc w:val="both"/>
            </w:pPr>
            <w:r>
              <w:rPr>
                <w:sz w:val="21"/>
              </w:rPr>
              <w:t>未经业主认可的情况下，所有的技术文件必须用中文书写或有完整的中文注释。</w:t>
            </w:r>
          </w:p>
          <w:p>
            <w:pPr>
              <w:ind w:firstLine="420"/>
              <w:jc w:val="both"/>
            </w:pPr>
            <w:r>
              <w:rPr>
                <w:sz w:val="21"/>
              </w:rPr>
              <w:t>（</w:t>
            </w:r>
            <w:r>
              <w:rPr>
                <w:sz w:val="21"/>
              </w:rPr>
              <w:t>2）文档管理要求</w:t>
            </w:r>
          </w:p>
          <w:p>
            <w:pPr>
              <w:ind w:firstLine="420"/>
              <w:jc w:val="both"/>
            </w:pPr>
            <w:r>
              <w:rPr>
                <w:sz w:val="21"/>
              </w:rPr>
              <w:t>本项目所有文档最终必须向采购人提供纸质和电子文档各一套。中标人必须设置专人在项目建设期</w:t>
            </w:r>
            <w:r>
              <w:rPr>
                <w:sz w:val="21"/>
              </w:rPr>
              <w:t>（合同签订到完成内部验收）</w:t>
            </w:r>
            <w:r>
              <w:rPr>
                <w:sz w:val="21"/>
              </w:rPr>
              <w:t>间对文档进行检查和管理，每个子系统的设计和上线都要提供设计和说明文档。</w:t>
            </w:r>
          </w:p>
          <w:p>
            <w:pPr>
              <w:jc w:val="both"/>
            </w:pPr>
            <w:r>
              <w:rPr>
                <w:b/>
                <w:sz w:val="28"/>
              </w:rPr>
              <w:t>五、</w:t>
            </w:r>
            <w:r>
              <w:rPr>
                <w:b/>
                <w:sz w:val="28"/>
              </w:rPr>
              <w:t>售后服务和技术支持要求</w:t>
            </w:r>
          </w:p>
          <w:p>
            <w:pPr>
              <w:ind w:firstLine="422"/>
              <w:jc w:val="both"/>
            </w:pPr>
            <w:r>
              <w:rPr>
                <w:b/>
                <w:sz w:val="21"/>
              </w:rPr>
              <w:t>1．基本服务要求</w:t>
            </w:r>
          </w:p>
          <w:p>
            <w:pPr>
              <w:ind w:firstLine="420"/>
              <w:jc w:val="both"/>
            </w:pPr>
            <w:r>
              <w:rPr>
                <w:sz w:val="21"/>
              </w:rPr>
              <w:t>（</w:t>
            </w:r>
            <w:r>
              <w:rPr>
                <w:sz w:val="21"/>
              </w:rPr>
              <w:t>1）</w:t>
            </w:r>
            <w:r>
              <w:rPr>
                <w:sz w:val="21"/>
              </w:rPr>
              <w:t>中标</w:t>
            </w:r>
            <w:r>
              <w:rPr>
                <w:sz w:val="21"/>
              </w:rPr>
              <w:t>人须提供常设</w:t>
            </w:r>
            <w:r>
              <w:rPr>
                <w:sz w:val="21"/>
              </w:rPr>
              <w:t>7×24小时热线服务和长期的免费技术支持，对采购人的服务通知，</w:t>
            </w:r>
            <w:r>
              <w:rPr>
                <w:sz w:val="21"/>
              </w:rPr>
              <w:t>中标</w:t>
            </w:r>
            <w:r>
              <w:rPr>
                <w:sz w:val="21"/>
              </w:rPr>
              <w:t>人必须在接报后</w:t>
            </w:r>
            <w:r>
              <w:rPr>
                <w:sz w:val="21"/>
              </w:rPr>
              <w:t>30分钟</w:t>
            </w:r>
            <w:r>
              <w:rPr>
                <w:sz w:val="21"/>
              </w:rPr>
              <w:t>内响应，</w:t>
            </w:r>
            <w:r>
              <w:rPr>
                <w:sz w:val="21"/>
              </w:rPr>
              <w:t>2小时内到达现场，4小时内处理完毕。若主要设备的故障在24小时内仍未处理完毕，</w:t>
            </w:r>
            <w:r>
              <w:rPr>
                <w:sz w:val="21"/>
              </w:rPr>
              <w:t>中标</w:t>
            </w:r>
            <w:r>
              <w:rPr>
                <w:sz w:val="21"/>
              </w:rPr>
              <w:t>人必须免费提供相同档次的设备予采购人临时使用或采取应急措施解决，不得影响采购人的正常工作业务。终端在交付前确保无与</w:t>
            </w:r>
            <w:r>
              <w:rPr>
                <w:sz w:val="21"/>
              </w:rPr>
              <w:t>辅警通</w:t>
            </w:r>
            <w:r>
              <w:rPr>
                <w:sz w:val="21"/>
              </w:rPr>
              <w:t>应用无关的运营商预装程序，若终端返修时间超过</w:t>
            </w:r>
            <w:r>
              <w:rPr>
                <w:sz w:val="21"/>
              </w:rPr>
              <w:t>14天，</w:t>
            </w:r>
            <w:r>
              <w:rPr>
                <w:sz w:val="21"/>
              </w:rPr>
              <w:t>中标</w:t>
            </w:r>
            <w:r>
              <w:rPr>
                <w:sz w:val="21"/>
              </w:rPr>
              <w:t>人承诺通过增加备用机或调换新机等方法确保用户能正常使用</w:t>
            </w:r>
            <w:r>
              <w:rPr>
                <w:sz w:val="21"/>
              </w:rPr>
              <w:t>辅警通</w:t>
            </w:r>
            <w:r>
              <w:rPr>
                <w:sz w:val="21"/>
              </w:rPr>
              <w:t>功能（提供的备用机或新机为返修机的同型号或升级版机型）。</w:t>
            </w:r>
            <w:r>
              <w:rPr>
                <w:sz w:val="21"/>
              </w:rPr>
              <w:t>如</w:t>
            </w:r>
            <w:r>
              <w:rPr>
                <w:sz w:val="21"/>
              </w:rPr>
              <w:t>中标人</w:t>
            </w:r>
            <w:r>
              <w:rPr>
                <w:sz w:val="21"/>
              </w:rPr>
              <w:t>网络、通讯、</w:t>
            </w:r>
            <w:r>
              <w:rPr>
                <w:sz w:val="21"/>
              </w:rPr>
              <w:t>维修等服务保障措施不到位的，每逾期</w:t>
            </w:r>
            <w:r>
              <w:rPr>
                <w:sz w:val="21"/>
              </w:rPr>
              <w:t>1天，</w:t>
            </w:r>
            <w:r>
              <w:rPr>
                <w:sz w:val="21"/>
              </w:rPr>
              <w:t>采购人</w:t>
            </w:r>
            <w:r>
              <w:rPr>
                <w:sz w:val="21"/>
              </w:rPr>
              <w:t>按</w:t>
            </w:r>
            <w:r>
              <w:rPr>
                <w:sz w:val="21"/>
              </w:rPr>
              <w:t>每户辅警通</w:t>
            </w:r>
            <w:r>
              <w:rPr>
                <w:sz w:val="21"/>
              </w:rPr>
              <w:t>5倍日租费</w:t>
            </w:r>
            <w:r>
              <w:rPr>
                <w:sz w:val="21"/>
              </w:rPr>
              <w:t>（按月租费</w:t>
            </w:r>
            <w:r>
              <w:rPr>
                <w:sz w:val="21"/>
              </w:rPr>
              <w:t>/30天计算</w:t>
            </w:r>
            <w:r>
              <w:rPr>
                <w:sz w:val="21"/>
              </w:rPr>
              <w:t>）</w:t>
            </w:r>
            <w:r>
              <w:rPr>
                <w:sz w:val="21"/>
              </w:rPr>
              <w:t>扣除</w:t>
            </w:r>
            <w:r>
              <w:rPr>
                <w:sz w:val="21"/>
              </w:rPr>
              <w:t>中标人</w:t>
            </w:r>
            <w:r>
              <w:rPr>
                <w:sz w:val="21"/>
              </w:rPr>
              <w:t>违约金，在本项目合同总价款中扣减。</w:t>
            </w:r>
          </w:p>
          <w:p>
            <w:pPr>
              <w:ind w:firstLine="420"/>
              <w:jc w:val="both"/>
            </w:pPr>
            <w:r>
              <w:rPr>
                <w:sz w:val="21"/>
              </w:rPr>
              <w:t>（</w:t>
            </w:r>
            <w:r>
              <w:rPr>
                <w:sz w:val="21"/>
              </w:rPr>
              <w:t>2）中标人须通过现场技术支持、电话技术支持、电子邮件技术支持等手段，提供完善的技术支持服务。</w:t>
            </w:r>
          </w:p>
          <w:p>
            <w:pPr>
              <w:ind w:firstLine="420"/>
              <w:jc w:val="both"/>
            </w:pPr>
            <w:r>
              <w:rPr>
                <w:sz w:val="21"/>
              </w:rPr>
              <w:t>（</w:t>
            </w:r>
            <w:r>
              <w:rPr>
                <w:sz w:val="21"/>
              </w:rPr>
              <w:t>3）印刷服务：中标人须根据</w:t>
            </w:r>
            <w:r>
              <w:rPr>
                <w:sz w:val="21"/>
              </w:rPr>
              <w:t>采购人</w:t>
            </w:r>
            <w:r>
              <w:rPr>
                <w:sz w:val="21"/>
              </w:rPr>
              <w:t>要求，提供各类文件印刷资料</w:t>
            </w:r>
            <w:r>
              <w:rPr>
                <w:sz w:val="21"/>
              </w:rPr>
              <w:t>,包括但不限于技术资料、使用说明书、安装维修操作手册等。</w:t>
            </w:r>
          </w:p>
          <w:p>
            <w:pPr>
              <w:ind w:firstLine="420"/>
              <w:jc w:val="both"/>
            </w:pPr>
            <w:r>
              <w:rPr>
                <w:sz w:val="21"/>
              </w:rPr>
              <w:t>▲</w:t>
            </w:r>
            <w:r>
              <w:rPr>
                <w:sz w:val="21"/>
              </w:rPr>
              <w:t>（</w:t>
            </w:r>
            <w:r>
              <w:rPr>
                <w:sz w:val="21"/>
              </w:rPr>
              <w:t>4）终端意外碎屏服务：</w:t>
            </w:r>
            <w:r>
              <w:rPr>
                <w:sz w:val="21"/>
              </w:rPr>
              <w:t>为每个</w:t>
            </w:r>
            <w:r>
              <w:rPr>
                <w:sz w:val="21"/>
              </w:rPr>
              <w:t>分项合同所租赁的终端</w:t>
            </w:r>
            <w:r>
              <w:rPr>
                <w:sz w:val="21"/>
              </w:rPr>
              <w:t>提供免费</w:t>
            </w:r>
            <w:r>
              <w:rPr>
                <w:sz w:val="21"/>
              </w:rPr>
              <w:t>原装</w:t>
            </w:r>
            <w:r>
              <w:rPr>
                <w:sz w:val="21"/>
              </w:rPr>
              <w:t>屏幕修复服务，</w:t>
            </w:r>
            <w:r>
              <w:rPr>
                <w:sz w:val="21"/>
              </w:rPr>
              <w:t>总</w:t>
            </w:r>
            <w:r>
              <w:rPr>
                <w:sz w:val="21"/>
              </w:rPr>
              <w:t>数量</w:t>
            </w:r>
            <w:r>
              <w:rPr>
                <w:sz w:val="21"/>
              </w:rPr>
              <w:t>不超过</w:t>
            </w:r>
            <w:r>
              <w:rPr>
                <w:sz w:val="21"/>
              </w:rPr>
              <w:t>该</w:t>
            </w:r>
            <w:r>
              <w:rPr>
                <w:sz w:val="21"/>
              </w:rPr>
              <w:t>分项</w:t>
            </w:r>
            <w:r>
              <w:rPr>
                <w:sz w:val="21"/>
              </w:rPr>
              <w:t>合同所约定</w:t>
            </w:r>
            <w:r>
              <w:rPr>
                <w:sz w:val="21"/>
              </w:rPr>
              <w:t>租赁终端数量</w:t>
            </w:r>
            <w:r>
              <w:rPr>
                <w:sz w:val="21"/>
              </w:rPr>
              <w:t>的</w:t>
            </w:r>
            <w:r>
              <w:rPr>
                <w:sz w:val="21"/>
              </w:rPr>
              <w:t>3</w:t>
            </w:r>
            <w:r>
              <w:rPr>
                <w:sz w:val="21"/>
              </w:rPr>
              <w:t>%（</w:t>
            </w:r>
            <w:r>
              <w:rPr>
                <w:sz w:val="21"/>
              </w:rPr>
              <w:t>不满</w:t>
            </w:r>
            <w:r>
              <w:rPr>
                <w:sz w:val="21"/>
              </w:rPr>
              <w:t>1</w:t>
            </w:r>
            <w:r>
              <w:rPr>
                <w:sz w:val="21"/>
              </w:rPr>
              <w:t>个</w:t>
            </w:r>
            <w:r>
              <w:rPr>
                <w:sz w:val="21"/>
              </w:rPr>
              <w:t>需向上折算成</w:t>
            </w:r>
            <w:r>
              <w:rPr>
                <w:sz w:val="21"/>
              </w:rPr>
              <w:t>1</w:t>
            </w:r>
            <w:r>
              <w:rPr>
                <w:sz w:val="21"/>
              </w:rPr>
              <w:t>个</w:t>
            </w:r>
            <w:r>
              <w:rPr>
                <w:sz w:val="21"/>
              </w:rPr>
              <w:t>）。</w:t>
            </w:r>
            <w:r>
              <w:rPr>
                <w:sz w:val="21"/>
              </w:rPr>
              <w:t>电池服务：</w:t>
            </w:r>
            <w:r>
              <w:rPr>
                <w:sz w:val="21"/>
              </w:rPr>
              <w:t>每台终端免费更换原装电池</w:t>
            </w:r>
            <w:r>
              <w:rPr>
                <w:sz w:val="21"/>
              </w:rPr>
              <w:t>1次。</w:t>
            </w:r>
          </w:p>
          <w:p>
            <w:pPr>
              <w:ind w:firstLine="420"/>
              <w:jc w:val="both"/>
            </w:pPr>
            <w:r>
              <w:rPr>
                <w:sz w:val="21"/>
              </w:rPr>
              <w:t>（</w:t>
            </w:r>
            <w:r>
              <w:rPr>
                <w:sz w:val="21"/>
              </w:rPr>
              <w:t>6</w:t>
            </w:r>
            <w:r>
              <w:rPr>
                <w:sz w:val="21"/>
              </w:rPr>
              <w:t>）</w:t>
            </w:r>
            <w:r>
              <w:rPr>
                <w:sz w:val="21"/>
              </w:rPr>
              <w:t>中标人负责向采购人提供现场安全操作及必要的维护保养培训。</w:t>
            </w:r>
          </w:p>
          <w:p>
            <w:pPr>
              <w:ind w:firstLine="420"/>
              <w:jc w:val="both"/>
            </w:pPr>
            <w:r>
              <w:rPr>
                <w:sz w:val="21"/>
              </w:rPr>
              <w:t>（</w:t>
            </w:r>
            <w:r>
              <w:rPr>
                <w:sz w:val="21"/>
              </w:rPr>
              <w:t>7</w:t>
            </w:r>
            <w:r>
              <w:rPr>
                <w:sz w:val="21"/>
              </w:rPr>
              <w:t>）合同期内，未经甲方同意驻场维护人员不得随意更换（投标人必须出具相应承诺书证明）。</w:t>
            </w:r>
          </w:p>
          <w:p>
            <w:pPr>
              <w:ind w:firstLine="420"/>
              <w:jc w:val="both"/>
            </w:pPr>
            <w:r>
              <w:rPr>
                <w:sz w:val="21"/>
              </w:rPr>
              <w:t>（</w:t>
            </w:r>
            <w:r>
              <w:rPr>
                <w:sz w:val="21"/>
              </w:rPr>
              <w:t>8</w:t>
            </w:r>
            <w:r>
              <w:rPr>
                <w:sz w:val="21"/>
              </w:rPr>
              <w:t>）分项合同期限自采购人自行组织的验收</w:t>
            </w:r>
            <w:r>
              <w:rPr>
                <w:sz w:val="21"/>
              </w:rPr>
              <w:t>之日起</w:t>
            </w:r>
            <w:r>
              <w:rPr>
                <w:sz w:val="21"/>
              </w:rPr>
              <w:t>，开始计算租赁期，租赁期为</w:t>
            </w:r>
            <w:r>
              <w:rPr>
                <w:sz w:val="21"/>
              </w:rPr>
              <w:t>36个月</w:t>
            </w:r>
            <w:r>
              <w:rPr>
                <w:sz w:val="21"/>
              </w:rPr>
              <w:t>，</w:t>
            </w:r>
            <w:r>
              <w:rPr>
                <w:sz w:val="21"/>
              </w:rPr>
              <w:t>租赁期内提供</w:t>
            </w:r>
            <w:r>
              <w:rPr>
                <w:sz w:val="21"/>
              </w:rPr>
              <w:t>手机免费维修</w:t>
            </w:r>
            <w:r>
              <w:rPr>
                <w:sz w:val="21"/>
              </w:rPr>
              <w:t>服务</w:t>
            </w:r>
            <w:r>
              <w:rPr>
                <w:sz w:val="21"/>
              </w:rPr>
              <w:t>，服务期与租赁期一致。</w:t>
            </w:r>
          </w:p>
          <w:p>
            <w:pPr>
              <w:ind w:firstLine="422"/>
              <w:jc w:val="both"/>
            </w:pPr>
            <w:r>
              <w:rPr>
                <w:b/>
                <w:sz w:val="21"/>
              </w:rPr>
              <w:t>2．安全管控服务要求</w:t>
            </w:r>
          </w:p>
          <w:p>
            <w:pPr>
              <w:ind w:firstLine="420"/>
              <w:jc w:val="both"/>
            </w:pPr>
            <w:r>
              <w:rPr>
                <w:sz w:val="21"/>
              </w:rPr>
              <w:t>2.1 维护内容</w:t>
            </w:r>
          </w:p>
          <w:p>
            <w:pPr>
              <w:ind w:firstLine="420"/>
              <w:jc w:val="both"/>
            </w:pPr>
            <w:r>
              <w:rPr>
                <w:sz w:val="21"/>
              </w:rPr>
              <w:t>提供安全管控应用的维护，包括内容如下：</w:t>
            </w:r>
          </w:p>
          <w:p>
            <w:pPr>
              <w:ind w:firstLine="420"/>
              <w:jc w:val="both"/>
            </w:pPr>
            <w:r>
              <w:rPr>
                <w:sz w:val="21"/>
              </w:rPr>
              <w:t>（</w:t>
            </w:r>
            <w:r>
              <w:rPr>
                <w:sz w:val="21"/>
              </w:rPr>
              <w:t>1） 基本维护服务</w:t>
            </w:r>
          </w:p>
          <w:p>
            <w:pPr>
              <w:ind w:firstLine="420"/>
              <w:jc w:val="both"/>
            </w:pPr>
            <w:r>
              <w:rPr>
                <w:sz w:val="21"/>
              </w:rPr>
              <w:t>基本服务指为保证系统正常运行所需的预防性维护，日常维护支持，数据备份支持等工作。包括：</w:t>
            </w:r>
          </w:p>
          <w:p>
            <w:pPr>
              <w:ind w:firstLine="420"/>
              <w:jc w:val="both"/>
            </w:pPr>
            <w:r>
              <w:rPr>
                <w:sz w:val="21"/>
              </w:rPr>
              <w:t>①日常维护技术支持：对系统进行维护，监控应用软件运行情况，保证系统正常运行。</w:t>
            </w:r>
          </w:p>
          <w:p>
            <w:pPr>
              <w:ind w:firstLine="420"/>
              <w:jc w:val="both"/>
            </w:pPr>
            <w:r>
              <w:rPr>
                <w:sz w:val="21"/>
              </w:rPr>
              <w:t>②数据安全性管理技术支持：对系统的数据备份和恢复进行技术支持，以备在异常情况下尽快恢复系统。</w:t>
            </w:r>
          </w:p>
          <w:p>
            <w:pPr>
              <w:ind w:firstLine="420"/>
              <w:jc w:val="both"/>
            </w:pPr>
            <w:r>
              <w:rPr>
                <w:sz w:val="21"/>
              </w:rPr>
              <w:t>（</w:t>
            </w:r>
            <w:r>
              <w:rPr>
                <w:sz w:val="21"/>
              </w:rPr>
              <w:t>2） 升级支持服务</w:t>
            </w:r>
          </w:p>
          <w:p>
            <w:pPr>
              <w:ind w:firstLine="420"/>
              <w:jc w:val="both"/>
            </w:pPr>
            <w:r>
              <w:rPr>
                <w:sz w:val="21"/>
              </w:rPr>
              <w:t>①版本升级技术支持：应用软件版本的升级支撑服务。</w:t>
            </w:r>
          </w:p>
          <w:p>
            <w:pPr>
              <w:ind w:firstLine="420"/>
              <w:jc w:val="both"/>
            </w:pPr>
            <w:r>
              <w:rPr>
                <w:sz w:val="21"/>
              </w:rPr>
              <w:t>②第三方软件升级：在采购人已经购买的第三方软件的升级服务的情况下，中标人应在第三方软件升级时进行相关的技术支持。</w:t>
            </w:r>
          </w:p>
          <w:p>
            <w:pPr>
              <w:ind w:firstLine="420"/>
              <w:jc w:val="both"/>
            </w:pPr>
            <w:r>
              <w:rPr>
                <w:sz w:val="21"/>
              </w:rPr>
              <w:t>③7×24 小时电话技术咨询服务。</w:t>
            </w:r>
          </w:p>
          <w:p>
            <w:pPr>
              <w:ind w:firstLine="420"/>
              <w:jc w:val="both"/>
            </w:pPr>
            <w:r>
              <w:rPr>
                <w:sz w:val="21"/>
              </w:rPr>
              <w:t>④技术资料支持。</w:t>
            </w:r>
          </w:p>
          <w:p>
            <w:pPr>
              <w:ind w:firstLine="420"/>
              <w:jc w:val="both"/>
            </w:pPr>
            <w:r>
              <w:rPr>
                <w:sz w:val="21"/>
              </w:rPr>
              <w:t>提供全面详实的系统技术资料，当系统或网络发生变化时在</w:t>
            </w:r>
            <w:r>
              <w:rPr>
                <w:sz w:val="21"/>
              </w:rPr>
              <w:t>5 个工作日内更新相关文档。</w:t>
            </w:r>
          </w:p>
          <w:p>
            <w:pPr>
              <w:ind w:firstLine="420"/>
              <w:jc w:val="both"/>
            </w:pPr>
            <w:r>
              <w:rPr>
                <w:sz w:val="21"/>
              </w:rPr>
              <w:t>2.2 故障排除</w:t>
            </w:r>
          </w:p>
          <w:p>
            <w:pPr>
              <w:ind w:firstLine="420"/>
              <w:jc w:val="both"/>
            </w:pPr>
            <w:r>
              <w:rPr>
                <w:sz w:val="21"/>
              </w:rPr>
              <w:t>采购人在使用系统时如遇到问题，无论是软件或是网络，都可得到相应的支持与帮助，并提供故障诊断分析和解决方案；涉及到软件严重故障导致系统不能正常运行，通过电话或远程无法解决，收到用户通知后的</w:t>
            </w:r>
            <w:r>
              <w:rPr>
                <w:sz w:val="21"/>
              </w:rPr>
              <w:t>8小时内赶到现场。</w:t>
            </w:r>
          </w:p>
          <w:tbl>
            <w:tblPr>
              <w:tblBorders>
                <w:top w:val="none" w:color="000000" w:sz="4"/>
                <w:left w:val="none" w:color="000000" w:sz="4"/>
                <w:bottom w:val="none" w:color="000000" w:sz="4"/>
                <w:right w:val="none" w:color="000000" w:sz="4"/>
                <w:insideH w:val="none"/>
                <w:insideV w:val="none"/>
              </w:tblBorders>
            </w:tblPr>
            <w:tblGrid>
              <w:gridCol w:w="1369"/>
              <w:gridCol w:w="1423"/>
              <w:gridCol w:w="4195"/>
            </w:tblGrid>
            <w:tr>
              <w:tc>
                <w:tcPr>
                  <w:tcW w:type="dxa" w:w="6987"/>
                  <w:gridSpan w:val="3"/>
                  <w:tcBorders>
                    <w:top w:val="single" w:color="000000" w:sz="4"/>
                    <w:left w:val="single" w:color="000000" w:sz="4"/>
                    <w:bottom w:val="single" w:color="000000" w:sz="4"/>
                    <w:right w:val="single" w:color="000000" w:sz="4"/>
                  </w:tcBorders>
                  <w:shd w:fill="FFFFFF"/>
                  <w:vAlign w:val="top"/>
                </w:tcPr>
                <w:p>
                  <w:pPr>
                    <w:jc w:val="center"/>
                  </w:pPr>
                  <w:r>
                    <w:rPr>
                      <w:sz w:val="21"/>
                    </w:rPr>
                    <w:t>解决时限要求</w:t>
                  </w:r>
                </w:p>
              </w:tc>
            </w:tr>
            <w:tr>
              <w:tc>
                <w:tcPr>
                  <w:tcW w:type="dxa" w:w="2792"/>
                  <w:gridSpan w:val="2"/>
                  <w:tcBorders>
                    <w:top w:val="none" w:color="000000" w:sz="4"/>
                    <w:left w:val="single" w:color="000000" w:sz="4"/>
                    <w:bottom w:val="single" w:color="000000" w:sz="4"/>
                    <w:right w:val="single" w:color="000000" w:sz="4"/>
                  </w:tcBorders>
                  <w:shd w:fill="D7D7D7"/>
                  <w:vAlign w:val="top"/>
                </w:tcPr>
                <w:p>
                  <w:pPr>
                    <w:jc w:val="center"/>
                  </w:pPr>
                  <w:r>
                    <w:rPr>
                      <w:sz w:val="21"/>
                    </w:rPr>
                    <w:t>故障级别</w:t>
                  </w:r>
                </w:p>
              </w:tc>
              <w:tc>
                <w:tcPr>
                  <w:tcW w:type="dxa" w:w="4195"/>
                  <w:tcBorders>
                    <w:top w:val="single" w:color="000000" w:sz="4"/>
                    <w:left w:val="none" w:color="000000" w:sz="4"/>
                    <w:bottom w:val="single" w:color="000000" w:sz="4"/>
                    <w:right w:val="single" w:color="000000" w:sz="4"/>
                  </w:tcBorders>
                  <w:shd w:fill="D7D7D7"/>
                  <w:vAlign w:val="top"/>
                </w:tcPr>
                <w:p>
                  <w:pPr>
                    <w:jc w:val="center"/>
                  </w:pPr>
                  <w:r>
                    <w:rPr>
                      <w:sz w:val="21"/>
                    </w:rPr>
                    <w:t>解决时限</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一级故障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2</w:t>
                  </w:r>
                  <w:r>
                    <w:rPr>
                      <w:sz w:val="21"/>
                    </w:rPr>
                    <w:t>小时</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二级故障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4</w:t>
                  </w:r>
                  <w:r>
                    <w:rPr>
                      <w:sz w:val="21"/>
                    </w:rPr>
                    <w:t>小时</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三级故障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12</w:t>
                  </w:r>
                  <w:r>
                    <w:rPr>
                      <w:sz w:val="21"/>
                    </w:rPr>
                    <w:t>小时</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四级故障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24</w:t>
                  </w:r>
                  <w:r>
                    <w:rPr>
                      <w:sz w:val="21"/>
                    </w:rPr>
                    <w:t>小时</w:t>
                  </w:r>
                </w:p>
              </w:tc>
            </w:tr>
            <w:tr>
              <w:tc>
                <w:tcPr>
                  <w:tcW w:type="dxa" w:w="6987"/>
                  <w:gridSpan w:val="3"/>
                  <w:tcBorders>
                    <w:top w:val="none" w:color="000000" w:sz="4"/>
                    <w:left w:val="single" w:color="000000" w:sz="4"/>
                    <w:bottom w:val="single" w:color="000000" w:sz="4"/>
                    <w:right w:val="single" w:color="000000" w:sz="4"/>
                  </w:tcBorders>
                  <w:vAlign w:val="top"/>
                </w:tcPr>
                <w:p>
                  <w:pPr>
                    <w:jc w:val="center"/>
                  </w:pPr>
                  <w:r>
                    <w:rPr>
                      <w:sz w:val="21"/>
                    </w:rPr>
                    <w:t>故障级别定义</w:t>
                  </w:r>
                </w:p>
              </w:tc>
            </w:tr>
            <w:tr>
              <w:tc>
                <w:tcPr>
                  <w:tcW w:type="dxa" w:w="1369"/>
                  <w:tcBorders>
                    <w:top w:val="none" w:color="000000" w:sz="4"/>
                    <w:left w:val="single" w:color="000000" w:sz="4"/>
                    <w:bottom w:val="single" w:color="000000" w:sz="4"/>
                    <w:right w:val="single" w:color="000000" w:sz="4"/>
                  </w:tcBorders>
                  <w:shd w:fill="D7D7D7"/>
                  <w:vAlign w:val="top"/>
                </w:tcPr>
                <w:p>
                  <w:pPr>
                    <w:jc w:val="center"/>
                  </w:pPr>
                  <w:r>
                    <w:rPr>
                      <w:sz w:val="21"/>
                    </w:rPr>
                    <w:t>故障级别</w:t>
                  </w:r>
                </w:p>
              </w:tc>
              <w:tc>
                <w:tcPr>
                  <w:tcW w:type="dxa" w:w="5618"/>
                  <w:gridSpan w:val="2"/>
                  <w:tcBorders>
                    <w:top w:val="single" w:color="000000" w:sz="4"/>
                    <w:left w:val="none" w:color="000000" w:sz="4"/>
                    <w:bottom w:val="single" w:color="000000" w:sz="4"/>
                    <w:right w:val="single" w:color="000000" w:sz="4"/>
                  </w:tcBorders>
                  <w:shd w:fill="D7D7D7"/>
                  <w:vAlign w:val="top"/>
                </w:tcPr>
                <w:p>
                  <w:pPr>
                    <w:jc w:val="center"/>
                  </w:pPr>
                  <w:r>
                    <w:rPr>
                      <w:sz w:val="21"/>
                    </w:rPr>
                    <w:t>级别定义</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一级故障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出现严重影响系统可用性问题或者出现任何一个系统瘫痪</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二级故障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系统出现影响系统可用性或者出现系统故障的问题</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三级故障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影响业务的主机系统、数据库、网络传输中断等故障</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四级故障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遇到系统操作疑难或者系统出现不正常状态</w:t>
                  </w:r>
                </w:p>
              </w:tc>
            </w:tr>
          </w:tbl>
          <w:p>
            <w:pPr>
              <w:ind w:firstLine="420"/>
              <w:jc w:val="both"/>
            </w:pPr>
            <w:r>
              <w:rPr>
                <w:sz w:val="21"/>
              </w:rPr>
              <w:t>对导致应用系统异常的各种原因（包括网络、系统软件等）中标人需配合有关各方进行诊断，查明原因，提出解决方案，协助解决。</w:t>
            </w:r>
          </w:p>
          <w:p>
            <w:pPr>
              <w:ind w:firstLine="422"/>
              <w:jc w:val="both"/>
            </w:pPr>
            <w:r>
              <w:rPr>
                <w:b/>
                <w:sz w:val="21"/>
              </w:rPr>
              <w:t>3．服务内容要求</w:t>
            </w:r>
          </w:p>
          <w:p>
            <w:pPr>
              <w:ind w:firstLine="420"/>
              <w:jc w:val="both"/>
            </w:pPr>
            <w:r>
              <w:rPr>
                <w:sz w:val="21"/>
              </w:rPr>
              <w:t>中标人在售后服务期内所提供的服务内容和范围包括以下几点：</w:t>
            </w:r>
          </w:p>
          <w:p>
            <w:pPr>
              <w:ind w:firstLine="420"/>
              <w:jc w:val="both"/>
            </w:pPr>
            <w:r>
              <w:rPr>
                <w:sz w:val="21"/>
              </w:rPr>
              <w:t>（</w:t>
            </w:r>
            <w:r>
              <w:rPr>
                <w:sz w:val="21"/>
              </w:rPr>
              <w:t>1）保障网络信号良好。</w:t>
            </w:r>
          </w:p>
          <w:p>
            <w:pPr>
              <w:ind w:firstLine="420"/>
              <w:jc w:val="both"/>
            </w:pPr>
            <w:r>
              <w:rPr>
                <w:sz w:val="21"/>
              </w:rPr>
              <w:t>（</w:t>
            </w:r>
            <w:r>
              <w:rPr>
                <w:sz w:val="21"/>
              </w:rPr>
              <w:t>2）保障终端安全管控系统的正常使用，提供 7*24 小时报障受理。</w:t>
            </w:r>
          </w:p>
          <w:p>
            <w:pPr>
              <w:ind w:firstLine="420"/>
              <w:jc w:val="both"/>
            </w:pPr>
            <w:r>
              <w:rPr>
                <w:sz w:val="21"/>
              </w:rPr>
              <w:t>（</w:t>
            </w:r>
            <w:r>
              <w:rPr>
                <w:sz w:val="21"/>
              </w:rPr>
              <w:t>3）对产品使用、维护、升级和新技术推荐等方面的咨询服务。</w:t>
            </w:r>
          </w:p>
          <w:p>
            <w:pPr>
              <w:ind w:firstLine="422"/>
              <w:jc w:val="both"/>
            </w:pPr>
            <w:r>
              <w:rPr>
                <w:b/>
                <w:sz w:val="21"/>
              </w:rPr>
              <w:t>4．</w:t>
            </w:r>
            <w:r>
              <w:rPr>
                <w:b/>
                <w:sz w:val="21"/>
              </w:rPr>
              <w:t>重大突发事件处理流程：</w:t>
            </w:r>
          </w:p>
          <w:p>
            <w:pPr>
              <w:ind w:firstLine="422"/>
              <w:jc w:val="both"/>
            </w:pPr>
            <w:r>
              <w:drawing>
                <wp:inline distT="0" distR="0" distB="0" distL="0">
                  <wp:extent cx="3554729" cy="267570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675706"/>
                          </a:xfrm>
                          <a:prstGeom prst="rect">
                            <a:avLst/>
                          </a:prstGeom>
                        </pic:spPr>
                      </pic:pic>
                    </a:graphicData>
                  </a:graphic>
                </wp:inline>
              </w:drawing>
            </w:r>
          </w:p>
          <w:p>
            <w:pPr>
              <w:ind w:firstLine="420"/>
              <w:jc w:val="both"/>
            </w:pPr>
          </w:p>
          <w:p>
            <w:pPr>
              <w:ind w:firstLine="425"/>
              <w:jc w:val="both"/>
            </w:pPr>
          </w:p>
          <w:p>
            <w:pPr>
              <w:jc w:val="both"/>
            </w:pPr>
            <w:r>
              <w:rPr>
                <w:b/>
                <w:sz w:val="28"/>
              </w:rPr>
              <w:t>六、</w:t>
            </w:r>
            <w:r>
              <w:rPr>
                <w:b/>
                <w:sz w:val="28"/>
              </w:rPr>
              <w:t>培训要求</w:t>
            </w:r>
          </w:p>
          <w:p>
            <w:pPr>
              <w:ind w:firstLine="420"/>
              <w:jc w:val="both"/>
            </w:pPr>
            <w:r>
              <w:rPr>
                <w:sz w:val="21"/>
              </w:rPr>
              <w:t>1、中标</w:t>
            </w:r>
            <w:r>
              <w:rPr>
                <w:sz w:val="21"/>
              </w:rPr>
              <w:t>人须分别各为市公安局局直单位及分局</w:t>
            </w:r>
            <w:r>
              <w:rPr>
                <w:sz w:val="21"/>
              </w:rPr>
              <w:t>提供</w:t>
            </w:r>
            <w:r>
              <w:rPr>
                <w:sz w:val="21"/>
              </w:rPr>
              <w:t>满足本项目要求的培训服务至少</w:t>
            </w:r>
            <w:r>
              <w:rPr>
                <w:sz w:val="21"/>
              </w:rPr>
              <w:t>1次</w:t>
            </w:r>
            <w:r>
              <w:rPr>
                <w:sz w:val="21"/>
              </w:rPr>
              <w:t>。</w:t>
            </w:r>
          </w:p>
          <w:p>
            <w:pPr>
              <w:ind w:firstLine="420"/>
              <w:jc w:val="both"/>
            </w:pPr>
            <w:r>
              <w:rPr>
                <w:sz w:val="21"/>
              </w:rPr>
              <w:t>2、</w:t>
            </w:r>
            <w:r>
              <w:rPr>
                <w:sz w:val="21"/>
              </w:rPr>
              <w:t>所提供的培训课程表随投标文件一起提交，培训方案作为评判整体解决方案优劣的重要因素之一。</w:t>
            </w:r>
          </w:p>
          <w:p>
            <w:pPr>
              <w:ind w:firstLine="420"/>
              <w:jc w:val="both"/>
            </w:pPr>
            <w:r>
              <w:rPr>
                <w:sz w:val="21"/>
              </w:rPr>
              <w:t>3、</w:t>
            </w:r>
            <w:r>
              <w:rPr>
                <w:sz w:val="21"/>
              </w:rPr>
              <w:t>培训目的：协助业主单位熟悉辅警通终端和系统；</w:t>
            </w:r>
          </w:p>
          <w:p>
            <w:pPr>
              <w:ind w:firstLine="840"/>
              <w:jc w:val="both"/>
            </w:pPr>
            <w:r>
              <w:rPr>
                <w:sz w:val="21"/>
              </w:rPr>
              <w:t>培训时间安排：根据业主需要安排；</w:t>
            </w:r>
          </w:p>
          <w:p>
            <w:pPr>
              <w:ind w:firstLine="840"/>
              <w:jc w:val="both"/>
            </w:pPr>
            <w:r>
              <w:rPr>
                <w:sz w:val="21"/>
              </w:rPr>
              <w:t>培训对象：辅警用户；</w:t>
            </w:r>
          </w:p>
          <w:p>
            <w:pPr>
              <w:ind w:firstLine="840"/>
              <w:jc w:val="both"/>
            </w:pPr>
            <w:r>
              <w:rPr>
                <w:sz w:val="21"/>
              </w:rPr>
              <w:t>培训地点：市公安局局直单位及分局。</w:t>
            </w:r>
          </w:p>
          <w:p>
            <w:pPr>
              <w:ind w:firstLine="420"/>
              <w:jc w:val="both"/>
            </w:pPr>
            <w:r>
              <w:rPr>
                <w:sz w:val="21"/>
              </w:rPr>
              <w:t>4、中标</w:t>
            </w:r>
            <w:r>
              <w:rPr>
                <w:sz w:val="21"/>
              </w:rPr>
              <w:t>人必须为所有被培训人员提供培训用文字资料和讲义等相关用品，所有的资料必须是中文书写。</w:t>
            </w:r>
          </w:p>
          <w:p>
            <w:pPr>
              <w:jc w:val="both"/>
            </w:pPr>
            <w:r>
              <w:rPr>
                <w:b/>
                <w:sz w:val="28"/>
              </w:rPr>
              <w:t>七、知识产权</w:t>
            </w:r>
          </w:p>
          <w:p>
            <w:pPr>
              <w:ind w:firstLine="420"/>
              <w:jc w:val="both"/>
            </w:pPr>
            <w:r>
              <w:rPr>
                <w:sz w:val="21"/>
              </w:rPr>
              <w:t>中标人</w:t>
            </w:r>
            <w:r>
              <w:rPr>
                <w:sz w:val="21"/>
              </w:rPr>
              <w:t>应保证本项目的报价、技术、服务或其它任何一部分不会产生因第三方提出侵犯其专利权、商标权或其他知识产权而引起的法律和经济纠纷；如因第三方提出其专利权、商标权或其他知识产权的侵权之诉，则一切法律责任由</w:t>
            </w:r>
            <w:r>
              <w:rPr>
                <w:sz w:val="21"/>
              </w:rPr>
              <w:t>中标人</w:t>
            </w:r>
            <w:r>
              <w:rPr>
                <w:sz w:val="21"/>
              </w:rPr>
              <w:t>承担。</w:t>
            </w:r>
          </w:p>
          <w:p>
            <w:pPr>
              <w:jc w:val="both"/>
            </w:pPr>
            <w:r>
              <w:rPr>
                <w:b/>
                <w:sz w:val="28"/>
              </w:rPr>
              <w:t>八、保密</w:t>
            </w:r>
          </w:p>
          <w:p>
            <w:pPr>
              <w:ind w:firstLine="420"/>
              <w:jc w:val="both"/>
            </w:pPr>
            <w:r>
              <w:rPr>
                <w:sz w:val="21"/>
              </w:rPr>
              <w:t>项目实施过程中至</w:t>
            </w:r>
            <w:r>
              <w:rPr>
                <w:sz w:val="21"/>
              </w:rPr>
              <w:t>中标人</w:t>
            </w:r>
            <w:r>
              <w:rPr>
                <w:sz w:val="21"/>
              </w:rPr>
              <w:t>正式向</w:t>
            </w:r>
            <w:r>
              <w:rPr>
                <w:sz w:val="21"/>
              </w:rPr>
              <w:t>采购人</w:t>
            </w:r>
            <w:r>
              <w:rPr>
                <w:sz w:val="21"/>
              </w:rPr>
              <w:t>交付技术文档资料时止，</w:t>
            </w:r>
            <w:r>
              <w:rPr>
                <w:sz w:val="21"/>
              </w:rPr>
              <w:t>中标人</w:t>
            </w:r>
            <w:r>
              <w:rPr>
                <w:sz w:val="21"/>
              </w:rPr>
              <w:t>必须采取措施对本项目实施过程中的数据、源代码、技术文档等资料保密，否则，由于</w:t>
            </w:r>
            <w:r>
              <w:rPr>
                <w:sz w:val="21"/>
              </w:rPr>
              <w:t>中标人</w:t>
            </w:r>
            <w:r>
              <w:rPr>
                <w:sz w:val="21"/>
              </w:rPr>
              <w:t>过错导致的上述资料泄密的，</w:t>
            </w:r>
            <w:r>
              <w:rPr>
                <w:sz w:val="21"/>
              </w:rPr>
              <w:t>中标人</w:t>
            </w:r>
            <w:r>
              <w:rPr>
                <w:sz w:val="21"/>
              </w:rPr>
              <w:t>必须承担一切责任。项目完成后，</w:t>
            </w:r>
            <w:r>
              <w:rPr>
                <w:sz w:val="21"/>
              </w:rPr>
              <w:t>采购人、中标人</w:t>
            </w:r>
            <w:r>
              <w:rPr>
                <w:sz w:val="21"/>
              </w:rPr>
              <w:t>双方均有责任对本项目的技术保密承担责任</w:t>
            </w:r>
            <w:r>
              <w:rPr>
                <w:sz w:val="21"/>
              </w:rPr>
              <w:t>：</w:t>
            </w:r>
            <w:r>
              <w:rPr>
                <w:sz w:val="21"/>
              </w:rPr>
              <w:t>未经</w:t>
            </w:r>
            <w:r>
              <w:rPr>
                <w:sz w:val="21"/>
              </w:rPr>
              <w:t>采购人</w:t>
            </w:r>
            <w:r>
              <w:rPr>
                <w:sz w:val="21"/>
              </w:rPr>
              <w:t>事先书面同意，</w:t>
            </w:r>
            <w:r>
              <w:rPr>
                <w:sz w:val="21"/>
              </w:rPr>
              <w:t>中标人</w:t>
            </w:r>
            <w:r>
              <w:rPr>
                <w:sz w:val="21"/>
              </w:rPr>
              <w:t>不得将由</w:t>
            </w:r>
            <w:r>
              <w:rPr>
                <w:sz w:val="21"/>
              </w:rPr>
              <w:t>采购人</w:t>
            </w:r>
            <w:r>
              <w:rPr>
                <w:sz w:val="21"/>
              </w:rPr>
              <w:t>为本</w:t>
            </w:r>
            <w:r>
              <w:rPr>
                <w:sz w:val="21"/>
              </w:rPr>
              <w:t>项目</w:t>
            </w:r>
            <w:r>
              <w:rPr>
                <w:sz w:val="21"/>
              </w:rPr>
              <w:t>提供的条文、规格、计划、图纸、模型、样品或资料等提供给与本</w:t>
            </w:r>
            <w:r>
              <w:rPr>
                <w:sz w:val="21"/>
              </w:rPr>
              <w:t>项目</w:t>
            </w:r>
            <w:r>
              <w:rPr>
                <w:sz w:val="21"/>
              </w:rPr>
              <w:t>无关的任何第三方，不得将其用于履行本</w:t>
            </w:r>
            <w:r>
              <w:rPr>
                <w:sz w:val="21"/>
              </w:rPr>
              <w:t>项目</w:t>
            </w:r>
            <w:r>
              <w:rPr>
                <w:sz w:val="21"/>
              </w:rPr>
              <w:t>之外的其它用途。即使向与履行本</w:t>
            </w:r>
            <w:r>
              <w:rPr>
                <w:sz w:val="21"/>
              </w:rPr>
              <w:t>项目</w:t>
            </w:r>
            <w:r>
              <w:rPr>
                <w:sz w:val="21"/>
              </w:rPr>
              <w:t>有关的人员提供，也应注意保密并限于履行本</w:t>
            </w:r>
            <w:r>
              <w:rPr>
                <w:sz w:val="21"/>
              </w:rPr>
              <w:t>项目</w:t>
            </w:r>
            <w:r>
              <w:rPr>
                <w:sz w:val="21"/>
              </w:rPr>
              <w:t>所必需的范围。</w:t>
            </w:r>
          </w:p>
          <w:p>
            <w:pPr>
              <w:jc w:val="both"/>
            </w:pPr>
            <w:r>
              <w:rPr>
                <w:b/>
                <w:sz w:val="28"/>
              </w:rPr>
              <w:t>九、</w:t>
            </w:r>
            <w:r>
              <w:rPr>
                <w:b/>
                <w:sz w:val="28"/>
              </w:rPr>
              <w:t>其他要求</w:t>
            </w:r>
          </w:p>
          <w:p>
            <w:pPr>
              <w:jc w:val="both"/>
            </w:pPr>
            <w:r>
              <w:rPr>
                <w:sz w:val="21"/>
              </w:rPr>
              <w:t xml:space="preserve">    </w:t>
            </w:r>
            <w:r>
              <w:rPr>
                <w:sz w:val="21"/>
              </w:rPr>
              <w:t>1、</w:t>
            </w:r>
            <w:r>
              <w:rPr>
                <w:sz w:val="21"/>
              </w:rPr>
              <w:t>本项目实施区域为中山市，在施工期内，要求</w:t>
            </w:r>
            <w:r>
              <w:rPr>
                <w:sz w:val="21"/>
              </w:rPr>
              <w:t>中标</w:t>
            </w:r>
            <w:r>
              <w:rPr>
                <w:sz w:val="21"/>
              </w:rPr>
              <w:t>人为</w:t>
            </w:r>
            <w:r>
              <w:rPr>
                <w:sz w:val="21"/>
              </w:rPr>
              <w:t>采购人</w:t>
            </w:r>
            <w:r>
              <w:rPr>
                <w:sz w:val="21"/>
              </w:rPr>
              <w:t>提供方案设计、设备采购、设备安装、系统集成、系统管理、系统维护、系统培训等全套工程服务；要求</w:t>
            </w:r>
            <w:r>
              <w:rPr>
                <w:sz w:val="21"/>
              </w:rPr>
              <w:t>中标</w:t>
            </w:r>
            <w:r>
              <w:rPr>
                <w:sz w:val="21"/>
              </w:rPr>
              <w:t>人为</w:t>
            </w:r>
            <w:r>
              <w:rPr>
                <w:sz w:val="21"/>
              </w:rPr>
              <w:t>采购人</w:t>
            </w:r>
            <w:r>
              <w:rPr>
                <w:sz w:val="21"/>
              </w:rPr>
              <w:t>提供涉及项目相关系统软件开发、系统试运行、系统联调测试配合服务，实现硬件和软件的项目集成系统运行等服务。</w:t>
            </w:r>
          </w:p>
          <w:p>
            <w:pPr>
              <w:jc w:val="both"/>
            </w:pPr>
            <w:r>
              <w:rPr>
                <w:sz w:val="21"/>
              </w:rPr>
              <w:t>2、</w:t>
            </w:r>
            <w:r>
              <w:rPr>
                <w:sz w:val="21"/>
              </w:rPr>
              <w:t>未经</w:t>
            </w:r>
            <w:r>
              <w:rPr>
                <w:sz w:val="21"/>
              </w:rPr>
              <w:t>采购人</w:t>
            </w:r>
            <w:r>
              <w:rPr>
                <w:sz w:val="21"/>
              </w:rPr>
              <w:t>同意，</w:t>
            </w:r>
            <w:r>
              <w:rPr>
                <w:sz w:val="21"/>
              </w:rPr>
              <w:t>中标</w:t>
            </w:r>
            <w:r>
              <w:rPr>
                <w:sz w:val="21"/>
              </w:rPr>
              <w:t>人不得对相关软硬件设备进行转让、出售、给第三方使用等处置。本项目履行过程产生的数据产权自项目履行日起属</w:t>
            </w:r>
            <w:r>
              <w:rPr>
                <w:sz w:val="21"/>
              </w:rPr>
              <w:t>采购人</w:t>
            </w:r>
            <w:r>
              <w:rPr>
                <w:sz w:val="21"/>
              </w:rPr>
              <w:t>所有。</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采购包2（前端感知设备）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合同签订并生效后30个日历日内完成整个项目的供货、安装并通过最终验收交付用户使用。</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30%,合同签定并生效后全部货到支付30%。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2期：支付比例70%,安装调试完毕、验收合格双方签字并交付使用后一个月内一次性支付合同总价的70％。 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tc>
      </w:tr>
      <w:tr>
        <w:tc>
          <w:tcPr>
            <w:tcW w:type="dxa" w:w="4153"/>
          </w:tcPr>
          <w:p>
            <w:r>
              <w:rPr/>
              <w:t>验收要求</w:t>
            </w:r>
          </w:p>
        </w:tc>
        <w:tc>
          <w:tcPr>
            <w:tcW w:type="dxa" w:w="4153"/>
          </w:tcPr>
          <w:p/>
          <w:p/>
          <w:p/>
          <w:p>
            <w:r>
              <w:rPr/>
              <w:t>1期：依合同、招标文件及投标文件要求对设备的型号、规格、数量、外型、外观、包装及资料、文件（如装箱单、保修单、随箱介质等）等进行验收。详见技术标准中的验收要求。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投标报价应包括：货物（或服务）及零配件的购置、运输保险、装卸、安装（含安装所需材料）、调试、质保期售后服务、技术培训费（包括技术资料的提供等）、各项措施费、税费等完成招标内容所需的一切费用。招标代理机构和采购人不接受只对本项目招标设备或服务的部分投标。 2.投标人如没有在投标文件中注明偏离（文字说明或在技术、商务对比表中注明）的参数、配置、条款被视为投标人完全接受（本招标文件）。</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安全、检查、监视、报警设备</w:t>
            </w:r>
          </w:p>
        </w:tc>
        <w:tc>
          <w:tcPr>
            <w:tcW w:type="dxa" w:w="831"/>
          </w:tcPr>
          <w:p>
            <w:pPr>
              <w:jc w:val="left"/>
            </w:pPr>
            <w:r>
              <w:rPr/>
              <w:t>移动布控球</w:t>
            </w:r>
          </w:p>
        </w:tc>
        <w:tc>
          <w:tcPr>
            <w:tcW w:type="dxa" w:w="831"/>
          </w:tcPr>
          <w:p>
            <w:pPr>
              <w:jc w:val="left"/>
            </w:pPr>
            <w:r>
              <w:rPr/>
              <w:t>批</w:t>
            </w:r>
          </w:p>
        </w:tc>
        <w:tc>
          <w:tcPr>
            <w:tcW w:type="dxa" w:w="831"/>
          </w:tcPr>
          <w:p>
            <w:pPr>
              <w:jc w:val="right"/>
            </w:pPr>
            <w:r>
              <w:rPr/>
              <w:t>1.00</w:t>
            </w:r>
          </w:p>
        </w:tc>
        <w:tc>
          <w:tcPr>
            <w:tcW w:type="dxa" w:w="831"/>
          </w:tcPr>
          <w:p>
            <w:pPr>
              <w:jc w:val="right"/>
            </w:pPr>
            <w:r>
              <w:rPr/>
              <w:t>346,500.00</w:t>
            </w:r>
          </w:p>
        </w:tc>
        <w:tc>
          <w:tcPr>
            <w:tcW w:type="dxa" w:w="831"/>
          </w:tcPr>
          <w:p>
            <w:pPr>
              <w:jc w:val="right"/>
            </w:pPr>
            <w:r>
              <w:rPr/>
              <w:t>346,500.00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安全、检查、监视、报警设备</w:t>
            </w:r>
          </w:p>
        </w:tc>
        <w:tc>
          <w:tcPr>
            <w:tcW w:type="dxa" w:w="831"/>
          </w:tcPr>
          <w:p>
            <w:pPr>
              <w:jc w:val="left"/>
            </w:pPr>
            <w:r>
              <w:rPr/>
              <w:t>车载视频采集设备</w:t>
            </w:r>
          </w:p>
        </w:tc>
        <w:tc>
          <w:tcPr>
            <w:tcW w:type="dxa" w:w="831"/>
          </w:tcPr>
          <w:p>
            <w:pPr>
              <w:jc w:val="left"/>
            </w:pPr>
            <w:r>
              <w:rPr/>
              <w:t>批</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安全、检查、监视、报警设备</w:t>
            </w:r>
          </w:p>
        </w:tc>
        <w:tc>
          <w:tcPr>
            <w:tcW w:type="dxa" w:w="831"/>
          </w:tcPr>
          <w:p>
            <w:pPr>
              <w:jc w:val="left"/>
            </w:pPr>
            <w:r>
              <w:rPr/>
              <w:t>执法记录仪</w:t>
            </w:r>
          </w:p>
        </w:tc>
        <w:tc>
          <w:tcPr>
            <w:tcW w:type="dxa" w:w="831"/>
          </w:tcPr>
          <w:p>
            <w:pPr>
              <w:jc w:val="left"/>
            </w:pPr>
            <w:r>
              <w:rPr/>
              <w:t>批</w:t>
            </w:r>
          </w:p>
        </w:tc>
        <w:tc>
          <w:tcPr>
            <w:tcW w:type="dxa" w:w="831"/>
          </w:tcPr>
          <w:p>
            <w:pPr>
              <w:jc w:val="right"/>
            </w:pPr>
            <w:r>
              <w:rPr/>
              <w:t>1.00</w:t>
            </w:r>
          </w:p>
        </w:tc>
        <w:tc>
          <w:tcPr>
            <w:tcW w:type="dxa" w:w="831"/>
          </w:tcPr>
          <w:p>
            <w:pPr>
              <w:jc w:val="right"/>
            </w:pPr>
            <w:r>
              <w:rPr/>
              <w:t>7,602,200.00</w:t>
            </w:r>
          </w:p>
        </w:tc>
        <w:tc>
          <w:tcPr>
            <w:tcW w:type="dxa" w:w="831"/>
          </w:tcPr>
          <w:p>
            <w:pPr>
              <w:jc w:val="right"/>
            </w:pPr>
            <w:r>
              <w:rPr/>
              <w:t>7,602,200.00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安全、检查、监视、报警设备</w:t>
            </w:r>
          </w:p>
        </w:tc>
        <w:tc>
          <w:tcPr>
            <w:tcW w:type="dxa" w:w="831"/>
          </w:tcPr>
          <w:p>
            <w:pPr>
              <w:jc w:val="left"/>
            </w:pPr>
            <w:r>
              <w:rPr/>
              <w:t>采集工作站</w:t>
            </w:r>
          </w:p>
        </w:tc>
        <w:tc>
          <w:tcPr>
            <w:tcW w:type="dxa" w:w="831"/>
          </w:tcPr>
          <w:p>
            <w:pPr>
              <w:jc w:val="left"/>
            </w:pPr>
            <w:r>
              <w:rPr/>
              <w:t>批</w:t>
            </w:r>
          </w:p>
        </w:tc>
        <w:tc>
          <w:tcPr>
            <w:tcW w:type="dxa" w:w="831"/>
          </w:tcPr>
          <w:p>
            <w:pPr>
              <w:jc w:val="right"/>
            </w:pPr>
            <w:r>
              <w:rPr/>
              <w:t>1.00</w:t>
            </w:r>
          </w:p>
        </w:tc>
        <w:tc>
          <w:tcPr>
            <w:tcW w:type="dxa" w:w="831"/>
          </w:tcPr>
          <w:p>
            <w:pPr>
              <w:jc w:val="right"/>
            </w:pPr>
            <w:r>
              <w:rPr/>
              <w:t>1,079,000.00</w:t>
            </w:r>
          </w:p>
        </w:tc>
        <w:tc>
          <w:tcPr>
            <w:tcW w:type="dxa" w:w="831"/>
          </w:tcPr>
          <w:p>
            <w:pPr>
              <w:jc w:val="right"/>
            </w:pPr>
            <w:r>
              <w:rPr/>
              <w:t>1,079,000.00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安全、检查、监视、报警设备</w:t>
            </w:r>
          </w:p>
        </w:tc>
        <w:tc>
          <w:tcPr>
            <w:tcW w:type="dxa" w:w="831"/>
          </w:tcPr>
          <w:p>
            <w:pPr>
              <w:jc w:val="left"/>
            </w:pPr>
            <w:r>
              <w:rPr/>
              <w:t>350M手持数字集群对讲机</w:t>
            </w:r>
          </w:p>
        </w:tc>
        <w:tc>
          <w:tcPr>
            <w:tcW w:type="dxa" w:w="831"/>
          </w:tcPr>
          <w:p>
            <w:pPr>
              <w:jc w:val="left"/>
            </w:pPr>
            <w:r>
              <w:rPr/>
              <w:t>批</w:t>
            </w:r>
          </w:p>
        </w:tc>
        <w:tc>
          <w:tcPr>
            <w:tcW w:type="dxa" w:w="831"/>
          </w:tcPr>
          <w:p>
            <w:pPr>
              <w:jc w:val="right"/>
            </w:pPr>
            <w:r>
              <w:rPr/>
              <w:t>1.00</w:t>
            </w:r>
          </w:p>
        </w:tc>
        <w:tc>
          <w:tcPr>
            <w:tcW w:type="dxa" w:w="831"/>
          </w:tcPr>
          <w:p>
            <w:pPr>
              <w:jc w:val="right"/>
            </w:pPr>
            <w:r>
              <w:rPr/>
              <w:t>2,736,000.00</w:t>
            </w:r>
          </w:p>
        </w:tc>
        <w:tc>
          <w:tcPr>
            <w:tcW w:type="dxa" w:w="831"/>
          </w:tcPr>
          <w:p>
            <w:pPr>
              <w:jc w:val="right"/>
            </w:pPr>
            <w:r>
              <w:rPr/>
              <w:t>2,736,000.00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安全、检查、监视、报警设备</w:t>
            </w:r>
          </w:p>
        </w:tc>
        <w:tc>
          <w:tcPr>
            <w:tcW w:type="dxa" w:w="831"/>
          </w:tcPr>
          <w:p>
            <w:pPr>
              <w:jc w:val="left"/>
            </w:pPr>
            <w:r>
              <w:rPr/>
              <w:t>350M车载数字集群对讲机</w:t>
            </w:r>
          </w:p>
        </w:tc>
        <w:tc>
          <w:tcPr>
            <w:tcW w:type="dxa" w:w="831"/>
          </w:tcPr>
          <w:p>
            <w:pPr>
              <w:jc w:val="left"/>
            </w:pPr>
            <w:r>
              <w:rPr/>
              <w:t>批</w:t>
            </w:r>
          </w:p>
        </w:tc>
        <w:tc>
          <w:tcPr>
            <w:tcW w:type="dxa" w:w="831"/>
          </w:tcPr>
          <w:p>
            <w:pPr>
              <w:jc w:val="right"/>
            </w:pPr>
            <w:r>
              <w:rPr/>
              <w:t>1.00</w:t>
            </w:r>
          </w:p>
        </w:tc>
        <w:tc>
          <w:tcPr>
            <w:tcW w:type="dxa" w:w="831"/>
          </w:tcPr>
          <w:p>
            <w:pPr>
              <w:jc w:val="right"/>
            </w:pPr>
            <w:r>
              <w:rPr/>
              <w:t>1,966,300.00</w:t>
            </w:r>
          </w:p>
        </w:tc>
        <w:tc>
          <w:tcPr>
            <w:tcW w:type="dxa" w:w="831"/>
          </w:tcPr>
          <w:p>
            <w:pPr>
              <w:jc w:val="right"/>
            </w:pPr>
            <w:r>
              <w:rPr/>
              <w:t>1,966,300.00</w:t>
            </w:r>
          </w:p>
        </w:tc>
        <w:tc>
          <w:tcPr>
            <w:tcW w:type="dxa" w:w="831"/>
          </w:tcPr>
          <w:p>
            <w:r>
              <w:rPr/>
              <w:t>工业</w:t>
            </w:r>
          </w:p>
        </w:tc>
        <w:tc>
          <w:tcPr>
            <w:tcW w:type="dxa" w:w="831"/>
          </w:tcPr>
          <w:p>
            <w:r>
              <w:rPr/>
              <w:t>详见附表六</w:t>
            </w:r>
          </w:p>
        </w:tc>
      </w:tr>
    </w:tbl>
    <w:p/>
    <w:p>
      <w:r>
        <w:rPr>
          <w:b/>
        </w:rPr>
        <w:t>附表</w:t>
      </w:r>
      <w:r>
        <w:rPr>
          <w:b/>
        </w:rPr>
        <w:t>一</w:t>
      </w:r>
      <w:r>
        <w:rPr>
          <w:b/>
        </w:rPr>
        <w:t>：</w:t>
      </w:r>
      <w:r>
        <w:rPr>
          <w:b/>
        </w:rPr>
        <w:t>移动布控球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采购事项</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移动布控球</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每台设备含</w:t>
                  </w:r>
                  <w:r>
                    <w:rPr>
                      <w:sz w:val="21"/>
                    </w:rPr>
                    <w:t>4G</w:t>
                  </w:r>
                  <w:r>
                    <w:rPr>
                      <w:sz w:val="21"/>
                    </w:rPr>
                    <w:t>或</w:t>
                  </w:r>
                  <w:r>
                    <w:rPr>
                      <w:sz w:val="21"/>
                    </w:rPr>
                    <w:t>5G</w:t>
                  </w:r>
                  <w:r>
                    <w:rPr>
                      <w:sz w:val="21"/>
                    </w:rPr>
                    <w:t>流量卡一张，流量卡免费服务期为三年，每张卡每月流量不少于</w:t>
                  </w:r>
                  <w:r>
                    <w:rPr>
                      <w:sz w:val="21"/>
                    </w:rPr>
                    <w:t>30G</w:t>
                  </w:r>
                  <w:r>
                    <w:rPr>
                      <w:sz w:val="21"/>
                    </w:rPr>
                    <w:t>，本次采购的移动布控球与车载视频采集设备配套的流量卡形成流量池，各用户从流量池中使用专网流量；每台配备一个三脚支架、一块备用电池、一个座充充电器、一个设备箱和线材等其他配套配件。</w:t>
                  </w:r>
                </w:p>
              </w:tc>
              <w:tc>
                <w:tcPr>
                  <w:tcW w:type="dxa" w:w="996"/>
                  <w:tcBorders>
                    <w:top w:val="none" w:color="000000" w:sz="4"/>
                    <w:left w:val="single" w:color="000000" w:sz="4"/>
                    <w:bottom w:val="single" w:color="000000" w:sz="4"/>
                    <w:right w:val="single" w:color="000000" w:sz="4"/>
                  </w:tcBorders>
                  <w:vAlign w:val="top"/>
                </w:tcPr>
                <w:p>
                  <w:pPr>
                    <w:jc w:val="both"/>
                  </w:pPr>
                  <w:r>
                    <w:rPr>
                      <w:sz w:val="21"/>
                    </w:rPr>
                    <w:t>0</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20</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17325/</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ind w:firstLine="420"/>
                    <w:jc w:val="both"/>
                  </w:pPr>
                  <w:r>
                    <w:rPr>
                      <w:sz w:val="21"/>
                    </w:rPr>
                    <w:t>2</w:t>
                  </w:r>
                  <w:r>
                    <w:rPr>
                      <w:sz w:val="21"/>
                    </w:rPr>
                    <w:t>、投标人应就本表列明的设备分别报出单价。</w:t>
                  </w:r>
                </w:p>
              </w:tc>
            </w:tr>
          </w:tbl>
          <w:p>
            <w:pPr>
              <w:jc w:val="both"/>
            </w:pPr>
          </w:p>
          <w:p>
            <w:pPr>
              <w:jc w:val="both"/>
            </w:pPr>
            <w:r>
              <w:rPr>
                <w:b/>
                <w:sz w:val="21"/>
              </w:rPr>
              <w:t>二、技术参数</w:t>
            </w:r>
          </w:p>
          <w:p>
            <w:pPr>
              <w:ind w:firstLine="420"/>
              <w:jc w:val="both"/>
            </w:pPr>
            <w:r>
              <w:rPr>
                <w:sz w:val="21"/>
              </w:rPr>
              <w:t>智能双摄移动布控球机为具备视音频编解码、</w:t>
            </w:r>
            <w:r>
              <w:rPr>
                <w:sz w:val="21"/>
              </w:rPr>
              <w:t>4G</w:t>
            </w:r>
            <w:r>
              <w:rPr>
                <w:sz w:val="21"/>
              </w:rPr>
              <w:t>或</w:t>
            </w:r>
            <w:r>
              <w:rPr>
                <w:sz w:val="21"/>
              </w:rPr>
              <w:t>5G</w:t>
            </w:r>
            <w:r>
              <w:rPr>
                <w:sz w:val="21"/>
              </w:rPr>
              <w:t>、卫星定位等功能的高清一体化布控球，同时具备拾音、喇叭等人机交互功能，同时集成视频采集、车辆布控、</w:t>
            </w:r>
            <w:r>
              <w:rPr>
                <w:sz w:val="21"/>
              </w:rPr>
              <w:t>RL</w:t>
            </w:r>
            <w:r>
              <w:rPr>
                <w:sz w:val="21"/>
              </w:rPr>
              <w:t>检测及比对、区域入侵等功能，适合于临时重大活动布控场景灵活部署</w:t>
            </w:r>
            <w:r>
              <w:rPr>
                <w:sz w:val="21"/>
              </w:rPr>
              <w:t>。</w:t>
            </w:r>
          </w:p>
          <w:tbl>
            <w:tblPr>
              <w:tblBorders>
                <w:top w:val="none" w:color="000000" w:sz="4"/>
                <w:left w:val="none" w:color="000000" w:sz="4"/>
                <w:bottom w:val="none" w:color="000000" w:sz="4"/>
                <w:right w:val="none" w:color="000000" w:sz="4"/>
                <w:insideH w:val="none"/>
                <w:insideV w:val="none"/>
              </w:tblBorders>
            </w:tblPr>
            <w:tblGrid>
              <w:gridCol w:w="540"/>
              <w:gridCol w:w="6452"/>
            </w:tblGrid>
            <w:tr>
              <w:tc>
                <w:tcPr>
                  <w:tcW w:type="dxa" w:w="54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452"/>
                  <w:tcBorders>
                    <w:top w:val="single" w:color="000000" w:sz="4"/>
                    <w:left w:val="none" w:color="000000" w:sz="4"/>
                    <w:bottom w:val="single" w:color="000000" w:sz="4"/>
                    <w:right w:val="single" w:color="000000" w:sz="4"/>
                  </w:tcBorders>
                  <w:vAlign w:val="top"/>
                </w:tcPr>
                <w:p>
                  <w:pPr>
                    <w:jc w:val="center"/>
                  </w:pPr>
                  <w:r>
                    <w:rPr>
                      <w:sz w:val="21"/>
                    </w:rPr>
                    <w:t>技术规格需求</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支持低照度不劣于</w:t>
                  </w:r>
                  <w:r>
                    <w:rPr>
                      <w:sz w:val="21"/>
                    </w:rPr>
                    <w:t>0.001lx</w:t>
                  </w:r>
                  <w:r>
                    <w:rPr>
                      <w:sz w:val="21"/>
                    </w:rPr>
                    <w:t>@F1.6</w:t>
                  </w:r>
                  <w:r>
                    <w:rPr>
                      <w:sz w:val="21"/>
                    </w:rPr>
                    <w:t>（彩色模式）；</w:t>
                  </w:r>
                  <w:r>
                    <w:rPr>
                      <w:sz w:val="21"/>
                    </w:rPr>
                    <w:t>0.0001lx</w:t>
                  </w:r>
                  <w:r>
                    <w:rPr>
                      <w:sz w:val="21"/>
                    </w:rPr>
                    <w:t>@F1.6</w:t>
                  </w:r>
                  <w:r>
                    <w:rPr>
                      <w:sz w:val="21"/>
                    </w:rPr>
                    <w:t>（黑白模式）</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w:t>
                  </w:r>
                  <w:r>
                    <w:rPr>
                      <w:sz w:val="21"/>
                    </w:rPr>
                    <w:t>移动、电信、联通等运营商的</w:t>
                  </w:r>
                  <w:r>
                    <w:rPr>
                      <w:sz w:val="21"/>
                    </w:rPr>
                    <w:t>4G</w:t>
                  </w:r>
                  <w:r>
                    <w:rPr>
                      <w:sz w:val="21"/>
                    </w:rPr>
                    <w:t>或</w:t>
                  </w:r>
                  <w:r>
                    <w:rPr>
                      <w:sz w:val="21"/>
                    </w:rPr>
                    <w:t>5G</w:t>
                  </w:r>
                  <w:r>
                    <w:rPr>
                      <w:sz w:val="21"/>
                    </w:rPr>
                    <w:t xml:space="preserve"> </w:t>
                  </w:r>
                  <w:r>
                    <w:rPr>
                      <w:sz w:val="21"/>
                    </w:rPr>
                    <w:t>SIM</w:t>
                  </w:r>
                  <w:r>
                    <w:rPr>
                      <w:sz w:val="21"/>
                    </w:rPr>
                    <w:t>卡</w:t>
                  </w:r>
                  <w:r>
                    <w:rPr>
                      <w:sz w:val="21"/>
                    </w:rPr>
                    <w:t>，实现视图信息的无线传输。</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w:t>
                  </w:r>
                  <w:r>
                    <w:rPr>
                      <w:sz w:val="21"/>
                    </w:rPr>
                    <w:t>≥</w:t>
                  </w:r>
                  <w:r>
                    <w:rPr>
                      <w:sz w:val="21"/>
                    </w:rPr>
                    <w:t>3</w:t>
                  </w:r>
                  <w:r>
                    <w:rPr>
                      <w:sz w:val="21"/>
                    </w:rPr>
                    <w:t>0</w:t>
                  </w:r>
                  <w:r>
                    <w:rPr>
                      <w:sz w:val="21"/>
                    </w:rPr>
                    <w:t>倍光学变倍，支持</w:t>
                  </w:r>
                  <w:r>
                    <w:rPr>
                      <w:sz w:val="21"/>
                    </w:rPr>
                    <w:t>≥</w:t>
                  </w:r>
                  <w:r>
                    <w:rPr>
                      <w:sz w:val="21"/>
                    </w:rPr>
                    <w:t>1</w:t>
                  </w:r>
                  <w:r>
                    <w:rPr>
                      <w:sz w:val="21"/>
                    </w:rPr>
                    <w:t>0</w:t>
                  </w:r>
                  <w:r>
                    <w:rPr>
                      <w:sz w:val="21"/>
                    </w:rPr>
                    <w:t>倍数字变倍。</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452"/>
                  <w:tcBorders>
                    <w:top w:val="none" w:color="000000" w:sz="4"/>
                    <w:left w:val="none" w:color="000000" w:sz="4"/>
                    <w:bottom w:val="single" w:color="000000" w:sz="4"/>
                    <w:right w:val="single" w:color="000000" w:sz="4"/>
                  </w:tcBorders>
                  <w:vAlign w:val="top"/>
                </w:tcPr>
                <w:p>
                  <w:pPr>
                    <w:jc w:val="left"/>
                  </w:pPr>
                  <w:r>
                    <w:rPr>
                      <w:sz w:val="21"/>
                    </w:rPr>
                    <w:t>工作</w:t>
                  </w:r>
                  <w:r>
                    <w:rPr>
                      <w:sz w:val="21"/>
                    </w:rPr>
                    <w:t>续航时间：室温</w:t>
                  </w:r>
                  <w:r>
                    <w:rPr>
                      <w:sz w:val="21"/>
                    </w:rPr>
                    <w:t>20</w:t>
                  </w:r>
                  <w:r>
                    <w:rPr>
                      <w:sz w:val="21"/>
                    </w:rPr>
                    <w:t>℃，</w:t>
                  </w:r>
                  <w:r>
                    <w:rPr>
                      <w:sz w:val="21"/>
                    </w:rPr>
                    <w:t>单电池工作</w:t>
                  </w:r>
                  <w:r>
                    <w:rPr>
                      <w:sz w:val="21"/>
                    </w:rPr>
                    <w:t>续航时间不低于</w:t>
                  </w:r>
                  <w:r>
                    <w:rPr>
                      <w:sz w:val="21"/>
                    </w:rPr>
                    <w:t>8</w:t>
                  </w:r>
                  <w:r>
                    <w:rPr>
                      <w:sz w:val="21"/>
                    </w:rPr>
                    <w:t>小时</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▲支持不少于</w:t>
                  </w:r>
                  <w:r>
                    <w:rPr>
                      <w:sz w:val="21"/>
                    </w:rPr>
                    <w:t>1</w:t>
                  </w:r>
                  <w:r>
                    <w:rPr>
                      <w:sz w:val="21"/>
                    </w:rPr>
                    <w:t>个全景摄像头和</w:t>
                  </w:r>
                  <w:r>
                    <w:rPr>
                      <w:sz w:val="21"/>
                    </w:rPr>
                    <w:t>1</w:t>
                  </w:r>
                  <w:r>
                    <w:rPr>
                      <w:sz w:val="21"/>
                    </w:rPr>
                    <w:t>个特写摄像头，支持两个摄像头同时预览，全景摄像头分辨率为≥</w:t>
                  </w:r>
                  <w:r>
                    <w:rPr>
                      <w:sz w:val="21"/>
                    </w:rPr>
                    <w:t>3840x2160,</w:t>
                  </w:r>
                  <w:r>
                    <w:rPr>
                      <w:sz w:val="21"/>
                    </w:rPr>
                    <w:t>特写摄像头抓拍图片分辨率为≥</w:t>
                  </w:r>
                  <w:r>
                    <w:rPr>
                      <w:sz w:val="21"/>
                    </w:rPr>
                    <w:t>2560x1440</w:t>
                  </w:r>
                  <w:r>
                    <w:rPr>
                      <w:sz w:val="21"/>
                    </w:rPr>
                    <w:t>。</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支持强光抑制，支持电子防抖，支持电子透雾</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w:t>
                  </w:r>
                  <w:r>
                    <w:rPr>
                      <w:sz w:val="21"/>
                    </w:rPr>
                    <w:t>RL</w:t>
                  </w:r>
                  <w:r>
                    <w:rPr>
                      <w:sz w:val="21"/>
                    </w:rPr>
                    <w:t>抓拍功能，</w:t>
                  </w:r>
                  <w:r>
                    <w:rPr>
                      <w:sz w:val="21"/>
                    </w:rPr>
                    <w:t>支持车牌识别功能</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452"/>
                  <w:tcBorders>
                    <w:top w:val="none" w:color="000000" w:sz="4"/>
                    <w:left w:val="none" w:color="000000" w:sz="4"/>
                    <w:bottom w:val="single" w:color="000000" w:sz="4"/>
                    <w:right w:val="single" w:color="000000" w:sz="4"/>
                  </w:tcBorders>
                  <w:vAlign w:val="top"/>
                </w:tcPr>
                <w:p>
                  <w:pPr>
                    <w:jc w:val="left"/>
                  </w:pPr>
                  <w:r>
                    <w:rPr>
                      <w:sz w:val="21"/>
                    </w:rPr>
                    <w:t>特写摄像头水平旋转范围：</w:t>
                  </w:r>
                  <w:r>
                    <w:rPr>
                      <w:sz w:val="21"/>
                    </w:rPr>
                    <w:t>360</w:t>
                  </w:r>
                  <w:r>
                    <w:rPr>
                      <w:sz w:val="21"/>
                    </w:rPr>
                    <w:t>度连续旋转，垂直旋转范围：</w:t>
                  </w:r>
                  <w:r>
                    <w:rPr>
                      <w:sz w:val="21"/>
                    </w:rPr>
                    <w:t>-20</w:t>
                  </w:r>
                  <w:r>
                    <w:rPr>
                      <w:sz w:val="21"/>
                    </w:rPr>
                    <w:t>度</w:t>
                  </w:r>
                  <w:r>
                    <w:rPr>
                      <w:sz w:val="21"/>
                    </w:rPr>
                    <w:t>~ 90</w:t>
                  </w:r>
                  <w:r>
                    <w:rPr>
                      <w:sz w:val="21"/>
                    </w:rPr>
                    <w:t>度</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支持双</w:t>
                  </w:r>
                  <w:r>
                    <w:rPr>
                      <w:sz w:val="21"/>
                    </w:rPr>
                    <w:t>SD/</w:t>
                  </w:r>
                  <w:r>
                    <w:rPr>
                      <w:sz w:val="21"/>
                    </w:rPr>
                    <w:t>TF</w:t>
                  </w:r>
                  <w:r>
                    <w:rPr>
                      <w:sz w:val="21"/>
                    </w:rPr>
                    <w:t>卡存储，标配两张</w:t>
                  </w:r>
                  <w:r>
                    <w:rPr>
                      <w:sz w:val="21"/>
                    </w:rPr>
                    <w:t>64G</w:t>
                  </w:r>
                  <w:r>
                    <w:rPr>
                      <w:sz w:val="21"/>
                    </w:rPr>
                    <w:t>内存卡</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452"/>
                  <w:tcBorders>
                    <w:top w:val="none" w:color="000000" w:sz="4"/>
                    <w:left w:val="none" w:color="000000" w:sz="4"/>
                    <w:bottom w:val="single" w:color="000000" w:sz="4"/>
                    <w:right w:val="single" w:color="000000" w:sz="4"/>
                  </w:tcBorders>
                  <w:vAlign w:val="top"/>
                </w:tcPr>
                <w:p>
                  <w:pPr>
                    <w:jc w:val="left"/>
                  </w:pPr>
                  <w:r>
                    <w:rPr>
                      <w:sz w:val="21"/>
                    </w:rPr>
                    <w:t>▲</w:t>
                  </w:r>
                  <w:r>
                    <w:rPr>
                      <w:sz w:val="21"/>
                    </w:rPr>
                    <w:t>设备需支持</w:t>
                  </w:r>
                  <w:r>
                    <w:rPr>
                      <w:sz w:val="21"/>
                    </w:rPr>
                    <w:t>H.264</w:t>
                  </w:r>
                  <w:r>
                    <w:rPr>
                      <w:sz w:val="21"/>
                    </w:rPr>
                    <w:t>、</w:t>
                  </w:r>
                  <w:r>
                    <w:rPr>
                      <w:sz w:val="21"/>
                    </w:rPr>
                    <w:t>H.265</w:t>
                  </w:r>
                  <w:r>
                    <w:rPr>
                      <w:sz w:val="21"/>
                    </w:rPr>
                    <w:t>等</w:t>
                  </w:r>
                  <w:r>
                    <w:rPr>
                      <w:sz w:val="21"/>
                    </w:rPr>
                    <w:t>编码方式；</w:t>
                  </w:r>
                  <w:r>
                    <w:rPr>
                      <w:sz w:val="21"/>
                    </w:rPr>
                    <w:t>支持</w:t>
                  </w:r>
                  <w:r>
                    <w:rPr>
                      <w:sz w:val="21"/>
                    </w:rPr>
                    <w:t>GB/T28181</w:t>
                  </w:r>
                  <w:r>
                    <w:rPr>
                      <w:sz w:val="21"/>
                    </w:rPr>
                    <w:t>、</w:t>
                  </w:r>
                  <w:r>
                    <w:rPr>
                      <w:sz w:val="21"/>
                    </w:rPr>
                    <w:t>onvif</w:t>
                  </w:r>
                  <w:r>
                    <w:rPr>
                      <w:sz w:val="21"/>
                    </w:rPr>
                    <w:t>协议</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452"/>
                  <w:tcBorders>
                    <w:top w:val="none" w:color="000000" w:sz="4"/>
                    <w:left w:val="none" w:color="000000" w:sz="4"/>
                    <w:bottom w:val="single" w:color="000000" w:sz="4"/>
                    <w:right w:val="single" w:color="000000" w:sz="4"/>
                  </w:tcBorders>
                  <w:vAlign w:val="top"/>
                </w:tcPr>
                <w:p>
                  <w:pPr>
                    <w:jc w:val="left"/>
                  </w:pPr>
                  <w:r>
                    <w:rPr>
                      <w:sz w:val="21"/>
                    </w:rPr>
                    <w:t>内置拾音器</w:t>
                  </w:r>
                  <w:r>
                    <w:rPr>
                      <w:sz w:val="21"/>
                    </w:rPr>
                    <w:t>，</w:t>
                  </w:r>
                  <w:r>
                    <w:rPr>
                      <w:sz w:val="21"/>
                    </w:rPr>
                    <w:t>具备北斗</w:t>
                  </w:r>
                  <w:r>
                    <w:rPr>
                      <w:sz w:val="21"/>
                    </w:rPr>
                    <w:t>定位</w:t>
                  </w:r>
                  <w:r>
                    <w:rPr>
                      <w:sz w:val="21"/>
                    </w:rPr>
                    <w:t>功能，</w:t>
                  </w:r>
                  <w:r>
                    <w:rPr>
                      <w:sz w:val="21"/>
                    </w:rPr>
                    <w:t>支持独立北斗模式</w:t>
                  </w:r>
                  <w:r>
                    <w:rPr>
                      <w:sz w:val="21"/>
                    </w:rPr>
                    <w:t>。</w:t>
                  </w:r>
                  <w:r>
                    <w:rPr>
                      <w:sz w:val="21"/>
                    </w:rPr>
                    <w:t>并能在监控画面叠加设备所在的经纬度信息，水平定位误差小于</w:t>
                  </w:r>
                  <w:r>
                    <w:rPr>
                      <w:sz w:val="21"/>
                    </w:rPr>
                    <w:t>12</w:t>
                  </w:r>
                  <w:r>
                    <w:rPr>
                      <w:sz w:val="21"/>
                    </w:rPr>
                    <w:t>米</w:t>
                  </w:r>
                  <w:r>
                    <w:rPr>
                      <w:sz w:val="21"/>
                    </w:rPr>
                    <w:t>。</w:t>
                  </w:r>
                  <w:r>
                    <w:rPr>
                      <w:sz w:val="21"/>
                    </w:rPr>
                    <w:t>（投标人提供承诺函并加盖公章）</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支持区域入侵检测；支持联动跟踪</w:t>
                  </w:r>
                  <w:r>
                    <w:rPr>
                      <w:sz w:val="21"/>
                    </w:rPr>
                    <w:t>。</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支持底部配置高吸力磁铁，安装便捷</w:t>
                  </w:r>
                </w:p>
              </w:tc>
            </w:tr>
            <w:tr>
              <w:tc>
                <w:tcPr>
                  <w:tcW w:type="dxa" w:w="6992"/>
                  <w:gridSpan w:val="2"/>
                  <w:tcBorders>
                    <w:top w:val="none" w:color="000000" w:sz="4"/>
                    <w:left w:val="single" w:color="000000" w:sz="4"/>
                    <w:bottom w:val="single" w:color="000000" w:sz="4"/>
                    <w:right w:val="single" w:color="000000" w:sz="4"/>
                  </w:tcBorders>
                  <w:vAlign w:val="top"/>
                </w:tcPr>
                <w:p>
                  <w:pPr>
                    <w:jc w:val="left"/>
                  </w:pPr>
                  <w:r>
                    <w:rPr>
                      <w:sz w:val="21"/>
                    </w:rPr>
                    <w:t>本产品上述</w:t>
                  </w:r>
                  <w:r>
                    <w:rPr>
                      <w:sz w:val="21"/>
                    </w:rPr>
                    <w:t>“▲”技术参数需提供公安部检测机构出具的检测报告复印件证明（产品资质和其他资质除外），并加盖厂商公章或投标专用章鲜章。</w:t>
                  </w:r>
                </w:p>
              </w:tc>
            </w:tr>
          </w:tbl>
          <w:p>
            <w:pPr>
              <w:jc w:val="both"/>
            </w:pPr>
          </w:p>
          <w:p>
            <w:pPr>
              <w:jc w:val="both"/>
            </w:pPr>
            <w:r>
              <w:rPr>
                <w:b/>
                <w:sz w:val="21"/>
              </w:rPr>
              <w:t>三、</w:t>
            </w:r>
            <w:r>
              <w:rPr>
                <w:b/>
                <w:sz w:val="21"/>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1"/>
              </w:rPr>
              <w:t>四、</w:t>
            </w:r>
            <w:r>
              <w:rPr>
                <w:b/>
                <w:sz w:val="21"/>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1"/>
              </w:rPr>
              <w:t>五、</w:t>
            </w:r>
            <w:r>
              <w:rPr>
                <w:b/>
                <w:sz w:val="21"/>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jc w:val="both"/>
            </w:pPr>
            <w:r>
              <w:rPr>
                <w:b/>
                <w:sz w:val="21"/>
              </w:rPr>
              <w:t>六、</w:t>
            </w:r>
            <w:r>
              <w:rPr>
                <w:b/>
                <w:sz w:val="21"/>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1"/>
              </w:rPr>
              <w:t>七、</w:t>
            </w:r>
            <w:r>
              <w:rPr>
                <w:b/>
                <w:sz w:val="21"/>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车载视频采集设备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center"/>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center"/>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center"/>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2"/>
                  <w:tcBorders>
                    <w:top w:val="none" w:color="000000" w:sz="4"/>
                    <w:left w:val="single" w:color="000000" w:sz="4"/>
                    <w:bottom w:val="single" w:color="000000" w:sz="4"/>
                    <w:right w:val="single" w:color="000000" w:sz="4"/>
                  </w:tcBorders>
                  <w:vAlign w:val="top"/>
                </w:tcPr>
                <w:p>
                  <w:pPr>
                    <w:jc w:val="center"/>
                  </w:pPr>
                  <w:r>
                    <w:rPr>
                      <w:sz w:val="21"/>
                    </w:rPr>
                    <w:t>车载视频采集设备</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每台设备含</w:t>
                  </w:r>
                  <w:r>
                    <w:rPr>
                      <w:sz w:val="21"/>
                    </w:rPr>
                    <w:t>4G</w:t>
                  </w:r>
                  <w:r>
                    <w:rPr>
                      <w:sz w:val="21"/>
                    </w:rPr>
                    <w:t>或</w:t>
                  </w:r>
                  <w:r>
                    <w:rPr>
                      <w:sz w:val="21"/>
                    </w:rPr>
                    <w:t>5G</w:t>
                  </w:r>
                  <w:r>
                    <w:rPr>
                      <w:sz w:val="21"/>
                    </w:rPr>
                    <w:t>流量卡一张，流量卡免费服务期为三年，每张卡每月流量不少于</w:t>
                  </w:r>
                  <w:r>
                    <w:rPr>
                      <w:sz w:val="21"/>
                    </w:rPr>
                    <w:t>30G</w:t>
                  </w:r>
                  <w:r>
                    <w:rPr>
                      <w:sz w:val="21"/>
                    </w:rPr>
                    <w:t>，本次采购的移动布控球与车载视频采集设备配套的流量卡形成流量池，各用户从流量池中使用专网流量。</w:t>
                  </w:r>
                </w:p>
              </w:tc>
              <w:tc>
                <w:tcPr>
                  <w:tcW w:type="dxa" w:w="996"/>
                  <w:tcBorders>
                    <w:top w:val="none" w:color="000000" w:sz="4"/>
                    <w:left w:val="single" w:color="000000" w:sz="4"/>
                    <w:bottom w:val="single" w:color="000000" w:sz="4"/>
                    <w:right w:val="single" w:color="000000" w:sz="4"/>
                  </w:tcBorders>
                  <w:vAlign w:val="top"/>
                </w:tcPr>
                <w:p>
                  <w:pPr>
                    <w:jc w:val="center"/>
                  </w:pPr>
                  <w:r>
                    <w:rPr>
                      <w:sz w:val="21"/>
                    </w:rPr>
                    <w:t>0</w:t>
                  </w:r>
                  <w:r>
                    <w:rPr>
                      <w:sz w:val="21"/>
                    </w:rPr>
                    <w:t>套</w:t>
                  </w:r>
                </w:p>
              </w:tc>
              <w:tc>
                <w:tcPr>
                  <w:tcW w:type="dxa" w:w="996"/>
                  <w:tcBorders>
                    <w:top w:val="none" w:color="000000" w:sz="4"/>
                    <w:left w:val="single" w:color="000000" w:sz="4"/>
                    <w:bottom w:val="single" w:color="000000" w:sz="4"/>
                    <w:right w:val="single" w:color="000000" w:sz="4"/>
                  </w:tcBorders>
                  <w:vAlign w:val="top"/>
                </w:tcPr>
                <w:p>
                  <w:pPr>
                    <w:jc w:val="center"/>
                  </w:pPr>
                  <w:r>
                    <w:rPr>
                      <w:sz w:val="21"/>
                    </w:rPr>
                    <w:t>40</w:t>
                  </w:r>
                  <w:r>
                    <w:rPr>
                      <w:sz w:val="21"/>
                    </w:rPr>
                    <w:t>套</w:t>
                  </w:r>
                </w:p>
              </w:tc>
              <w:tc>
                <w:tcPr>
                  <w:tcW w:type="dxa" w:w="947"/>
                  <w:tcBorders>
                    <w:top w:val="none" w:color="000000" w:sz="4"/>
                    <w:left w:val="single" w:color="000000" w:sz="4"/>
                    <w:bottom w:val="single" w:color="000000" w:sz="4"/>
                    <w:right w:val="single" w:color="000000" w:sz="4"/>
                  </w:tcBorders>
                  <w:vAlign w:val="top"/>
                </w:tcPr>
                <w:p>
                  <w:pPr>
                    <w:jc w:val="both"/>
                  </w:pPr>
                  <w:r>
                    <w:rPr>
                      <w:sz w:val="21"/>
                    </w:rPr>
                    <w:t>50000/</w:t>
                  </w:r>
                  <w:r>
                    <w:rPr>
                      <w:sz w:val="21"/>
                    </w:rPr>
                    <w:t>套</w:t>
                  </w:r>
                </w:p>
              </w:tc>
            </w:tr>
            <w:tr>
              <w:tc>
                <w:tcPr>
                  <w:tcW w:type="dxa" w:w="6971"/>
                  <w:gridSpan w:val="7"/>
                  <w:tcBorders>
                    <w:top w:val="none" w:color="000000" w:sz="4"/>
                    <w:left w:val="single" w:color="000000" w:sz="4"/>
                    <w:bottom w:val="single" w:color="000000" w:sz="4"/>
                    <w:right w:val="single" w:color="000000" w:sz="4"/>
                  </w:tcBorders>
                  <w:vAlign w:val="top"/>
                </w:tcPr>
                <w:p>
                  <w:pPr>
                    <w:ind w:firstLine="420"/>
                    <w:jc w:val="left"/>
                  </w:pPr>
                  <w:r>
                    <w:rPr>
                      <w:sz w:val="21"/>
                    </w:rPr>
                    <w:t>注：</w:t>
                  </w:r>
                  <w:r>
                    <w:rPr>
                      <w:sz w:val="21"/>
                    </w:rPr>
                    <w:t>1</w:t>
                  </w:r>
                  <w:r>
                    <w:rPr>
                      <w:sz w:val="21"/>
                    </w:rPr>
                    <w:t>、</w:t>
                  </w:r>
                  <w:r>
                    <w:rPr>
                      <w:sz w:val="21"/>
                    </w:rPr>
                    <w:t>本表中的分局采购数量为参考数量，分局采购数量以实际为准。</w:t>
                  </w:r>
                </w:p>
                <w:p>
                  <w:pPr>
                    <w:ind w:firstLine="842"/>
                    <w:jc w:val="both"/>
                  </w:pPr>
                  <w:r>
                    <w:rPr>
                      <w:sz w:val="21"/>
                    </w:rPr>
                    <w:t>2</w:t>
                  </w:r>
                  <w:r>
                    <w:rPr>
                      <w:sz w:val="21"/>
                    </w:rPr>
                    <w:t>、投标人应就本表列明的设备分别报出单价。</w:t>
                  </w:r>
                </w:p>
              </w:tc>
            </w:tr>
          </w:tbl>
          <w:p>
            <w:pPr>
              <w:jc w:val="both"/>
            </w:pPr>
          </w:p>
          <w:p>
            <w:pPr>
              <w:jc w:val="both"/>
            </w:pPr>
            <w:r>
              <w:rPr>
                <w:b/>
                <w:sz w:val="24"/>
              </w:rPr>
              <w:t>二、技术参数</w:t>
            </w:r>
          </w:p>
          <w:p>
            <w:pPr>
              <w:ind w:firstLine="420"/>
              <w:jc w:val="left"/>
            </w:pPr>
            <w:r>
              <w:rPr>
                <w:sz w:val="21"/>
              </w:rPr>
              <w:t>车载视频采集设备系统主要由取证主机、车载云台摄像机、手控器、高清触摸显示屏组成，实现本地高清录像存储、</w:t>
            </w:r>
            <w:r>
              <w:rPr>
                <w:sz w:val="21"/>
              </w:rPr>
              <w:t>4G</w:t>
            </w:r>
            <w:r>
              <w:rPr>
                <w:sz w:val="21"/>
              </w:rPr>
              <w:t>或</w:t>
            </w:r>
            <w:r>
              <w:rPr>
                <w:sz w:val="21"/>
              </w:rPr>
              <w:t>5G</w:t>
            </w:r>
            <w:r>
              <w:rPr>
                <w:sz w:val="21"/>
              </w:rPr>
              <w:t>、支持双卡传输、卫星定位、远程指挥操控、标记取证、夜间补光拍摄等功能，满足行车状况下全天候执法取证工作的需求。</w:t>
            </w:r>
          </w:p>
          <w:tbl>
            <w:tblPr>
              <w:tblBorders>
                <w:top w:val="none" w:color="000000" w:sz="4"/>
                <w:left w:val="none" w:color="000000" w:sz="4"/>
                <w:bottom w:val="none" w:color="000000" w:sz="4"/>
                <w:right w:val="none" w:color="000000" w:sz="4"/>
                <w:insideH w:val="none"/>
                <w:insideV w:val="none"/>
              </w:tblBorders>
            </w:tblPr>
            <w:tblGrid>
              <w:gridCol w:w="884"/>
              <w:gridCol w:w="6100"/>
            </w:tblGrid>
            <w:tr>
              <w:tc>
                <w:tcPr>
                  <w:tcW w:type="dxa" w:w="88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100"/>
                  <w:tcBorders>
                    <w:top w:val="single" w:color="000000" w:sz="4"/>
                    <w:left w:val="none" w:color="000000" w:sz="4"/>
                    <w:bottom w:val="single" w:color="000000" w:sz="4"/>
                    <w:right w:val="single" w:color="000000" w:sz="4"/>
                  </w:tcBorders>
                  <w:vAlign w:val="top"/>
                </w:tcPr>
                <w:p>
                  <w:pPr>
                    <w:jc w:val="both"/>
                  </w:pPr>
                  <w:r>
                    <w:rPr>
                      <w:sz w:val="21"/>
                    </w:rPr>
                    <w:t>技术规格需求</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w:t>
                  </w:r>
                </w:p>
              </w:tc>
              <w:tc>
                <w:tcPr>
                  <w:tcW w:type="dxa" w:w="6100"/>
                  <w:tcBorders>
                    <w:top w:val="none" w:color="000000" w:sz="4"/>
                    <w:left w:val="none" w:color="000000" w:sz="4"/>
                    <w:bottom w:val="single" w:color="000000" w:sz="4"/>
                    <w:right w:val="single" w:color="000000" w:sz="4"/>
                  </w:tcBorders>
                  <w:vAlign w:val="top"/>
                </w:tcPr>
                <w:p>
                  <w:pPr>
                    <w:jc w:val="both"/>
                  </w:pPr>
                  <w:r>
                    <w:rPr>
                      <w:sz w:val="21"/>
                    </w:rPr>
                    <w:t>包含配件：</w:t>
                  </w:r>
                  <w:r>
                    <w:rPr>
                      <w:sz w:val="21"/>
                    </w:rPr>
                    <w:t>1</w:t>
                  </w:r>
                  <w:r>
                    <w:rPr>
                      <w:sz w:val="21"/>
                    </w:rPr>
                    <w:t>台取证主机（内置北斗、</w:t>
                  </w:r>
                  <w:r>
                    <w:rPr>
                      <w:sz w:val="21"/>
                    </w:rPr>
                    <w:t>1T</w:t>
                  </w:r>
                  <w:r>
                    <w:rPr>
                      <w:sz w:val="21"/>
                    </w:rPr>
                    <w:t>硬盘）、</w:t>
                  </w:r>
                  <w:r>
                    <w:rPr>
                      <w:sz w:val="21"/>
                    </w:rPr>
                    <w:t>1</w:t>
                  </w:r>
                  <w:r>
                    <w:rPr>
                      <w:sz w:val="21"/>
                    </w:rPr>
                    <w:t>台云台、</w:t>
                  </w:r>
                  <w:r>
                    <w:rPr>
                      <w:sz w:val="21"/>
                    </w:rPr>
                    <w:t>1</w:t>
                  </w:r>
                  <w:r>
                    <w:rPr>
                      <w:sz w:val="21"/>
                    </w:rPr>
                    <w:t>个高清屏、</w:t>
                  </w:r>
                  <w:r>
                    <w:rPr>
                      <w:sz w:val="21"/>
                    </w:rPr>
                    <w:t>1</w:t>
                  </w:r>
                  <w:r>
                    <w:rPr>
                      <w:sz w:val="21"/>
                    </w:rPr>
                    <w:t>个手控器</w:t>
                  </w:r>
                </w:p>
                <w:p>
                  <w:pPr>
                    <w:jc w:val="both"/>
                  </w:pPr>
                  <w:r>
                    <w:rPr>
                      <w:sz w:val="21"/>
                    </w:rPr>
                    <w:t>存储容量：标配</w:t>
                  </w:r>
                  <w:r>
                    <w:rPr>
                      <w:sz w:val="21"/>
                    </w:rPr>
                    <w:t>≥</w:t>
                  </w:r>
                  <w:r>
                    <w:rPr>
                      <w:sz w:val="21"/>
                    </w:rPr>
                    <w:t>1T</w:t>
                  </w:r>
                  <w:r>
                    <w:rPr>
                      <w:sz w:val="21"/>
                    </w:rPr>
                    <w:t>硬盘；</w:t>
                  </w:r>
                </w:p>
                <w:p>
                  <w:pPr>
                    <w:jc w:val="both"/>
                  </w:pPr>
                  <w:r>
                    <w:rPr>
                      <w:sz w:val="21"/>
                    </w:rPr>
                    <w:t>定位模块：标配北斗；</w:t>
                  </w:r>
                </w:p>
                <w:p>
                  <w:pPr>
                    <w:jc w:val="both"/>
                  </w:pPr>
                  <w:r>
                    <w:rPr>
                      <w:sz w:val="21"/>
                    </w:rPr>
                    <w:t>显示屏：标配</w:t>
                  </w:r>
                  <w:r>
                    <w:rPr>
                      <w:sz w:val="21"/>
                    </w:rPr>
                    <w:t>LED</w:t>
                  </w:r>
                  <w:r>
                    <w:rPr>
                      <w:sz w:val="21"/>
                    </w:rPr>
                    <w:t>显示屏，分辨率≥</w:t>
                  </w:r>
                  <w:r>
                    <w:rPr>
                      <w:sz w:val="21"/>
                    </w:rPr>
                    <w:t>1024X600 RGB</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2</w:t>
                  </w:r>
                </w:p>
              </w:tc>
              <w:tc>
                <w:tcPr>
                  <w:tcW w:type="dxa" w:w="6100"/>
                  <w:tcBorders>
                    <w:top w:val="none" w:color="000000" w:sz="4"/>
                    <w:left w:val="none" w:color="000000" w:sz="4"/>
                    <w:bottom w:val="single" w:color="000000" w:sz="4"/>
                    <w:right w:val="single" w:color="000000" w:sz="4"/>
                  </w:tcBorders>
                  <w:vAlign w:val="top"/>
                </w:tcPr>
                <w:p>
                  <w:pPr>
                    <w:jc w:val="both"/>
                  </w:pPr>
                  <w:r>
                    <w:rPr>
                      <w:sz w:val="21"/>
                    </w:rPr>
                    <w:t>采用不低于</w:t>
                  </w:r>
                  <w:r>
                    <w:rPr>
                      <w:sz w:val="21"/>
                    </w:rPr>
                    <w:t>20</w:t>
                  </w:r>
                  <w:r>
                    <w:rPr>
                      <w:sz w:val="21"/>
                    </w:rPr>
                    <w:t>0</w:t>
                  </w:r>
                  <w:r>
                    <w:rPr>
                      <w:sz w:val="21"/>
                    </w:rPr>
                    <w:t>万像素，</w:t>
                  </w:r>
                  <w:r>
                    <w:rPr>
                      <w:sz w:val="21"/>
                    </w:rPr>
                    <w:t>1/1.8"CMOS</w:t>
                  </w:r>
                  <w:r>
                    <w:rPr>
                      <w:sz w:val="21"/>
                    </w:rPr>
                    <w:t>传感器；</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3</w:t>
                  </w:r>
                </w:p>
              </w:tc>
              <w:tc>
                <w:tcPr>
                  <w:tcW w:type="dxa" w:w="6100"/>
                  <w:tcBorders>
                    <w:top w:val="none" w:color="000000" w:sz="4"/>
                    <w:left w:val="none" w:color="000000" w:sz="4"/>
                    <w:bottom w:val="single" w:color="000000" w:sz="4"/>
                    <w:right w:val="single" w:color="000000" w:sz="4"/>
                  </w:tcBorders>
                  <w:vAlign w:val="top"/>
                </w:tcPr>
                <w:p>
                  <w:pPr>
                    <w:jc w:val="both"/>
                  </w:pPr>
                  <w:r>
                    <w:rPr>
                      <w:sz w:val="21"/>
                    </w:rPr>
                    <w:t>▲</w:t>
                  </w:r>
                  <w:r>
                    <w:rPr>
                      <w:sz w:val="21"/>
                    </w:rPr>
                    <w:t>支持</w:t>
                  </w:r>
                  <w:r>
                    <w:rPr>
                      <w:sz w:val="21"/>
                    </w:rPr>
                    <w:t>≥</w:t>
                  </w:r>
                  <w:r>
                    <w:rPr>
                      <w:sz w:val="21"/>
                    </w:rPr>
                    <w:t>36</w:t>
                  </w:r>
                  <w:r>
                    <w:rPr>
                      <w:sz w:val="21"/>
                    </w:rPr>
                    <w:t>倍光学变倍，支持≥</w:t>
                  </w:r>
                  <w:r>
                    <w:rPr>
                      <w:sz w:val="21"/>
                    </w:rPr>
                    <w:t>16</w:t>
                  </w:r>
                  <w:r>
                    <w:rPr>
                      <w:sz w:val="21"/>
                    </w:rPr>
                    <w:t>倍数字变倍</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4</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w:t>
                  </w:r>
                  <w:r>
                    <w:rPr>
                      <w:sz w:val="21"/>
                    </w:rPr>
                    <w:t>最低照度</w:t>
                  </w:r>
                  <w:r>
                    <w:rPr>
                      <w:sz w:val="21"/>
                    </w:rPr>
                    <w:t>不劣于</w:t>
                  </w:r>
                  <w:r>
                    <w:rPr>
                      <w:sz w:val="21"/>
                    </w:rPr>
                    <w:t>0.005Lux@F1.5</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5</w:t>
                  </w:r>
                </w:p>
              </w:tc>
              <w:tc>
                <w:tcPr>
                  <w:tcW w:type="dxa" w:w="6100"/>
                  <w:tcBorders>
                    <w:top w:val="none" w:color="000000" w:sz="4"/>
                    <w:left w:val="none" w:color="000000" w:sz="4"/>
                    <w:bottom w:val="single" w:color="000000" w:sz="4"/>
                    <w:right w:val="single" w:color="000000" w:sz="4"/>
                  </w:tcBorders>
                  <w:vAlign w:val="top"/>
                </w:tcPr>
                <w:p>
                  <w:pPr>
                    <w:jc w:val="both"/>
                  </w:pPr>
                  <w:r>
                    <w:rPr>
                      <w:sz w:val="21"/>
                    </w:rPr>
                    <w:t>▲</w:t>
                  </w:r>
                  <w:r>
                    <w:rPr>
                      <w:sz w:val="21"/>
                    </w:rPr>
                    <w:t>支持</w:t>
                  </w:r>
                  <w:r>
                    <w:rPr>
                      <w:sz w:val="21"/>
                    </w:rPr>
                    <w:t>移动、电信、联通等运营商的</w:t>
                  </w:r>
                  <w:r>
                    <w:rPr>
                      <w:sz w:val="21"/>
                    </w:rPr>
                    <w:t>4G</w:t>
                  </w:r>
                  <w:r>
                    <w:rPr>
                      <w:sz w:val="21"/>
                    </w:rPr>
                    <w:t>或</w:t>
                  </w:r>
                  <w:r>
                    <w:rPr>
                      <w:sz w:val="21"/>
                    </w:rPr>
                    <w:t>5G</w:t>
                  </w:r>
                  <w:r>
                    <w:rPr>
                      <w:sz w:val="21"/>
                    </w:rPr>
                    <w:t xml:space="preserve"> </w:t>
                  </w:r>
                  <w:r>
                    <w:rPr>
                      <w:sz w:val="21"/>
                    </w:rPr>
                    <w:t>SIM</w:t>
                  </w:r>
                  <w:r>
                    <w:rPr>
                      <w:sz w:val="21"/>
                    </w:rPr>
                    <w:t>卡</w:t>
                  </w:r>
                  <w:r>
                    <w:rPr>
                      <w:sz w:val="21"/>
                    </w:rPr>
                    <w:t>，实现视图信息的无线传输。</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6</w:t>
                  </w:r>
                </w:p>
              </w:tc>
              <w:tc>
                <w:tcPr>
                  <w:tcW w:type="dxa" w:w="6100"/>
                  <w:tcBorders>
                    <w:top w:val="none" w:color="000000" w:sz="4"/>
                    <w:left w:val="none" w:color="000000" w:sz="4"/>
                    <w:bottom w:val="single" w:color="000000" w:sz="4"/>
                    <w:right w:val="single" w:color="000000" w:sz="4"/>
                  </w:tcBorders>
                  <w:vAlign w:val="top"/>
                </w:tcPr>
                <w:p>
                  <w:pPr>
                    <w:jc w:val="both"/>
                  </w:pPr>
                  <w:r>
                    <w:rPr>
                      <w:sz w:val="21"/>
                    </w:rPr>
                    <w:t>▲</w:t>
                  </w:r>
                  <w:r>
                    <w:rPr>
                      <w:sz w:val="21"/>
                    </w:rPr>
                    <w:t>设备需支持</w:t>
                  </w:r>
                  <w:r>
                    <w:rPr>
                      <w:sz w:val="21"/>
                    </w:rPr>
                    <w:t>H.264</w:t>
                  </w:r>
                  <w:r>
                    <w:rPr>
                      <w:sz w:val="21"/>
                    </w:rPr>
                    <w:t>、</w:t>
                  </w:r>
                  <w:r>
                    <w:rPr>
                      <w:sz w:val="21"/>
                    </w:rPr>
                    <w:t>H.265</w:t>
                  </w:r>
                  <w:r>
                    <w:rPr>
                      <w:sz w:val="21"/>
                    </w:rPr>
                    <w:t>编码方式；</w:t>
                  </w:r>
                  <w:r>
                    <w:rPr>
                      <w:sz w:val="21"/>
                    </w:rPr>
                    <w:t>支持</w:t>
                  </w:r>
                  <w:r>
                    <w:rPr>
                      <w:sz w:val="21"/>
                    </w:rPr>
                    <w:t>GB/T28181</w:t>
                  </w:r>
                  <w:r>
                    <w:rPr>
                      <w:sz w:val="21"/>
                    </w:rPr>
                    <w:t>、</w:t>
                  </w:r>
                  <w:r>
                    <w:rPr>
                      <w:sz w:val="21"/>
                    </w:rPr>
                    <w:t>onvif</w:t>
                  </w:r>
                  <w:r>
                    <w:rPr>
                      <w:sz w:val="21"/>
                    </w:rPr>
                    <w:t>协议</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7</w:t>
                  </w:r>
                </w:p>
              </w:tc>
              <w:tc>
                <w:tcPr>
                  <w:tcW w:type="dxa" w:w="6100"/>
                  <w:tcBorders>
                    <w:top w:val="none" w:color="000000" w:sz="4"/>
                    <w:left w:val="none" w:color="000000" w:sz="4"/>
                    <w:bottom w:val="single" w:color="000000" w:sz="4"/>
                    <w:right w:val="single" w:color="000000" w:sz="4"/>
                  </w:tcBorders>
                  <w:vAlign w:val="top"/>
                </w:tcPr>
                <w:p>
                  <w:pPr>
                    <w:jc w:val="both"/>
                  </w:pPr>
                  <w:r>
                    <w:rPr>
                      <w:sz w:val="21"/>
                    </w:rPr>
                    <w:t>视频图像传输至车载主机及本地显示延时应</w:t>
                  </w:r>
                  <w:r>
                    <w:rPr>
                      <w:sz w:val="21"/>
                    </w:rPr>
                    <w:t>≤</w:t>
                  </w:r>
                  <w:r>
                    <w:rPr>
                      <w:sz w:val="21"/>
                    </w:rPr>
                    <w:t>100ms</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8</w:t>
                  </w:r>
                </w:p>
              </w:tc>
              <w:tc>
                <w:tcPr>
                  <w:tcW w:type="dxa" w:w="6100"/>
                  <w:tcBorders>
                    <w:top w:val="none" w:color="000000" w:sz="4"/>
                    <w:left w:val="none" w:color="000000" w:sz="4"/>
                    <w:bottom w:val="single" w:color="000000" w:sz="4"/>
                    <w:right w:val="single" w:color="000000" w:sz="4"/>
                  </w:tcBorders>
                  <w:vAlign w:val="top"/>
                </w:tcPr>
                <w:p>
                  <w:pPr>
                    <w:jc w:val="both"/>
                  </w:pPr>
                  <w:r>
                    <w:rPr>
                      <w:sz w:val="21"/>
                    </w:rPr>
                    <w:t>需支持不低于两块硬盘插槽，最大支持</w:t>
                  </w:r>
                  <w:r>
                    <w:rPr>
                      <w:sz w:val="21"/>
                    </w:rPr>
                    <w:t>4T</w:t>
                  </w:r>
                  <w:r>
                    <w:rPr>
                      <w:sz w:val="21"/>
                    </w:rPr>
                    <w:t>硬盘容量；</w:t>
                  </w:r>
                  <w:r>
                    <w:rPr>
                      <w:sz w:val="21"/>
                    </w:rPr>
                    <w:t>支持双</w:t>
                  </w:r>
                  <w:r>
                    <w:rPr>
                      <w:sz w:val="21"/>
                    </w:rPr>
                    <w:t>SD/</w:t>
                  </w:r>
                  <w:r>
                    <w:rPr>
                      <w:sz w:val="21"/>
                    </w:rPr>
                    <w:t>TF</w:t>
                  </w:r>
                  <w:r>
                    <w:rPr>
                      <w:sz w:val="21"/>
                    </w:rPr>
                    <w:t>卡存储，标配一张</w:t>
                  </w:r>
                  <w:r>
                    <w:rPr>
                      <w:sz w:val="21"/>
                    </w:rPr>
                    <w:t>128</w:t>
                  </w:r>
                  <w:r>
                    <w:rPr>
                      <w:sz w:val="21"/>
                    </w:rPr>
                    <w:t>G</w:t>
                  </w:r>
                  <w:r>
                    <w:rPr>
                      <w:sz w:val="21"/>
                    </w:rPr>
                    <w:t>内存卡</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9</w:t>
                  </w:r>
                </w:p>
              </w:tc>
              <w:tc>
                <w:tcPr>
                  <w:tcW w:type="dxa" w:w="6100"/>
                  <w:tcBorders>
                    <w:top w:val="none" w:color="000000" w:sz="4"/>
                    <w:left w:val="none" w:color="000000" w:sz="4"/>
                    <w:bottom w:val="single" w:color="000000" w:sz="4"/>
                    <w:right w:val="single" w:color="000000" w:sz="4"/>
                  </w:tcBorders>
                  <w:vAlign w:val="top"/>
                </w:tcPr>
                <w:p>
                  <w:pPr>
                    <w:jc w:val="both"/>
                  </w:pPr>
                  <w:r>
                    <w:rPr>
                      <w:sz w:val="21"/>
                    </w:rPr>
                    <w:t>具有可对云台摄像机进行方向、变倍、变焦、一键抓拍、灯光、雨刷等控制</w:t>
                  </w:r>
                  <w:r>
                    <w:rPr>
                      <w:sz w:val="21"/>
                    </w:rPr>
                    <w:t>功能</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10</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支持语音播报，可配置播报内容；</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11</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支持通过手控器操作云台旋转、变倍；</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12</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w:t>
                  </w:r>
                  <w:r>
                    <w:rPr>
                      <w:sz w:val="21"/>
                    </w:rPr>
                    <w:t>RL</w:t>
                  </w:r>
                  <w:r>
                    <w:rPr>
                      <w:sz w:val="21"/>
                    </w:rPr>
                    <w:t>抓拍功能，</w:t>
                  </w:r>
                  <w:r>
                    <w:rPr>
                      <w:sz w:val="21"/>
                    </w:rPr>
                    <w:t>支持车牌识别功能</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13</w:t>
                  </w:r>
                </w:p>
              </w:tc>
              <w:tc>
                <w:tcPr>
                  <w:tcW w:type="dxa" w:w="6100"/>
                  <w:tcBorders>
                    <w:top w:val="none" w:color="000000" w:sz="4"/>
                    <w:left w:val="none" w:color="000000" w:sz="4"/>
                    <w:bottom w:val="single" w:color="000000" w:sz="4"/>
                    <w:right w:val="single" w:color="000000" w:sz="4"/>
                  </w:tcBorders>
                  <w:vAlign w:val="top"/>
                </w:tcPr>
                <w:p>
                  <w:pPr>
                    <w:jc w:val="both"/>
                  </w:pPr>
                  <w:r>
                    <w:rPr>
                      <w:sz w:val="21"/>
                    </w:rPr>
                    <w:t>具备北斗定位功能</w:t>
                  </w:r>
                  <w:r>
                    <w:rPr>
                      <w:sz w:val="21"/>
                    </w:rPr>
                    <w:t>，</w:t>
                  </w:r>
                  <w:r>
                    <w:rPr>
                      <w:sz w:val="21"/>
                    </w:rPr>
                    <w:t>支持独立北斗模式</w:t>
                  </w:r>
                  <w:r>
                    <w:rPr>
                      <w:sz w:val="21"/>
                    </w:rPr>
                    <w:t>。</w:t>
                  </w:r>
                  <w:r>
                    <w:rPr>
                      <w:sz w:val="21"/>
                    </w:rPr>
                    <w:t>可在录像文件中保存定位信息</w:t>
                  </w:r>
                  <w:r>
                    <w:rPr>
                      <w:sz w:val="21"/>
                    </w:rPr>
                    <w:t>。</w:t>
                  </w:r>
                  <w:r>
                    <w:rPr>
                      <w:sz w:val="21"/>
                    </w:rPr>
                    <w:t>（投标人提供承诺函并加盖公章）</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14</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支持一键录像</w:t>
                  </w:r>
                  <w:r>
                    <w:rPr>
                      <w:sz w:val="21"/>
                    </w:rPr>
                    <w:t>、</w:t>
                  </w:r>
                  <w:r>
                    <w:rPr>
                      <w:sz w:val="21"/>
                    </w:rPr>
                    <w:t>手动录像、自动录像</w:t>
                  </w:r>
                  <w:r>
                    <w:rPr>
                      <w:sz w:val="21"/>
                    </w:rPr>
                    <w:t>、</w:t>
                  </w:r>
                  <w:r>
                    <w:rPr>
                      <w:sz w:val="21"/>
                    </w:rPr>
                    <w:t>回放录像</w:t>
                  </w:r>
                  <w:r>
                    <w:rPr>
                      <w:sz w:val="21"/>
                    </w:rPr>
                    <w:t>等功能</w:t>
                  </w:r>
                </w:p>
              </w:tc>
            </w:tr>
            <w:tr>
              <w:tc>
                <w:tcPr>
                  <w:tcW w:type="dxa" w:w="6984"/>
                  <w:gridSpan w:val="2"/>
                  <w:tcBorders>
                    <w:top w:val="none" w:color="000000" w:sz="4"/>
                    <w:left w:val="single" w:color="000000" w:sz="4"/>
                    <w:bottom w:val="single" w:color="000000" w:sz="4"/>
                    <w:right w:val="single" w:color="000000" w:sz="4"/>
                  </w:tcBorders>
                  <w:vAlign w:val="top"/>
                </w:tcPr>
                <w:p>
                  <w:pPr>
                    <w:jc w:val="both"/>
                  </w:pPr>
                  <w:r>
                    <w:rPr>
                      <w:sz w:val="21"/>
                    </w:rPr>
                    <w:t>本产品上述</w:t>
                  </w:r>
                  <w:r>
                    <w:rPr>
                      <w:sz w:val="21"/>
                    </w:rPr>
                    <w:t>“▲”技术参数需提供公安部检测机构出具的检测报告复印件证明（产品资质和其他资质除外），并加盖厂商公章或投标专用章鲜章。</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执法记录仪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执法记录仪</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每台设备含</w:t>
                  </w:r>
                  <w:r>
                    <w:rPr>
                      <w:sz w:val="21"/>
                    </w:rPr>
                    <w:t>4G</w:t>
                  </w:r>
                  <w:r>
                    <w:rPr>
                      <w:sz w:val="21"/>
                    </w:rPr>
                    <w:t>或</w:t>
                  </w:r>
                  <w:r>
                    <w:rPr>
                      <w:sz w:val="21"/>
                    </w:rPr>
                    <w:t>5G</w:t>
                  </w:r>
                  <w:r>
                    <w:rPr>
                      <w:sz w:val="21"/>
                    </w:rPr>
                    <w:t>流量卡一张，详细要求见技术参数要求</w:t>
                  </w:r>
                </w:p>
              </w:tc>
              <w:tc>
                <w:tcPr>
                  <w:tcW w:type="dxa" w:w="996"/>
                  <w:tcBorders>
                    <w:top w:val="none" w:color="000000" w:sz="4"/>
                    <w:left w:val="single" w:color="000000" w:sz="4"/>
                    <w:bottom w:val="single" w:color="000000" w:sz="4"/>
                    <w:right w:val="single" w:color="000000" w:sz="4"/>
                  </w:tcBorders>
                  <w:vAlign w:val="top"/>
                </w:tcPr>
                <w:p>
                  <w:pPr>
                    <w:jc w:val="both"/>
                  </w:pPr>
                  <w:r>
                    <w:rPr>
                      <w:sz w:val="21"/>
                    </w:rPr>
                    <w:t>242</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2154</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3200/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Ind w:type="dxa" w:w="135"/>
              <w:tblBorders>
                <w:top w:val="none" w:color="000000" w:sz="4"/>
                <w:left w:val="none" w:color="000000" w:sz="4"/>
                <w:bottom w:val="none" w:color="000000" w:sz="4"/>
                <w:right w:val="none" w:color="000000" w:sz="4"/>
                <w:insideH w:val="none"/>
                <w:insideV w:val="none"/>
              </w:tblBorders>
            </w:tblPr>
            <w:tblGrid>
              <w:gridCol w:w="452"/>
              <w:gridCol w:w="6532"/>
            </w:tblGrid>
            <w:tr>
              <w:tc>
                <w:tcPr>
                  <w:tcW w:type="dxa" w:w="45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532"/>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▲数据接口应符合GA/T 947.4-2015中5.1的要求，驱动程序应符合GA/T 947.4-2015中的5.4的要求（需提供检测报告）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w:t>
                  </w:r>
                  <w:r>
                    <w:rPr>
                      <w:sz w:val="21"/>
                    </w:rPr>
                    <w:t>可接入移动、联通和电信</w:t>
                  </w:r>
                  <w:r>
                    <w:rPr>
                      <w:sz w:val="21"/>
                    </w:rPr>
                    <w:t>4G或</w:t>
                  </w:r>
                  <w:r>
                    <w:rPr>
                      <w:sz w:val="21"/>
                    </w:rPr>
                    <w:t>5G SIM卡</w:t>
                  </w:r>
                  <w:r>
                    <w:rPr>
                      <w:sz w:val="21"/>
                    </w:rPr>
                    <w:t>，</w:t>
                  </w:r>
                  <w:r>
                    <w:rPr>
                      <w:sz w:val="21"/>
                    </w:rPr>
                    <w:t>符合</w:t>
                  </w:r>
                  <w:r>
                    <w:rPr>
                      <w:sz w:val="21"/>
                    </w:rPr>
                    <w:t>GB/T 28181-2022规范要求，图传视频分辨率不低于2560*1440，</w:t>
                  </w:r>
                  <w:r>
                    <w:rPr>
                      <w:sz w:val="21"/>
                    </w:rPr>
                    <w:t>可</w:t>
                  </w:r>
                  <w:r>
                    <w:rPr>
                      <w:sz w:val="21"/>
                    </w:rPr>
                    <w:t>根据</w:t>
                  </w:r>
                  <w:r>
                    <w:rPr>
                      <w:sz w:val="21"/>
                    </w:rPr>
                    <w:t>带宽自适应调整码流；支持双码流视频输出，可</w:t>
                  </w:r>
                  <w:r>
                    <w:rPr>
                      <w:sz w:val="21"/>
                    </w:rPr>
                    <w:t>1路进行本地录像，同时1路上传视频信息</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3</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外形尺寸及颜色：黑色；长</w:t>
                  </w:r>
                  <w:r>
                    <w:rPr>
                      <w:sz w:val="21"/>
                    </w:rPr>
                    <w:t>≤100mm，</w:t>
                  </w:r>
                  <w:r>
                    <w:rPr>
                      <w:sz w:val="21"/>
                    </w:rPr>
                    <w:t>宽</w:t>
                  </w:r>
                  <w:r>
                    <w:rPr>
                      <w:sz w:val="21"/>
                    </w:rPr>
                    <w:t>≤65mm，</w:t>
                  </w:r>
                  <w:r>
                    <w:rPr>
                      <w:sz w:val="21"/>
                    </w:rPr>
                    <w:t>高</w:t>
                  </w:r>
                  <w:r>
                    <w:rPr>
                      <w:sz w:val="21"/>
                    </w:rPr>
                    <w:t>≤35mm（需提供检测报告）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4</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设备质量（外接设备除外）</w:t>
                  </w:r>
                  <w:r>
                    <w:rPr>
                      <w:sz w:val="21"/>
                    </w:rPr>
                    <w:t>≤200g（需提供检测报告）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5</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外壳防护等级</w:t>
                  </w:r>
                  <w:r>
                    <w:rPr>
                      <w:sz w:val="21"/>
                    </w:rPr>
                    <w:t>≥IP68，存储容量≥32G</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6</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屏幕尺寸</w:t>
                  </w:r>
                  <w:r>
                    <w:rPr>
                      <w:sz w:val="21"/>
                    </w:rPr>
                    <w:t>≥2.4英寸，最大亮度≥250cd/m²</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7</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夜视功能：设备在开启夜视功能后，有效拍摄距离应满足说明书的要求，且不低于3m，有效拍摄距离处应能看清人物面部特征，具有红外补光功能的设备，红外补光范围3m处应覆盖摄录画面70%以上面积（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8</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CPU规格：大于等于8核，主频≥1.8GHz</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9</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视音频预录功能：设备应能在标称最大分辨率下预录触发前大于或等于</w:t>
                  </w:r>
                  <w:r>
                    <w:rPr>
                      <w:sz w:val="21"/>
                    </w:rPr>
                    <w:t>10s的视音频信息（需提供检测报告）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10</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▲内置北斗模块,支持独立北斗模式，定位信息上传频率可通过中山市公安局执法视音频可视化监督管理平台进行自定义调节，最短上传频率≤5s。（投标人提供承诺函并加盖公章）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11</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视场角（所有分辨率条件下）</w:t>
                  </w:r>
                  <w:r>
                    <w:rPr>
                      <w:sz w:val="21"/>
                    </w:rPr>
                    <w:t>≥108°（需提供检测报告）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12</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几何失真（所有分辨率条件下）</w:t>
                  </w:r>
                  <w:r>
                    <w:rPr>
                      <w:sz w:val="21"/>
                    </w:rPr>
                    <w:t>≤20%（需提供检测报告）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13</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▲视频性能：分辨率≥2560*1440时，分辨力≥900线，帧率≥30帧/s；分辨率≥1920*1080时，分辨力≥600线，帧率≥30帧/s；分辨率≥1280*720时，分辨力≥500线，帧率≥30帧/s（需提供检测报告）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14</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▲电池性能：电池容量≥3000mAH，采用内置可更换电池，符合GA/T 947.2-2015 4.1中A级要求</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15</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耐热性能：温度（</w:t>
                  </w:r>
                  <w:r>
                    <w:rPr>
                      <w:sz w:val="21"/>
                    </w:rPr>
                    <w:t>55±2）°C，持续时间4h,试验期间执法记录仪处于工作状态，试验过程中不应发生状态改变，试验后执法记录仪应能正常工作（需提供检测报告）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16</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抗摔性能：裸机跌落高度</w:t>
                  </w:r>
                  <w:r>
                    <w:rPr>
                      <w:sz w:val="21"/>
                    </w:rPr>
                    <w:t>2000mm,水泥地面，任意4个面各跌落1次，试验期间执法记录仪处于工作状态，试验后应能正常工作，存储的数据不应丢失（需提供检测报告）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17</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▲支持USB或TYPE-C接口；数据采集速率≥200Mbps</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18</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应支持扫描中山市公安局执法视音频可视化监督管理平台生成的二维码完成设备的安全注册或管理平台下发注册信息到采集工作站，执法记录仪接入采集工作站后完成安全注册（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19</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支持防抖功能，可通过菜单开启</w:t>
                  </w:r>
                  <w:r>
                    <w:rPr>
                      <w:sz w:val="21"/>
                    </w:rPr>
                    <w:t>/关闭防抖功能</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20</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▲设备接入公安网采集工作站时自动关闭本身的所有无线模块，包括但不仅限于蓝牙、Wifi、2G/3G/4G、NFC等无线模块（投标人提供承诺函并加盖公章）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21</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兼容《执法记录仪接入移动警务系统技术要求》（GA/T1987-2022）标准规范，设备应支持TF加密卡或贴膜加密卡，可在安全可控的情况下实现4G或5G执法记录仪安全接入移动警务网（二类区），并且接受相关安全管控，待条件成熟时，承诺配合按照GA/T 1987-2022标准进行升级改造（投标人提供承诺函并加盖公章）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22</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流量卡要求，每卡每月不低于10G，每张使用期12个月；4G或5G定向流量与设备网络制式完全匹配，流量池模式，支持卡数量和池容量扩容，定向流量卡必须实现与中山市公安局执法视音频可视化监督管理平台通信（政务外网）。（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23</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★设备应支持与单位现有采集工作站兼容，与中山市公安局执法视音频可视化监督管理平台兼容对接。（投标人提供承诺函并加盖公章）</w:t>
                  </w:r>
                </w:p>
              </w:tc>
            </w:tr>
            <w:tr>
              <w:tc>
                <w:tcPr>
                  <w:tcW w:type="dxa" w:w="6984"/>
                  <w:gridSpan w:val="2"/>
                  <w:tcBorders>
                    <w:top w:val="none" w:color="000000" w:sz="4"/>
                    <w:left w:val="single" w:color="000000" w:sz="4"/>
                    <w:bottom w:val="single" w:color="000000" w:sz="4"/>
                    <w:right w:val="single" w:color="000000" w:sz="4"/>
                  </w:tcBorders>
                  <w:vAlign w:val="top"/>
                </w:tcPr>
                <w:p>
                  <w:pPr>
                    <w:jc w:val="both"/>
                  </w:pPr>
                  <w:r>
                    <w:rPr>
                      <w:sz w:val="21"/>
                    </w:rPr>
                    <w:t>备注：以上标注</w:t>
                  </w:r>
                  <w:r>
                    <w:rPr>
                      <w:sz w:val="21"/>
                    </w:rPr>
                    <w:t>“需提供检测报告”项技术条款的响应须以公安部特种警用装备质量监督检验中心、国家安全防范报警系统产品质量监督检验中心、公安部安全防范报警系统产品质量监督检验测试中心（以上任一家）所出具的检验报告复印件为事实依据。</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采集工作站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采集工作站</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w:t>
                  </w:r>
                </w:p>
              </w:tc>
              <w:tc>
                <w:tcPr>
                  <w:tcW w:type="dxa" w:w="996"/>
                  <w:tcBorders>
                    <w:top w:val="none" w:color="000000" w:sz="4"/>
                    <w:left w:val="single" w:color="000000" w:sz="4"/>
                    <w:bottom w:val="single" w:color="000000" w:sz="4"/>
                    <w:right w:val="single" w:color="000000" w:sz="4"/>
                  </w:tcBorders>
                  <w:vAlign w:val="top"/>
                </w:tcPr>
                <w:p>
                  <w:pPr>
                    <w:jc w:val="both"/>
                  </w:pPr>
                  <w:r>
                    <w:rPr>
                      <w:sz w:val="21"/>
                    </w:rPr>
                    <w:t>5</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78</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13000/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Ind w:type="dxa" w:w="135"/>
              <w:tblBorders>
                <w:top w:val="none" w:color="000000" w:sz="4"/>
                <w:left w:val="none" w:color="000000" w:sz="4"/>
                <w:bottom w:val="none" w:color="000000" w:sz="4"/>
                <w:right w:val="none" w:color="000000" w:sz="4"/>
                <w:insideH w:val="none"/>
                <w:insideV w:val="none"/>
              </w:tblBorders>
            </w:tblPr>
            <w:tblGrid>
              <w:gridCol w:w="781"/>
              <w:gridCol w:w="6213"/>
            </w:tblGrid>
            <w:tr>
              <w:tc>
                <w:tcPr>
                  <w:tcW w:type="dxa" w:w="781"/>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213"/>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内置触摸屏，分辨率</w:t>
                  </w:r>
                  <w:r>
                    <w:rPr>
                      <w:sz w:val="21"/>
                    </w:rPr>
                    <w:t>≥1280*1024，外壳防护等级≥IP20；支持220V供电。</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2</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▲设备数据采集口≥12个；硬盘容量≥8TB。</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3</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▲数据采集速率：设备在接入能力满负荷条件下的平均单路数据采集速率≥7MB/s。</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4</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工作噪声：设备在正常工作条件下的工作噪声</w:t>
                  </w:r>
                  <w:r>
                    <w:rPr>
                      <w:sz w:val="21"/>
                    </w:rPr>
                    <w:t>≤45dB (A)。（需提供检测报告）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5</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采集功能：设备应能自动采集已注册的执法记录仪的视音频、音频、照片和日志等数据，应能验证执法数据采集设备采集到的数据与执法记录仪存储的原始数据的一致性，并保证采集的数据应能正常浏览。（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6</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数据检索功能：执法数据采集设备应能对已采集的视音频、音频、照片和日志等数据依据执法记录仪产品序号、警号、时间、文件类型及执法记录仪重点标记文件等一种或多种条件进行查询。（需提供检测报告）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7</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数据上传功能：执法数据采集设备应能自动或手动上传视音频、音频、照片、日志或索引等数据到管理服务器，应能设置自动上传时间。（需提供检测报告）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8</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数据清空功能：执法数据采集设备应能自动或手动清空已完成数据上传的执法记录仪内部数据。（需提供检测报告）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9</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时间校正功能：执法数据采集设备应能自动对接入的执法记录仪进行时间校正，时间应精确到</w:t>
                  </w:r>
                  <w:r>
                    <w:rPr>
                      <w:sz w:val="21"/>
                    </w:rPr>
                    <w:t>“年、月、日、时、分、秒”。（需提供检测报告）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10</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充电功能：执法数据采集设备应能对接入的执法记录仪进行自动充电并显示充电状态，并应能同时对多个接入的执法记录仪进行充电。（需提供检测报告）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11</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权限管理功能：设备应能设置操作权限，未经授权的用户不可对设备进行操作，经授权的用户的操作权限应有分级管理机制。（需提供检测报告）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12</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日志功能：执法数据采集设备应能自动对设备的运行状态及所有操作进行日志记录，日志内容包括但不限于开</w:t>
                  </w:r>
                  <w:r>
                    <w:rPr>
                      <w:sz w:val="21"/>
                    </w:rPr>
                    <w:t>/关机、用户登录及操作、执法记录仪的接入/移出、执法记录仪数据采集、故障发生/恢复等时间。（需提供检测报告）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13</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USB 外设管控：数据采集设备应具有对使用 USB接口的移动硬盘、U 盘、移动光驱等外部接入的存储设备的启用或禁用功能。</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14</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▲文件操作管控：应对移动存储介质（移动硬盘、移动光驱、U 盘）等的文件数据拷贝操作包括拷入和拷出进行监控和审计，并形成日志。（需提供检测报告）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15</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▲设备应支持执法记录仪在采集工作站上完成执法视音频与警情/案件的关联工作并上传至中山市公安局执法视音频可视化监督管理平台。（投标人提供承诺函并加盖公章）</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16</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设备应支持接入中山市公安局执法视音频可视化监督管理平台，管理平台应获取采集工作站的产品编码、</w:t>
                  </w:r>
                  <w:r>
                    <w:rPr>
                      <w:sz w:val="21"/>
                    </w:rPr>
                    <w:t>IP地址、MAC地址、存储容量，存储方式等。注册时通过管理平台核验该产品编码与单位是否进行了关联配置，如未关联配置，应能通过管理平台下发注册信息到采集工作站完成安全注册。（投标人提供承诺函并加盖公章）</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17</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★设备应支持与中山市公安局现有执法记录仪兼容，与中山市公安局执法视音频可视化监督管理平台兼容对接。（投标人提供承诺函并加盖公章）</w:t>
                  </w:r>
                </w:p>
              </w:tc>
            </w:tr>
            <w:tr>
              <w:tc>
                <w:tcPr>
                  <w:tcW w:type="dxa" w:w="6994"/>
                  <w:gridSpan w:val="2"/>
                  <w:tcBorders>
                    <w:top w:val="none" w:color="000000" w:sz="4"/>
                    <w:left w:val="single" w:color="000000" w:sz="4"/>
                    <w:bottom w:val="single" w:color="000000" w:sz="4"/>
                    <w:right w:val="single" w:color="000000" w:sz="4"/>
                  </w:tcBorders>
                  <w:vAlign w:val="top"/>
                </w:tcPr>
                <w:p>
                  <w:pPr>
                    <w:jc w:val="both"/>
                  </w:pPr>
                  <w:r>
                    <w:rPr>
                      <w:sz w:val="21"/>
                    </w:rPr>
                    <w:t>备注：以上标注</w:t>
                  </w:r>
                  <w:r>
                    <w:rPr>
                      <w:sz w:val="21"/>
                    </w:rPr>
                    <w:t>“需提供检测报告”项技术条款的响应须以公安部特种警用装备质量监督检验中心、国家安全防范报警系统产品质量监督检验中心、公安部安全防范报警系统产品质量监督检验测试中心（以上任一家）所出具的检验报告复印件为事实依据。</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350M手持数字集群对讲机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350M</w:t>
                  </w:r>
                  <w:r>
                    <w:rPr>
                      <w:sz w:val="21"/>
                    </w:rPr>
                    <w:t>手持</w:t>
                  </w:r>
                  <w:r>
                    <w:rPr>
                      <w:sz w:val="21"/>
                    </w:rPr>
                    <w:t>数字集群对讲机</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每台对讲机含加密卡</w:t>
                  </w:r>
                  <w:r>
                    <w:rPr>
                      <w:sz w:val="21"/>
                    </w:rPr>
                    <w:t>1</w:t>
                  </w:r>
                  <w:r>
                    <w:rPr>
                      <w:sz w:val="21"/>
                    </w:rPr>
                    <w:t>张</w:t>
                  </w:r>
                </w:p>
              </w:tc>
              <w:tc>
                <w:tcPr>
                  <w:tcW w:type="dxa" w:w="996"/>
                  <w:tcBorders>
                    <w:top w:val="none" w:color="000000" w:sz="4"/>
                    <w:left w:val="single" w:color="000000" w:sz="4"/>
                    <w:bottom w:val="single" w:color="000000" w:sz="4"/>
                    <w:right w:val="single" w:color="000000" w:sz="4"/>
                  </w:tcBorders>
                  <w:vAlign w:val="top"/>
                </w:tcPr>
                <w:p>
                  <w:pPr>
                    <w:jc w:val="both"/>
                  </w:pPr>
                  <w:r>
                    <w:rPr>
                      <w:sz w:val="21"/>
                    </w:rPr>
                    <w:t>150</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458</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4500/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Borders>
                <w:top w:val="none" w:color="000000" w:sz="4"/>
                <w:left w:val="none" w:color="000000" w:sz="4"/>
                <w:bottom w:val="none" w:color="000000" w:sz="4"/>
                <w:right w:val="none" w:color="000000" w:sz="4"/>
                <w:insideH w:val="none"/>
                <w:insideV w:val="none"/>
              </w:tblBorders>
            </w:tblPr>
            <w:tblGrid>
              <w:gridCol w:w="517"/>
              <w:gridCol w:w="6477"/>
            </w:tblGrid>
            <w:tr>
              <w:tc>
                <w:tcPr>
                  <w:tcW w:type="dxa" w:w="517"/>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477"/>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1</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▲每部应至少包含：主机1部，天线1根，带显示屏及拨号键盘。适配高容量双锂电电池1块，座式充电器和直插式充电器1套，中文简易说明书，支持北斗功能模块和其它配件。</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2</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▲支持数字集群（PDT集群）</w:t>
                  </w:r>
                  <w:r>
                    <w:rPr>
                      <w:sz w:val="21"/>
                    </w:rPr>
                    <w:t>，</w:t>
                  </w:r>
                  <w:r>
                    <w:rPr>
                      <w:sz w:val="21"/>
                    </w:rPr>
                    <w:t>数字常规（</w:t>
                  </w:r>
                  <w:r>
                    <w:rPr>
                      <w:sz w:val="21"/>
                    </w:rPr>
                    <w:t>PDT常规,DMR），模拟集群（MPT1327集群），模拟常规四种工作模式。</w:t>
                  </w:r>
                  <w:r>
                    <w:rPr>
                      <w:sz w:val="21"/>
                    </w:rPr>
                    <w:t>支持</w:t>
                  </w:r>
                  <w:r>
                    <w:rPr>
                      <w:sz w:val="21"/>
                    </w:rPr>
                    <w:t>对讲机之间蓝牙数据传输，实现信息共享。</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3</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高清全彩显示屏，支持日间或夜间模式可选，强光下清晰可视。采用灵活的菜单驱动式界面，图标和易于使用的大导航按钮可方便地进行文本消息阅读和菜单导航，操作更加便捷。前置大功率扬声器并搭载智能音频功能。</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4</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▲内置北斗模块,支持独立北斗模式</w:t>
                  </w:r>
                  <w:r>
                    <w:rPr>
                      <w:sz w:val="21"/>
                    </w:rPr>
                    <w:t>。</w:t>
                  </w:r>
                  <w:r>
                    <w:rPr>
                      <w:sz w:val="21"/>
                    </w:rPr>
                    <w:t>定位信息上报方式多样，支持时间间隔上报、距离上报、时间与距离组合上报等多种方式</w:t>
                  </w:r>
                  <w:r>
                    <w:rPr>
                      <w:sz w:val="21"/>
                    </w:rPr>
                    <w:t>, 同时支持定位信息系统上拉。定位信息上报最短时间间隔2秒，最短距离间隔50米。高标准设计，适应恶劣环境中使用，防水防尘达到 IP</w:t>
                  </w:r>
                  <w:r>
                    <w:rPr>
                      <w:sz w:val="21"/>
                    </w:rPr>
                    <w:t>67</w:t>
                  </w:r>
                  <w:r>
                    <w:rPr>
                      <w:sz w:val="21"/>
                    </w:rPr>
                    <w:t xml:space="preserve"> </w:t>
                  </w:r>
                  <w:r>
                    <w:rPr>
                      <w:sz w:val="21"/>
                    </w:rPr>
                    <w:t>标准。</w:t>
                  </w:r>
                  <w:r>
                    <w:rPr>
                      <w:sz w:val="21"/>
                    </w:rPr>
                    <w:t>（投标人提供承诺函并加盖公章）</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5</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▲手持台抗振动须符合GJB367A-2001或GJB150.16A-2009标准规定的要求</w:t>
                  </w:r>
                  <w:r>
                    <w:rPr>
                      <w:sz w:val="21"/>
                    </w:rPr>
                    <w:t>。</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6</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▲主要技术标准</w:t>
                  </w:r>
                </w:p>
                <w:p>
                  <w:pPr>
                    <w:jc w:val="both"/>
                  </w:pPr>
                  <w:r>
                    <w:rPr>
                      <w:sz w:val="21"/>
                    </w:rPr>
                    <w:t>频率范围：公安</w:t>
                  </w:r>
                  <w:r>
                    <w:rPr>
                      <w:sz w:val="21"/>
                    </w:rPr>
                    <w:t>350MHz频段；信道容量：1024；信道间隔：12.5kHz/25kHz；电池：高容量电池2250mAh；显示语言：支持中文、英文语言；最大输出功率</w:t>
                  </w:r>
                  <w:r>
                    <w:rPr>
                      <w:sz w:val="21"/>
                    </w:rPr>
                    <w:t>：</w:t>
                  </w:r>
                  <w:r>
                    <w:rPr>
                      <w:sz w:val="21"/>
                    </w:rPr>
                    <w:t>4W，可调；接收灵敏度：数字：≤-116 dBm（误码率5%时），模拟：≤0.3μV（12dB SINAD），≤0.4μV（20dB SINAD），≤0.22μV。</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7</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w:t>
                  </w:r>
                  <w:r>
                    <w:rPr>
                      <w:sz w:val="21"/>
                    </w:rPr>
                    <w:t>配置</w:t>
                  </w:r>
                  <w:r>
                    <w:rPr>
                      <w:sz w:val="21"/>
                    </w:rPr>
                    <w:t>PDT终端TF加密卡。</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8</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w:t>
                  </w:r>
                  <w:r>
                    <w:rPr>
                      <w:sz w:val="21"/>
                    </w:rPr>
                    <w:t>对讲机交付后，质保期内由原厂人员为用户提供免费写频服务，免费服务期不少于</w:t>
                  </w:r>
                  <w:r>
                    <w:rPr>
                      <w:sz w:val="21"/>
                    </w:rPr>
                    <w:t>3年。</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9</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所投产品（对讲机）必须通过公安部要求的《警用数字集群（PDT）通信系统设备空口一致性功能测试和射频设备性能测试》，能够接入中山市350兆警用数字集群（PDT）系统中使用，投标人必须投标时提供承诺函（原件）。</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350M车载数字集群对讲机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350M</w:t>
                  </w:r>
                  <w:r>
                    <w:rPr>
                      <w:sz w:val="21"/>
                    </w:rPr>
                    <w:t>车载</w:t>
                  </w:r>
                  <w:r>
                    <w:rPr>
                      <w:sz w:val="21"/>
                    </w:rPr>
                    <w:t>数字集群对讲机</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每台对讲机含加密卡</w:t>
                  </w:r>
                  <w:r>
                    <w:rPr>
                      <w:sz w:val="21"/>
                    </w:rPr>
                    <w:t>1</w:t>
                  </w:r>
                  <w:r>
                    <w:rPr>
                      <w:sz w:val="21"/>
                    </w:rPr>
                    <w:t>张</w:t>
                  </w:r>
                </w:p>
              </w:tc>
              <w:tc>
                <w:tcPr>
                  <w:tcW w:type="dxa" w:w="996"/>
                  <w:tcBorders>
                    <w:top w:val="none" w:color="000000" w:sz="4"/>
                    <w:left w:val="single" w:color="000000" w:sz="4"/>
                    <w:bottom w:val="single" w:color="000000" w:sz="4"/>
                    <w:right w:val="single" w:color="000000" w:sz="4"/>
                  </w:tcBorders>
                  <w:vAlign w:val="top"/>
                </w:tcPr>
                <w:p>
                  <w:pPr>
                    <w:jc w:val="both"/>
                  </w:pPr>
                  <w:r>
                    <w:rPr>
                      <w:sz w:val="21"/>
                    </w:rPr>
                    <w:t>0</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371</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5300/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Borders>
                <w:top w:val="none" w:color="000000" w:sz="4"/>
                <w:left w:val="none" w:color="000000" w:sz="4"/>
                <w:bottom w:val="none" w:color="000000" w:sz="4"/>
                <w:right w:val="none" w:color="000000" w:sz="4"/>
                <w:insideH w:val="none"/>
                <w:insideV w:val="none"/>
              </w:tblBorders>
            </w:tblPr>
            <w:tblGrid>
              <w:gridCol w:w="546"/>
              <w:gridCol w:w="6446"/>
            </w:tblGrid>
            <w:tr>
              <w:tc>
                <w:tcPr>
                  <w:tcW w:type="dxa" w:w="54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446"/>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1</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▲每部应至少包含：主机</w:t>
                  </w:r>
                  <w:r>
                    <w:rPr>
                      <w:sz w:val="21"/>
                    </w:rPr>
                    <w:t>1</w:t>
                  </w:r>
                  <w:r>
                    <w:rPr>
                      <w:sz w:val="21"/>
                    </w:rPr>
                    <w:t>部，吸盘天线</w:t>
                  </w:r>
                  <w:r>
                    <w:rPr>
                      <w:sz w:val="21"/>
                    </w:rPr>
                    <w:t>1</w:t>
                  </w:r>
                  <w:r>
                    <w:rPr>
                      <w:sz w:val="21"/>
                    </w:rPr>
                    <w:t>根</w:t>
                  </w:r>
                  <w:r>
                    <w:rPr>
                      <w:sz w:val="21"/>
                    </w:rPr>
                    <w:t>，定位</w:t>
                  </w:r>
                  <w:r>
                    <w:rPr>
                      <w:sz w:val="21"/>
                    </w:rPr>
                    <w:t>天线</w:t>
                  </w:r>
                  <w:r>
                    <w:rPr>
                      <w:sz w:val="21"/>
                    </w:rPr>
                    <w:t>1</w:t>
                  </w:r>
                  <w:r>
                    <w:rPr>
                      <w:sz w:val="21"/>
                    </w:rPr>
                    <w:t>根</w:t>
                  </w:r>
                  <w:r>
                    <w:rPr>
                      <w:sz w:val="21"/>
                    </w:rPr>
                    <w:t>，带显示屏及拨号键盘。适配</w:t>
                  </w:r>
                  <w:r>
                    <w:rPr>
                      <w:sz w:val="21"/>
                    </w:rPr>
                    <w:t>13.8V</w:t>
                  </w:r>
                  <w:r>
                    <w:rPr>
                      <w:sz w:val="21"/>
                    </w:rPr>
                    <w:t>直流电源</w:t>
                  </w:r>
                  <w:r>
                    <w:rPr>
                      <w:sz w:val="21"/>
                    </w:rPr>
                    <w:t>1</w:t>
                  </w:r>
                  <w:r>
                    <w:rPr>
                      <w:sz w:val="21"/>
                    </w:rPr>
                    <w:t>台，中文简易说明书，支持北斗功能模块和其它配件。</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2</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▲支持数字集群（</w:t>
                  </w:r>
                  <w:r>
                    <w:rPr>
                      <w:sz w:val="21"/>
                    </w:rPr>
                    <w:t>PDT</w:t>
                  </w:r>
                  <w:r>
                    <w:rPr>
                      <w:sz w:val="21"/>
                    </w:rPr>
                    <w:t>集群）</w:t>
                  </w:r>
                  <w:r>
                    <w:rPr>
                      <w:sz w:val="21"/>
                    </w:rPr>
                    <w:t>,</w:t>
                  </w:r>
                  <w:r>
                    <w:rPr>
                      <w:sz w:val="21"/>
                    </w:rPr>
                    <w:t>数字常规（</w:t>
                  </w:r>
                  <w:r>
                    <w:rPr>
                      <w:sz w:val="21"/>
                    </w:rPr>
                    <w:t>PDT</w:t>
                  </w:r>
                  <w:r>
                    <w:rPr>
                      <w:sz w:val="21"/>
                    </w:rPr>
                    <w:t>常规</w:t>
                  </w:r>
                  <w:r>
                    <w:rPr>
                      <w:sz w:val="21"/>
                    </w:rPr>
                    <w:t>DMR</w:t>
                  </w:r>
                  <w:r>
                    <w:rPr>
                      <w:sz w:val="21"/>
                    </w:rPr>
                    <w:t>），模拟集群（</w:t>
                  </w:r>
                  <w:r>
                    <w:rPr>
                      <w:sz w:val="21"/>
                    </w:rPr>
                    <w:t>MPT1327</w:t>
                  </w:r>
                  <w:r>
                    <w:rPr>
                      <w:sz w:val="21"/>
                    </w:rPr>
                    <w:t>集群），模拟常规四种工作模式。</w:t>
                  </w:r>
                  <w:r>
                    <w:rPr>
                      <w:sz w:val="21"/>
                    </w:rPr>
                    <w:t>支持</w:t>
                  </w:r>
                  <w:r>
                    <w:rPr>
                      <w:sz w:val="21"/>
                    </w:rPr>
                    <w:t>对讲机之间蓝牙数据传输，实现信息共享。</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3</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高清全彩显示屏，支持日间或夜间模式可选，强光下清晰可视。采用灵活的菜单驱动式界面，图标和易于使用的大导航按钮可方便地进行文本消息阅读和菜单导航，操作更加便捷。前置大功率扬声器并搭载智能音频功能。</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4</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▲内置北斗模块</w:t>
                  </w:r>
                  <w:r>
                    <w:rPr>
                      <w:sz w:val="21"/>
                    </w:rPr>
                    <w:t>,</w:t>
                  </w:r>
                  <w:r>
                    <w:rPr>
                      <w:sz w:val="21"/>
                    </w:rPr>
                    <w:t>支持独立北斗模式</w:t>
                  </w:r>
                  <w:r>
                    <w:rPr>
                      <w:sz w:val="21"/>
                    </w:rPr>
                    <w:t>。</w:t>
                  </w:r>
                  <w:r>
                    <w:rPr>
                      <w:sz w:val="21"/>
                    </w:rPr>
                    <w:t>定位信息上报方式多样，支持时间间隔上报、距离上报、时间与距离组合上报等多种方式</w:t>
                  </w:r>
                  <w:r>
                    <w:rPr>
                      <w:sz w:val="21"/>
                    </w:rPr>
                    <w:t>,</w:t>
                  </w:r>
                  <w:r>
                    <w:rPr>
                      <w:sz w:val="21"/>
                    </w:rPr>
                    <w:t>同时支持定位信息系统上拉。定位信息上报最短时间间隔</w:t>
                  </w:r>
                  <w:r>
                    <w:rPr>
                      <w:sz w:val="21"/>
                    </w:rPr>
                    <w:t>2</w:t>
                  </w:r>
                  <w:r>
                    <w:rPr>
                      <w:sz w:val="21"/>
                    </w:rPr>
                    <w:t>秒，最短距离间隔</w:t>
                  </w:r>
                  <w:r>
                    <w:rPr>
                      <w:sz w:val="21"/>
                    </w:rPr>
                    <w:t>50</w:t>
                  </w:r>
                  <w:r>
                    <w:rPr>
                      <w:sz w:val="21"/>
                    </w:rPr>
                    <w:t>米。</w:t>
                  </w:r>
                  <w:r>
                    <w:rPr>
                      <w:sz w:val="21"/>
                    </w:rPr>
                    <w:t>（投标人提供承诺函并加盖公章）</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5</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▲车载台抗振动须符合</w:t>
                  </w:r>
                  <w:r>
                    <w:rPr>
                      <w:sz w:val="21"/>
                    </w:rPr>
                    <w:t>GJB367A-2001</w:t>
                  </w:r>
                  <w:r>
                    <w:rPr>
                      <w:sz w:val="21"/>
                    </w:rPr>
                    <w:t>或</w:t>
                  </w:r>
                  <w:r>
                    <w:rPr>
                      <w:sz w:val="21"/>
                    </w:rPr>
                    <w:t>GJB150.16A-2009</w:t>
                  </w:r>
                  <w:r>
                    <w:rPr>
                      <w:sz w:val="21"/>
                    </w:rPr>
                    <w:t>标准规定的要求</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6</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▲主要技术标准</w:t>
                  </w:r>
                </w:p>
                <w:p>
                  <w:pPr>
                    <w:jc w:val="both"/>
                  </w:pPr>
                  <w:r>
                    <w:rPr>
                      <w:sz w:val="21"/>
                    </w:rPr>
                    <w:t>频率范围：公安</w:t>
                  </w:r>
                  <w:r>
                    <w:rPr>
                      <w:sz w:val="21"/>
                    </w:rPr>
                    <w:t>350MHz</w:t>
                  </w:r>
                  <w:r>
                    <w:rPr>
                      <w:sz w:val="21"/>
                    </w:rPr>
                    <w:t>频段；信道容量：</w:t>
                  </w:r>
                  <w:r>
                    <w:rPr>
                      <w:sz w:val="21"/>
                    </w:rPr>
                    <w:t>1024</w:t>
                  </w:r>
                  <w:r>
                    <w:rPr>
                      <w:sz w:val="21"/>
                    </w:rPr>
                    <w:t>；信道间隔：</w:t>
                  </w:r>
                  <w:r>
                    <w:rPr>
                      <w:sz w:val="21"/>
                    </w:rPr>
                    <w:t>12.5kHz/25kHz</w:t>
                  </w:r>
                  <w:r>
                    <w:rPr>
                      <w:sz w:val="21"/>
                    </w:rPr>
                    <w:t>；工作电压：</w:t>
                  </w:r>
                  <w:r>
                    <w:rPr>
                      <w:sz w:val="21"/>
                    </w:rPr>
                    <w:t>13.8VDC</w:t>
                  </w:r>
                  <w:r>
                    <w:rPr>
                      <w:sz w:val="21"/>
                    </w:rPr>
                    <w:t>；显示语言：支持中文、英文语言；输出功率：低功率：</w:t>
                  </w:r>
                  <w:r>
                    <w:rPr>
                      <w:sz w:val="21"/>
                    </w:rPr>
                    <w:t>1-25W</w:t>
                  </w:r>
                  <w:r>
                    <w:rPr>
                      <w:sz w:val="21"/>
                    </w:rPr>
                    <w:t>，高功率：</w:t>
                  </w:r>
                  <w:r>
                    <w:rPr>
                      <w:sz w:val="21"/>
                    </w:rPr>
                    <w:t>25-40W</w:t>
                  </w:r>
                  <w:r>
                    <w:rPr>
                      <w:sz w:val="21"/>
                    </w:rPr>
                    <w:t>；接收灵敏度：数字：≤</w:t>
                  </w:r>
                  <w:r>
                    <w:rPr>
                      <w:sz w:val="21"/>
                    </w:rPr>
                    <w:t>-116 dBm</w:t>
                  </w:r>
                  <w:r>
                    <w:rPr>
                      <w:sz w:val="21"/>
                    </w:rPr>
                    <w:t>（误码率</w:t>
                  </w:r>
                  <w:r>
                    <w:rPr>
                      <w:sz w:val="21"/>
                    </w:rPr>
                    <w:t>5%</w:t>
                  </w:r>
                  <w:r>
                    <w:rPr>
                      <w:sz w:val="21"/>
                    </w:rPr>
                    <w:t>时），模拟：≤</w:t>
                  </w:r>
                  <w:r>
                    <w:rPr>
                      <w:sz w:val="21"/>
                    </w:rPr>
                    <w:t>0.3</w:t>
                  </w:r>
                  <w:r>
                    <w:rPr>
                      <w:sz w:val="21"/>
                    </w:rPr>
                    <w:t>μ</w:t>
                  </w:r>
                  <w:r>
                    <w:rPr>
                      <w:sz w:val="21"/>
                    </w:rPr>
                    <w:t>V</w:t>
                  </w:r>
                  <w:r>
                    <w:rPr>
                      <w:sz w:val="21"/>
                    </w:rPr>
                    <w:t>（</w:t>
                  </w:r>
                  <w:r>
                    <w:rPr>
                      <w:sz w:val="21"/>
                    </w:rPr>
                    <w:t>12dB SINAD</w:t>
                  </w:r>
                  <w:r>
                    <w:rPr>
                      <w:sz w:val="21"/>
                    </w:rPr>
                    <w:t>），≤</w:t>
                  </w:r>
                  <w:r>
                    <w:rPr>
                      <w:sz w:val="21"/>
                    </w:rPr>
                    <w:t>0.4</w:t>
                  </w:r>
                  <w:r>
                    <w:rPr>
                      <w:sz w:val="21"/>
                    </w:rPr>
                    <w:t>μ</w:t>
                  </w:r>
                  <w:r>
                    <w:rPr>
                      <w:sz w:val="21"/>
                    </w:rPr>
                    <w:t>V</w:t>
                  </w:r>
                  <w:r>
                    <w:rPr>
                      <w:sz w:val="21"/>
                    </w:rPr>
                    <w:t>（</w:t>
                  </w:r>
                  <w:r>
                    <w:rPr>
                      <w:sz w:val="21"/>
                    </w:rPr>
                    <w:t>20dB SINAD</w:t>
                  </w:r>
                  <w:r>
                    <w:rPr>
                      <w:sz w:val="21"/>
                    </w:rPr>
                    <w:t>），≤</w:t>
                  </w:r>
                  <w:r>
                    <w:rPr>
                      <w:sz w:val="21"/>
                    </w:rPr>
                    <w:t>0.22</w:t>
                  </w:r>
                  <w:r>
                    <w:rPr>
                      <w:sz w:val="21"/>
                    </w:rPr>
                    <w:t>μ</w:t>
                  </w:r>
                  <w:r>
                    <w:rPr>
                      <w:sz w:val="21"/>
                    </w:rPr>
                    <w:t>V</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7</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w:t>
                  </w:r>
                  <w:r>
                    <w:rPr>
                      <w:sz w:val="21"/>
                    </w:rPr>
                    <w:t>配置</w:t>
                  </w:r>
                  <w:r>
                    <w:rPr>
                      <w:sz w:val="21"/>
                    </w:rPr>
                    <w:t>PDT</w:t>
                  </w:r>
                  <w:r>
                    <w:rPr>
                      <w:sz w:val="21"/>
                    </w:rPr>
                    <w:t>终端</w:t>
                  </w:r>
                  <w:r>
                    <w:rPr>
                      <w:sz w:val="21"/>
                    </w:rPr>
                    <w:t>TF</w:t>
                  </w:r>
                  <w:r>
                    <w:rPr>
                      <w:sz w:val="21"/>
                    </w:rPr>
                    <w:t>加密卡。</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8</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w:t>
                  </w:r>
                  <w:r>
                    <w:rPr>
                      <w:sz w:val="21"/>
                    </w:rPr>
                    <w:t>车载台须包含免费安装服务，含安装配套所需附件和耗材，所需的天线类型（吸盘或固定）以及安装附件根据现场实际安装环境而定。车载台交付后，质保期内由原厂人员为用户提供免费写频服务，免费服务期不少于</w:t>
                  </w:r>
                  <w:r>
                    <w:rPr>
                      <w:sz w:val="21"/>
                    </w:rPr>
                    <w:t>3</w:t>
                  </w:r>
                  <w:r>
                    <w:rPr>
                      <w:sz w:val="21"/>
                    </w:rPr>
                    <w:t>年。</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9</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★所投产品（对讲机）必须通过公安部要求的《警用数字集群（</w:t>
                  </w:r>
                  <w:r>
                    <w:rPr>
                      <w:sz w:val="21"/>
                    </w:rPr>
                    <w:t>PDT</w:t>
                  </w:r>
                  <w:r>
                    <w:rPr>
                      <w:sz w:val="21"/>
                    </w:rPr>
                    <w:t>）通信系统设备空口一致性功能测试和射频设备性能测试》，能够接入中山市</w:t>
                  </w:r>
                  <w:r>
                    <w:rPr>
                      <w:sz w:val="21"/>
                    </w:rPr>
                    <w:t>350</w:t>
                  </w:r>
                  <w:r>
                    <w:rPr>
                      <w:sz w:val="21"/>
                    </w:rPr>
                    <w:t>兆警用数字集群（</w:t>
                  </w:r>
                  <w:r>
                    <w:rPr>
                      <w:sz w:val="21"/>
                    </w:rPr>
                    <w:t>PDT</w:t>
                  </w:r>
                  <w:r>
                    <w:rPr>
                      <w:sz w:val="21"/>
                    </w:rPr>
                    <w:t>）系统中使用，投标人必须投标时提供承诺函（原件）。</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采购包3（地图应用服务）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合同生效之日起3年</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40%,合同签订后20个工作日内，采购人启动付款流程申请支付合同总价的40%给中标人；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2期：支付比例30%,2024年12月15日前，采购人启动付款流程申请支付合同总价的30%给中标人。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
            <w:r>
              <w:rPr/>
              <w:t>3期：支付比例30%,2025年12月15日前，采购人启动付款流程申请支付合同总价的30%给中标人。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tc>
      </w:tr>
      <w:tr>
        <w:tc>
          <w:tcPr>
            <w:tcW w:type="dxa" w:w="4153"/>
          </w:tcPr>
          <w:p>
            <w:r>
              <w:rPr/>
              <w:t>验收要求</w:t>
            </w:r>
          </w:p>
        </w:tc>
        <w:tc>
          <w:tcPr>
            <w:tcW w:type="dxa" w:w="4153"/>
          </w:tcPr>
          <w:p/>
          <w:p/>
          <w:p/>
          <w:p>
            <w:r>
              <w:rPr/>
              <w:t>1期：按照采购包项目内容要求进行验收。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其他服务</w:t>
            </w:r>
          </w:p>
        </w:tc>
        <w:tc>
          <w:tcPr>
            <w:tcW w:type="dxa" w:w="831"/>
          </w:tcPr>
          <w:p>
            <w:pPr>
              <w:jc w:val="left"/>
            </w:pPr>
            <w:r>
              <w:rPr/>
              <w:t>地图应用服务</w:t>
            </w:r>
          </w:p>
        </w:tc>
        <w:tc>
          <w:tcPr>
            <w:tcW w:type="dxa" w:w="831"/>
          </w:tcPr>
          <w:p>
            <w:pPr>
              <w:jc w:val="left"/>
            </w:pPr>
            <w:r>
              <w:rPr/>
              <w:t>项</w:t>
            </w:r>
          </w:p>
        </w:tc>
        <w:tc>
          <w:tcPr>
            <w:tcW w:type="dxa" w:w="831"/>
          </w:tcPr>
          <w:p>
            <w:pPr>
              <w:jc w:val="right"/>
            </w:pPr>
            <w:r>
              <w:rPr/>
              <w:t>1.00</w:t>
            </w:r>
          </w:p>
        </w:tc>
        <w:tc>
          <w:tcPr>
            <w:tcW w:type="dxa" w:w="831"/>
          </w:tcPr>
          <w:p>
            <w:pPr>
              <w:jc w:val="right"/>
            </w:pPr>
            <w:r>
              <w:rPr/>
              <w:t>1,700,000.00</w:t>
            </w:r>
          </w:p>
        </w:tc>
        <w:tc>
          <w:tcPr>
            <w:tcW w:type="dxa" w:w="831"/>
          </w:tcPr>
          <w:p>
            <w:pPr>
              <w:jc w:val="right"/>
            </w:pPr>
            <w:r>
              <w:rPr/>
              <w:t>1,700,000.00</w:t>
            </w:r>
          </w:p>
        </w:tc>
        <w:tc>
          <w:tcPr>
            <w:tcW w:type="dxa" w:w="831"/>
          </w:tcPr>
          <w:p>
            <w:r>
              <w:rPr/>
              <w:t>软件和信息技术服务业</w:t>
            </w:r>
          </w:p>
        </w:tc>
        <w:tc>
          <w:tcPr>
            <w:tcW w:type="dxa" w:w="831"/>
          </w:tcPr>
          <w:p>
            <w:r>
              <w:rPr/>
              <w:t>详见附表一</w:t>
            </w:r>
          </w:p>
        </w:tc>
      </w:tr>
    </w:tbl>
    <w:p/>
    <w:p>
      <w:r>
        <w:rPr>
          <w:b/>
        </w:rPr>
        <w:t>附表</w:t>
      </w:r>
      <w:r>
        <w:rPr>
          <w:b/>
        </w:rPr>
        <w:t>一</w:t>
      </w:r>
      <w:r>
        <w:rPr>
          <w:b/>
        </w:rPr>
        <w:t>：</w:t>
      </w:r>
      <w:r>
        <w:rPr>
          <w:b/>
        </w:rPr>
        <w:t>地图应用服务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一、</w:t>
            </w:r>
            <w:r>
              <w:rPr>
                <w:b/>
                <w:sz w:val="28"/>
              </w:rPr>
              <w:t>服务</w:t>
            </w:r>
            <w:r>
              <w:rPr>
                <w:b/>
                <w:sz w:val="28"/>
              </w:rPr>
              <w:t>内容和要求</w:t>
            </w:r>
          </w:p>
          <w:p>
            <w:pPr>
              <w:jc w:val="left"/>
            </w:pPr>
            <w:r>
              <w:rPr>
                <w:b/>
                <w:sz w:val="21"/>
              </w:rPr>
              <w:t>（一）背景</w:t>
            </w:r>
          </w:p>
          <w:p>
            <w:pPr>
              <w:ind w:firstLine="480"/>
              <w:jc w:val="both"/>
            </w:pPr>
            <w:r>
              <w:rPr>
                <w:sz w:val="21"/>
              </w:rPr>
              <w:t>随着城市现代化发展，对公安工作提出了越来越高的要求，传统管理模式已经满足不了社会治安管理和社会应急联动的需要，特别是可视化管理需求越来越迫切。</w:t>
            </w:r>
            <w:r>
              <w:rPr>
                <w:sz w:val="21"/>
              </w:rPr>
              <w:t>2022年5月，公安部下发了《警用地理信息平台（2.0版）重点项目建设任务书》，针对地市建设任务提出：多渠道获取矢量、影像、三维、全景等各类基础地理信息数据资源，按需接入实时路况、警力定位等动态数据资源和需依托警用地理信息平台进行空间位置信息深度挖掘和应用的业务数据。鉴于此，中山市公安局通过多方汇聚、整理、融合获取数据资源供本局内部应用系统调用。</w:t>
            </w:r>
          </w:p>
          <w:p>
            <w:pPr>
              <w:jc w:val="left"/>
            </w:pPr>
            <w:r>
              <w:rPr>
                <w:b/>
                <w:sz w:val="21"/>
              </w:rPr>
              <w:t>（二）标准规范</w:t>
            </w:r>
          </w:p>
          <w:p>
            <w:pPr>
              <w:jc w:val="both"/>
            </w:pPr>
            <w:r>
              <w:rPr>
                <w:sz w:val="21"/>
              </w:rPr>
              <w:t>1.</w:t>
            </w:r>
            <w:r>
              <w:rPr>
                <w:sz w:val="21"/>
              </w:rPr>
              <w:t>《关于加强公</w:t>
            </w:r>
            <w:r>
              <w:rPr>
                <w:sz w:val="21"/>
              </w:rPr>
              <w:t>安大数据智能化建设应用的指导意见》（公通字〔</w:t>
            </w:r>
            <w:r>
              <w:rPr>
                <w:sz w:val="21"/>
              </w:rPr>
              <w:t>2020〕22号）</w:t>
            </w:r>
          </w:p>
          <w:p>
            <w:pPr>
              <w:jc w:val="both"/>
            </w:pPr>
            <w:r>
              <w:rPr>
                <w:sz w:val="21"/>
              </w:rPr>
              <w:t>2.</w:t>
            </w:r>
            <w:r>
              <w:rPr>
                <w:sz w:val="21"/>
              </w:rPr>
              <w:t>《公安机关</w:t>
            </w:r>
            <w:r>
              <w:rPr>
                <w:sz w:val="21"/>
              </w:rPr>
              <w:t>“十四五”规划(2021-2025年)》（公发〔2021〕2号）</w:t>
            </w:r>
          </w:p>
          <w:p>
            <w:pPr>
              <w:jc w:val="both"/>
            </w:pPr>
            <w:r>
              <w:rPr>
                <w:sz w:val="21"/>
              </w:rPr>
              <w:t>3.</w:t>
            </w:r>
            <w:r>
              <w:rPr>
                <w:sz w:val="21"/>
              </w:rPr>
              <w:t>《警用地理信息平台（</w:t>
            </w:r>
            <w:r>
              <w:rPr>
                <w:sz w:val="21"/>
              </w:rPr>
              <w:t>2.0版）建设指南(征求意见稿)》</w:t>
            </w:r>
          </w:p>
          <w:p>
            <w:pPr>
              <w:jc w:val="both"/>
            </w:pPr>
            <w:r>
              <w:rPr>
                <w:sz w:val="21"/>
              </w:rPr>
              <w:t>4.</w:t>
            </w:r>
            <w:r>
              <w:rPr>
                <w:sz w:val="21"/>
              </w:rPr>
              <w:t>制修订《警用地理信息</w:t>
            </w:r>
            <w:r>
              <w:rPr>
                <w:sz w:val="21"/>
              </w:rPr>
              <w:t>标准体系》等</w:t>
            </w:r>
            <w:r>
              <w:rPr>
                <w:sz w:val="21"/>
              </w:rPr>
              <w:t>14个系列标准</w:t>
            </w:r>
          </w:p>
          <w:p>
            <w:pPr>
              <w:jc w:val="both"/>
            </w:pPr>
            <w:r>
              <w:rPr>
                <w:sz w:val="21"/>
              </w:rPr>
              <w:t>5.</w:t>
            </w:r>
            <w:r>
              <w:rPr>
                <w:sz w:val="21"/>
              </w:rPr>
              <w:t>《广东省公安机关加强社会面治安巡防管控</w:t>
            </w:r>
            <w:r>
              <w:rPr>
                <w:sz w:val="21"/>
              </w:rPr>
              <w:t>“四个一”体系建设工作方案》</w:t>
            </w:r>
            <w:r>
              <w:rPr>
                <w:sz w:val="21"/>
              </w:rPr>
              <w:t xml:space="preserve"> </w:t>
            </w:r>
          </w:p>
          <w:p>
            <w:pPr>
              <w:jc w:val="both"/>
            </w:pPr>
            <w:r>
              <w:rPr>
                <w:sz w:val="21"/>
              </w:rPr>
              <w:t>6.</w:t>
            </w:r>
            <w:r>
              <w:rPr>
                <w:sz w:val="21"/>
              </w:rPr>
              <w:t>《</w:t>
            </w:r>
            <w:r>
              <w:rPr>
                <w:sz w:val="21"/>
              </w:rPr>
              <w:t>2023年“四个一”体系建设应用任务清单</w:t>
            </w:r>
            <w:r>
              <w:rPr>
                <w:sz w:val="21"/>
              </w:rPr>
              <w:t>》</w:t>
            </w:r>
            <w:r>
              <w:rPr>
                <w:sz w:val="21"/>
              </w:rPr>
              <w:t xml:space="preserve"> </w:t>
            </w:r>
          </w:p>
          <w:p>
            <w:pPr>
              <w:jc w:val="both"/>
            </w:pPr>
          </w:p>
          <w:p>
            <w:pPr>
              <w:jc w:val="both"/>
            </w:pPr>
            <w:r>
              <w:rPr>
                <w:b/>
                <w:sz w:val="24"/>
              </w:rPr>
              <w:t>（</w:t>
            </w:r>
            <w:r>
              <w:rPr>
                <w:b/>
                <w:sz w:val="24"/>
              </w:rPr>
              <w:t>三</w:t>
            </w:r>
            <w:r>
              <w:rPr>
                <w:b/>
                <w:sz w:val="24"/>
              </w:rPr>
              <w:t>）</w:t>
            </w:r>
            <w:r>
              <w:rPr>
                <w:b/>
                <w:sz w:val="24"/>
              </w:rPr>
              <w:t>服务</w:t>
            </w:r>
            <w:r>
              <w:rPr>
                <w:b/>
                <w:sz w:val="24"/>
              </w:rPr>
              <w:t>内容</w:t>
            </w:r>
          </w:p>
          <w:p>
            <w:pPr>
              <w:ind w:firstLine="420"/>
              <w:jc w:val="both"/>
            </w:pPr>
            <w:r>
              <w:rPr>
                <w:sz w:val="21"/>
              </w:rPr>
              <w:t>★</w:t>
            </w:r>
            <w:r>
              <w:rPr>
                <w:sz w:val="21"/>
              </w:rPr>
              <w:t>以下服务提供的地图</w:t>
            </w:r>
            <w:r>
              <w:rPr>
                <w:sz w:val="21"/>
              </w:rPr>
              <w:t>数据</w:t>
            </w:r>
            <w:r>
              <w:rPr>
                <w:sz w:val="21"/>
              </w:rPr>
              <w:t>要求</w:t>
            </w:r>
            <w:r>
              <w:rPr>
                <w:sz w:val="21"/>
              </w:rPr>
              <w:t>空间参考坐标系</w:t>
            </w:r>
            <w:r>
              <w:rPr>
                <w:sz w:val="21"/>
              </w:rPr>
              <w:t>为</w:t>
            </w:r>
            <w:r>
              <w:rPr>
                <w:sz w:val="21"/>
              </w:rPr>
              <w:t>2000国家大地坐标系。</w:t>
            </w:r>
          </w:p>
          <w:p>
            <w:pPr>
              <w:jc w:val="both"/>
            </w:pPr>
            <w:r>
              <w:rPr>
                <w:b/>
                <w:sz w:val="20"/>
              </w:rPr>
              <w:t>1</w:t>
            </w:r>
            <w:r>
              <w:rPr>
                <w:b/>
                <w:sz w:val="21"/>
              </w:rPr>
              <w:t>、</w:t>
            </w:r>
            <w:r>
              <w:rPr>
                <w:b/>
                <w:sz w:val="21"/>
              </w:rPr>
              <w:t>矢量电子地图服务要求</w:t>
            </w:r>
          </w:p>
          <w:p>
            <w:r>
              <w:rPr>
                <w:sz w:val="21"/>
              </w:rPr>
              <w:t>(1)</w:t>
            </w:r>
            <w:r>
              <w:rPr>
                <w:sz w:val="21"/>
              </w:rPr>
              <w:t>数据服务需求范围是中山市全市域</w:t>
            </w:r>
            <w:r>
              <w:rPr>
                <w:sz w:val="21"/>
              </w:rPr>
              <w:t>1:2000矢量电子地图，包括基础路网、矢量导航路网、行政区划地图、POI、土地、绿地、水系、建筑物数据。</w:t>
            </w:r>
          </w:p>
          <w:p>
            <w:r>
              <w:rPr>
                <w:sz w:val="21"/>
              </w:rPr>
              <w:t>(2)</w:t>
            </w:r>
            <w:r>
              <w:rPr>
                <w:sz w:val="21"/>
              </w:rPr>
              <w:t>▲数据现势性不能早于2023年3月（出具承诺书并加盖公章）。</w:t>
            </w:r>
          </w:p>
          <w:p>
            <w:r>
              <w:rPr>
                <w:sz w:val="21"/>
              </w:rPr>
              <w:t>(3)</w:t>
            </w:r>
            <w:r>
              <w:rPr>
                <w:sz w:val="21"/>
              </w:rPr>
              <w:t>★</w:t>
            </w:r>
            <w:r>
              <w:rPr>
                <w:sz w:val="21"/>
              </w:rPr>
              <w:t>交付格式：电子地图瓦片（</w:t>
            </w:r>
            <w:r>
              <w:rPr>
                <w:sz w:val="21"/>
              </w:rPr>
              <w:t>0-20级）的方式交付。</w:t>
            </w:r>
          </w:p>
          <w:p>
            <w:r>
              <w:rPr>
                <w:sz w:val="21"/>
              </w:rPr>
              <w:t>(4)</w:t>
            </w:r>
            <w:r>
              <w:rPr>
                <w:sz w:val="21"/>
              </w:rPr>
              <w:t>精度要求：经纬度表示方法采用度的方式表示经纬度，经纬度精度为小数点后</w:t>
            </w:r>
            <w:r>
              <w:rPr>
                <w:sz w:val="21"/>
              </w:rPr>
              <w:t>6位；参考比例尺：1：</w:t>
            </w:r>
            <w:r>
              <w:rPr>
                <w:sz w:val="21"/>
              </w:rPr>
              <w:t>2</w:t>
            </w:r>
            <w:r>
              <w:rPr>
                <w:sz w:val="21"/>
              </w:rPr>
              <w:t>000（山川、水系可适当调整至1：</w:t>
            </w:r>
            <w:r>
              <w:rPr>
                <w:sz w:val="21"/>
              </w:rPr>
              <w:t>10000）</w:t>
            </w:r>
            <w:r>
              <w:rPr>
                <w:sz w:val="21"/>
              </w:rPr>
              <w:t>；产品精准度：精确度达到</w:t>
            </w:r>
            <w:r>
              <w:rPr>
                <w:sz w:val="21"/>
              </w:rPr>
              <w:t>±10～15米，准确度达到99.5%以上。</w:t>
            </w:r>
          </w:p>
          <w:p>
            <w:r>
              <w:rPr>
                <w:sz w:val="21"/>
              </w:rPr>
              <w:t>(5)</w:t>
            </w:r>
            <w:r>
              <w:rPr>
                <w:sz w:val="21"/>
              </w:rPr>
              <w:t>地图要素详细要求如表</w:t>
            </w:r>
            <w:r>
              <w:rPr>
                <w:sz w:val="21"/>
              </w:rPr>
              <w:t>1</w:t>
            </w:r>
            <w:r>
              <w:rPr>
                <w:sz w:val="21"/>
              </w:rPr>
              <w:t>：</w:t>
            </w:r>
          </w:p>
          <w:p>
            <w:r>
              <w:rPr>
                <w:b/>
                <w:sz w:val="21"/>
              </w:rPr>
              <w:t>表</w:t>
            </w:r>
            <w:r>
              <w:rPr>
                <w:b/>
                <w:sz w:val="21"/>
              </w:rPr>
              <w:t>1</w:t>
            </w:r>
            <w:r>
              <w:rPr>
                <w:b/>
                <w:sz w:val="21"/>
              </w:rPr>
              <w:t>矢量地图数据类型</w:t>
            </w:r>
          </w:p>
          <w:tbl>
            <w:tblPr>
              <w:tblBorders>
                <w:top w:val="none" w:color="000000" w:sz="4"/>
                <w:left w:val="none" w:color="000000" w:sz="4"/>
                <w:bottom w:val="none" w:color="000000" w:sz="4"/>
                <w:right w:val="none" w:color="000000" w:sz="4"/>
                <w:insideH w:val="none"/>
                <w:insideV w:val="none"/>
              </w:tblBorders>
            </w:tblPr>
            <w:tblGrid>
              <w:gridCol w:w="491"/>
              <w:gridCol w:w="761"/>
              <w:gridCol w:w="821"/>
              <w:gridCol w:w="3431"/>
            </w:tblGrid>
            <w:tr>
              <w:tc>
                <w:tcPr>
                  <w:tcW w:type="dxa" w:w="491"/>
                  <w:tcBorders>
                    <w:top w:val="single" w:color="000000" w:sz="4"/>
                    <w:left w:val="single" w:color="000000" w:sz="4"/>
                    <w:bottom w:val="single" w:color="000000" w:sz="4"/>
                    <w:right w:val="single" w:color="000000" w:sz="4"/>
                  </w:tcBorders>
                  <w:shd w:fill="F1F1F1"/>
                  <w:vAlign w:val="top"/>
                </w:tcPr>
                <w:p>
                  <w:pPr>
                    <w:jc w:val="center"/>
                  </w:pPr>
                  <w:r>
                    <w:rPr>
                      <w:b/>
                      <w:sz w:val="21"/>
                    </w:rPr>
                    <w:t>序号</w:t>
                  </w:r>
                </w:p>
              </w:tc>
              <w:tc>
                <w:tcPr>
                  <w:tcW w:type="dxa" w:w="761"/>
                  <w:tcBorders>
                    <w:top w:val="single" w:color="000000" w:sz="4"/>
                    <w:left w:val="none" w:color="000000" w:sz="4"/>
                    <w:bottom w:val="single" w:color="000000" w:sz="4"/>
                    <w:right w:val="single" w:color="000000" w:sz="4"/>
                  </w:tcBorders>
                  <w:shd w:fill="F1F1F1"/>
                  <w:vAlign w:val="top"/>
                </w:tcPr>
                <w:p>
                  <w:pPr>
                    <w:jc w:val="center"/>
                  </w:pPr>
                  <w:r>
                    <w:rPr>
                      <w:b/>
                      <w:sz w:val="21"/>
                    </w:rPr>
                    <w:t>数据类型</w:t>
                  </w:r>
                </w:p>
              </w:tc>
              <w:tc>
                <w:tcPr>
                  <w:tcW w:type="dxa" w:w="821"/>
                  <w:tcBorders>
                    <w:top w:val="single" w:color="000000" w:sz="4"/>
                    <w:left w:val="none" w:color="000000" w:sz="4"/>
                    <w:bottom w:val="single" w:color="000000" w:sz="4"/>
                    <w:right w:val="single" w:color="000000" w:sz="4"/>
                  </w:tcBorders>
                  <w:shd w:fill="F1F1F1"/>
                  <w:vAlign w:val="top"/>
                </w:tcPr>
                <w:p>
                  <w:pPr>
                    <w:jc w:val="center"/>
                  </w:pPr>
                  <w:r>
                    <w:rPr>
                      <w:b/>
                      <w:sz w:val="21"/>
                    </w:rPr>
                    <w:t>类别</w:t>
                  </w:r>
                </w:p>
              </w:tc>
              <w:tc>
                <w:tcPr>
                  <w:tcW w:type="dxa" w:w="3431"/>
                  <w:tcBorders>
                    <w:top w:val="single" w:color="000000" w:sz="4"/>
                    <w:left w:val="none" w:color="000000" w:sz="4"/>
                    <w:bottom w:val="single" w:color="000000" w:sz="4"/>
                    <w:right w:val="single" w:color="000000" w:sz="4"/>
                  </w:tcBorders>
                  <w:shd w:fill="F1F1F1"/>
                  <w:vAlign w:val="top"/>
                </w:tcPr>
                <w:p>
                  <w:pPr>
                    <w:jc w:val="center"/>
                  </w:pPr>
                  <w:r>
                    <w:rPr>
                      <w:b/>
                      <w:sz w:val="21"/>
                    </w:rPr>
                    <w:t>备注</w:t>
                  </w:r>
                </w:p>
              </w:tc>
            </w:tr>
            <w:tr>
              <w:tc>
                <w:tcPr>
                  <w:tcW w:type="dxa" w:w="491"/>
                  <w:vMerge w:val="restart"/>
                  <w:tcBorders>
                    <w:top w:val="none" w:color="000000" w:sz="4"/>
                    <w:left w:val="single" w:color="000000" w:sz="4"/>
                    <w:bottom w:val="none" w:color="000000" w:sz="4"/>
                    <w:right w:val="single" w:color="000000" w:sz="4"/>
                  </w:tcBorders>
                  <w:vAlign w:val="top"/>
                </w:tcPr>
                <w:p>
                  <w:pPr>
                    <w:jc w:val="center"/>
                  </w:pPr>
                  <w:r>
                    <w:rPr>
                      <w:sz w:val="21"/>
                    </w:rPr>
                    <w:t>1</w:t>
                  </w:r>
                </w:p>
              </w:tc>
              <w:tc>
                <w:tcPr>
                  <w:tcW w:type="dxa" w:w="761"/>
                  <w:vMerge w:val="restart"/>
                  <w:tcBorders>
                    <w:top w:val="none" w:color="000000" w:sz="4"/>
                    <w:left w:val="none" w:color="000000" w:sz="4"/>
                    <w:bottom w:val="none" w:color="000000" w:sz="4"/>
                    <w:right w:val="single" w:color="000000" w:sz="4"/>
                  </w:tcBorders>
                  <w:vAlign w:val="top"/>
                </w:tcPr>
                <w:p>
                  <w:pPr>
                    <w:jc w:val="center"/>
                  </w:pPr>
                  <w:r>
                    <w:rPr>
                      <w:sz w:val="21"/>
                    </w:rPr>
                    <w:t>道路数据</w:t>
                  </w:r>
                </w:p>
              </w:tc>
              <w:tc>
                <w:tcPr>
                  <w:tcW w:type="dxa" w:w="821"/>
                  <w:tcBorders>
                    <w:top w:val="none" w:color="000000" w:sz="4"/>
                    <w:left w:val="none" w:color="000000" w:sz="4"/>
                    <w:bottom w:val="single" w:color="000000" w:sz="4"/>
                    <w:right w:val="single" w:color="000000" w:sz="4"/>
                  </w:tcBorders>
                  <w:vAlign w:val="top"/>
                </w:tcPr>
                <w:p>
                  <w:pPr>
                    <w:jc w:val="center"/>
                  </w:pPr>
                  <w:r>
                    <w:rPr>
                      <w:sz w:val="21"/>
                    </w:rPr>
                    <w:t>道路网</w:t>
                  </w:r>
                </w:p>
              </w:tc>
              <w:tc>
                <w:tcPr>
                  <w:tcW w:type="dxa" w:w="3431"/>
                  <w:tcBorders>
                    <w:top w:val="none" w:color="000000" w:sz="4"/>
                    <w:left w:val="none" w:color="000000" w:sz="4"/>
                    <w:bottom w:val="single" w:color="000000" w:sz="4"/>
                    <w:right w:val="single" w:color="000000" w:sz="4"/>
                  </w:tcBorders>
                  <w:vAlign w:val="top"/>
                </w:tcPr>
                <w:p>
                  <w:pPr>
                    <w:jc w:val="both"/>
                  </w:pPr>
                  <w:r>
                    <w:rPr>
                      <w:sz w:val="21"/>
                    </w:rPr>
                    <w:t>道路网数据包括：铁路、城际轨道、高速公路、城市快速路、国道、省道、县道、乡道、城市道路、乡村道路、普通公路、其他道路等道路信息</w:t>
                  </w:r>
                  <w:r>
                    <w:rPr>
                      <w:sz w:val="21"/>
                    </w:rPr>
                    <w:t>；</w:t>
                  </w:r>
                  <w:r>
                    <w:rPr>
                      <w:sz w:val="21"/>
                    </w:rPr>
                    <w:t>道路形状、道路名称、道路方向、道路等级、道路构成</w:t>
                  </w:r>
                </w:p>
              </w:tc>
            </w:tr>
            <w:tr>
              <w:tc>
                <w:tcPr>
                  <w:tcW w:type="dxa" w:w="491"/>
                  <w:vMerge/>
                  <w:tcBorders>
                    <w:top w:val="none" w:color="000000" w:sz="4"/>
                    <w:left w:val="single" w:color="000000" w:sz="4"/>
                    <w:bottom w:val="none" w:color="000000" w:sz="4"/>
                    <w:right w:val="single" w:color="000000" w:sz="4"/>
                  </w:tcBorders>
                </w:tcPr>
                <w:p/>
              </w:tc>
              <w:tc>
                <w:tcPr>
                  <w:tcW w:type="dxa" w:w="761"/>
                  <w:vMerge/>
                  <w:tcBorders>
                    <w:top w:val="none" w:color="000000" w:sz="4"/>
                    <w:left w:val="none" w:color="000000" w:sz="4"/>
                    <w:bottom w:val="none" w:color="000000" w:sz="4"/>
                    <w:right w:val="single" w:color="000000" w:sz="4"/>
                  </w:tcBorders>
                </w:tcPr>
                <w:p/>
              </w:tc>
              <w:tc>
                <w:tcPr>
                  <w:tcW w:type="dxa" w:w="821"/>
                  <w:tcBorders>
                    <w:top w:val="none" w:color="000000" w:sz="4"/>
                    <w:left w:val="none" w:color="000000" w:sz="4"/>
                    <w:bottom w:val="single" w:color="000000" w:sz="4"/>
                    <w:right w:val="single" w:color="000000" w:sz="4"/>
                  </w:tcBorders>
                  <w:vAlign w:val="top"/>
                </w:tcPr>
                <w:p>
                  <w:pPr>
                    <w:jc w:val="center"/>
                  </w:pPr>
                  <w:r>
                    <w:rPr>
                      <w:sz w:val="21"/>
                    </w:rPr>
                    <w:t>铁路</w:t>
                  </w:r>
                </w:p>
              </w:tc>
              <w:tc>
                <w:tcPr>
                  <w:tcW w:type="dxa" w:w="3431"/>
                  <w:tcBorders>
                    <w:top w:val="none" w:color="000000" w:sz="4"/>
                    <w:left w:val="none" w:color="000000" w:sz="4"/>
                    <w:bottom w:val="single" w:color="000000" w:sz="4"/>
                    <w:right w:val="single" w:color="000000" w:sz="4"/>
                  </w:tcBorders>
                  <w:vAlign w:val="top"/>
                </w:tcPr>
                <w:p>
                  <w:pPr>
                    <w:jc w:val="both"/>
                  </w:pPr>
                  <w:r>
                    <w:rPr>
                      <w:sz w:val="21"/>
                    </w:rPr>
                    <w:t>包括</w:t>
                  </w:r>
                  <w:r>
                    <w:rPr>
                      <w:sz w:val="21"/>
                    </w:rPr>
                    <w:t>铁路线、铁路站点、铁路枢纽面；铁路线名称、铁路站点名称、铁路枢纽面名称、铁路开通状态、类型信息</w:t>
                  </w:r>
                </w:p>
              </w:tc>
            </w:tr>
            <w:tr>
              <w:tc>
                <w:tcPr>
                  <w:tcW w:type="dxa" w:w="491"/>
                  <w:vMerge w:val="restart"/>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761"/>
                  <w:vMerge w:val="restart"/>
                  <w:tcBorders>
                    <w:top w:val="single" w:color="000000" w:sz="4"/>
                    <w:left w:val="none" w:color="000000" w:sz="4"/>
                    <w:bottom w:val="single" w:color="000000" w:sz="4"/>
                    <w:right w:val="single" w:color="000000" w:sz="4"/>
                  </w:tcBorders>
                  <w:vAlign w:val="top"/>
                </w:tcPr>
                <w:p>
                  <w:pPr>
                    <w:jc w:val="center"/>
                  </w:pPr>
                  <w:r>
                    <w:rPr>
                      <w:sz w:val="21"/>
                    </w:rPr>
                    <w:t>背景数据</w:t>
                  </w:r>
                </w:p>
              </w:tc>
              <w:tc>
                <w:tcPr>
                  <w:tcW w:type="dxa" w:w="821"/>
                  <w:tcBorders>
                    <w:top w:val="none" w:color="000000" w:sz="4"/>
                    <w:left w:val="none" w:color="000000" w:sz="4"/>
                    <w:bottom w:val="single" w:color="000000" w:sz="4"/>
                    <w:right w:val="single" w:color="000000" w:sz="4"/>
                  </w:tcBorders>
                  <w:vAlign w:val="top"/>
                </w:tcPr>
                <w:p>
                  <w:pPr>
                    <w:jc w:val="center"/>
                  </w:pPr>
                  <w:r>
                    <w:rPr>
                      <w:sz w:val="21"/>
                    </w:rPr>
                    <w:t>行政区划</w:t>
                  </w:r>
                </w:p>
              </w:tc>
              <w:tc>
                <w:tcPr>
                  <w:tcW w:type="dxa" w:w="3431"/>
                  <w:tcBorders>
                    <w:top w:val="none" w:color="000000" w:sz="4"/>
                    <w:left w:val="none" w:color="000000" w:sz="4"/>
                    <w:bottom w:val="single" w:color="000000" w:sz="4"/>
                    <w:right w:val="single" w:color="000000" w:sz="4"/>
                  </w:tcBorders>
                  <w:vAlign w:val="top"/>
                </w:tcPr>
                <w:p>
                  <w:pPr>
                    <w:jc w:val="both"/>
                  </w:pPr>
                  <w:r>
                    <w:rPr>
                      <w:sz w:val="21"/>
                    </w:rPr>
                    <w:t>包含国、省、市、区、街道五级行政区划面（常规区划</w:t>
                  </w:r>
                  <w:r>
                    <w:rPr>
                      <w:sz w:val="21"/>
                    </w:rPr>
                    <w:t>+功能区）；国、省、市、区、街道行政区划点（常规区划+功能区）；全国行政区划名称和区划代码、层级、城市代码、功能区与常规区划区分标识</w:t>
                  </w:r>
                </w:p>
              </w:tc>
            </w:tr>
            <w:tr>
              <w:tc>
                <w:tcPr>
                  <w:tcW w:type="dxa" w:w="491"/>
                  <w:vMerge/>
                  <w:tcBorders>
                    <w:top w:val="single" w:color="000000" w:sz="4"/>
                    <w:left w:val="single" w:color="000000" w:sz="4"/>
                    <w:bottom w:val="single" w:color="000000" w:sz="4"/>
                    <w:right w:val="single" w:color="000000" w:sz="4"/>
                  </w:tcBorders>
                </w:tcPr>
                <w:p/>
              </w:tc>
              <w:tc>
                <w:tcPr>
                  <w:tcW w:type="dxa" w:w="761"/>
                  <w:vMerge/>
                  <w:tcBorders>
                    <w:top w:val="single" w:color="000000" w:sz="4"/>
                    <w:left w:val="none" w:color="000000" w:sz="4"/>
                    <w:bottom w:val="single" w:color="000000" w:sz="4"/>
                    <w:right w:val="single" w:color="000000" w:sz="4"/>
                  </w:tcBorders>
                </w:tcPr>
                <w:p/>
              </w:tc>
              <w:tc>
                <w:tcPr>
                  <w:tcW w:type="dxa" w:w="821"/>
                  <w:tcBorders>
                    <w:top w:val="none" w:color="000000" w:sz="4"/>
                    <w:left w:val="none" w:color="000000" w:sz="4"/>
                    <w:bottom w:val="single" w:color="000000" w:sz="4"/>
                    <w:right w:val="single" w:color="000000" w:sz="4"/>
                  </w:tcBorders>
                  <w:vAlign w:val="top"/>
                </w:tcPr>
                <w:p>
                  <w:pPr>
                    <w:jc w:val="center"/>
                  </w:pPr>
                  <w:r>
                    <w:rPr>
                      <w:sz w:val="21"/>
                    </w:rPr>
                    <w:t>水系</w:t>
                  </w:r>
                </w:p>
              </w:tc>
              <w:tc>
                <w:tcPr>
                  <w:tcW w:type="dxa" w:w="3431"/>
                  <w:tcBorders>
                    <w:top w:val="none" w:color="000000" w:sz="4"/>
                    <w:left w:val="none" w:color="000000" w:sz="4"/>
                    <w:bottom w:val="single" w:color="000000" w:sz="4"/>
                    <w:right w:val="single" w:color="000000" w:sz="4"/>
                  </w:tcBorders>
                  <w:vAlign w:val="top"/>
                </w:tcPr>
                <w:p>
                  <w:pPr>
                    <w:jc w:val="both"/>
                  </w:pPr>
                  <w:r>
                    <w:rPr>
                      <w:sz w:val="21"/>
                    </w:rPr>
                    <w:t>1:20000比例尺下的详细水系面</w:t>
                  </w:r>
                  <w:r>
                    <w:rPr>
                      <w:sz w:val="21"/>
                    </w:rPr>
                    <w:t>，</w:t>
                  </w:r>
                  <w:r>
                    <w:rPr>
                      <w:sz w:val="21"/>
                    </w:rPr>
                    <w:t>包含水系名称、类型、级别等属性信息</w:t>
                  </w:r>
                </w:p>
              </w:tc>
            </w:tr>
            <w:tr>
              <w:tc>
                <w:tcPr>
                  <w:tcW w:type="dxa" w:w="491"/>
                  <w:vMerge/>
                  <w:tcBorders>
                    <w:top w:val="single" w:color="000000" w:sz="4"/>
                    <w:left w:val="single" w:color="000000" w:sz="4"/>
                    <w:bottom w:val="single" w:color="000000" w:sz="4"/>
                    <w:right w:val="single" w:color="000000" w:sz="4"/>
                  </w:tcBorders>
                </w:tcPr>
                <w:p/>
              </w:tc>
              <w:tc>
                <w:tcPr>
                  <w:tcW w:type="dxa" w:w="761"/>
                  <w:vMerge/>
                  <w:tcBorders>
                    <w:top w:val="single" w:color="000000" w:sz="4"/>
                    <w:left w:val="none" w:color="000000" w:sz="4"/>
                    <w:bottom w:val="single" w:color="000000" w:sz="4"/>
                    <w:right w:val="single" w:color="000000" w:sz="4"/>
                  </w:tcBorders>
                </w:tcPr>
                <w:p/>
              </w:tc>
              <w:tc>
                <w:tcPr>
                  <w:tcW w:type="dxa" w:w="821"/>
                  <w:tcBorders>
                    <w:top w:val="none" w:color="000000" w:sz="4"/>
                    <w:left w:val="none" w:color="000000" w:sz="4"/>
                    <w:bottom w:val="single" w:color="000000" w:sz="4"/>
                    <w:right w:val="single" w:color="000000" w:sz="4"/>
                  </w:tcBorders>
                  <w:vAlign w:val="top"/>
                </w:tcPr>
                <w:p>
                  <w:pPr>
                    <w:jc w:val="center"/>
                  </w:pPr>
                  <w:r>
                    <w:rPr>
                      <w:sz w:val="21"/>
                    </w:rPr>
                    <w:t>AOI</w:t>
                  </w:r>
                </w:p>
              </w:tc>
              <w:tc>
                <w:tcPr>
                  <w:tcW w:type="dxa" w:w="3431"/>
                  <w:tcBorders>
                    <w:top w:val="none" w:color="000000" w:sz="4"/>
                    <w:left w:val="none" w:color="000000" w:sz="4"/>
                    <w:bottom w:val="single" w:color="000000" w:sz="4"/>
                    <w:right w:val="single" w:color="000000" w:sz="4"/>
                  </w:tcBorders>
                  <w:vAlign w:val="top"/>
                </w:tcPr>
                <w:p>
                  <w:pPr>
                    <w:jc w:val="both"/>
                  </w:pPr>
                  <w:r>
                    <w:rPr>
                      <w:sz w:val="21"/>
                    </w:rPr>
                    <w:t>包含全市</w:t>
                  </w:r>
                  <w:r>
                    <w:rPr>
                      <w:sz w:val="21"/>
                    </w:rPr>
                    <w:t>AOI</w:t>
                  </w:r>
                  <w:r>
                    <w:rPr>
                      <w:sz w:val="21"/>
                    </w:rPr>
                    <w:t>（</w:t>
                  </w:r>
                  <w:r>
                    <w:rPr>
                      <w:sz w:val="21"/>
                    </w:rPr>
                    <w:t>大中小型建筑物</w:t>
                  </w:r>
                  <w:r>
                    <w:rPr>
                      <w:sz w:val="21"/>
                    </w:rPr>
                    <w:t>）</w:t>
                  </w:r>
                  <w:r>
                    <w:rPr>
                      <w:sz w:val="21"/>
                    </w:rPr>
                    <w:t>面、</w:t>
                  </w:r>
                  <w:r>
                    <w:rPr>
                      <w:sz w:val="21"/>
                    </w:rPr>
                    <w:t>楼栋名称、地址、范围</w:t>
                  </w:r>
                  <w:r>
                    <w:rPr>
                      <w:sz w:val="21"/>
                    </w:rPr>
                    <w:t>等信息</w:t>
                  </w:r>
                </w:p>
              </w:tc>
            </w:tr>
            <w:tr>
              <w:tc>
                <w:tcPr>
                  <w:tcW w:type="dxa" w:w="491"/>
                  <w:vMerge/>
                  <w:tcBorders>
                    <w:top w:val="single" w:color="000000" w:sz="4"/>
                    <w:left w:val="single" w:color="000000" w:sz="4"/>
                    <w:bottom w:val="single" w:color="000000" w:sz="4"/>
                    <w:right w:val="single" w:color="000000" w:sz="4"/>
                  </w:tcBorders>
                </w:tcPr>
                <w:p/>
              </w:tc>
              <w:tc>
                <w:tcPr>
                  <w:tcW w:type="dxa" w:w="761"/>
                  <w:vMerge/>
                  <w:tcBorders>
                    <w:top w:val="single" w:color="000000" w:sz="4"/>
                    <w:left w:val="none" w:color="000000" w:sz="4"/>
                    <w:bottom w:val="single" w:color="000000" w:sz="4"/>
                    <w:right w:val="single" w:color="000000" w:sz="4"/>
                  </w:tcBorders>
                </w:tcPr>
                <w:p/>
              </w:tc>
              <w:tc>
                <w:tcPr>
                  <w:tcW w:type="dxa" w:w="821"/>
                  <w:tcBorders>
                    <w:top w:val="none" w:color="000000" w:sz="4"/>
                    <w:left w:val="none" w:color="000000" w:sz="4"/>
                    <w:bottom w:val="single" w:color="000000" w:sz="4"/>
                    <w:right w:val="single" w:color="000000" w:sz="4"/>
                  </w:tcBorders>
                  <w:vAlign w:val="top"/>
                </w:tcPr>
                <w:p>
                  <w:pPr>
                    <w:jc w:val="center"/>
                  </w:pPr>
                  <w:r>
                    <w:rPr>
                      <w:sz w:val="21"/>
                    </w:rPr>
                    <w:t>绿地</w:t>
                  </w:r>
                </w:p>
              </w:tc>
              <w:tc>
                <w:tcPr>
                  <w:tcW w:type="dxa" w:w="3431"/>
                  <w:tcBorders>
                    <w:top w:val="none" w:color="000000" w:sz="4"/>
                    <w:left w:val="none" w:color="000000" w:sz="4"/>
                    <w:bottom w:val="single" w:color="000000" w:sz="4"/>
                    <w:right w:val="single" w:color="000000" w:sz="4"/>
                  </w:tcBorders>
                  <w:vAlign w:val="top"/>
                </w:tcPr>
                <w:p>
                  <w:pPr>
                    <w:jc w:val="both"/>
                  </w:pPr>
                  <w:r>
                    <w:rPr>
                      <w:sz w:val="21"/>
                    </w:rPr>
                    <w:t>包含</w:t>
                  </w:r>
                  <w:r>
                    <w:rPr>
                      <w:sz w:val="21"/>
                    </w:rPr>
                    <w:t>1:20000比例尺下的详细绿地面；绿地名称、类型范围等属性信息</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61"/>
                  <w:tcBorders>
                    <w:top w:val="none" w:color="000000" w:sz="4"/>
                    <w:left w:val="none" w:color="000000" w:sz="4"/>
                    <w:bottom w:val="single" w:color="000000" w:sz="4"/>
                    <w:right w:val="single" w:color="000000" w:sz="4"/>
                  </w:tcBorders>
                  <w:vAlign w:val="top"/>
                </w:tcPr>
                <w:p>
                  <w:pPr>
                    <w:jc w:val="center"/>
                  </w:pPr>
                  <w:r>
                    <w:rPr>
                      <w:sz w:val="21"/>
                    </w:rPr>
                    <w:t>显示文字数据</w:t>
                  </w:r>
                </w:p>
              </w:tc>
              <w:tc>
                <w:tcPr>
                  <w:tcW w:type="dxa" w:w="821"/>
                  <w:tcBorders>
                    <w:top w:val="none" w:color="000000" w:sz="4"/>
                    <w:left w:val="none" w:color="000000" w:sz="4"/>
                    <w:bottom w:val="single" w:color="000000" w:sz="4"/>
                    <w:right w:val="single" w:color="000000" w:sz="4"/>
                  </w:tcBorders>
                  <w:vAlign w:val="top"/>
                </w:tcPr>
                <w:p>
                  <w:pPr>
                    <w:jc w:val="center"/>
                  </w:pPr>
                  <w:r>
                    <w:rPr>
                      <w:sz w:val="21"/>
                    </w:rPr>
                    <w:t>地名</w:t>
                  </w:r>
                </w:p>
              </w:tc>
              <w:tc>
                <w:tcPr>
                  <w:tcW w:type="dxa" w:w="3431"/>
                  <w:tcBorders>
                    <w:top w:val="none" w:color="000000" w:sz="4"/>
                    <w:left w:val="none" w:color="000000" w:sz="4"/>
                    <w:bottom w:val="single" w:color="000000" w:sz="4"/>
                    <w:right w:val="single" w:color="000000" w:sz="4"/>
                  </w:tcBorders>
                  <w:vAlign w:val="top"/>
                </w:tcPr>
                <w:p>
                  <w:pPr>
                    <w:jc w:val="both"/>
                  </w:pPr>
                  <w:r>
                    <w:rPr>
                      <w:sz w:val="21"/>
                    </w:rPr>
                    <w:t>地名、自然地物的名称信息</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61"/>
                  <w:tcBorders>
                    <w:top w:val="none" w:color="000000" w:sz="4"/>
                    <w:left w:val="none" w:color="000000" w:sz="4"/>
                    <w:bottom w:val="single" w:color="000000" w:sz="4"/>
                    <w:right w:val="single" w:color="000000" w:sz="4"/>
                  </w:tcBorders>
                  <w:vAlign w:val="top"/>
                </w:tcPr>
                <w:p>
                  <w:pPr>
                    <w:jc w:val="center"/>
                  </w:pPr>
                  <w:r>
                    <w:rPr>
                      <w:sz w:val="21"/>
                    </w:rPr>
                    <w:t>索引数据</w:t>
                  </w:r>
                </w:p>
              </w:tc>
              <w:tc>
                <w:tcPr>
                  <w:tcW w:type="dxa" w:w="821"/>
                  <w:tcBorders>
                    <w:top w:val="none" w:color="000000" w:sz="4"/>
                    <w:left w:val="none" w:color="000000" w:sz="4"/>
                    <w:bottom w:val="single" w:color="000000" w:sz="4"/>
                    <w:right w:val="single" w:color="000000" w:sz="4"/>
                  </w:tcBorders>
                  <w:vAlign w:val="top"/>
                </w:tcPr>
                <w:p>
                  <w:pPr>
                    <w:jc w:val="center"/>
                  </w:pPr>
                  <w:r>
                    <w:rPr>
                      <w:sz w:val="21"/>
                    </w:rPr>
                    <w:t>POI</w:t>
                  </w:r>
                </w:p>
              </w:tc>
              <w:tc>
                <w:tcPr>
                  <w:tcW w:type="dxa" w:w="3431"/>
                  <w:tcBorders>
                    <w:top w:val="none" w:color="000000" w:sz="4"/>
                    <w:left w:val="none" w:color="000000" w:sz="4"/>
                    <w:bottom w:val="single" w:color="000000" w:sz="4"/>
                    <w:right w:val="single" w:color="000000" w:sz="4"/>
                  </w:tcBorders>
                  <w:vAlign w:val="top"/>
                </w:tcPr>
                <w:p>
                  <w:pPr>
                    <w:jc w:val="both"/>
                  </w:pPr>
                  <w:r>
                    <w:rPr>
                      <w:sz w:val="21"/>
                    </w:rPr>
                    <w:t>包含餐饮</w:t>
                  </w:r>
                  <w:r>
                    <w:rPr>
                      <w:sz w:val="21"/>
                    </w:rPr>
                    <w:t>、</w:t>
                  </w:r>
                  <w:r>
                    <w:rPr>
                      <w:sz w:val="21"/>
                    </w:rPr>
                    <w:t>住宿</w:t>
                  </w:r>
                  <w:r>
                    <w:rPr>
                      <w:sz w:val="21"/>
                    </w:rPr>
                    <w:t>、购物、</w:t>
                  </w:r>
                  <w:r>
                    <w:rPr>
                      <w:sz w:val="21"/>
                    </w:rPr>
                    <w:t>汽车服务、</w:t>
                  </w:r>
                  <w:r>
                    <w:rPr>
                      <w:sz w:val="21"/>
                    </w:rPr>
                    <w:t>金融保险、文化教育、</w:t>
                  </w:r>
                  <w:r>
                    <w:rPr>
                      <w:sz w:val="21"/>
                    </w:rPr>
                    <w:t>医疗</w:t>
                  </w:r>
                  <w:r>
                    <w:rPr>
                      <w:sz w:val="21"/>
                    </w:rPr>
                    <w:t>、运动休闲、</w:t>
                  </w:r>
                  <w:r>
                    <w:rPr>
                      <w:sz w:val="21"/>
                    </w:rPr>
                    <w:t>政府</w:t>
                  </w:r>
                  <w:r>
                    <w:rPr>
                      <w:sz w:val="21"/>
                    </w:rPr>
                    <w:t>及社会团体</w:t>
                  </w:r>
                  <w:r>
                    <w:rPr>
                      <w:sz w:val="21"/>
                    </w:rPr>
                    <w:t>、</w:t>
                  </w:r>
                  <w:r>
                    <w:rPr>
                      <w:sz w:val="21"/>
                    </w:rPr>
                    <w:t>商务办公、</w:t>
                  </w:r>
                  <w:r>
                    <w:rPr>
                      <w:sz w:val="21"/>
                    </w:rPr>
                    <w:t>居民服务</w:t>
                  </w:r>
                  <w:r>
                    <w:rPr>
                      <w:sz w:val="21"/>
                    </w:rPr>
                    <w:t>、交通运输、地名地址、</w:t>
                  </w:r>
                  <w:r>
                    <w:rPr>
                      <w:sz w:val="21"/>
                    </w:rPr>
                    <w:t>住宅小区、</w:t>
                  </w:r>
                  <w:r>
                    <w:rPr>
                      <w:sz w:val="21"/>
                    </w:rPr>
                    <w:t>其他基础设施</w:t>
                  </w:r>
                  <w:r>
                    <w:rPr>
                      <w:sz w:val="21"/>
                    </w:rPr>
                    <w:t>等</w:t>
                  </w:r>
                  <w:r>
                    <w:rPr>
                      <w:sz w:val="21"/>
                    </w:rPr>
                    <w:t>24大类</w:t>
                  </w:r>
                  <w:r>
                    <w:rPr>
                      <w:sz w:val="21"/>
                    </w:rPr>
                    <w:t>信息</w:t>
                  </w:r>
                  <w:r>
                    <w:rPr>
                      <w:sz w:val="21"/>
                    </w:rPr>
                    <w:t>（详细类别见表</w:t>
                  </w:r>
                  <w:r>
                    <w:rPr>
                      <w:sz w:val="21"/>
                    </w:rPr>
                    <w:t>3</w:t>
                  </w:r>
                  <w:r>
                    <w:rPr>
                      <w:sz w:val="21"/>
                    </w:rPr>
                    <w:t>）</w:t>
                  </w:r>
                </w:p>
              </w:tc>
            </w:tr>
          </w:tbl>
          <w:p>
            <w:r>
              <w:rPr>
                <w:sz w:val="21"/>
              </w:rPr>
              <w:t>(6)</w:t>
            </w:r>
            <w:r>
              <w:rPr>
                <w:sz w:val="21"/>
              </w:rPr>
              <w:t>▲更新频率</w:t>
            </w:r>
          </w:p>
          <w:p>
            <w:pPr>
              <w:ind w:firstLine="420"/>
            </w:pPr>
            <w:r>
              <w:rPr>
                <w:sz w:val="21"/>
              </w:rPr>
              <w:t>提供三年更新服务，除了初始化建设外，再提供</w:t>
            </w:r>
            <w:r>
              <w:rPr>
                <w:sz w:val="21"/>
              </w:rPr>
              <w:t>5次地图数据更新，更新频率为一年2次。</w:t>
            </w:r>
          </w:p>
          <w:p>
            <w:pPr>
              <w:jc w:val="both"/>
            </w:pPr>
            <w:r>
              <w:rPr>
                <w:b/>
                <w:sz w:val="20"/>
              </w:rPr>
              <w:t>2、</w:t>
            </w:r>
            <w:r>
              <w:rPr>
                <w:b/>
                <w:sz w:val="21"/>
              </w:rPr>
              <w:t>▲遥感影像地图服务要求</w:t>
            </w:r>
          </w:p>
          <w:p>
            <w:pPr>
              <w:jc w:val="both"/>
            </w:pPr>
            <w:r>
              <w:rPr>
                <w:b/>
                <w:sz w:val="21"/>
              </w:rPr>
              <w:t>提供中山市全市域空间分辨率</w:t>
            </w:r>
            <w:r>
              <w:rPr>
                <w:b/>
                <w:sz w:val="21"/>
              </w:rPr>
              <w:t>不低于</w:t>
            </w:r>
            <w:r>
              <w:rPr>
                <w:b/>
                <w:sz w:val="21"/>
              </w:rPr>
              <w:t>0.5米的卫星遥感影像数据,2023年存量卫星或航拍影像数据（投标人提供承诺函并加盖公章）。</w:t>
            </w:r>
          </w:p>
          <w:p>
            <w:r>
              <w:rPr>
                <w:sz w:val="24"/>
              </w:rPr>
              <w:t>(1)</w:t>
            </w:r>
            <w:r>
              <w:rPr>
                <w:sz w:val="21"/>
              </w:rPr>
              <w:t>▲交付</w:t>
            </w:r>
            <w:r>
              <w:rPr>
                <w:sz w:val="21"/>
              </w:rPr>
              <w:t>格式：遥感影像数据以成果数据的方式交付。</w:t>
            </w:r>
          </w:p>
          <w:p>
            <w:r>
              <w:rPr>
                <w:sz w:val="21"/>
              </w:rPr>
              <w:t>(2)</w:t>
            </w:r>
            <w:r>
              <w:rPr>
                <w:sz w:val="21"/>
              </w:rPr>
              <w:t>▲</w:t>
            </w:r>
            <w:r>
              <w:rPr>
                <w:sz w:val="21"/>
              </w:rPr>
              <w:t>数据现势性不能早于</w:t>
            </w:r>
            <w:r>
              <w:rPr>
                <w:sz w:val="21"/>
              </w:rPr>
              <w:t>2023年3月</w:t>
            </w:r>
            <w:r>
              <w:rPr>
                <w:sz w:val="21"/>
              </w:rPr>
              <w:t>（出具承诺书并加盖公章）</w:t>
            </w:r>
            <w:r>
              <w:rPr>
                <w:sz w:val="21"/>
              </w:rPr>
              <w:t>。</w:t>
            </w:r>
          </w:p>
          <w:p>
            <w:r>
              <w:rPr>
                <w:sz w:val="24"/>
              </w:rPr>
              <w:t>(3)</w:t>
            </w:r>
            <w:r>
              <w:rPr>
                <w:sz w:val="21"/>
              </w:rPr>
              <w:t>影像参数要求</w:t>
            </w:r>
          </w:p>
          <w:p>
            <w:r>
              <w:rPr>
                <w:sz w:val="21"/>
              </w:rPr>
              <w:t>1)</w:t>
            </w:r>
            <w:r>
              <w:rPr>
                <w:sz w:val="21"/>
              </w:rPr>
              <w:t>采用的卫星全色星下点分辨率</w:t>
            </w:r>
            <w:r>
              <w:rPr>
                <w:sz w:val="21"/>
              </w:rPr>
              <w:t>不低于</w:t>
            </w:r>
            <w:r>
              <w:rPr>
                <w:sz w:val="21"/>
              </w:rPr>
              <w:t>0.5米；</w:t>
            </w:r>
          </w:p>
          <w:p>
            <w:r>
              <w:rPr>
                <w:sz w:val="21"/>
              </w:rPr>
              <w:t>2)</w:t>
            </w:r>
            <w:r>
              <w:rPr>
                <w:sz w:val="21"/>
              </w:rPr>
              <w:t>提供捆绑数据（全色及四波段多光谱）；</w:t>
            </w:r>
          </w:p>
          <w:p>
            <w:r>
              <w:rPr>
                <w:sz w:val="21"/>
              </w:rPr>
              <w:t>3)</w:t>
            </w:r>
            <w:r>
              <w:rPr>
                <w:sz w:val="21"/>
              </w:rPr>
              <w:t>提供镶嵌好的成果影像数据和原始卫星影像数据；</w:t>
            </w:r>
          </w:p>
          <w:p>
            <w:r>
              <w:rPr>
                <w:sz w:val="21"/>
              </w:rPr>
              <w:t>4)</w:t>
            </w:r>
            <w:r>
              <w:rPr>
                <w:sz w:val="21"/>
              </w:rPr>
              <w:t>卫星会以条带的方式进行采集，但提交的数据需要以</w:t>
            </w:r>
            <w:r>
              <w:rPr>
                <w:sz w:val="21"/>
              </w:rPr>
              <w:t>17.6km*17.6km标准景为提供，每景数据需要有对应的RPC参数，景和景之间需要有合适的重叠度；</w:t>
            </w:r>
          </w:p>
          <w:p>
            <w:r>
              <w:rPr>
                <w:sz w:val="21"/>
              </w:rPr>
              <w:t>5)</w:t>
            </w:r>
            <w:r>
              <w:rPr>
                <w:sz w:val="21"/>
              </w:rPr>
              <w:t>数据以</w:t>
            </w:r>
            <w:r>
              <w:rPr>
                <w:sz w:val="21"/>
              </w:rPr>
              <w:t>Geotiff格式提交切片文件大小为16k*16k；</w:t>
            </w:r>
          </w:p>
          <w:p>
            <w:r>
              <w:rPr>
                <w:sz w:val="21"/>
              </w:rPr>
              <w:t>6)</w:t>
            </w:r>
            <w:r>
              <w:rPr>
                <w:sz w:val="21"/>
              </w:rPr>
              <w:t>辅助数据应包含的文件如表</w:t>
            </w:r>
            <w:r>
              <w:rPr>
                <w:sz w:val="21"/>
              </w:rPr>
              <w:t>2所示</w:t>
            </w:r>
          </w:p>
          <w:p>
            <w:r>
              <w:rPr>
                <w:b/>
                <w:sz w:val="21"/>
              </w:rPr>
              <w:t>表</w:t>
            </w:r>
            <w:r>
              <w:rPr>
                <w:b/>
                <w:sz w:val="21"/>
              </w:rPr>
              <w:t>2</w:t>
            </w:r>
            <w:r>
              <w:rPr>
                <w:b/>
                <w:sz w:val="21"/>
              </w:rPr>
              <w:t>辅助数据应包含的文件</w:t>
            </w:r>
          </w:p>
          <w:tbl>
            <w:tblPr>
              <w:tblBorders>
                <w:top w:val="none" w:color="000000" w:sz="4"/>
                <w:left w:val="none" w:color="000000" w:sz="4"/>
                <w:bottom w:val="none" w:color="000000" w:sz="4"/>
                <w:right w:val="none" w:color="000000" w:sz="4"/>
                <w:insideH w:val="none"/>
                <w:insideV w:val="none"/>
              </w:tblBorders>
            </w:tblPr>
            <w:tblGrid>
              <w:gridCol w:w="1287"/>
              <w:gridCol w:w="4311"/>
            </w:tblGrid>
            <w:tr>
              <w:tc>
                <w:tcPr>
                  <w:tcW w:type="dxa" w:w="1287"/>
                  <w:tcBorders>
                    <w:top w:val="single" w:color="000000" w:sz="4"/>
                    <w:left w:val="single" w:color="000000" w:sz="4"/>
                    <w:bottom w:val="single" w:color="000000" w:sz="4"/>
                    <w:right w:val="single" w:color="000000" w:sz="4"/>
                  </w:tcBorders>
                  <w:vAlign w:val="top"/>
                </w:tcPr>
                <w:p>
                  <w:r>
                    <w:rPr>
                      <w:b/>
                      <w:sz w:val="21"/>
                    </w:rPr>
                    <w:t>文件类型</w:t>
                  </w:r>
                </w:p>
              </w:tc>
              <w:tc>
                <w:tcPr>
                  <w:tcW w:type="dxa" w:w="4311"/>
                  <w:tcBorders>
                    <w:top w:val="single" w:color="000000" w:sz="4"/>
                    <w:left w:val="single" w:color="000000" w:sz="4"/>
                    <w:bottom w:val="single" w:color="000000" w:sz="4"/>
                    <w:right w:val="single" w:color="000000" w:sz="4"/>
                  </w:tcBorders>
                  <w:vAlign w:val="top"/>
                </w:tcPr>
                <w:p>
                  <w:pPr>
                    <w:jc w:val="center"/>
                  </w:pPr>
                  <w:r>
                    <w:rPr>
                      <w:b/>
                      <w:sz w:val="21"/>
                    </w:rPr>
                    <w:t>说明</w:t>
                  </w:r>
                </w:p>
              </w:tc>
            </w:tr>
            <w:tr>
              <w:tc>
                <w:tcPr>
                  <w:tcW w:type="dxa" w:w="1287"/>
                  <w:tcBorders>
                    <w:top w:val="none" w:color="000000" w:sz="4"/>
                    <w:left w:val="single" w:color="000000" w:sz="4"/>
                    <w:bottom w:val="single" w:color="000000" w:sz="4"/>
                    <w:right w:val="single" w:color="000000" w:sz="4"/>
                  </w:tcBorders>
                  <w:vAlign w:val="top"/>
                </w:tcPr>
                <w:p>
                  <w:r>
                    <w:rPr>
                      <w:sz w:val="21"/>
                    </w:rPr>
                    <w:t>影像元数据文件</w:t>
                  </w:r>
                </w:p>
              </w:tc>
              <w:tc>
                <w:tcPr>
                  <w:tcW w:type="dxa" w:w="4311"/>
                  <w:tcBorders>
                    <w:top w:val="none" w:color="000000" w:sz="4"/>
                    <w:left w:val="single" w:color="000000" w:sz="4"/>
                    <w:bottom w:val="single" w:color="000000" w:sz="4"/>
                    <w:right w:val="single" w:color="000000" w:sz="4"/>
                  </w:tcBorders>
                  <w:vAlign w:val="top"/>
                </w:tcPr>
                <w:p>
                  <w:r>
                    <w:rPr>
                      <w:sz w:val="21"/>
                    </w:rPr>
                    <w:t>包括产品级别，影像角点坐标，投影信息和获取时间，由该数据可以得到每条扫描线的成像时刻等信息。</w:t>
                  </w:r>
                </w:p>
              </w:tc>
            </w:tr>
            <w:tr>
              <w:tc>
                <w:tcPr>
                  <w:tcW w:type="dxa" w:w="1287"/>
                  <w:tcBorders>
                    <w:top w:val="none" w:color="000000" w:sz="4"/>
                    <w:left w:val="single" w:color="000000" w:sz="4"/>
                    <w:bottom w:val="single" w:color="000000" w:sz="4"/>
                    <w:right w:val="single" w:color="000000" w:sz="4"/>
                  </w:tcBorders>
                  <w:vAlign w:val="top"/>
                </w:tcPr>
                <w:p>
                  <w:r>
                    <w:rPr>
                      <w:sz w:val="21"/>
                    </w:rPr>
                    <w:t>图像浏览文件</w:t>
                  </w:r>
                </w:p>
              </w:tc>
              <w:tc>
                <w:tcPr>
                  <w:tcW w:type="dxa" w:w="4311"/>
                  <w:tcBorders>
                    <w:top w:val="none" w:color="000000" w:sz="4"/>
                    <w:left w:val="single" w:color="000000" w:sz="4"/>
                    <w:bottom w:val="single" w:color="000000" w:sz="4"/>
                    <w:right w:val="single" w:color="000000" w:sz="4"/>
                  </w:tcBorders>
                  <w:vAlign w:val="top"/>
                </w:tcPr>
                <w:p>
                  <w:r>
                    <w:rPr>
                      <w:sz w:val="21"/>
                    </w:rPr>
                    <w:t>提供</w:t>
                  </w:r>
                  <w:r>
                    <w:rPr>
                      <w:sz w:val="21"/>
                    </w:rPr>
                    <w:t>JPG格式的缩略图，用于图像的快速浏览查看。</w:t>
                  </w:r>
                </w:p>
              </w:tc>
            </w:tr>
            <w:tr>
              <w:tc>
                <w:tcPr>
                  <w:tcW w:type="dxa" w:w="1287"/>
                  <w:tcBorders>
                    <w:top w:val="none" w:color="000000" w:sz="4"/>
                    <w:left w:val="single" w:color="000000" w:sz="4"/>
                    <w:bottom w:val="single" w:color="000000" w:sz="4"/>
                    <w:right w:val="single" w:color="000000" w:sz="4"/>
                  </w:tcBorders>
                  <w:vAlign w:val="top"/>
                </w:tcPr>
                <w:p>
                  <w:r>
                    <w:rPr>
                      <w:sz w:val="21"/>
                    </w:rPr>
                    <w:t>RPB文件</w:t>
                  </w:r>
                </w:p>
              </w:tc>
              <w:tc>
                <w:tcPr>
                  <w:tcW w:type="dxa" w:w="4311"/>
                  <w:tcBorders>
                    <w:top w:val="none" w:color="000000" w:sz="4"/>
                    <w:left w:val="single" w:color="000000" w:sz="4"/>
                    <w:bottom w:val="single" w:color="000000" w:sz="4"/>
                    <w:right w:val="single" w:color="000000" w:sz="4"/>
                  </w:tcBorders>
                  <w:vAlign w:val="top"/>
                </w:tcPr>
                <w:p>
                  <w:r>
                    <w:rPr>
                      <w:sz w:val="21"/>
                    </w:rPr>
                    <w:t>提供包含了有理多项式系数文件，可以将图像空间位置（行列）与经度、纬度、地表模型联系在一起，用来构建有理函数成像模型。</w:t>
                  </w:r>
                </w:p>
              </w:tc>
            </w:tr>
            <w:tr>
              <w:tc>
                <w:tcPr>
                  <w:tcW w:type="dxa" w:w="1287"/>
                  <w:tcBorders>
                    <w:top w:val="none" w:color="000000" w:sz="4"/>
                    <w:left w:val="single" w:color="000000" w:sz="4"/>
                    <w:bottom w:val="single" w:color="000000" w:sz="4"/>
                    <w:right w:val="single" w:color="000000" w:sz="4"/>
                  </w:tcBorders>
                  <w:vAlign w:val="top"/>
                </w:tcPr>
                <w:p>
                  <w:r>
                    <w:rPr>
                      <w:sz w:val="21"/>
                    </w:rPr>
                    <w:t>产品索引文件</w:t>
                  </w:r>
                </w:p>
              </w:tc>
              <w:tc>
                <w:tcPr>
                  <w:tcW w:type="dxa" w:w="4311"/>
                  <w:tcBorders>
                    <w:top w:val="none" w:color="000000" w:sz="4"/>
                    <w:left w:val="single" w:color="000000" w:sz="4"/>
                    <w:bottom w:val="single" w:color="000000" w:sz="4"/>
                    <w:right w:val="single" w:color="000000" w:sz="4"/>
                  </w:tcBorders>
                  <w:vAlign w:val="top"/>
                </w:tcPr>
                <w:p>
                  <w:r>
                    <w:rPr>
                      <w:sz w:val="21"/>
                    </w:rPr>
                    <w:t>包含所有文件索引信息。</w:t>
                  </w:r>
                </w:p>
              </w:tc>
            </w:tr>
            <w:tr>
              <w:tc>
                <w:tcPr>
                  <w:tcW w:type="dxa" w:w="1287"/>
                  <w:tcBorders>
                    <w:top w:val="none" w:color="000000" w:sz="4"/>
                    <w:left w:val="single" w:color="000000" w:sz="4"/>
                    <w:bottom w:val="single" w:color="000000" w:sz="4"/>
                    <w:right w:val="single" w:color="000000" w:sz="4"/>
                  </w:tcBorders>
                  <w:vAlign w:val="top"/>
                </w:tcPr>
                <w:p>
                  <w:r>
                    <w:rPr>
                      <w:sz w:val="21"/>
                    </w:rPr>
                    <w:t>矢量边界</w:t>
                  </w:r>
                </w:p>
              </w:tc>
              <w:tc>
                <w:tcPr>
                  <w:tcW w:type="dxa" w:w="4311"/>
                  <w:tcBorders>
                    <w:top w:val="none" w:color="000000" w:sz="4"/>
                    <w:left w:val="single" w:color="000000" w:sz="4"/>
                    <w:bottom w:val="single" w:color="000000" w:sz="4"/>
                    <w:right w:val="single" w:color="000000" w:sz="4"/>
                  </w:tcBorders>
                  <w:vAlign w:val="top"/>
                </w:tcPr>
                <w:p>
                  <w:r>
                    <w:rPr>
                      <w:sz w:val="21"/>
                    </w:rPr>
                    <w:t>提供影像的矢量边界信息。</w:t>
                  </w:r>
                </w:p>
              </w:tc>
            </w:tr>
            <w:tr>
              <w:tc>
                <w:tcPr>
                  <w:tcW w:type="dxa" w:w="1287"/>
                  <w:tcBorders>
                    <w:top w:val="none" w:color="000000" w:sz="4"/>
                    <w:left w:val="single" w:color="000000" w:sz="4"/>
                    <w:bottom w:val="single" w:color="000000" w:sz="4"/>
                    <w:right w:val="single" w:color="000000" w:sz="4"/>
                  </w:tcBorders>
                  <w:vAlign w:val="top"/>
                </w:tcPr>
                <w:p>
                  <w:r>
                    <w:rPr>
                      <w:sz w:val="21"/>
                    </w:rPr>
                    <w:t>分块索引文件</w:t>
                  </w:r>
                </w:p>
              </w:tc>
              <w:tc>
                <w:tcPr>
                  <w:tcW w:type="dxa" w:w="4311"/>
                  <w:tcBorders>
                    <w:top w:val="none" w:color="000000" w:sz="4"/>
                    <w:left w:val="single" w:color="000000" w:sz="4"/>
                    <w:bottom w:val="single" w:color="000000" w:sz="4"/>
                    <w:right w:val="single" w:color="000000" w:sz="4"/>
                  </w:tcBorders>
                  <w:vAlign w:val="top"/>
                </w:tcPr>
                <w:p>
                  <w:r>
                    <w:rPr>
                      <w:sz w:val="21"/>
                    </w:rPr>
                    <w:t>每个影像产品都将提供一个分块索引文件用于显示切割后各部分的坐标。</w:t>
                  </w:r>
                </w:p>
              </w:tc>
            </w:tr>
          </w:tbl>
          <w:p/>
          <w:p>
            <w:r>
              <w:rPr>
                <w:sz w:val="24"/>
              </w:rPr>
              <w:t>(4)</w:t>
            </w:r>
            <w:r>
              <w:rPr>
                <w:sz w:val="21"/>
              </w:rPr>
              <w:t>影像质量要求</w:t>
            </w:r>
          </w:p>
          <w:p>
            <w:r>
              <w:rPr>
                <w:sz w:val="21"/>
              </w:rPr>
              <w:t>1)</w:t>
            </w:r>
            <w:r>
              <w:rPr>
                <w:sz w:val="21"/>
              </w:rPr>
              <w:t>每景原始影像的云雾覆盖量小于</w:t>
            </w:r>
            <w:r>
              <w:rPr>
                <w:sz w:val="21"/>
              </w:rPr>
              <w:t>10%；如每景原始影像的云雾覆盖量超过10%，关键区域无云雾覆盖；云量和阴影面积之和占总面积15%以内；</w:t>
            </w:r>
          </w:p>
          <w:p>
            <w:r>
              <w:rPr>
                <w:sz w:val="21"/>
              </w:rPr>
              <w:t>2)</w:t>
            </w:r>
            <w:r>
              <w:rPr>
                <w:sz w:val="21"/>
              </w:rPr>
              <w:t>原始影像相邻两景间不少于</w:t>
            </w:r>
            <w:r>
              <w:rPr>
                <w:sz w:val="21"/>
              </w:rPr>
              <w:t>10%的重叠区域,以保证成图范围内无缝镶嵌；</w:t>
            </w:r>
          </w:p>
          <w:p>
            <w:r>
              <w:rPr>
                <w:sz w:val="21"/>
              </w:rPr>
              <w:t>3)</w:t>
            </w:r>
            <w:r>
              <w:rPr>
                <w:sz w:val="21"/>
              </w:rPr>
              <w:t>原始影像拍摄侧视角原则上应小于</w:t>
            </w:r>
            <w:r>
              <w:rPr>
                <w:sz w:val="21"/>
              </w:rPr>
              <w:t>±20°；</w:t>
            </w:r>
          </w:p>
          <w:p>
            <w:r>
              <w:rPr>
                <w:sz w:val="21"/>
              </w:rPr>
              <w:t>4)</w:t>
            </w:r>
            <w:r>
              <w:rPr>
                <w:sz w:val="21"/>
              </w:rPr>
              <w:t>原始影像采集时间尽量为</w:t>
            </w:r>
            <w:r>
              <w:rPr>
                <w:sz w:val="21"/>
              </w:rPr>
              <w:t>8~12月份之间；</w:t>
            </w:r>
          </w:p>
          <w:p>
            <w:r>
              <w:rPr>
                <w:sz w:val="21"/>
              </w:rPr>
              <w:t>5)</w:t>
            </w:r>
            <w:r>
              <w:rPr>
                <w:sz w:val="21"/>
              </w:rPr>
              <w:t>多光谱和全色数据采集时间应一致；</w:t>
            </w:r>
          </w:p>
          <w:p>
            <w:r>
              <w:rPr>
                <w:sz w:val="21"/>
              </w:rPr>
              <w:t>6)</w:t>
            </w:r>
            <w:r>
              <w:rPr>
                <w:sz w:val="21"/>
              </w:rPr>
              <w:t>原始影像的太阳方位角在</w:t>
            </w:r>
            <w:r>
              <w:rPr>
                <w:sz w:val="21"/>
              </w:rPr>
              <w:t>0°~360°之间；</w:t>
            </w:r>
          </w:p>
          <w:p>
            <w:r>
              <w:rPr>
                <w:sz w:val="21"/>
              </w:rPr>
              <w:t>7)</w:t>
            </w:r>
            <w:r>
              <w:rPr>
                <w:sz w:val="21"/>
              </w:rPr>
              <w:t>原始影像据的目标方位角在</w:t>
            </w:r>
            <w:r>
              <w:rPr>
                <w:sz w:val="21"/>
              </w:rPr>
              <w:t>0°~360°之间；</w:t>
            </w:r>
          </w:p>
          <w:p>
            <w:r>
              <w:rPr>
                <w:sz w:val="21"/>
              </w:rPr>
              <w:t>8)</w:t>
            </w:r>
            <w:r>
              <w:rPr>
                <w:sz w:val="21"/>
              </w:rPr>
              <w:t>原始影像地物清晰，无光谱溢出、数据质量不稳定和掉线等各种质量问题。</w:t>
            </w:r>
          </w:p>
          <w:p>
            <w:r>
              <w:rPr>
                <w:sz w:val="21"/>
              </w:rPr>
              <w:t>(5)</w:t>
            </w:r>
            <w:r>
              <w:rPr>
                <w:sz w:val="21"/>
              </w:rPr>
              <w:t>空间分辨率及波长要求</w:t>
            </w:r>
          </w:p>
          <w:p>
            <w:r>
              <w:rPr>
                <w:sz w:val="21"/>
              </w:rPr>
              <w:t>1)</w:t>
            </w:r>
            <w:r>
              <w:rPr>
                <w:sz w:val="21"/>
              </w:rPr>
              <w:t>全色影像空间分辨率需达到</w:t>
            </w:r>
            <w:r>
              <w:rPr>
                <w:sz w:val="21"/>
              </w:rPr>
              <w:t>0.5米</w:t>
            </w:r>
            <w:r>
              <w:rPr>
                <w:sz w:val="21"/>
              </w:rPr>
              <w:t>及以上</w:t>
            </w:r>
            <w:r>
              <w:rPr>
                <w:sz w:val="21"/>
              </w:rPr>
              <w:t>，多光谱影像空间分辨率需达到</w:t>
            </w:r>
            <w:r>
              <w:rPr>
                <w:sz w:val="21"/>
              </w:rPr>
              <w:t>1米以上；</w:t>
            </w:r>
          </w:p>
          <w:p>
            <w:r>
              <w:rPr>
                <w:sz w:val="21"/>
              </w:rPr>
              <w:t>2)</w:t>
            </w:r>
            <w:r>
              <w:rPr>
                <w:sz w:val="21"/>
              </w:rPr>
              <w:t>基于原始全色影像的空间信息与原始多光谱影像的光谱信息进行融合，可得到空间分辨率</w:t>
            </w:r>
            <w:r>
              <w:rPr>
                <w:sz w:val="21"/>
              </w:rPr>
              <w:t>0.5米及以上</w:t>
            </w:r>
            <w:r>
              <w:rPr>
                <w:sz w:val="21"/>
              </w:rPr>
              <w:t>的高精度融合图像；</w:t>
            </w:r>
          </w:p>
          <w:p>
            <w:r>
              <w:rPr>
                <w:sz w:val="21"/>
              </w:rPr>
              <w:t>3)</w:t>
            </w:r>
            <w:r>
              <w:rPr>
                <w:sz w:val="21"/>
              </w:rPr>
              <w:t>多光谱影像应包含四个波段，波段顺序依次为蓝光波段，绿光波段，红光波段和近红外波段。</w:t>
            </w:r>
          </w:p>
          <w:p>
            <w:r>
              <w:rPr>
                <w:sz w:val="21"/>
              </w:rPr>
              <w:t>(6)</w:t>
            </w:r>
            <w:r>
              <w:rPr>
                <w:sz w:val="21"/>
              </w:rPr>
              <w:t>文件尺寸要求</w:t>
            </w:r>
          </w:p>
          <w:p>
            <w:r>
              <w:rPr>
                <w:sz w:val="21"/>
              </w:rPr>
              <w:t>1)</w:t>
            </w:r>
            <w:r>
              <w:rPr>
                <w:sz w:val="21"/>
              </w:rPr>
              <w:t>如果原始影像尺寸较大（超过</w:t>
            </w:r>
            <w:r>
              <w:rPr>
                <w:sz w:val="21"/>
              </w:rPr>
              <w:t>4GB），需进行分块处理，以满足数据存储及高效快速地对局部地区影像进行分析处理的需要;</w:t>
            </w:r>
          </w:p>
          <w:p>
            <w:r>
              <w:rPr>
                <w:sz w:val="21"/>
              </w:rPr>
              <w:t>2)</w:t>
            </w:r>
            <w:r>
              <w:rPr>
                <w:sz w:val="21"/>
              </w:rPr>
              <w:t>原始影像的分块方式可基于像素网格或者地理坐标进行用户自定义裁切。按</w:t>
            </w:r>
            <w:r>
              <w:rPr>
                <w:sz w:val="21"/>
              </w:rPr>
              <w:t>16,384 x 16,384 pixels (16k x16k)尺寸裁切;</w:t>
            </w:r>
          </w:p>
          <w:p>
            <w:r>
              <w:rPr>
                <w:sz w:val="21"/>
              </w:rPr>
              <w:t>3)</w:t>
            </w:r>
            <w:r>
              <w:rPr>
                <w:sz w:val="21"/>
              </w:rPr>
              <w:t>如果所需影像区域范围包含多个条带时，影像将由每个条带下的部分图像组成。如图</w:t>
            </w:r>
            <w:r>
              <w:rPr>
                <w:sz w:val="21"/>
              </w:rPr>
              <w:t>2中P001、P002所示。如果某部分图像超过了尺寸限制，将会再对其进行分块。分块结果将按照行列位置顺序编号。每个影像产品都需提供一个.TIL格式的文件用于显示切割后各部分的坐标。</w:t>
            </w:r>
          </w:p>
          <w:p>
            <w:r>
              <w:rPr>
                <w:sz w:val="21"/>
              </w:rPr>
              <w:t>(7)</w:t>
            </w:r>
            <w:r>
              <w:rPr>
                <w:sz w:val="21"/>
              </w:rPr>
              <w:t>其他要求</w:t>
            </w:r>
          </w:p>
          <w:p>
            <w:r>
              <w:rPr>
                <w:sz w:val="21"/>
              </w:rPr>
              <w:t>1)</w:t>
            </w:r>
            <w:r>
              <w:rPr>
                <w:sz w:val="21"/>
              </w:rPr>
              <w:t>投影方式：</w:t>
            </w:r>
            <w:r>
              <w:rPr>
                <w:sz w:val="21"/>
              </w:rPr>
              <w:t>UTM投影;</w:t>
            </w:r>
          </w:p>
          <w:p>
            <w:r>
              <w:rPr>
                <w:sz w:val="21"/>
              </w:rPr>
              <w:t>2)</w:t>
            </w:r>
            <w:r>
              <w:rPr>
                <w:sz w:val="21"/>
              </w:rPr>
              <w:t>数据交付方式：影像数据、影像数据元数据文件及描述文档将以磁盘形式提供，并在地图可视化系统或市局已建地图平台上发布成基础地图服务</w:t>
            </w:r>
            <w:r>
              <w:rPr>
                <w:sz w:val="21"/>
              </w:rPr>
              <w:t>;</w:t>
            </w:r>
          </w:p>
          <w:p>
            <w:r>
              <w:rPr>
                <w:sz w:val="21"/>
              </w:rPr>
              <w:t>3)</w:t>
            </w:r>
            <w:r>
              <w:rPr>
                <w:sz w:val="21"/>
              </w:rPr>
              <w:t>要求可以与已建的高精细地图</w:t>
            </w:r>
            <w:r>
              <w:rPr>
                <w:sz w:val="21"/>
              </w:rPr>
              <w:t>(2000国家大地坐标系)无缝叠加。</w:t>
            </w:r>
          </w:p>
          <w:p>
            <w:r>
              <w:rPr>
                <w:sz w:val="21"/>
              </w:rPr>
              <w:t>(8)</w:t>
            </w:r>
            <w:r>
              <w:rPr>
                <w:sz w:val="21"/>
              </w:rPr>
              <w:t>▲</w:t>
            </w:r>
            <w:r>
              <w:rPr>
                <w:sz w:val="21"/>
              </w:rPr>
              <w:t>更新频率</w:t>
            </w:r>
          </w:p>
          <w:p>
            <w:pPr>
              <w:ind w:firstLine="420"/>
            </w:pPr>
            <w:r>
              <w:rPr>
                <w:sz w:val="21"/>
              </w:rPr>
              <w:t>提供三年更新服务，除了初始化建设外，再提供</w:t>
            </w:r>
            <w:r>
              <w:rPr>
                <w:sz w:val="21"/>
              </w:rPr>
              <w:t>5次地图数据更新，更新频率为一年2次。</w:t>
            </w:r>
          </w:p>
          <w:p>
            <w:r>
              <w:rPr>
                <w:sz w:val="21"/>
              </w:rPr>
              <w:t>3、</w:t>
            </w:r>
            <w:r>
              <w:rPr>
                <w:sz w:val="21"/>
              </w:rPr>
              <w:t>POI数据服务</w:t>
            </w:r>
          </w:p>
          <w:p>
            <w:r>
              <w:rPr>
                <w:sz w:val="21"/>
              </w:rPr>
              <w:t>(1)</w:t>
            </w:r>
            <w:r>
              <w:rPr>
                <w:sz w:val="21"/>
              </w:rPr>
              <w:t>内容要求包括</w:t>
            </w:r>
            <w:r>
              <w:rPr>
                <w:sz w:val="21"/>
              </w:rPr>
              <w:t>POI的名称、坐标、类型、分类等信息</w:t>
            </w:r>
          </w:p>
          <w:p>
            <w:r>
              <w:rPr>
                <w:sz w:val="21"/>
              </w:rPr>
              <w:t>(2)</w:t>
            </w:r>
            <w:r>
              <w:rPr>
                <w:sz w:val="21"/>
              </w:rPr>
              <w:t>★数</w:t>
            </w:r>
            <w:r>
              <w:rPr>
                <w:sz w:val="21"/>
              </w:rPr>
              <w:t>据格式：</w:t>
            </w:r>
            <w:r>
              <w:rPr>
                <w:sz w:val="21"/>
              </w:rPr>
              <w:t>POI数据以原始数据（</w:t>
            </w:r>
            <w:r>
              <w:rPr>
                <w:sz w:val="21"/>
              </w:rPr>
              <w:t>SHP格式</w:t>
            </w:r>
            <w:r>
              <w:rPr>
                <w:sz w:val="21"/>
              </w:rPr>
              <w:t>）的方式交付</w:t>
            </w:r>
          </w:p>
          <w:p>
            <w:r>
              <w:rPr>
                <w:sz w:val="21"/>
              </w:rPr>
              <w:t>(3)</w:t>
            </w:r>
            <w:r>
              <w:rPr>
                <w:sz w:val="21"/>
              </w:rPr>
              <w:t>▲数据现势性不能早于2023年3月（出具承诺书并加盖公章）</w:t>
            </w:r>
          </w:p>
          <w:p>
            <w:r>
              <w:rPr>
                <w:sz w:val="21"/>
              </w:rPr>
              <w:t>(4)</w:t>
            </w:r>
            <w:r>
              <w:rPr>
                <w:sz w:val="21"/>
              </w:rPr>
              <w:t>▲</w:t>
            </w:r>
            <w:r>
              <w:rPr>
                <w:sz w:val="21"/>
              </w:rPr>
              <w:t>POI分类包括政府机构及社会团体、科教文化服务、医疗保健服务、交通设施服务、餐饮服务、住宿服务、购物服务、生活服务、休闲服务等24大类（投标人须提供相关承诺并加盖公章）。具体的POI分类要求如表3所示：</w:t>
            </w:r>
          </w:p>
          <w:p>
            <w:r>
              <w:rPr>
                <w:b/>
                <w:sz w:val="21"/>
              </w:rPr>
              <w:t>表</w:t>
            </w:r>
            <w:r>
              <w:rPr>
                <w:b/>
                <w:sz w:val="21"/>
              </w:rPr>
              <w:t>3</w:t>
            </w:r>
            <w:r>
              <w:rPr>
                <w:b/>
                <w:sz w:val="21"/>
              </w:rPr>
              <w:t xml:space="preserve"> </w:t>
            </w:r>
            <w:r>
              <w:rPr>
                <w:b/>
                <w:sz w:val="21"/>
              </w:rPr>
              <w:t>POI分类</w:t>
            </w:r>
          </w:p>
          <w:tbl>
            <w:tblPr>
              <w:tblInd w:type="dxa" w:w="510"/>
              <w:tblBorders>
                <w:top w:val="none" w:color="000000" w:sz="4"/>
                <w:left w:val="none" w:color="000000" w:sz="4"/>
                <w:bottom w:val="none" w:color="000000" w:sz="4"/>
                <w:right w:val="none" w:color="000000" w:sz="4"/>
                <w:insideH w:val="none"/>
                <w:insideV w:val="none"/>
              </w:tblBorders>
            </w:tblPr>
            <w:tblGrid>
              <w:gridCol w:w="1395"/>
              <w:gridCol w:w="2115"/>
              <w:gridCol w:w="3270"/>
            </w:tblGrid>
            <w:tr>
              <w:tc>
                <w:tcPr>
                  <w:tcW w:type="dxa" w:w="1395"/>
                  <w:tcBorders>
                    <w:top w:val="single" w:color="000000" w:sz="4"/>
                    <w:left w:val="single" w:color="000000" w:sz="4"/>
                    <w:bottom w:val="single" w:color="000000" w:sz="4"/>
                    <w:right w:val="single" w:color="000000" w:sz="4"/>
                  </w:tcBorders>
                  <w:vAlign w:val="top"/>
                </w:tcPr>
                <w:p>
                  <w:pPr>
                    <w:jc w:val="center"/>
                  </w:pPr>
                  <w:r>
                    <w:rPr>
                      <w:b/>
                      <w:sz w:val="21"/>
                    </w:rPr>
                    <w:t>大类</w:t>
                  </w:r>
                </w:p>
              </w:tc>
              <w:tc>
                <w:tcPr>
                  <w:tcW w:type="dxa" w:w="2115"/>
                  <w:tcBorders>
                    <w:top w:val="single" w:color="000000" w:sz="4"/>
                    <w:left w:val="none" w:color="000000" w:sz="4"/>
                    <w:bottom w:val="single" w:color="000000" w:sz="4"/>
                    <w:right w:val="single" w:color="000000" w:sz="4"/>
                  </w:tcBorders>
                  <w:vAlign w:val="top"/>
                </w:tcPr>
                <w:p>
                  <w:pPr>
                    <w:jc w:val="center"/>
                  </w:pPr>
                  <w:r>
                    <w:rPr>
                      <w:b/>
                      <w:sz w:val="21"/>
                    </w:rPr>
                    <w:t>中类</w:t>
                  </w:r>
                </w:p>
              </w:tc>
              <w:tc>
                <w:tcPr>
                  <w:tcW w:type="dxa" w:w="3270"/>
                  <w:tcBorders>
                    <w:top w:val="single" w:color="000000" w:sz="4"/>
                    <w:left w:val="none" w:color="000000" w:sz="4"/>
                    <w:bottom w:val="single" w:color="000000" w:sz="4"/>
                    <w:right w:val="single" w:color="000000" w:sz="4"/>
                  </w:tcBorders>
                  <w:vAlign w:val="top"/>
                </w:tcPr>
                <w:p>
                  <w:pPr>
                    <w:jc w:val="center"/>
                  </w:pPr>
                  <w:r>
                    <w:rPr>
                      <w:b/>
                      <w:sz w:val="21"/>
                    </w:rPr>
                    <w:t>小类</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餐饮</w:t>
                  </w:r>
                </w:p>
              </w:tc>
              <w:tc>
                <w:tcPr>
                  <w:tcW w:type="dxa" w:w="2115"/>
                  <w:tcBorders>
                    <w:top w:val="none" w:color="000000" w:sz="4"/>
                    <w:left w:val="none" w:color="000000" w:sz="4"/>
                    <w:bottom w:val="single" w:color="000000" w:sz="4"/>
                    <w:right w:val="single" w:color="000000" w:sz="4"/>
                  </w:tcBorders>
                  <w:vAlign w:val="top"/>
                </w:tcPr>
                <w:p>
                  <w:pPr>
                    <w:jc w:val="both"/>
                  </w:pPr>
                  <w:r>
                    <w:rPr>
                      <w:sz w:val="21"/>
                    </w:rPr>
                    <w:t>餐饮相关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餐饮相关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中餐厅</w:t>
                  </w:r>
                </w:p>
              </w:tc>
              <w:tc>
                <w:tcPr>
                  <w:tcW w:type="dxa" w:w="3270"/>
                  <w:tcBorders>
                    <w:top w:val="none" w:color="000000" w:sz="4"/>
                    <w:left w:val="none" w:color="000000" w:sz="4"/>
                    <w:bottom w:val="single" w:color="000000" w:sz="4"/>
                    <w:right w:val="single" w:color="000000" w:sz="4"/>
                  </w:tcBorders>
                  <w:vAlign w:val="top"/>
                </w:tcPr>
                <w:p>
                  <w:pPr>
                    <w:jc w:val="both"/>
                  </w:pPr>
                  <w:r>
                    <w:rPr>
                      <w:sz w:val="21"/>
                    </w:rPr>
                    <w:t>中餐厅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火锅店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清真菜馆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地方风味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特色饭店</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快餐厅</w:t>
                  </w:r>
                </w:p>
              </w:tc>
              <w:tc>
                <w:tcPr>
                  <w:tcW w:type="dxa" w:w="3270"/>
                  <w:tcBorders>
                    <w:top w:val="none" w:color="000000" w:sz="4"/>
                    <w:left w:val="none" w:color="000000" w:sz="4"/>
                    <w:bottom w:val="single" w:color="000000" w:sz="4"/>
                    <w:right w:val="single" w:color="000000" w:sz="4"/>
                  </w:tcBorders>
                  <w:vAlign w:val="top"/>
                </w:tcPr>
                <w:p>
                  <w:pPr>
                    <w:jc w:val="both"/>
                  </w:pPr>
                  <w:r>
                    <w:rPr>
                      <w:sz w:val="21"/>
                    </w:rPr>
                    <w:t>快餐厅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肯德基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麦当劳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必胜客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永和豆浆</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外国餐厅</w:t>
                  </w:r>
                </w:p>
              </w:tc>
              <w:tc>
                <w:tcPr>
                  <w:tcW w:type="dxa" w:w="3270"/>
                  <w:tcBorders>
                    <w:top w:val="none" w:color="000000" w:sz="4"/>
                    <w:left w:val="none" w:color="000000" w:sz="4"/>
                    <w:bottom w:val="single" w:color="000000" w:sz="4"/>
                    <w:right w:val="single" w:color="000000" w:sz="4"/>
                  </w:tcBorders>
                  <w:vAlign w:val="top"/>
                </w:tcPr>
                <w:p>
                  <w:pPr>
                    <w:jc w:val="both"/>
                  </w:pPr>
                  <w:r>
                    <w:rPr>
                      <w:sz w:val="21"/>
                    </w:rPr>
                    <w:t>外国餐厅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西餐厅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异国风味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休闲餐饮</w:t>
                  </w:r>
                </w:p>
              </w:tc>
              <w:tc>
                <w:tcPr>
                  <w:tcW w:type="dxa" w:w="3270"/>
                  <w:tcBorders>
                    <w:top w:val="none" w:color="000000" w:sz="4"/>
                    <w:left w:val="none" w:color="000000" w:sz="4"/>
                    <w:bottom w:val="single" w:color="000000" w:sz="4"/>
                    <w:right w:val="single" w:color="000000" w:sz="4"/>
                  </w:tcBorders>
                  <w:vAlign w:val="top"/>
                </w:tcPr>
                <w:p>
                  <w:pPr>
                    <w:jc w:val="both"/>
                  </w:pPr>
                  <w:r>
                    <w:rPr>
                      <w:sz w:val="21"/>
                    </w:rPr>
                    <w:t>休闲餐饮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茶餐厅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茶艺馆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冷饮店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甜品店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糕饼店</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咖啡馆</w:t>
                  </w:r>
                </w:p>
              </w:tc>
              <w:tc>
                <w:tcPr>
                  <w:tcW w:type="dxa" w:w="3270"/>
                  <w:tcBorders>
                    <w:top w:val="none" w:color="000000" w:sz="4"/>
                    <w:left w:val="none" w:color="000000" w:sz="4"/>
                    <w:bottom w:val="single" w:color="000000" w:sz="4"/>
                    <w:right w:val="single" w:color="000000" w:sz="4"/>
                  </w:tcBorders>
                  <w:vAlign w:val="top"/>
                </w:tcPr>
                <w:p>
                  <w:pPr>
                    <w:jc w:val="both"/>
                  </w:pPr>
                  <w:r>
                    <w:rPr>
                      <w:sz w:val="21"/>
                    </w:rPr>
                    <w:t>咖啡馆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星巴克</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住宿</w:t>
                  </w:r>
                </w:p>
              </w:tc>
              <w:tc>
                <w:tcPr>
                  <w:tcW w:type="dxa" w:w="2115"/>
                  <w:tcBorders>
                    <w:top w:val="none" w:color="000000" w:sz="4"/>
                    <w:left w:val="none" w:color="000000" w:sz="4"/>
                    <w:bottom w:val="single" w:color="000000" w:sz="4"/>
                    <w:right w:val="single" w:color="000000" w:sz="4"/>
                  </w:tcBorders>
                  <w:vAlign w:val="top"/>
                </w:tcPr>
                <w:p>
                  <w:pPr>
                    <w:jc w:val="both"/>
                  </w:pPr>
                  <w:r>
                    <w:rPr>
                      <w:sz w:val="21"/>
                    </w:rPr>
                    <w:t>住宿相关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住宿相关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商业住宿</w:t>
                  </w:r>
                </w:p>
              </w:tc>
              <w:tc>
                <w:tcPr>
                  <w:tcW w:type="dxa" w:w="3270"/>
                  <w:tcBorders>
                    <w:top w:val="none" w:color="000000" w:sz="4"/>
                    <w:left w:val="none" w:color="000000" w:sz="4"/>
                    <w:bottom w:val="single" w:color="000000" w:sz="4"/>
                    <w:right w:val="single" w:color="000000" w:sz="4"/>
                  </w:tcBorders>
                  <w:vAlign w:val="top"/>
                </w:tcPr>
                <w:p>
                  <w:pPr>
                    <w:jc w:val="both"/>
                  </w:pPr>
                  <w:r>
                    <w:rPr>
                      <w:sz w:val="21"/>
                    </w:rPr>
                    <w:t>商业住宿</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宾馆酒店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星级酒店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旅馆招待所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公寓</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居民住宿</w:t>
                  </w:r>
                </w:p>
              </w:tc>
              <w:tc>
                <w:tcPr>
                  <w:tcW w:type="dxa" w:w="3270"/>
                  <w:tcBorders>
                    <w:top w:val="none" w:color="000000" w:sz="4"/>
                    <w:left w:val="none" w:color="000000" w:sz="4"/>
                    <w:bottom w:val="single" w:color="000000" w:sz="4"/>
                    <w:right w:val="single" w:color="000000" w:sz="4"/>
                  </w:tcBorders>
                  <w:vAlign w:val="top"/>
                </w:tcPr>
                <w:p>
                  <w:pPr>
                    <w:jc w:val="both"/>
                  </w:pPr>
                  <w:r>
                    <w:rPr>
                      <w:sz w:val="21"/>
                    </w:rPr>
                    <w:t>居民住宿</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小区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宿舍</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购物</w:t>
                  </w:r>
                </w:p>
              </w:tc>
              <w:tc>
                <w:tcPr>
                  <w:tcW w:type="dxa" w:w="2115"/>
                  <w:tcBorders>
                    <w:top w:val="none" w:color="000000" w:sz="4"/>
                    <w:left w:val="none" w:color="000000" w:sz="4"/>
                    <w:bottom w:val="single" w:color="000000" w:sz="4"/>
                    <w:right w:val="single" w:color="000000" w:sz="4"/>
                  </w:tcBorders>
                  <w:vAlign w:val="top"/>
                </w:tcPr>
                <w:p>
                  <w:pPr>
                    <w:jc w:val="both"/>
                  </w:pPr>
                  <w:r>
                    <w:rPr>
                      <w:sz w:val="21"/>
                    </w:rPr>
                    <w:t>购物相关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购物相关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综合商场</w:t>
                  </w:r>
                </w:p>
              </w:tc>
              <w:tc>
                <w:tcPr>
                  <w:tcW w:type="dxa" w:w="3270"/>
                  <w:tcBorders>
                    <w:top w:val="none" w:color="000000" w:sz="4"/>
                    <w:left w:val="none" w:color="000000" w:sz="4"/>
                    <w:bottom w:val="single" w:color="000000" w:sz="4"/>
                    <w:right w:val="single" w:color="000000" w:sz="4"/>
                  </w:tcBorders>
                  <w:vAlign w:val="top"/>
                </w:tcPr>
                <w:p>
                  <w:pPr>
                    <w:jc w:val="both"/>
                  </w:pPr>
                  <w:r>
                    <w:rPr>
                      <w:sz w:val="21"/>
                    </w:rPr>
                    <w:t>综合商场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购物中心</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小商品城</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免税品店</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超市</w:t>
                  </w:r>
                </w:p>
              </w:tc>
              <w:tc>
                <w:tcPr>
                  <w:tcW w:type="dxa" w:w="3270"/>
                  <w:tcBorders>
                    <w:top w:val="none" w:color="000000" w:sz="4"/>
                    <w:left w:val="none" w:color="000000" w:sz="4"/>
                    <w:bottom w:val="single" w:color="000000" w:sz="4"/>
                    <w:right w:val="single" w:color="000000" w:sz="4"/>
                  </w:tcBorders>
                  <w:vAlign w:val="top"/>
                </w:tcPr>
                <w:p>
                  <w:pPr>
                    <w:jc w:val="both"/>
                  </w:pPr>
                  <w:r>
                    <w:rPr>
                      <w:sz w:val="21"/>
                    </w:rPr>
                    <w:t>超市</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家乐福</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沃尔玛</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屈臣氏</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便利店</w:t>
                  </w:r>
                </w:p>
              </w:tc>
              <w:tc>
                <w:tcPr>
                  <w:tcW w:type="dxa" w:w="3270"/>
                  <w:tcBorders>
                    <w:top w:val="none" w:color="000000" w:sz="4"/>
                    <w:left w:val="none" w:color="000000" w:sz="4"/>
                    <w:bottom w:val="single" w:color="000000" w:sz="4"/>
                    <w:right w:val="single" w:color="000000" w:sz="4"/>
                  </w:tcBorders>
                  <w:vAlign w:val="top"/>
                </w:tcPr>
                <w:p>
                  <w:pPr>
                    <w:jc w:val="both"/>
                  </w:pPr>
                  <w:r>
                    <w:rPr>
                      <w:sz w:val="21"/>
                    </w:rPr>
                    <w:t>便利店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7-ELEVEn</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顺丰优选</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综合市场</w:t>
                  </w:r>
                </w:p>
              </w:tc>
              <w:tc>
                <w:tcPr>
                  <w:tcW w:type="dxa" w:w="3270"/>
                  <w:tcBorders>
                    <w:top w:val="none" w:color="000000" w:sz="4"/>
                    <w:left w:val="none" w:color="000000" w:sz="4"/>
                    <w:bottom w:val="single" w:color="000000" w:sz="4"/>
                    <w:right w:val="single" w:color="000000" w:sz="4"/>
                  </w:tcBorders>
                  <w:vAlign w:val="top"/>
                </w:tcPr>
                <w:p>
                  <w:pPr>
                    <w:jc w:val="both"/>
                  </w:pPr>
                  <w:r>
                    <w:rPr>
                      <w:sz w:val="21"/>
                    </w:rPr>
                    <w:t>综合市场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旧货市场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农副产品市场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果品市场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蔬菜市场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水产海鲜市场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家居建材市场</w:t>
                  </w:r>
                </w:p>
              </w:tc>
              <w:tc>
                <w:tcPr>
                  <w:tcW w:type="dxa" w:w="3270"/>
                  <w:tcBorders>
                    <w:top w:val="none" w:color="000000" w:sz="4"/>
                    <w:left w:val="none" w:color="000000" w:sz="4"/>
                    <w:bottom w:val="single" w:color="000000" w:sz="4"/>
                    <w:right w:val="single" w:color="000000" w:sz="4"/>
                  </w:tcBorders>
                  <w:vAlign w:val="top"/>
                </w:tcPr>
                <w:p>
                  <w:pPr>
                    <w:jc w:val="both"/>
                  </w:pPr>
                  <w:r>
                    <w:rPr>
                      <w:sz w:val="21"/>
                    </w:rPr>
                    <w:t>家居市场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家具城</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灯饰瓷器市场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厨卫市场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布艺市场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家电市场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五金建材</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花鸟鱼虫市场</w:t>
                  </w:r>
                </w:p>
              </w:tc>
              <w:tc>
                <w:tcPr>
                  <w:tcW w:type="dxa" w:w="3270"/>
                  <w:tcBorders>
                    <w:top w:val="none" w:color="000000" w:sz="4"/>
                    <w:left w:val="none" w:color="000000" w:sz="4"/>
                    <w:bottom w:val="single" w:color="000000" w:sz="4"/>
                    <w:right w:val="single" w:color="000000" w:sz="4"/>
                  </w:tcBorders>
                  <w:vAlign w:val="top"/>
                </w:tcPr>
                <w:p>
                  <w:pPr>
                    <w:jc w:val="both"/>
                  </w:pPr>
                  <w:r>
                    <w:rPr>
                      <w:sz w:val="21"/>
                    </w:rPr>
                    <w:t>花鸟鱼虫市场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花卉市场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宠物市场</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皮具服饰</w:t>
                  </w:r>
                </w:p>
              </w:tc>
              <w:tc>
                <w:tcPr>
                  <w:tcW w:type="dxa" w:w="3270"/>
                  <w:tcBorders>
                    <w:top w:val="none" w:color="000000" w:sz="4"/>
                    <w:left w:val="none" w:color="000000" w:sz="4"/>
                    <w:bottom w:val="single" w:color="000000" w:sz="4"/>
                    <w:right w:val="single" w:color="000000" w:sz="4"/>
                  </w:tcBorders>
                  <w:vAlign w:val="top"/>
                </w:tcPr>
                <w:p>
                  <w:pPr>
                    <w:jc w:val="both"/>
                  </w:pPr>
                  <w:r>
                    <w:rPr>
                      <w:sz w:val="21"/>
                    </w:rPr>
                    <w:t>皮具服饰</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运动服饰</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休闲服饰</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皮具箱包</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体育用品</w:t>
                  </w:r>
                </w:p>
              </w:tc>
              <w:tc>
                <w:tcPr>
                  <w:tcW w:type="dxa" w:w="3270"/>
                  <w:tcBorders>
                    <w:top w:val="none" w:color="000000" w:sz="4"/>
                    <w:left w:val="none" w:color="000000" w:sz="4"/>
                    <w:bottom w:val="single" w:color="000000" w:sz="4"/>
                    <w:right w:val="single" w:color="000000" w:sz="4"/>
                  </w:tcBorders>
                  <w:vAlign w:val="top"/>
                </w:tcPr>
                <w:p>
                  <w:pPr>
                    <w:jc w:val="both"/>
                  </w:pPr>
                  <w:r>
                    <w:rPr>
                      <w:sz w:val="21"/>
                    </w:rPr>
                    <w:t>体育用品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户外用品</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数码产品</w:t>
                  </w:r>
                </w:p>
              </w:tc>
              <w:tc>
                <w:tcPr>
                  <w:tcW w:type="dxa" w:w="3270"/>
                  <w:tcBorders>
                    <w:top w:val="none" w:color="000000" w:sz="4"/>
                    <w:left w:val="none" w:color="000000" w:sz="4"/>
                    <w:bottom w:val="single" w:color="000000" w:sz="4"/>
                    <w:right w:val="single" w:color="000000" w:sz="4"/>
                  </w:tcBorders>
                  <w:vAlign w:val="top"/>
                </w:tcPr>
                <w:p>
                  <w:pPr>
                    <w:jc w:val="both"/>
                  </w:pPr>
                  <w:r>
                    <w:rPr>
                      <w:sz w:val="21"/>
                    </w:rPr>
                    <w:t>数码产品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手机销售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电脑销售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摄影器材</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个人用品</w:t>
                  </w:r>
                </w:p>
              </w:tc>
              <w:tc>
                <w:tcPr>
                  <w:tcW w:type="dxa" w:w="3270"/>
                  <w:tcBorders>
                    <w:top w:val="none" w:color="000000" w:sz="4"/>
                    <w:left w:val="none" w:color="000000" w:sz="4"/>
                    <w:bottom w:val="single" w:color="000000" w:sz="4"/>
                    <w:right w:val="single" w:color="000000" w:sz="4"/>
                  </w:tcBorders>
                  <w:vAlign w:val="top"/>
                </w:tcPr>
                <w:p>
                  <w:pPr>
                    <w:jc w:val="both"/>
                  </w:pPr>
                  <w:r>
                    <w:rPr>
                      <w:sz w:val="21"/>
                    </w:rPr>
                    <w:t>个人用品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珠宝首饰工艺品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钟表眼镜</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礼品饰品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母婴儿童用品</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其他专营</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其他专营</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文化用品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古玩字画</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音像书店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烟酒专卖</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w:t>
                  </w:r>
                  <w:r>
                    <w:rPr>
                      <w:sz w:val="21"/>
                    </w:rPr>
                    <w:t>/单车专卖</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丧葬用品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宠物用品</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特色商业街</w:t>
                  </w:r>
                </w:p>
              </w:tc>
              <w:tc>
                <w:tcPr>
                  <w:tcW w:type="dxa" w:w="3270"/>
                  <w:tcBorders>
                    <w:top w:val="none" w:color="000000" w:sz="4"/>
                    <w:left w:val="none" w:color="000000" w:sz="4"/>
                    <w:bottom w:val="single" w:color="000000" w:sz="4"/>
                    <w:right w:val="single" w:color="000000" w:sz="4"/>
                  </w:tcBorders>
                  <w:vAlign w:val="top"/>
                </w:tcPr>
                <w:p>
                  <w:pPr>
                    <w:jc w:val="both"/>
                  </w:pPr>
                  <w:r>
                    <w:rPr>
                      <w:sz w:val="21"/>
                    </w:rPr>
                    <w:t>特色商业街</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汽车服务</w:t>
                  </w:r>
                </w:p>
              </w:tc>
              <w:tc>
                <w:tcPr>
                  <w:tcW w:type="dxa" w:w="2115"/>
                  <w:tcBorders>
                    <w:top w:val="none" w:color="000000" w:sz="4"/>
                    <w:left w:val="none" w:color="000000" w:sz="4"/>
                    <w:bottom w:val="single" w:color="000000" w:sz="4"/>
                    <w:right w:val="single" w:color="000000" w:sz="4"/>
                  </w:tcBorders>
                  <w:vAlign w:val="top"/>
                </w:tcPr>
                <w:p>
                  <w:pPr>
                    <w:jc w:val="both"/>
                  </w:pPr>
                  <w:r>
                    <w:rPr>
                      <w:sz w:val="21"/>
                    </w:rPr>
                    <w:t>汽车服务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汽车服务</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汽车销售</w:t>
                  </w: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二手车销售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维修保养</w:t>
                  </w: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汽车维修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汽车救援</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汽车保养</w:t>
                  </w:r>
                  <w:r>
                    <w:rPr>
                      <w:sz w:val="21"/>
                    </w:rPr>
                    <w:t>/装饰</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洗车场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加水站</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汽车检测</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加油站</w:t>
                  </w:r>
                </w:p>
              </w:tc>
              <w:tc>
                <w:tcPr>
                  <w:tcW w:type="dxa" w:w="3270"/>
                  <w:tcBorders>
                    <w:top w:val="none" w:color="000000" w:sz="4"/>
                    <w:left w:val="none" w:color="000000" w:sz="4"/>
                    <w:bottom w:val="single" w:color="000000" w:sz="4"/>
                    <w:right w:val="single" w:color="000000" w:sz="4"/>
                  </w:tcBorders>
                  <w:vAlign w:val="top"/>
                </w:tcPr>
                <w:p>
                  <w:pPr>
                    <w:jc w:val="both"/>
                  </w:pPr>
                  <w:r>
                    <w:rPr>
                      <w:sz w:val="21"/>
                    </w:rPr>
                    <w:t>加油站</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中国石化</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中国石油</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加气站</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汽车充电站</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其他能源站</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其他服务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配件销售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汽车租赁</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汽车俱乐部</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金融保险</w:t>
                  </w:r>
                </w:p>
              </w:tc>
              <w:tc>
                <w:tcPr>
                  <w:tcW w:type="dxa" w:w="2115"/>
                  <w:tcBorders>
                    <w:top w:val="none" w:color="000000" w:sz="4"/>
                    <w:left w:val="none" w:color="000000" w:sz="4"/>
                    <w:bottom w:val="single" w:color="000000" w:sz="4"/>
                    <w:right w:val="single" w:color="000000" w:sz="4"/>
                  </w:tcBorders>
                  <w:vAlign w:val="top"/>
                </w:tcPr>
                <w:p>
                  <w:pPr>
                    <w:jc w:val="both"/>
                  </w:pPr>
                  <w:r>
                    <w:rPr>
                      <w:sz w:val="21"/>
                    </w:rPr>
                    <w:t>金融保险服务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金融保险服务</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金融服务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银行</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ATM/自助银行</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银行相关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典当拍卖</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保险公司</w:t>
                  </w:r>
                </w:p>
              </w:tc>
              <w:tc>
                <w:tcPr>
                  <w:tcW w:type="dxa" w:w="3270"/>
                  <w:tcBorders>
                    <w:top w:val="none" w:color="000000" w:sz="4"/>
                    <w:left w:val="none" w:color="000000" w:sz="4"/>
                    <w:bottom w:val="single" w:color="000000" w:sz="4"/>
                    <w:right w:val="single" w:color="000000" w:sz="4"/>
                  </w:tcBorders>
                  <w:vAlign w:val="top"/>
                </w:tcPr>
                <w:p>
                  <w:pPr>
                    <w:jc w:val="both"/>
                  </w:pPr>
                  <w:r>
                    <w:rPr>
                      <w:sz w:val="21"/>
                    </w:rPr>
                    <w:t>保险公司</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证券公司</w:t>
                  </w:r>
                </w:p>
              </w:tc>
              <w:tc>
                <w:tcPr>
                  <w:tcW w:type="dxa" w:w="3270"/>
                  <w:tcBorders>
                    <w:top w:val="none" w:color="000000" w:sz="4"/>
                    <w:left w:val="none" w:color="000000" w:sz="4"/>
                    <w:bottom w:val="single" w:color="000000" w:sz="4"/>
                    <w:right w:val="single" w:color="000000" w:sz="4"/>
                  </w:tcBorders>
                  <w:vAlign w:val="top"/>
                </w:tcPr>
                <w:p>
                  <w:pPr>
                    <w:jc w:val="both"/>
                  </w:pPr>
                  <w:r>
                    <w:rPr>
                      <w:sz w:val="21"/>
                    </w:rPr>
                    <w:t>证券公司</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财务公司</w:t>
                  </w:r>
                </w:p>
              </w:tc>
              <w:tc>
                <w:tcPr>
                  <w:tcW w:type="dxa" w:w="3270"/>
                  <w:tcBorders>
                    <w:top w:val="none" w:color="000000" w:sz="4"/>
                    <w:left w:val="none" w:color="000000" w:sz="4"/>
                    <w:bottom w:val="single" w:color="000000" w:sz="4"/>
                    <w:right w:val="single" w:color="000000" w:sz="4"/>
                  </w:tcBorders>
                  <w:vAlign w:val="top"/>
                </w:tcPr>
                <w:p>
                  <w:pPr>
                    <w:jc w:val="both"/>
                  </w:pPr>
                  <w:r>
                    <w:rPr>
                      <w:sz w:val="21"/>
                    </w:rPr>
                    <w:t>财务公司</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文化教育</w:t>
                  </w:r>
                </w:p>
              </w:tc>
              <w:tc>
                <w:tcPr>
                  <w:tcW w:type="dxa" w:w="2115"/>
                  <w:tcBorders>
                    <w:top w:val="none" w:color="000000" w:sz="4"/>
                    <w:left w:val="none" w:color="000000" w:sz="4"/>
                    <w:bottom w:val="single" w:color="000000" w:sz="4"/>
                    <w:right w:val="single" w:color="000000" w:sz="4"/>
                  </w:tcBorders>
                  <w:vAlign w:val="top"/>
                </w:tcPr>
                <w:p>
                  <w:pPr>
                    <w:jc w:val="both"/>
                  </w:pPr>
                  <w:r>
                    <w:rPr>
                      <w:sz w:val="21"/>
                    </w:rPr>
                    <w:t>文化教育相关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文化教育相关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文化</w:t>
                  </w:r>
                </w:p>
              </w:tc>
              <w:tc>
                <w:tcPr>
                  <w:tcW w:type="dxa" w:w="3270"/>
                  <w:tcBorders>
                    <w:top w:val="none" w:color="000000" w:sz="4"/>
                    <w:left w:val="none" w:color="000000" w:sz="4"/>
                    <w:bottom w:val="single" w:color="000000" w:sz="4"/>
                    <w:right w:val="single" w:color="000000" w:sz="4"/>
                  </w:tcBorders>
                  <w:vAlign w:val="top"/>
                </w:tcPr>
                <w:p>
                  <w:pPr>
                    <w:jc w:val="both"/>
                  </w:pPr>
                  <w:r>
                    <w:rPr>
                      <w:sz w:val="21"/>
                    </w:rPr>
                    <w:t>文化相关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图书馆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美术馆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博物馆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科技馆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档案馆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展览馆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天文馆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文化宫</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会展中心</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教育</w:t>
                  </w:r>
                </w:p>
              </w:tc>
              <w:tc>
                <w:tcPr>
                  <w:tcW w:type="dxa" w:w="3270"/>
                  <w:tcBorders>
                    <w:top w:val="none" w:color="000000" w:sz="4"/>
                    <w:left w:val="none" w:color="000000" w:sz="4"/>
                    <w:bottom w:val="single" w:color="000000" w:sz="4"/>
                    <w:right w:val="single" w:color="000000" w:sz="4"/>
                  </w:tcBorders>
                  <w:vAlign w:val="top"/>
                </w:tcPr>
                <w:p>
                  <w:pPr>
                    <w:jc w:val="both"/>
                  </w:pPr>
                  <w:r>
                    <w:rPr>
                      <w:sz w:val="21"/>
                    </w:rPr>
                    <w:t>学校</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高等院校</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中学</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小学</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幼儿园</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职业技术学校</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成人学校</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学校内部设施</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培训机构</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媒体</w:t>
                  </w:r>
                </w:p>
              </w:tc>
              <w:tc>
                <w:tcPr>
                  <w:tcW w:type="dxa" w:w="3270"/>
                  <w:tcBorders>
                    <w:top w:val="none" w:color="000000" w:sz="4"/>
                    <w:left w:val="none" w:color="000000" w:sz="4"/>
                    <w:bottom w:val="single" w:color="000000" w:sz="4"/>
                    <w:right w:val="single" w:color="000000" w:sz="4"/>
                  </w:tcBorders>
                  <w:vAlign w:val="top"/>
                </w:tcPr>
                <w:p>
                  <w:pPr>
                    <w:jc w:val="both"/>
                  </w:pPr>
                  <w:r>
                    <w:rPr>
                      <w:sz w:val="21"/>
                    </w:rPr>
                    <w:t>媒体</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电视台</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电台</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报社</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杂志社</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出版社</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科研机构</w:t>
                  </w:r>
                </w:p>
              </w:tc>
              <w:tc>
                <w:tcPr>
                  <w:tcW w:type="dxa" w:w="3270"/>
                  <w:tcBorders>
                    <w:top w:val="none" w:color="000000" w:sz="4"/>
                    <w:left w:val="none" w:color="000000" w:sz="4"/>
                    <w:bottom w:val="single" w:color="000000" w:sz="4"/>
                    <w:right w:val="single" w:color="000000" w:sz="4"/>
                  </w:tcBorders>
                  <w:vAlign w:val="top"/>
                </w:tcPr>
                <w:p>
                  <w:pPr>
                    <w:jc w:val="both"/>
                  </w:pPr>
                  <w:r>
                    <w:rPr>
                      <w:sz w:val="21"/>
                    </w:rPr>
                    <w:t>科研机构</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驾校</w:t>
                  </w:r>
                </w:p>
              </w:tc>
              <w:tc>
                <w:tcPr>
                  <w:tcW w:type="dxa" w:w="3270"/>
                  <w:tcBorders>
                    <w:top w:val="none" w:color="000000" w:sz="4"/>
                    <w:left w:val="none" w:color="000000" w:sz="4"/>
                    <w:bottom w:val="single" w:color="000000" w:sz="4"/>
                    <w:right w:val="single" w:color="000000" w:sz="4"/>
                  </w:tcBorders>
                  <w:vAlign w:val="top"/>
                </w:tcPr>
                <w:p>
                  <w:pPr>
                    <w:jc w:val="both"/>
                  </w:pPr>
                  <w:r>
                    <w:rPr>
                      <w:sz w:val="21"/>
                    </w:rPr>
                    <w:t>驾校</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医疗</w:t>
                  </w:r>
                </w:p>
              </w:tc>
              <w:tc>
                <w:tcPr>
                  <w:tcW w:type="dxa" w:w="2115"/>
                  <w:tcBorders>
                    <w:top w:val="none" w:color="000000" w:sz="4"/>
                    <w:left w:val="none" w:color="000000" w:sz="4"/>
                    <w:bottom w:val="single" w:color="000000" w:sz="4"/>
                    <w:right w:val="single" w:color="000000" w:sz="4"/>
                  </w:tcBorders>
                  <w:vAlign w:val="top"/>
                </w:tcPr>
                <w:p>
                  <w:pPr>
                    <w:jc w:val="both"/>
                  </w:pPr>
                  <w:r>
                    <w:rPr>
                      <w:sz w:val="21"/>
                    </w:rPr>
                    <w:t>医疗相关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医疗相关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医院</w:t>
                  </w:r>
                </w:p>
              </w:tc>
              <w:tc>
                <w:tcPr>
                  <w:tcW w:type="dxa" w:w="3270"/>
                  <w:tcBorders>
                    <w:top w:val="none" w:color="000000" w:sz="4"/>
                    <w:left w:val="none" w:color="000000" w:sz="4"/>
                    <w:bottom w:val="single" w:color="000000" w:sz="4"/>
                    <w:right w:val="single" w:color="000000" w:sz="4"/>
                  </w:tcBorders>
                  <w:vAlign w:val="top"/>
                </w:tcPr>
                <w:p>
                  <w:pPr>
                    <w:jc w:val="both"/>
                  </w:pPr>
                  <w:r>
                    <w:rPr>
                      <w:sz w:val="21"/>
                    </w:rPr>
                    <w:t>综合医院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三甲医院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专科医院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急救中心</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医院附属设施</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卫生院</w:t>
                  </w:r>
                </w:p>
              </w:tc>
              <w:tc>
                <w:tcPr>
                  <w:tcW w:type="dxa" w:w="3270"/>
                  <w:tcBorders>
                    <w:top w:val="none" w:color="000000" w:sz="4"/>
                    <w:left w:val="none" w:color="000000" w:sz="4"/>
                    <w:bottom w:val="single" w:color="000000" w:sz="4"/>
                    <w:right w:val="single" w:color="000000" w:sz="4"/>
                  </w:tcBorders>
                  <w:vAlign w:val="top"/>
                </w:tcPr>
                <w:p>
                  <w:pPr>
                    <w:jc w:val="both"/>
                  </w:pPr>
                  <w:r>
                    <w:rPr>
                      <w:sz w:val="21"/>
                    </w:rPr>
                    <w:t>卫生院</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诊所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诊所</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疾病预防</w:t>
                  </w:r>
                </w:p>
              </w:tc>
              <w:tc>
                <w:tcPr>
                  <w:tcW w:type="dxa" w:w="3270"/>
                  <w:tcBorders>
                    <w:top w:val="none" w:color="000000" w:sz="4"/>
                    <w:left w:val="none" w:color="000000" w:sz="4"/>
                    <w:bottom w:val="single" w:color="000000" w:sz="4"/>
                    <w:right w:val="single" w:color="000000" w:sz="4"/>
                  </w:tcBorders>
                  <w:vAlign w:val="top"/>
                </w:tcPr>
                <w:p>
                  <w:pPr>
                    <w:jc w:val="both"/>
                  </w:pPr>
                  <w:r>
                    <w:rPr>
                      <w:sz w:val="21"/>
                    </w:rPr>
                    <w:t>疾病预防</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医药保健</w:t>
                  </w:r>
                </w:p>
              </w:tc>
              <w:tc>
                <w:tcPr>
                  <w:tcW w:type="dxa" w:w="3270"/>
                  <w:tcBorders>
                    <w:top w:val="none" w:color="000000" w:sz="4"/>
                    <w:left w:val="none" w:color="000000" w:sz="4"/>
                    <w:bottom w:val="single" w:color="000000" w:sz="4"/>
                    <w:right w:val="single" w:color="000000" w:sz="4"/>
                  </w:tcBorders>
                  <w:vAlign w:val="top"/>
                </w:tcPr>
                <w:p>
                  <w:pPr>
                    <w:jc w:val="both"/>
                  </w:pPr>
                  <w:r>
                    <w:rPr>
                      <w:sz w:val="21"/>
                    </w:rPr>
                    <w:t>医药保健相关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药店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保健品销售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动物医疗</w:t>
                  </w:r>
                </w:p>
              </w:tc>
              <w:tc>
                <w:tcPr>
                  <w:tcW w:type="dxa" w:w="3270"/>
                  <w:tcBorders>
                    <w:top w:val="none" w:color="000000" w:sz="4"/>
                    <w:left w:val="none" w:color="000000" w:sz="4"/>
                    <w:bottom w:val="single" w:color="000000" w:sz="4"/>
                    <w:right w:val="single" w:color="000000" w:sz="4"/>
                  </w:tcBorders>
                  <w:vAlign w:val="top"/>
                </w:tcPr>
                <w:p>
                  <w:pPr>
                    <w:jc w:val="both"/>
                  </w:pPr>
                  <w:r>
                    <w:rPr>
                      <w:sz w:val="21"/>
                    </w:rPr>
                    <w:t>动物医疗</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宠物诊所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兽医站</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运动休闲</w:t>
                  </w:r>
                </w:p>
              </w:tc>
              <w:tc>
                <w:tcPr>
                  <w:tcW w:type="dxa" w:w="2115"/>
                  <w:tcBorders>
                    <w:top w:val="none" w:color="000000" w:sz="4"/>
                    <w:left w:val="none" w:color="000000" w:sz="4"/>
                    <w:bottom w:val="single" w:color="000000" w:sz="4"/>
                    <w:right w:val="single" w:color="000000" w:sz="4"/>
                  </w:tcBorders>
                  <w:vAlign w:val="top"/>
                </w:tcPr>
                <w:p>
                  <w:pPr>
                    <w:jc w:val="both"/>
                  </w:pPr>
                  <w:r>
                    <w:rPr>
                      <w:sz w:val="21"/>
                    </w:rPr>
                    <w:t>运动休闲场所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运动休闲场所</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运动场所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运动场所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体育馆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篮球场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足球场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乒乓球馆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羽毛球馆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游泳馆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网球场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保龄球馆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滑雪场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溜冰场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台球厅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跆拳道馆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健身中心</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水上运动</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高尔夫相关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赛马场</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娱乐场所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娱乐场所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歌舞厅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KTV</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酒吧</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网吧</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游戏厅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棋牌室</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电影院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音乐厅</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剧场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彩票销售</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马会投注站</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休闲场所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休闲场所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公园</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广场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垂钓园</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采摘园</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露营地</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度假疗养场所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度假疗养场所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度假村</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动物园</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植物园</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水族馆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游乐场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海滨浴场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疗养院</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风景名胜</w:t>
                  </w:r>
                </w:p>
              </w:tc>
              <w:tc>
                <w:tcPr>
                  <w:tcW w:type="dxa" w:w="3270"/>
                  <w:tcBorders>
                    <w:top w:val="none" w:color="000000" w:sz="4"/>
                    <w:left w:val="none" w:color="000000" w:sz="4"/>
                    <w:bottom w:val="single" w:color="000000" w:sz="4"/>
                    <w:right w:val="single" w:color="000000" w:sz="4"/>
                  </w:tcBorders>
                  <w:vAlign w:val="top"/>
                </w:tcPr>
                <w:p>
                  <w:pPr>
                    <w:jc w:val="both"/>
                  </w:pPr>
                  <w:r>
                    <w:rPr>
                      <w:sz w:val="21"/>
                    </w:rPr>
                    <w:t>风景名胜</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世界遗产</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国家级景点</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省级景点</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纪念馆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5A景区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红色景区</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其他景区</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政府及社会团体相关</w:t>
                  </w:r>
                </w:p>
              </w:tc>
              <w:tc>
                <w:tcPr>
                  <w:tcW w:type="dxa" w:w="2115"/>
                  <w:tcBorders>
                    <w:top w:val="none" w:color="000000" w:sz="4"/>
                    <w:left w:val="none" w:color="000000" w:sz="4"/>
                    <w:bottom w:val="single" w:color="000000" w:sz="4"/>
                    <w:right w:val="single" w:color="000000" w:sz="4"/>
                  </w:tcBorders>
                  <w:vAlign w:val="top"/>
                </w:tcPr>
                <w:p>
                  <w:pPr>
                    <w:jc w:val="both"/>
                  </w:pPr>
                  <w:r>
                    <w:rPr>
                      <w:sz w:val="21"/>
                    </w:rPr>
                    <w:t>政府及社会团体相关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政府及社会团体相关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政府机关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政府机关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国家级政府机关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省级政府机关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地级市级政府机关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区县级政府机关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乡镇级政府机关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村委会</w:t>
                  </w:r>
                  <w:r>
                    <w:rPr>
                      <w:sz w:val="21"/>
                    </w:rPr>
                    <w:t>/居委会</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驻地方办事处</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税务机关</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公检法机构</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公检法机构</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公安局</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检察院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法院</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消防</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交警队</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交通车辆管理</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公证鉴定机构</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社会治安机构</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社会团体</w:t>
                  </w:r>
                </w:p>
              </w:tc>
              <w:tc>
                <w:tcPr>
                  <w:tcW w:type="dxa" w:w="3270"/>
                  <w:tcBorders>
                    <w:top w:val="none" w:color="000000" w:sz="4"/>
                    <w:left w:val="none" w:color="000000" w:sz="4"/>
                    <w:bottom w:val="single" w:color="000000" w:sz="4"/>
                    <w:right w:val="single" w:color="000000" w:sz="4"/>
                  </w:tcBorders>
                  <w:vAlign w:val="top"/>
                </w:tcPr>
                <w:p>
                  <w:pPr>
                    <w:jc w:val="both"/>
                  </w:pPr>
                  <w:r>
                    <w:rPr>
                      <w:sz w:val="21"/>
                    </w:rPr>
                    <w:t>社会团体</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妇联</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残联</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红十字会</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消费者协会</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行业协会</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慈善机构</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国际组织</w:t>
                  </w:r>
                </w:p>
              </w:tc>
              <w:tc>
                <w:tcPr>
                  <w:tcW w:type="dxa" w:w="3270"/>
                  <w:tcBorders>
                    <w:top w:val="none" w:color="000000" w:sz="4"/>
                    <w:left w:val="none" w:color="000000" w:sz="4"/>
                    <w:bottom w:val="single" w:color="000000" w:sz="4"/>
                    <w:right w:val="single" w:color="000000" w:sz="4"/>
                  </w:tcBorders>
                  <w:vAlign w:val="top"/>
                </w:tcPr>
                <w:p>
                  <w:pPr>
                    <w:jc w:val="both"/>
                  </w:pPr>
                  <w:r>
                    <w:rPr>
                      <w:sz w:val="21"/>
                    </w:rPr>
                    <w:t>国际组织相关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外国使领馆</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宗教相关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宗教相关</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寺庙道观</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教堂</w:t>
                  </w:r>
                </w:p>
              </w:tc>
            </w:tr>
            <w:tr>
              <w:tc>
                <w:tcPr>
                  <w:tcW w:type="dxa" w:w="1395"/>
                  <w:vMerge w:val="restart"/>
                  <w:tcBorders>
                    <w:top w:val="none" w:color="000000" w:sz="4"/>
                    <w:left w:val="single" w:color="000000" w:sz="4"/>
                    <w:bottom w:val="none" w:color="000000" w:sz="4"/>
                    <w:right w:val="single" w:color="000000" w:sz="4"/>
                  </w:tcBorders>
                  <w:vAlign w:val="top"/>
                </w:tcPr>
                <w:p>
                  <w:pPr>
                    <w:jc w:val="center"/>
                  </w:pPr>
                  <w:r>
                    <w:rPr>
                      <w:sz w:val="21"/>
                    </w:rPr>
                    <w:t>商务办公</w:t>
                  </w:r>
                </w:p>
              </w:tc>
              <w:tc>
                <w:tcPr>
                  <w:tcW w:type="dxa" w:w="2115"/>
                  <w:tcBorders>
                    <w:top w:val="none" w:color="000000" w:sz="4"/>
                    <w:left w:val="none" w:color="000000" w:sz="4"/>
                    <w:bottom w:val="single" w:color="000000" w:sz="4"/>
                    <w:right w:val="single" w:color="000000" w:sz="4"/>
                  </w:tcBorders>
                  <w:vAlign w:val="top"/>
                </w:tcPr>
                <w:p>
                  <w:pPr>
                    <w:jc w:val="both"/>
                  </w:pPr>
                  <w:r>
                    <w:rPr>
                      <w:sz w:val="21"/>
                    </w:rPr>
                    <w:t>商务办公相关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商务办公相关</w:t>
                  </w:r>
                </w:p>
              </w:tc>
            </w:tr>
            <w:tr>
              <w:tc>
                <w:tcPr>
                  <w:tcW w:type="dxa" w:w="1395"/>
                  <w:vMerge/>
                  <w:tcBorders>
                    <w:top w:val="none" w:color="000000" w:sz="4"/>
                    <w:left w:val="single" w:color="000000" w:sz="4"/>
                    <w:bottom w:val="non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商务楼宇</w:t>
                  </w:r>
                </w:p>
              </w:tc>
              <w:tc>
                <w:tcPr>
                  <w:tcW w:type="dxa" w:w="3270"/>
                  <w:tcBorders>
                    <w:top w:val="none" w:color="000000" w:sz="4"/>
                    <w:left w:val="none" w:color="000000" w:sz="4"/>
                    <w:bottom w:val="single" w:color="000000" w:sz="4"/>
                    <w:right w:val="single" w:color="000000" w:sz="4"/>
                  </w:tcBorders>
                  <w:vAlign w:val="top"/>
                </w:tcPr>
                <w:p>
                  <w:pPr>
                    <w:jc w:val="both"/>
                  </w:pPr>
                  <w:r>
                    <w:rPr>
                      <w:sz w:val="21"/>
                    </w:rPr>
                    <w:t>商务楼宇</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写字楼</w:t>
                  </w:r>
                </w:p>
              </w:tc>
            </w:tr>
            <w:tr>
              <w:tc>
                <w:tcPr>
                  <w:tcW w:type="dxa" w:w="1395"/>
                  <w:vMerge/>
                  <w:tcBorders>
                    <w:top w:val="none" w:color="000000" w:sz="4"/>
                    <w:left w:val="single" w:color="000000" w:sz="4"/>
                    <w:bottom w:val="non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商务服务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商务服务</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人才市场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事务所</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律师事务所</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会计师事务所</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评估事务所</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审计事务所</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认证事务所</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专利事务所</w:t>
                  </w:r>
                </w:p>
              </w:tc>
            </w:tr>
            <w:tr>
              <w:tc>
                <w:tcPr>
                  <w:tcW w:type="dxa" w:w="1395"/>
                  <w:vMerge w:val="restart"/>
                  <w:tcBorders>
                    <w:top w:val="single" w:color="000000" w:sz="4"/>
                    <w:left w:val="single" w:color="000000" w:sz="4"/>
                    <w:bottom w:val="single" w:color="000000" w:sz="4"/>
                    <w:right w:val="single" w:color="000000" w:sz="4"/>
                  </w:tcBorders>
                  <w:vAlign w:val="top"/>
                </w:tcPr>
                <w:p>
                  <w:pPr>
                    <w:jc w:val="center"/>
                  </w:pPr>
                  <w:r>
                    <w:rPr>
                      <w:sz w:val="21"/>
                    </w:rPr>
                    <w:t>居民服务</w:t>
                  </w:r>
                </w:p>
              </w:tc>
              <w:tc>
                <w:tcPr>
                  <w:tcW w:type="dxa" w:w="2115"/>
                  <w:tcBorders>
                    <w:top w:val="none" w:color="000000" w:sz="4"/>
                    <w:left w:val="none" w:color="000000" w:sz="4"/>
                    <w:bottom w:val="single" w:color="000000" w:sz="4"/>
                    <w:right w:val="single" w:color="000000" w:sz="4"/>
                  </w:tcBorders>
                  <w:vAlign w:val="top"/>
                </w:tcPr>
                <w:p>
                  <w:pPr>
                    <w:jc w:val="both"/>
                  </w:pPr>
                  <w:r>
                    <w:rPr>
                      <w:sz w:val="21"/>
                    </w:rPr>
                    <w:t>居民服务相关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居民服务相关</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个人服务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个人服务相关</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美容美发店</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洗浴推拿场所</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洗衣店</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摄影冲印</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充电宝租赁</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信息咨询</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母婴室</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居家服务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居家服务相关</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电讯营业厅</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中国电信营业厅</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中国移动营业厅</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中国联通营业厅</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自来水营业厅</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电力营业厅</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维修站点</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中介机构</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搬家公司</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婴儿服务场所</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婴儿游泳馆</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物流速递</w:t>
                  </w:r>
                </w:p>
              </w:tc>
              <w:tc>
                <w:tcPr>
                  <w:tcW w:type="dxa" w:w="3270"/>
                  <w:tcBorders>
                    <w:top w:val="none" w:color="000000" w:sz="4"/>
                    <w:left w:val="none" w:color="000000" w:sz="4"/>
                    <w:bottom w:val="single" w:color="000000" w:sz="4"/>
                    <w:right w:val="single" w:color="000000" w:sz="4"/>
                  </w:tcBorders>
                  <w:vAlign w:val="top"/>
                </w:tcPr>
                <w:p>
                  <w:pPr>
                    <w:jc w:val="both"/>
                  </w:pPr>
                  <w:r>
                    <w:rPr>
                      <w:sz w:val="21"/>
                    </w:rPr>
                    <w:t>物流速递</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邮局</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邮政速递</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物流仓储场地</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顺丰速运</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丰巢柜</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旅游售票</w:t>
                  </w:r>
                </w:p>
              </w:tc>
              <w:tc>
                <w:tcPr>
                  <w:tcW w:type="dxa" w:w="3270"/>
                  <w:tcBorders>
                    <w:top w:val="none" w:color="000000" w:sz="4"/>
                    <w:left w:val="none" w:color="000000" w:sz="4"/>
                    <w:bottom w:val="single" w:color="000000" w:sz="4"/>
                    <w:right w:val="single" w:color="000000" w:sz="4"/>
                  </w:tcBorders>
                  <w:vAlign w:val="top"/>
                </w:tcPr>
                <w:p>
                  <w:pPr>
                    <w:jc w:val="both"/>
                  </w:pPr>
                  <w:r>
                    <w:rPr>
                      <w:sz w:val="21"/>
                    </w:rPr>
                    <w:t>旅游售票</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旅行社</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飞机票代售点</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火车票代售点</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长途汽车票代售点</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船票代售点</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公园景点售票处</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其他服务</w:t>
                  </w:r>
                </w:p>
              </w:tc>
              <w:tc>
                <w:tcPr>
                  <w:tcW w:type="dxa" w:w="3270"/>
                  <w:tcBorders>
                    <w:top w:val="none" w:color="000000" w:sz="4"/>
                    <w:left w:val="none" w:color="000000" w:sz="4"/>
                    <w:bottom w:val="single" w:color="000000" w:sz="4"/>
                    <w:right w:val="single" w:color="000000" w:sz="4"/>
                  </w:tcBorders>
                  <w:vAlign w:val="top"/>
                </w:tcPr>
                <w:p>
                  <w:pPr>
                    <w:jc w:val="both"/>
                  </w:pPr>
                  <w:r>
                    <w:rPr>
                      <w:sz w:val="21"/>
                    </w:rPr>
                    <w:t>陵园</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公墓</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殡仪馆</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公司企业</w:t>
                  </w:r>
                </w:p>
              </w:tc>
              <w:tc>
                <w:tcPr>
                  <w:tcW w:type="dxa" w:w="2115"/>
                  <w:tcBorders>
                    <w:top w:val="none" w:color="000000" w:sz="4"/>
                    <w:left w:val="none" w:color="000000" w:sz="4"/>
                    <w:bottom w:val="single" w:color="000000" w:sz="4"/>
                    <w:right w:val="single" w:color="000000" w:sz="4"/>
                  </w:tcBorders>
                  <w:vAlign w:val="top"/>
                </w:tcPr>
                <w:p>
                  <w:pPr>
                    <w:jc w:val="both"/>
                  </w:pPr>
                  <w:r>
                    <w:rPr>
                      <w:sz w:val="21"/>
                    </w:rPr>
                    <w:t>公司企业</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公司企业</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公司</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公司</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公众熟悉</w:t>
                  </w:r>
                  <w:r>
                    <w:rPr>
                      <w:sz w:val="21"/>
                    </w:rPr>
                    <w:t>公司</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工厂</w:t>
                  </w:r>
                </w:p>
              </w:tc>
              <w:tc>
                <w:tcPr>
                  <w:tcW w:type="dxa" w:w="3270"/>
                  <w:tcBorders>
                    <w:top w:val="none" w:color="000000" w:sz="4"/>
                    <w:left w:val="none" w:color="000000" w:sz="4"/>
                    <w:bottom w:val="single" w:color="000000" w:sz="4"/>
                    <w:right w:val="single" w:color="000000" w:sz="4"/>
                  </w:tcBorders>
                  <w:vAlign w:val="top"/>
                </w:tcPr>
                <w:p>
                  <w:pPr>
                    <w:jc w:val="both"/>
                  </w:pPr>
                  <w:r>
                    <w:rPr>
                      <w:sz w:val="21"/>
                    </w:rPr>
                    <w:t>工厂</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工业园</w:t>
                  </w:r>
                </w:p>
              </w:tc>
              <w:tc>
                <w:tcPr>
                  <w:tcW w:type="dxa" w:w="3270"/>
                  <w:tcBorders>
                    <w:top w:val="none" w:color="000000" w:sz="4"/>
                    <w:left w:val="none" w:color="000000" w:sz="4"/>
                    <w:bottom w:val="single" w:color="000000" w:sz="4"/>
                    <w:right w:val="single" w:color="000000" w:sz="4"/>
                  </w:tcBorders>
                  <w:vAlign w:val="top"/>
                </w:tcPr>
                <w:p>
                  <w:pPr>
                    <w:jc w:val="both"/>
                  </w:pPr>
                  <w:r>
                    <w:rPr>
                      <w:sz w:val="21"/>
                    </w:rPr>
                    <w:t>工业园</w:t>
                  </w:r>
                </w:p>
              </w:tc>
            </w:tr>
            <w:tr>
              <w:tc>
                <w:tcPr>
                  <w:tcW w:type="dxa" w:w="1395"/>
                  <w:vMerge/>
                  <w:tcBorders>
                    <w:top w:val="non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农林牧渔业</w:t>
                  </w:r>
                </w:p>
              </w:tc>
              <w:tc>
                <w:tcPr>
                  <w:tcW w:type="dxa" w:w="3270"/>
                  <w:tcBorders>
                    <w:top w:val="none" w:color="000000" w:sz="4"/>
                    <w:left w:val="none" w:color="000000" w:sz="4"/>
                    <w:bottom w:val="single" w:color="000000" w:sz="4"/>
                    <w:right w:val="single" w:color="000000" w:sz="4"/>
                  </w:tcBorders>
                  <w:vAlign w:val="top"/>
                </w:tcPr>
                <w:p>
                  <w:pPr>
                    <w:jc w:val="both"/>
                  </w:pPr>
                  <w:r>
                    <w:rPr>
                      <w:sz w:val="21"/>
                    </w:rPr>
                    <w:t>农林牧渔生产</w:t>
                  </w:r>
                </w:p>
              </w:tc>
            </w:tr>
            <w:tr>
              <w:tc>
                <w:tcPr>
                  <w:tcW w:type="dxa" w:w="1395"/>
                  <w:vMerge/>
                  <w:tcBorders>
                    <w:top w:val="non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农林牧渔服务</w:t>
                  </w:r>
                </w:p>
              </w:tc>
            </w:tr>
            <w:tr>
              <w:tc>
                <w:tcPr>
                  <w:tcW w:type="dxa" w:w="1395"/>
                  <w:vMerge w:val="restart"/>
                  <w:tcBorders>
                    <w:top w:val="none" w:color="000000" w:sz="4"/>
                    <w:left w:val="single" w:color="000000" w:sz="4"/>
                    <w:bottom w:val="none" w:color="000000" w:sz="4"/>
                    <w:right w:val="single" w:color="000000" w:sz="4"/>
                  </w:tcBorders>
                  <w:vAlign w:val="top"/>
                </w:tcPr>
                <w:p>
                  <w:pPr>
                    <w:jc w:val="center"/>
                  </w:pPr>
                  <w:r>
                    <w:rPr>
                      <w:sz w:val="21"/>
                    </w:rPr>
                    <w:t>交通运输</w:t>
                  </w:r>
                </w:p>
              </w:tc>
              <w:tc>
                <w:tcPr>
                  <w:tcW w:type="dxa" w:w="2115"/>
                  <w:tcBorders>
                    <w:top w:val="none" w:color="000000" w:sz="4"/>
                    <w:left w:val="none" w:color="000000" w:sz="4"/>
                    <w:bottom w:val="single" w:color="000000" w:sz="4"/>
                    <w:right w:val="single" w:color="000000" w:sz="4"/>
                  </w:tcBorders>
                  <w:vAlign w:val="top"/>
                </w:tcPr>
                <w:p>
                  <w:pPr>
                    <w:jc w:val="both"/>
                  </w:pPr>
                  <w:r>
                    <w:rPr>
                      <w:sz w:val="21"/>
                    </w:rPr>
                    <w:t>交通运输相关</w:t>
                  </w:r>
                </w:p>
              </w:tc>
              <w:tc>
                <w:tcPr>
                  <w:tcW w:type="dxa" w:w="3270"/>
                  <w:tcBorders>
                    <w:top w:val="none" w:color="000000" w:sz="4"/>
                    <w:left w:val="none" w:color="000000" w:sz="4"/>
                    <w:bottom w:val="single" w:color="000000" w:sz="4"/>
                    <w:right w:val="single" w:color="000000" w:sz="4"/>
                  </w:tcBorders>
                  <w:vAlign w:val="top"/>
                </w:tcPr>
                <w:p>
                  <w:pPr>
                    <w:jc w:val="both"/>
                  </w:pPr>
                  <w:r>
                    <w:rPr>
                      <w:sz w:val="21"/>
                    </w:rPr>
                    <w:t>交通运输相关</w:t>
                  </w:r>
                </w:p>
              </w:tc>
            </w:tr>
            <w:tr>
              <w:tc>
                <w:tcPr>
                  <w:tcW w:type="dxa" w:w="1395"/>
                  <w:vMerge/>
                  <w:tcBorders>
                    <w:top w:val="none" w:color="000000" w:sz="4"/>
                    <w:left w:val="single" w:color="000000" w:sz="4"/>
                    <w:bottom w:val="non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客货运输</w:t>
                  </w:r>
                </w:p>
              </w:tc>
              <w:tc>
                <w:tcPr>
                  <w:tcW w:type="dxa" w:w="3270"/>
                  <w:tcBorders>
                    <w:top w:val="none" w:color="000000" w:sz="4"/>
                    <w:left w:val="none" w:color="000000" w:sz="4"/>
                    <w:bottom w:val="single" w:color="000000" w:sz="4"/>
                    <w:right w:val="single" w:color="000000" w:sz="4"/>
                  </w:tcBorders>
                  <w:vAlign w:val="top"/>
                </w:tcPr>
                <w:p>
                  <w:pPr>
                    <w:jc w:val="both"/>
                  </w:pPr>
                  <w:r>
                    <w:rPr>
                      <w:sz w:val="21"/>
                    </w:rPr>
                    <w:t>客货运输</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机场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机场附属设施</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火车站</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火车站附属设施</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货运火车站</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客运汽车站</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地铁站</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地铁站出入口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港口码头</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公交站</w:t>
                  </w:r>
                </w:p>
              </w:tc>
            </w:tr>
            <w:tr>
              <w:tc>
                <w:tcPr>
                  <w:tcW w:type="dxa" w:w="1395"/>
                  <w:vMerge/>
                  <w:tcBorders>
                    <w:top w:val="none" w:color="000000" w:sz="4"/>
                    <w:left w:val="single" w:color="000000" w:sz="4"/>
                    <w:bottom w:val="none" w:color="000000" w:sz="4"/>
                    <w:right w:val="single" w:color="000000" w:sz="4"/>
                  </w:tcBorders>
                </w:tcPr>
                <w:p/>
              </w:tc>
              <w:tc>
                <w:tcPr>
                  <w:tcW w:type="dxa" w:w="2115"/>
                  <w:vMerge w:val="restart"/>
                  <w:tcBorders>
                    <w:top w:val="none" w:color="000000" w:sz="4"/>
                    <w:left w:val="none" w:color="000000" w:sz="4"/>
                    <w:bottom w:val="none" w:color="000000" w:sz="4"/>
                    <w:right w:val="single" w:color="000000" w:sz="4"/>
                  </w:tcBorders>
                  <w:vAlign w:val="top"/>
                </w:tcPr>
                <w:p>
                  <w:pPr>
                    <w:jc w:val="both"/>
                  </w:pPr>
                  <w:r>
                    <w:rPr>
                      <w:sz w:val="21"/>
                    </w:rPr>
                    <w:t>交通附属设施</w:t>
                  </w:r>
                </w:p>
              </w:tc>
              <w:tc>
                <w:tcPr>
                  <w:tcW w:type="dxa" w:w="3270"/>
                  <w:tcBorders>
                    <w:top w:val="none" w:color="000000" w:sz="4"/>
                    <w:left w:val="none" w:color="000000" w:sz="4"/>
                    <w:bottom w:val="single" w:color="000000" w:sz="4"/>
                    <w:right w:val="single" w:color="000000" w:sz="4"/>
                  </w:tcBorders>
                  <w:vAlign w:val="top"/>
                </w:tcPr>
                <w:p>
                  <w:pPr>
                    <w:jc w:val="both"/>
                  </w:pPr>
                  <w:r>
                    <w:rPr>
                      <w:sz w:val="21"/>
                    </w:rPr>
                    <w:t>交通附属设施</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高速服务区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高速停车区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收费站</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停车场相关</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公共停车场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专用停车场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路边停车场</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停车场入口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停车场出口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停车场出入口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道路名</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路口名</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高速出口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高速入口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城市快速路出口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城市快速路入口</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环岛名</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隧道</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立交桥</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桥</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建筑物门</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临街院门</w:t>
                  </w:r>
                </w:p>
              </w:tc>
            </w:tr>
            <w:tr>
              <w:tc>
                <w:tcPr>
                  <w:tcW w:type="dxa" w:w="1395"/>
                  <w:vMerge/>
                  <w:tcBorders>
                    <w:top w:val="none" w:color="000000" w:sz="4"/>
                    <w:left w:val="single" w:color="000000" w:sz="4"/>
                    <w:bottom w:val="none" w:color="000000" w:sz="4"/>
                    <w:right w:val="single" w:color="000000" w:sz="4"/>
                  </w:tcBorders>
                </w:tcPr>
                <w:p/>
              </w:tc>
              <w:tc>
                <w:tcPr>
                  <w:tcW w:type="dxa" w:w="2115"/>
                  <w:vMerge/>
                  <w:tcBorders>
                    <w:top w:val="none" w:color="000000" w:sz="4"/>
                    <w:left w:val="none" w:color="000000" w:sz="4"/>
                    <w:bottom w:val="none" w:color="000000" w:sz="4"/>
                    <w:right w:val="single" w:color="000000" w:sz="4"/>
                  </w:tcBorders>
                </w:tcPr>
                <w:p/>
              </w:tc>
              <w:tc>
                <w:tcPr>
                  <w:tcW w:type="dxa" w:w="3270"/>
                  <w:tcBorders>
                    <w:top w:val="none" w:color="000000" w:sz="4"/>
                    <w:left w:val="none" w:color="000000" w:sz="4"/>
                    <w:bottom w:val="none" w:color="000000" w:sz="4"/>
                    <w:right w:val="single" w:color="000000" w:sz="4"/>
                  </w:tcBorders>
                  <w:vAlign w:val="top"/>
                </w:tcPr>
                <w:p>
                  <w:pPr>
                    <w:jc w:val="both"/>
                  </w:pPr>
                  <w:r>
                    <w:rPr>
                      <w:sz w:val="21"/>
                    </w:rPr>
                    <w:t>其他通行设施</w:t>
                  </w:r>
                </w:p>
              </w:tc>
            </w:tr>
            <w:tr>
              <w:tc>
                <w:tcPr>
                  <w:tcW w:type="dxa" w:w="1395"/>
                  <w:vMerge w:val="restart"/>
                  <w:tcBorders>
                    <w:top w:val="single" w:color="000000" w:sz="4"/>
                    <w:left w:val="single" w:color="000000" w:sz="4"/>
                    <w:bottom w:val="single" w:color="000000" w:sz="4"/>
                    <w:right w:val="single" w:color="000000" w:sz="4"/>
                  </w:tcBorders>
                  <w:vAlign w:val="top"/>
                </w:tcPr>
                <w:p>
                  <w:pPr>
                    <w:jc w:val="center"/>
                  </w:pPr>
                  <w:r>
                    <w:rPr>
                      <w:sz w:val="21"/>
                    </w:rPr>
                    <w:t>地名地址</w:t>
                  </w:r>
                </w:p>
              </w:tc>
              <w:tc>
                <w:tcPr>
                  <w:tcW w:type="dxa" w:w="2115"/>
                  <w:tcBorders>
                    <w:top w:val="single" w:color="000000" w:sz="4"/>
                    <w:left w:val="none" w:color="000000" w:sz="4"/>
                    <w:bottom w:val="single" w:color="000000" w:sz="4"/>
                    <w:right w:val="single" w:color="000000" w:sz="4"/>
                  </w:tcBorders>
                  <w:vAlign w:val="top"/>
                </w:tcPr>
                <w:p>
                  <w:pPr>
                    <w:jc w:val="both"/>
                  </w:pPr>
                  <w:r>
                    <w:rPr>
                      <w:sz w:val="21"/>
                    </w:rPr>
                    <w:t>地名地址</w:t>
                  </w:r>
                </w:p>
              </w:tc>
              <w:tc>
                <w:tcPr>
                  <w:tcW w:type="dxa" w:w="3270"/>
                  <w:tcBorders>
                    <w:top w:val="single" w:color="000000" w:sz="4"/>
                    <w:left w:val="none" w:color="000000" w:sz="4"/>
                    <w:bottom w:val="single" w:color="000000" w:sz="4"/>
                    <w:right w:val="single" w:color="000000" w:sz="4"/>
                  </w:tcBorders>
                  <w:vAlign w:val="top"/>
                </w:tcPr>
                <w:p>
                  <w:pPr>
                    <w:jc w:val="both"/>
                  </w:pPr>
                  <w:r>
                    <w:rPr>
                      <w:sz w:val="21"/>
                    </w:rPr>
                    <w:t>地名地址</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普通地名</w:t>
                  </w:r>
                </w:p>
              </w:tc>
              <w:tc>
                <w:tcPr>
                  <w:tcW w:type="dxa" w:w="3270"/>
                  <w:tcBorders>
                    <w:top w:val="none" w:color="000000" w:sz="4"/>
                    <w:left w:val="none" w:color="000000" w:sz="4"/>
                    <w:bottom w:val="single" w:color="000000" w:sz="4"/>
                    <w:right w:val="single" w:color="000000" w:sz="4"/>
                  </w:tcBorders>
                  <w:vAlign w:val="top"/>
                </w:tcPr>
                <w:p>
                  <w:pPr>
                    <w:jc w:val="both"/>
                  </w:pPr>
                  <w:r>
                    <w:rPr>
                      <w:sz w:val="21"/>
                    </w:rPr>
                    <w:t>普通地名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国家名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省级地名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直辖市级地名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地市级地名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区县级地名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乡镇级地名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街道级地名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村庄级地名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村组级地名</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社区</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自然地物</w:t>
                  </w:r>
                </w:p>
              </w:tc>
              <w:tc>
                <w:tcPr>
                  <w:tcW w:type="dxa" w:w="3270"/>
                  <w:tcBorders>
                    <w:top w:val="none" w:color="000000" w:sz="4"/>
                    <w:left w:val="none" w:color="000000" w:sz="4"/>
                    <w:bottom w:val="single" w:color="000000" w:sz="4"/>
                    <w:right w:val="single" w:color="000000" w:sz="4"/>
                  </w:tcBorders>
                  <w:vAlign w:val="top"/>
                </w:tcPr>
                <w:p>
                  <w:pPr>
                    <w:jc w:val="both"/>
                  </w:pPr>
                  <w:r>
                    <w:rPr>
                      <w:sz w:val="21"/>
                    </w:rPr>
                    <w:t>自然地物</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海湾海峡</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岛屿</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山</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河流</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湖泊</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山地</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冰川</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盆地</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峡谷</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半岛</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山脉</w:t>
                  </w:r>
                </w:p>
              </w:tc>
            </w:tr>
            <w:tr>
              <w:tc>
                <w:tcPr>
                  <w:tcW w:type="dxa" w:w="1395"/>
                  <w:vMerge/>
                  <w:tcBorders>
                    <w:top w:val="single" w:color="000000" w:sz="4"/>
                    <w:left w:val="single" w:color="000000" w:sz="4"/>
                    <w:bottom w:val="single" w:color="000000" w:sz="4"/>
                    <w:right w:val="single" w:color="000000" w:sz="4"/>
                  </w:tcBorders>
                </w:tcPr>
                <w:p/>
              </w:tc>
              <w:tc>
                <w:tcPr>
                  <w:tcW w:type="dxa" w:w="2115"/>
                  <w:vMerge w:val="restart"/>
                  <w:tcBorders>
                    <w:top w:val="none" w:color="000000" w:sz="4"/>
                    <w:left w:val="none" w:color="000000" w:sz="4"/>
                    <w:bottom w:val="single" w:color="000000" w:sz="4"/>
                    <w:right w:val="single" w:color="000000" w:sz="4"/>
                  </w:tcBorders>
                  <w:vAlign w:val="top"/>
                </w:tcPr>
                <w:p>
                  <w:pPr>
                    <w:jc w:val="both"/>
                  </w:pPr>
                  <w:r>
                    <w:rPr>
                      <w:sz w:val="21"/>
                    </w:rPr>
                    <w:t>门牌信息</w:t>
                  </w:r>
                </w:p>
              </w:tc>
              <w:tc>
                <w:tcPr>
                  <w:tcW w:type="dxa" w:w="3270"/>
                  <w:tcBorders>
                    <w:top w:val="none" w:color="000000" w:sz="4"/>
                    <w:left w:val="none" w:color="000000" w:sz="4"/>
                    <w:bottom w:val="single" w:color="000000" w:sz="4"/>
                    <w:right w:val="single" w:color="000000" w:sz="4"/>
                  </w:tcBorders>
                  <w:vAlign w:val="top"/>
                </w:tcPr>
                <w:p>
                  <w:pPr>
                    <w:jc w:val="both"/>
                  </w:pPr>
                  <w:r>
                    <w:rPr>
                      <w:sz w:val="21"/>
                    </w:rPr>
                    <w:t>门牌信息</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地名门牌</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道路门牌</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居民楼门牌</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户室</w:t>
                  </w:r>
                </w:p>
              </w:tc>
            </w:tr>
            <w:tr>
              <w:tc>
                <w:tcPr>
                  <w:tcW w:type="dxa" w:w="1395"/>
                  <w:vMerge/>
                  <w:tcBorders>
                    <w:top w:val="single" w:color="000000" w:sz="4"/>
                    <w:left w:val="single" w:color="000000" w:sz="4"/>
                    <w:bottom w:val="single" w:color="000000" w:sz="4"/>
                    <w:right w:val="single" w:color="000000" w:sz="4"/>
                  </w:tcBorders>
                </w:tcPr>
                <w:p/>
              </w:tc>
              <w:tc>
                <w:tcPr>
                  <w:tcW w:type="dxa" w:w="2115"/>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1"/>
                    </w:rPr>
                    <w:t>单元</w:t>
                  </w:r>
                </w:p>
              </w:tc>
            </w:tr>
            <w:tr>
              <w:tc>
                <w:tcPr>
                  <w:tcW w:type="dxa" w:w="1395"/>
                  <w:vMerge/>
                  <w:tcBorders>
                    <w:top w:val="singl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标志性建筑物</w:t>
                  </w:r>
                </w:p>
              </w:tc>
              <w:tc>
                <w:tcPr>
                  <w:tcW w:type="dxa" w:w="3270"/>
                  <w:tcBorders>
                    <w:top w:val="none" w:color="000000" w:sz="4"/>
                    <w:left w:val="none" w:color="000000" w:sz="4"/>
                    <w:bottom w:val="single" w:color="000000" w:sz="4"/>
                    <w:right w:val="single" w:color="000000" w:sz="4"/>
                  </w:tcBorders>
                  <w:vAlign w:val="top"/>
                </w:tcPr>
                <w:p>
                  <w:pPr>
                    <w:jc w:val="both"/>
                  </w:pPr>
                  <w:r>
                    <w:rPr>
                      <w:sz w:val="21"/>
                    </w:rPr>
                    <w:t>标志性建筑物</w:t>
                  </w:r>
                </w:p>
              </w:tc>
            </w:tr>
            <w:tr>
              <w:tc>
                <w:tcPr>
                  <w:tcW w:type="dxa" w:w="1395"/>
                  <w:vMerge w:val="restart"/>
                  <w:tcBorders>
                    <w:top w:val="none" w:color="000000" w:sz="4"/>
                    <w:left w:val="single" w:color="000000" w:sz="4"/>
                    <w:bottom w:val="single" w:color="000000" w:sz="4"/>
                    <w:right w:val="single" w:color="000000" w:sz="4"/>
                  </w:tcBorders>
                  <w:vAlign w:val="top"/>
                </w:tcPr>
                <w:p>
                  <w:pPr>
                    <w:jc w:val="center"/>
                  </w:pPr>
                  <w:r>
                    <w:rPr>
                      <w:sz w:val="21"/>
                    </w:rPr>
                    <w:t>其他基础设施</w:t>
                  </w:r>
                </w:p>
              </w:tc>
              <w:tc>
                <w:tcPr>
                  <w:tcW w:type="dxa" w:w="2115"/>
                  <w:tcBorders>
                    <w:top w:val="none" w:color="000000" w:sz="4"/>
                    <w:left w:val="none" w:color="000000" w:sz="4"/>
                    <w:bottom w:val="single" w:color="000000" w:sz="4"/>
                    <w:right w:val="single" w:color="000000" w:sz="4"/>
                  </w:tcBorders>
                  <w:vAlign w:val="top"/>
                </w:tcPr>
                <w:p>
                  <w:pPr>
                    <w:jc w:val="both"/>
                  </w:pPr>
                  <w:r>
                    <w:rPr>
                      <w:sz w:val="21"/>
                    </w:rPr>
                    <w:t>其他基础设施</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其他基础设施</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紧急避难场所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紧急避难场所</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公用电话</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公用电话</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公共厕所</w:t>
                  </w:r>
                </w:p>
              </w:tc>
              <w:tc>
                <w:tcPr>
                  <w:tcW w:type="dxa" w:w="3270"/>
                  <w:tcBorders>
                    <w:top w:val="none" w:color="000000" w:sz="4"/>
                    <w:left w:val="none" w:color="000000" w:sz="4"/>
                    <w:bottom w:val="single" w:color="000000" w:sz="4"/>
                    <w:right w:val="single" w:color="000000" w:sz="4"/>
                  </w:tcBorders>
                  <w:vAlign w:val="top"/>
                </w:tcPr>
                <w:p>
                  <w:pPr>
                    <w:jc w:val="both"/>
                  </w:pPr>
                  <w:r>
                    <w:rPr>
                      <w:sz w:val="21"/>
                    </w:rPr>
                    <w:t>公共厕所</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报刊亭</w:t>
                  </w:r>
                </w:p>
              </w:tc>
              <w:tc>
                <w:tcPr>
                  <w:tcW w:type="dxa" w:w="3270"/>
                  <w:tcBorders>
                    <w:top w:val="none" w:color="000000" w:sz="4"/>
                    <w:left w:val="none" w:color="000000" w:sz="4"/>
                    <w:bottom w:val="single" w:color="000000" w:sz="4"/>
                    <w:right w:val="single" w:color="000000" w:sz="4"/>
                  </w:tcBorders>
                  <w:vAlign w:val="top"/>
                </w:tcPr>
                <w:p>
                  <w:pPr>
                    <w:jc w:val="both"/>
                  </w:pPr>
                  <w:r>
                    <w:rPr>
                      <w:sz w:val="21"/>
                    </w:rPr>
                    <w:t>报刊亭</w:t>
                  </w:r>
                </w:p>
              </w:tc>
            </w:tr>
            <w:tr>
              <w:tc>
                <w:tcPr>
                  <w:tcW w:type="dxa" w:w="1395"/>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both"/>
                  </w:pPr>
                  <w:r>
                    <w:rPr>
                      <w:sz w:val="21"/>
                    </w:rPr>
                    <w:t>室内设施</w:t>
                  </w:r>
                </w:p>
              </w:tc>
              <w:tc>
                <w:tcPr>
                  <w:tcW w:type="dxa" w:w="3270"/>
                  <w:tcBorders>
                    <w:top w:val="none" w:color="000000" w:sz="4"/>
                    <w:left w:val="none" w:color="000000" w:sz="4"/>
                    <w:bottom w:val="single" w:color="000000" w:sz="4"/>
                    <w:right w:val="single" w:color="000000" w:sz="4"/>
                  </w:tcBorders>
                  <w:vAlign w:val="top"/>
                </w:tcPr>
                <w:p>
                  <w:pPr>
                    <w:jc w:val="both"/>
                  </w:pPr>
                  <w:r>
                    <w:rPr>
                      <w:sz w:val="21"/>
                    </w:rPr>
                    <w:t>室内设施</w:t>
                  </w:r>
                </w:p>
              </w:tc>
            </w:tr>
          </w:tbl>
          <w:p>
            <w:r>
              <w:rPr>
                <w:sz w:val="21"/>
              </w:rPr>
              <w:t>(5)</w:t>
            </w:r>
            <w:r>
              <w:rPr>
                <w:sz w:val="21"/>
              </w:rPr>
              <w:t>▲更新频率</w:t>
            </w:r>
          </w:p>
          <w:p>
            <w:pPr>
              <w:ind w:firstLine="420"/>
            </w:pPr>
            <w:r>
              <w:rPr>
                <w:sz w:val="21"/>
              </w:rPr>
              <w:t>提供三年更新服务，除了初始化建设外，再提供</w:t>
            </w:r>
            <w:r>
              <w:rPr>
                <w:sz w:val="21"/>
              </w:rPr>
              <w:t>5次地图数据更新，更新频率为一年2次。</w:t>
            </w:r>
          </w:p>
          <w:p>
            <w:r>
              <w:rPr>
                <w:sz w:val="21"/>
              </w:rPr>
              <w:t>4、</w:t>
            </w:r>
            <w:r>
              <w:rPr>
                <w:sz w:val="21"/>
              </w:rPr>
              <w:t>地图专题服务要求</w:t>
            </w:r>
          </w:p>
          <w:p>
            <w:r>
              <w:rPr>
                <w:sz w:val="21"/>
              </w:rPr>
              <w:t>(1)</w:t>
            </w:r>
            <w:r>
              <w:rPr>
                <w:sz w:val="21"/>
              </w:rPr>
              <w:t>无人机实时位置</w:t>
            </w:r>
            <w:r>
              <w:rPr>
                <w:sz w:val="21"/>
              </w:rPr>
              <w:t>数据服务</w:t>
            </w:r>
          </w:p>
          <w:p>
            <w:r>
              <w:rPr>
                <w:sz w:val="21"/>
              </w:rPr>
              <w:t>中山市公安局时空大数据平台通过对接无人机实时定位数据服务接口，将已有的无人机设备实时位置进行</w:t>
            </w:r>
            <w:r>
              <w:rPr>
                <w:sz w:val="21"/>
              </w:rPr>
              <w:t>接入。</w:t>
            </w:r>
            <w:r>
              <w:rPr>
                <w:sz w:val="21"/>
              </w:rPr>
              <w:t>接入后，按照时间、类别、空间位置进行数据治理工作，存储至时空大数据平台动态位置数据库中，制作无人机实时位置图层数据</w:t>
            </w:r>
            <w:r>
              <w:rPr>
                <w:sz w:val="21"/>
              </w:rPr>
              <w:t>服务，并支持</w:t>
            </w:r>
            <w:r>
              <w:rPr>
                <w:sz w:val="21"/>
              </w:rPr>
              <w:t>GJ</w:t>
            </w:r>
            <w:r>
              <w:rPr>
                <w:sz w:val="21"/>
              </w:rPr>
              <w:t>数据</w:t>
            </w:r>
            <w:r>
              <w:rPr>
                <w:sz w:val="21"/>
              </w:rPr>
              <w:t>查询和展示</w:t>
            </w:r>
            <w:r>
              <w:rPr>
                <w:sz w:val="21"/>
              </w:rPr>
              <w:t>。</w:t>
            </w:r>
          </w:p>
          <w:p>
            <w:r>
              <w:rPr>
                <w:sz w:val="21"/>
              </w:rPr>
              <w:t>(2)</w:t>
            </w:r>
            <w:r>
              <w:rPr>
                <w:sz w:val="21"/>
              </w:rPr>
              <w:t>执法记录仪</w:t>
            </w:r>
            <w:r>
              <w:rPr>
                <w:sz w:val="21"/>
              </w:rPr>
              <w:t>位置数据服务</w:t>
            </w:r>
          </w:p>
          <w:p>
            <w:r>
              <w:rPr>
                <w:sz w:val="21"/>
              </w:rPr>
              <w:t>中山市公安局时空大数据平台通过对接执法记录仪实时定位数据服务接口，将执法记录仪实时位置进行接入。接入后，通过对实时定位数据按照时间、类别、属性进行数据治理工作，并存储至时空大数据平台动态位置数据库中，制作执法记录仪图层数据</w:t>
            </w:r>
            <w:r>
              <w:rPr>
                <w:sz w:val="21"/>
              </w:rPr>
              <w:t>服务，并支持</w:t>
            </w:r>
            <w:r>
              <w:rPr>
                <w:sz w:val="21"/>
              </w:rPr>
              <w:t>GJ</w:t>
            </w:r>
            <w:r>
              <w:rPr>
                <w:sz w:val="21"/>
              </w:rPr>
              <w:t>数据</w:t>
            </w:r>
            <w:r>
              <w:rPr>
                <w:sz w:val="21"/>
              </w:rPr>
              <w:t>查询和展示</w:t>
            </w:r>
            <w:r>
              <w:rPr>
                <w:sz w:val="21"/>
              </w:rPr>
              <w:t>。</w:t>
            </w:r>
          </w:p>
          <w:p>
            <w:r>
              <w:rPr>
                <w:sz w:val="21"/>
              </w:rPr>
              <w:t>(3)</w:t>
            </w:r>
            <w:r>
              <w:rPr>
                <w:sz w:val="21"/>
              </w:rPr>
              <w:t>警格图层制作及服务发布</w:t>
            </w:r>
          </w:p>
          <w:p>
            <w:r>
              <w:rPr>
                <w:sz w:val="21"/>
              </w:rPr>
              <w:t>提供网格绘制工具，帮助业务警种快速绘制需要的警务辖区网格，能够在地图上自定义绘制网格，绘制过程中能够自动拾取小区边界、道路线、行政区划边界，绘制后能够自定义编辑网格属性，同时绘制成果可以导出为</w:t>
            </w:r>
            <w:r>
              <w:rPr>
                <w:sz w:val="21"/>
              </w:rPr>
              <w:t>SHP或CSV等数据成果。</w:t>
            </w:r>
          </w:p>
          <w:p>
            <w:r>
              <w:rPr>
                <w:sz w:val="21"/>
              </w:rPr>
              <w:t>(4)</w:t>
            </w:r>
            <w:r>
              <w:rPr>
                <w:sz w:val="21"/>
              </w:rPr>
              <w:t>在线地图打印</w:t>
            </w:r>
          </w:p>
          <w:p>
            <w:r>
              <w:rPr>
                <w:sz w:val="21"/>
              </w:rPr>
              <w:t>提供</w:t>
            </w:r>
            <w:r>
              <w:rPr>
                <w:sz w:val="21"/>
              </w:rPr>
              <w:t>web端地图打印功能，将当前地图视图中的内容根据布局排版进行快速制图，按照层级需求进行叠加输出和打印地图，实现地图的快速获取和打印，支持设置打印纸张大小、分辨率、范围设置，支持大比例地图输出，在统一视角下，输出尺寸支持A0-A4。</w:t>
            </w:r>
          </w:p>
          <w:p>
            <w:r>
              <w:rPr>
                <w:sz w:val="21"/>
              </w:rPr>
              <w:t>5、</w:t>
            </w:r>
            <w:r>
              <w:rPr>
                <w:sz w:val="21"/>
              </w:rPr>
              <w:t>技术参数指标要求</w:t>
            </w:r>
          </w:p>
          <w:p>
            <w:r>
              <w:rPr>
                <w:sz w:val="21"/>
              </w:rPr>
              <w:t>(1)</w:t>
            </w:r>
            <w:r>
              <w:rPr>
                <w:sz w:val="21"/>
              </w:rPr>
              <w:t>数学基础</w:t>
            </w:r>
          </w:p>
          <w:p>
            <w:r>
              <w:rPr>
                <w:sz w:val="21"/>
              </w:rPr>
              <w:t>1)</w:t>
            </w:r>
            <w:r>
              <w:rPr>
                <w:sz w:val="21"/>
              </w:rPr>
              <w:t>时间基准：采用日历日期，完全表示法</w:t>
            </w:r>
          </w:p>
          <w:p>
            <w:r>
              <w:rPr>
                <w:sz w:val="21"/>
              </w:rPr>
              <w:t>2)</w:t>
            </w:r>
            <w:r>
              <w:rPr>
                <w:sz w:val="21"/>
              </w:rPr>
              <w:t>坐标系统：</w:t>
            </w:r>
            <w:r>
              <w:rPr>
                <w:sz w:val="21"/>
              </w:rPr>
              <w:t>2000国家大地坐标系</w:t>
            </w:r>
          </w:p>
          <w:p>
            <w:r>
              <w:rPr>
                <w:sz w:val="21"/>
              </w:rPr>
              <w:t>3)</w:t>
            </w:r>
            <w:r>
              <w:rPr>
                <w:sz w:val="21"/>
              </w:rPr>
              <w:t>坐标单位：度</w:t>
            </w:r>
          </w:p>
          <w:p>
            <w:r>
              <w:rPr>
                <w:sz w:val="21"/>
              </w:rPr>
              <w:t>4)</w:t>
            </w:r>
            <w:r>
              <w:rPr>
                <w:sz w:val="21"/>
              </w:rPr>
              <w:t>注：提供</w:t>
            </w:r>
            <w:r>
              <w:rPr>
                <w:sz w:val="21"/>
              </w:rPr>
              <w:t>WGS84坐标系数据，如果客户可以提供转换参数也可处理成国家2000坐标系。默认提供地理坐标系数据（单位：度），可根据实际需求，提供投影坐标系数据（单位：米）</w:t>
            </w:r>
          </w:p>
          <w:p>
            <w:r>
              <w:rPr>
                <w:sz w:val="21"/>
              </w:rPr>
              <w:t>(2)</w:t>
            </w:r>
            <w:r>
              <w:rPr>
                <w:sz w:val="21"/>
              </w:rPr>
              <w:t>坐标表达规则</w:t>
            </w:r>
          </w:p>
          <w:p>
            <w:pPr>
              <w:ind w:firstLine="420"/>
              <w:jc w:val="both"/>
            </w:pPr>
            <w:r>
              <w:rPr>
                <w:sz w:val="21"/>
              </w:rPr>
              <w:t>点以地理位置标识点的坐标（</w:t>
            </w:r>
            <w:r>
              <w:rPr>
                <w:sz w:val="21"/>
              </w:rPr>
              <w:t>X、Y）表示，线、面以地理位置标识点的坐标串表示。</w:t>
            </w:r>
          </w:p>
          <w:p>
            <w:r>
              <w:rPr>
                <w:sz w:val="21"/>
              </w:rPr>
              <w:t>(3)</w:t>
            </w:r>
            <w:r>
              <w:rPr>
                <w:sz w:val="21"/>
              </w:rPr>
              <w:t>属性要求</w:t>
            </w:r>
          </w:p>
          <w:p>
            <w:r>
              <w:rPr>
                <w:sz w:val="21"/>
              </w:rPr>
              <w:t>1)</w:t>
            </w:r>
            <w:r>
              <w:rPr>
                <w:sz w:val="21"/>
              </w:rPr>
              <w:t>要素各属性值应正确无误，当要素无属性值时应赋为空；</w:t>
            </w:r>
          </w:p>
          <w:p>
            <w:r>
              <w:rPr>
                <w:sz w:val="21"/>
              </w:rPr>
              <w:t>2)</w:t>
            </w:r>
            <w:r>
              <w:rPr>
                <w:sz w:val="21"/>
              </w:rPr>
              <w:t>各要素属性填写应符合字段约束条件；</w:t>
            </w:r>
          </w:p>
          <w:p>
            <w:r>
              <w:rPr>
                <w:sz w:val="21"/>
              </w:rPr>
              <w:t>3)</w:t>
            </w:r>
            <w:r>
              <w:rPr>
                <w:sz w:val="21"/>
              </w:rPr>
              <w:t>属性值统一用半角符号表示。</w:t>
            </w:r>
          </w:p>
          <w:p>
            <w:r>
              <w:rPr>
                <w:sz w:val="21"/>
              </w:rPr>
              <w:t>(4)</w:t>
            </w:r>
            <w:r>
              <w:rPr>
                <w:sz w:val="21"/>
              </w:rPr>
              <w:t>地图</w:t>
            </w:r>
            <w:r>
              <w:rPr>
                <w:sz w:val="21"/>
              </w:rPr>
              <w:t>数据内容指标要求</w:t>
            </w:r>
          </w:p>
          <w:p>
            <w:r>
              <w:rPr>
                <w:sz w:val="21"/>
              </w:rPr>
              <w:t>1)</w:t>
            </w:r>
            <w:r>
              <w:rPr>
                <w:sz w:val="21"/>
              </w:rPr>
              <w:t>▲</w:t>
            </w:r>
            <w:r>
              <w:rPr>
                <w:sz w:val="21"/>
              </w:rPr>
              <w:t>AOI完备率≥85%，正确率≥90%； 楼栋完备率≥85%，正确率≥90%。</w:t>
            </w:r>
          </w:p>
          <w:p>
            <w:r>
              <w:rPr>
                <w:sz w:val="21"/>
              </w:rPr>
              <w:t>2)</w:t>
            </w:r>
            <w:r>
              <w:rPr>
                <w:sz w:val="21"/>
              </w:rPr>
              <w:t>▲</w:t>
            </w:r>
            <w:r>
              <w:rPr>
                <w:sz w:val="21"/>
              </w:rPr>
              <w:t>城市范围内城市快速路、主干道、次干道、普通道路等各种道路数据齐全，城市主要道路覆盖率</w:t>
            </w:r>
            <w:r>
              <w:rPr>
                <w:sz w:val="21"/>
              </w:rPr>
              <w:t>≥90%，正确率≥90%。</w:t>
            </w:r>
          </w:p>
          <w:p>
            <w:r>
              <w:rPr>
                <w:sz w:val="21"/>
              </w:rPr>
              <w:t>3)</w:t>
            </w:r>
            <w:r>
              <w:rPr>
                <w:sz w:val="21"/>
              </w:rPr>
              <w:t>▲</w:t>
            </w:r>
            <w:r>
              <w:rPr>
                <w:sz w:val="21"/>
              </w:rPr>
              <w:t>重点</w:t>
            </w:r>
            <w:r>
              <w:rPr>
                <w:sz w:val="21"/>
              </w:rPr>
              <w:t>POI（地标建筑、政府机关、科技教育、文化体育、医疗卫生等）完备率≥95%，正确率≥90%，重复率≤10%。</w:t>
            </w:r>
          </w:p>
          <w:p>
            <w:r>
              <w:rPr>
                <w:sz w:val="21"/>
              </w:rPr>
              <w:t>(5)</w:t>
            </w:r>
            <w:r>
              <w:rPr>
                <w:sz w:val="21"/>
              </w:rPr>
              <w:t>数据标准</w:t>
            </w:r>
          </w:p>
          <w:p>
            <w:r>
              <w:rPr>
                <w:sz w:val="21"/>
              </w:rPr>
              <w:t>1)</w:t>
            </w:r>
            <w:r>
              <w:rPr>
                <w:sz w:val="21"/>
              </w:rPr>
              <w:t>电子地图精度、要素分层、要素模型、处理方式等应满足</w:t>
            </w:r>
            <w:r>
              <w:rPr>
                <w:sz w:val="21"/>
              </w:rPr>
              <w:t>GBT20268-2006《车载导航地理数据采集处理技术规程》中的要求。</w:t>
            </w:r>
          </w:p>
          <w:p>
            <w:r>
              <w:rPr>
                <w:sz w:val="21"/>
              </w:rPr>
              <w:t>2)</w:t>
            </w:r>
            <w:r>
              <w:rPr>
                <w:sz w:val="21"/>
              </w:rPr>
              <w:t>数据应依据</w:t>
            </w:r>
            <w:r>
              <w:rPr>
                <w:sz w:val="21"/>
              </w:rPr>
              <w:t>GB/T 19711-2005《导航地理数据模型与交换格式》进行分类，并赋代码，如有差异应提供详细数据标准及分类代码表。</w:t>
            </w:r>
          </w:p>
          <w:p>
            <w:r>
              <w:rPr>
                <w:sz w:val="21"/>
              </w:rPr>
              <w:t>3)</w:t>
            </w:r>
            <w:r>
              <w:rPr>
                <w:sz w:val="21"/>
              </w:rPr>
              <w:t>元数据内容应符合</w:t>
            </w:r>
            <w:r>
              <w:rPr>
                <w:sz w:val="21"/>
              </w:rPr>
              <w:t>GB/T 19711-2005《导航地理数据模型与交换格式》的规定，包括数据集目录及相关的分区、图层描述；属性记录的字段及数据类型定义；数据源描述；空间参考系统描述；更新情况说明等。</w:t>
            </w:r>
          </w:p>
          <w:p>
            <w:r>
              <w:rPr>
                <w:sz w:val="21"/>
              </w:rPr>
              <w:t>(6)</w:t>
            </w:r>
            <w:r>
              <w:rPr>
                <w:sz w:val="21"/>
              </w:rPr>
              <w:t>地图服务指标要求</w:t>
            </w:r>
          </w:p>
          <w:p>
            <w:r>
              <w:rPr>
                <w:sz w:val="21"/>
              </w:rPr>
              <w:t>1)</w:t>
            </w:r>
            <w:r>
              <w:rPr>
                <w:sz w:val="21"/>
              </w:rPr>
              <w:t>地图渲染服务性能指标：支持</w:t>
            </w:r>
            <w:r>
              <w:rPr>
                <w:sz w:val="21"/>
              </w:rPr>
              <w:t>200并发量，响应时间平均270ms以内，TPS平均280以内；</w:t>
            </w:r>
          </w:p>
          <w:p>
            <w:r>
              <w:rPr>
                <w:sz w:val="21"/>
              </w:rPr>
              <w:t>2)</w:t>
            </w:r>
            <w:r>
              <w:rPr>
                <w:sz w:val="21"/>
              </w:rPr>
              <w:t>地图搜索服务性能指标：</w:t>
            </w:r>
            <w:r>
              <w:rPr>
                <w:sz w:val="21"/>
              </w:rPr>
              <w:t>50并发、16线程、TPS800/S；</w:t>
            </w:r>
          </w:p>
          <w:p>
            <w:r>
              <w:rPr>
                <w:sz w:val="24"/>
              </w:rPr>
              <w:t>3)</w:t>
            </w:r>
            <w:r>
              <w:rPr>
                <w:sz w:val="21"/>
              </w:rPr>
              <w:t>路径规划服务性能指标：</w:t>
            </w:r>
            <w:r>
              <w:rPr>
                <w:sz w:val="21"/>
              </w:rPr>
              <w:t>350并发、TPS4000/S。</w:t>
            </w:r>
          </w:p>
          <w:p>
            <w:pPr>
              <w:jc w:val="both"/>
            </w:pPr>
            <w:r>
              <w:rPr>
                <w:sz w:val="21"/>
              </w:rPr>
              <w:t>6、</w:t>
            </w:r>
            <w:r>
              <w:rPr>
                <w:sz w:val="21"/>
              </w:rPr>
              <w:t>▲</w:t>
            </w:r>
            <w:r>
              <w:rPr>
                <w:sz w:val="21"/>
              </w:rPr>
              <w:t>投标人须提供不少于</w:t>
            </w:r>
            <w:r>
              <w:rPr>
                <w:sz w:val="21"/>
              </w:rPr>
              <w:t>30天每年的驻场服务，提供承诺函并加盖公章。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1.采购代理机构：本项目是指中山信诚招标有限公司，负责整个采购活动的组织，依法负责编制和发布招标文件，对招标文件拥有最终的解释权，不以任何身份出任评标委员会成员。</w:t>
      </w:r>
    </w:p>
    <w:p>
      <w:pPr>
        <w:ind w:firstLine="480"/>
      </w:pPr>
      <w:r>
        <w:rPr/>
        <w:t>2.采购人：本项目是指</w:t>
      </w:r>
      <w:r>
        <w:rPr/>
        <w:t>中山市公安局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采购包1：单价</w:t>
            </w:r>
          </w:p>
          <w:p/>
          <w:p>
            <w:r>
              <w:rPr/>
              <w:t>采购包2：单价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即1包-2包-3包的顺序），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发展计划委员会颁发的[2002]1980号文规定的项目收费标准的80%收取，采购包1、采购包2以预算金额为基准采用差额定率累进法计算。支付方式：银行转账或现金。支付时间：代理服务费必须在成交供应商领取《成交通知书》时一次性付清。开户银行：中信银行中山分行，账户名称：中山信诚招标有限公司，银行账号：744601 01826 000 30193</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中小微企业开展政府采购质押融资业务的相关规定，1.根据《中国人民银行中山市中心支行 中山市财政局 中山市经济和信息化局 中山市人民政府金融工作局关于印发〈中山市政府采购支持中小微企业质押融资的实施意见〉的通知》 （中人银发〔2017〕82号）规定，凡通过政府采购法定程序取得我市政府采购合同的中小微企业，均可向辖区内开展政府采购质押融资业务的银行机构申请办理融资业务。 截至当前，辖内开展政府采购质押融资业务的银行机构报备的联系方式如下： 政府采购质押融资业务的银行机 构联系人名单 序号 银行机构 经办部门 联系人联系方式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226446824 广发银行中山分行 普惠金融部 林光宇 88862643 5 中国邮政储蓄银行中山市分行 小企业金融部 黄嘉霖 13824720741 6 中山农村商 业银行 总行公司业务部 杜保森 88884181 7平安银行中山分行 普惠金融部 林晓冰 13823931817 8 兴业银行中山分行 企业金融部 刘中芳0760-88368666-203172 9 招商银行中山分行 公司金融事业部 唐庆颖 13924998608 10中国光大银行中山分行公司业务管理部 张梓颖0760-88858067 11 广州银行中山分行 公司金融部 杨顺龙 88776919 12 中信银行中山分行普惠金融部 陈廷忠 15113386853 普惠金融部余超贤 15918291829 13 渤海银行中山分行公司金融部 李建夏 13631124024、0760-87911816 分行营业部 徐艺 13928142042、0760-87911808 14 华夏银行中山分行 营销管理部 叶怡28137855 15 东莞银行中山分行 业务部 赵荣耀 13042854636/86939959 16 东亚银行（中国）有限公司中山支行 中山支行 王涛89986282/18926998881 17 浦发银行中山分行 交易银行部 付涛 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 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中山信诚招标有限公司</w:t>
      </w:r>
      <w:r>
        <w:rPr/>
        <w:t>代收。具体操作要求详见</w:t>
      </w:r>
      <w:r>
        <w:rPr/>
        <w:t>中山信诚招标有限公司</w:t>
      </w:r>
      <w:r>
        <w:rPr/>
        <w:t>有关指引，递交事宜请自行咨询</w:t>
      </w:r>
      <w:r>
        <w:rPr/>
        <w:t>中山信诚招标有限公司</w:t>
      </w:r>
      <w:r>
        <w:rPr/>
        <w:t>；请各投标人在投标文件递交截止时间前按须知前附表规定的金额递交至</w:t>
      </w:r>
      <w:r>
        <w:rPr/>
        <w:t>中山信诚招标有限公司</w:t>
      </w:r>
      <w:r>
        <w:rPr/>
        <w:t>，到账情况以开标时</w:t>
      </w:r>
      <w:r>
        <w:rPr/>
        <w:t>中山信诚招标有限公司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http://www.zsxct.com/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http://www.zsxct.com/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谢加普</w:t>
      </w:r>
    </w:p>
    <w:p>
      <w:pPr>
        <w:ind w:firstLine="480"/>
      </w:pPr>
      <w:r>
        <w:rPr/>
        <w:t>电话：</w:t>
      </w:r>
      <w:r>
        <w:rPr/>
        <w:t>0760-89889135</w:t>
      </w:r>
    </w:p>
    <w:p>
      <w:pPr>
        <w:ind w:firstLine="480"/>
      </w:pPr>
      <w:r>
        <w:rPr/>
        <w:t>传真：</w:t>
      </w:r>
      <w:r>
        <w:rPr/>
        <w:t>0760-88855733</w:t>
      </w:r>
    </w:p>
    <w:p>
      <w:pPr>
        <w:ind w:firstLine="480"/>
      </w:pPr>
      <w:r>
        <w:rPr/>
        <w:t>邮箱：</w:t>
      </w:r>
      <w:r>
        <w:rPr/>
        <w:t>223641760@qq.com</w:t>
      </w:r>
    </w:p>
    <w:p>
      <w:pPr>
        <w:ind w:firstLine="480"/>
      </w:pPr>
      <w:r>
        <w:rPr/>
        <w:t>地址：</w:t>
      </w:r>
      <w:r>
        <w:rPr/>
        <w:t>中山市东区东苑路119号（一、二层）</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采购包1(辅警通租赁)：综合评分法,是指投标文件满足招标文件全部实质性要求，且按照评审因素的量化指标评审得分最高的投标人为中标候选人的评标方法。（最低报价不是中标的唯一依据。）</w:t>
      </w:r>
    </w:p>
    <w:p/>
    <w:p>
      <w:r>
        <w:rPr/>
        <w:t>采购包2(前端感知设备)：综合评分法,是指投标文件满足招标文件全部实质性要求，且按照评审因素的量化指标评审得分最高的投标人为中标候选人的评标方法。（最低报价不是中标的唯一依据。）</w:t>
      </w:r>
    </w:p>
    <w:p/>
    <w:p>
      <w:r>
        <w:rPr/>
        <w:t>采购包3(地图应用服务)：综合评分法,是指投标文件满足招标文件全部实质性要求，且按照评审因素的量化指标评审得分最高的投标人为中标候选人的评标方法。（最低报价不是中标的唯一依据。）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中山信诚招标有限公司</w:t>
      </w:r>
      <w:r>
        <w:rPr/>
        <w:t>统一对外发布。</w:t>
      </w:r>
    </w:p>
    <w:p>
      <w:pPr>
        <w:ind w:firstLine="480"/>
      </w:pPr>
      <w:r>
        <w:rPr/>
        <w:t>（2）对</w:t>
      </w:r>
      <w:r>
        <w:rPr/>
        <w:t>中山信诚招标有限公司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采购包1（辅警通租赁）：</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采购包2（前端感知设备）：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采购包3（地图应用服务）：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采购包1（辅警通租赁）：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落实政府采购政策满足的资格要求</w:t>
            </w:r>
          </w:p>
        </w:tc>
        <w:tc>
          <w:tcPr>
            <w:tcW w:type="dxa" w:w="4238"/>
          </w:tcPr>
          <w:p>
            <w:r>
              <w:rPr/>
              <w:t>本采购包不属于专门面向中小企业采购的项目。</w:t>
            </w:r>
          </w:p>
        </w:tc>
      </w:tr>
    </w:tbl>
    <w:p/>
    <w:p>
      <w:r>
        <w:rPr/>
        <w:t>采购包2（前端感知设备）：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落实政府采购政策满足的资格要求</w:t>
            </w:r>
          </w:p>
        </w:tc>
        <w:tc>
          <w:tcPr>
            <w:tcW w:type="dxa" w:w="4238"/>
          </w:tcPr>
          <w:p>
            <w:r>
              <w:rPr/>
              <w:t>本采购包不属于专门面向中小企业采购的项目。</w:t>
            </w:r>
          </w:p>
        </w:tc>
      </w:tr>
    </w:tbl>
    <w:p/>
    <w:p>
      <w:r>
        <w:rPr/>
        <w:t>采购包3（地图应用服务）：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资质要求</w:t>
            </w:r>
          </w:p>
        </w:tc>
        <w:tc>
          <w:tcPr>
            <w:tcW w:type="dxa" w:w="4238"/>
          </w:tcPr>
          <w:p>
            <w:r>
              <w:rPr/>
              <w:t>投标人须具有测绘行政主管部门颁发的有效期内的乙级或以上测绘资质证书（提供证书复印件并加盖公章）</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采购包1（辅警通租赁）：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投标函已提交，且投标有效期符合招标文件规定。</w:t>
            </w:r>
          </w:p>
        </w:tc>
      </w:tr>
      <w:tr>
        <w:tc>
          <w:tcPr>
            <w:tcW w:type="dxa" w:w="890"/>
          </w:tcPr>
          <w:p>
            <w:r>
              <w:rPr/>
              <w:t>2</w:t>
            </w:r>
          </w:p>
        </w:tc>
        <w:tc>
          <w:tcPr>
            <w:tcW w:type="dxa" w:w="3178"/>
          </w:tcPr>
          <w:p>
            <w:r>
              <w:rPr/>
              <w:t>按招标文件规定签署、盖章</w:t>
            </w:r>
          </w:p>
        </w:tc>
        <w:tc>
          <w:tcPr>
            <w:tcW w:type="dxa" w:w="4238"/>
          </w:tcPr>
          <w:p>
            <w:r>
              <w:rPr/>
              <w:t>按招标文件规定签署、盖章。</w:t>
            </w:r>
          </w:p>
        </w:tc>
      </w:tr>
      <w:tr>
        <w:tc>
          <w:tcPr>
            <w:tcW w:type="dxa" w:w="890"/>
          </w:tcPr>
          <w:p>
            <w:r>
              <w:rPr/>
              <w:t>3</w:t>
            </w:r>
          </w:p>
        </w:tc>
        <w:tc>
          <w:tcPr>
            <w:tcW w:type="dxa" w:w="3178"/>
          </w:tcPr>
          <w:p>
            <w:r>
              <w:rPr/>
              <w:t>法定代表人/负责人资格证明书及授权委托书</w:t>
            </w:r>
          </w:p>
        </w:tc>
        <w:tc>
          <w:tcPr>
            <w:tcW w:type="dxa" w:w="4238"/>
          </w:tcPr>
          <w:p>
            <w:r>
              <w:rPr/>
              <w:t>投标文件具有有效的法定代表人/负责人资格证明书及授权委托书。</w:t>
            </w:r>
          </w:p>
        </w:tc>
      </w:tr>
      <w:tr>
        <w:tc>
          <w:tcPr>
            <w:tcW w:type="dxa" w:w="890"/>
          </w:tcPr>
          <w:p>
            <w:r>
              <w:rPr/>
              <w:t>4</w:t>
            </w:r>
          </w:p>
        </w:tc>
        <w:tc>
          <w:tcPr>
            <w:tcW w:type="dxa" w:w="3178"/>
          </w:tcPr>
          <w:p>
            <w:r>
              <w:rPr/>
              <w:t>投标报价</w:t>
            </w:r>
          </w:p>
        </w:tc>
        <w:tc>
          <w:tcPr>
            <w:tcW w:type="dxa" w:w="4238"/>
          </w:tcPr>
          <w:p>
            <w:r>
              <w:rPr/>
              <w:t>投标报价是唯一且不超出招标文件规定的限价（报单价的不超出单价）</w:t>
            </w:r>
          </w:p>
        </w:tc>
      </w:tr>
      <w:tr>
        <w:tc>
          <w:tcPr>
            <w:tcW w:type="dxa" w:w="890"/>
          </w:tcPr>
          <w:p>
            <w:r>
              <w:rPr/>
              <w:t>5</w:t>
            </w:r>
          </w:p>
        </w:tc>
        <w:tc>
          <w:tcPr>
            <w:tcW w:type="dxa" w:w="3178"/>
          </w:tcPr>
          <w:p>
            <w:r>
              <w:rPr/>
              <w:t>满足招标文件的条款</w:t>
            </w:r>
          </w:p>
        </w:tc>
        <w:tc>
          <w:tcPr>
            <w:tcW w:type="dxa" w:w="4238"/>
          </w:tcPr>
          <w:p>
            <w:r>
              <w:rPr/>
              <w:t>投标文件满足招标文件实质性条款。</w:t>
            </w:r>
          </w:p>
        </w:tc>
      </w:tr>
      <w:tr>
        <w:tc>
          <w:tcPr>
            <w:tcW w:type="dxa" w:w="890"/>
          </w:tcPr>
          <w:p>
            <w:r>
              <w:rPr/>
              <w:t>6</w:t>
            </w:r>
          </w:p>
        </w:tc>
        <w:tc>
          <w:tcPr>
            <w:tcW w:type="dxa" w:w="3178"/>
          </w:tcPr>
          <w:p>
            <w:r>
              <w:rPr/>
              <w:t>其他情形</w:t>
            </w:r>
          </w:p>
        </w:tc>
        <w:tc>
          <w:tcPr>
            <w:tcW w:type="dxa" w:w="4238"/>
          </w:tcPr>
          <w:p>
            <w:r>
              <w:rPr/>
              <w:t>无招标文件或法律、法规、规章规定属于无效投标的其他情形。</w:t>
            </w:r>
          </w:p>
        </w:tc>
      </w:tr>
    </w:tbl>
    <w:p/>
    <w:p>
      <w:r>
        <w:rPr/>
        <w:t>采购包2（前端感知设备）：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投标函已提交，且投标有效期符合招标文件规定。</w:t>
            </w:r>
          </w:p>
        </w:tc>
      </w:tr>
      <w:tr>
        <w:tc>
          <w:tcPr>
            <w:tcW w:type="dxa" w:w="890"/>
          </w:tcPr>
          <w:p>
            <w:r>
              <w:rPr/>
              <w:t>2</w:t>
            </w:r>
          </w:p>
        </w:tc>
        <w:tc>
          <w:tcPr>
            <w:tcW w:type="dxa" w:w="3178"/>
          </w:tcPr>
          <w:p>
            <w:r>
              <w:rPr/>
              <w:t>按招标文件规定签署、盖章</w:t>
            </w:r>
          </w:p>
        </w:tc>
        <w:tc>
          <w:tcPr>
            <w:tcW w:type="dxa" w:w="4238"/>
          </w:tcPr>
          <w:p>
            <w:r>
              <w:rPr/>
              <w:t>按招标文件规定签署、盖章。</w:t>
            </w:r>
          </w:p>
        </w:tc>
      </w:tr>
      <w:tr>
        <w:tc>
          <w:tcPr>
            <w:tcW w:type="dxa" w:w="890"/>
          </w:tcPr>
          <w:p>
            <w:r>
              <w:rPr/>
              <w:t>3</w:t>
            </w:r>
          </w:p>
        </w:tc>
        <w:tc>
          <w:tcPr>
            <w:tcW w:type="dxa" w:w="3178"/>
          </w:tcPr>
          <w:p>
            <w:r>
              <w:rPr/>
              <w:t>法定代表人/负责人资格证明书及授权委托书</w:t>
            </w:r>
          </w:p>
        </w:tc>
        <w:tc>
          <w:tcPr>
            <w:tcW w:type="dxa" w:w="4238"/>
          </w:tcPr>
          <w:p>
            <w:r>
              <w:rPr/>
              <w:t>投标文件具有有效的法定代表人/负责人资格证明书及授权委托书。</w:t>
            </w:r>
          </w:p>
        </w:tc>
      </w:tr>
      <w:tr>
        <w:tc>
          <w:tcPr>
            <w:tcW w:type="dxa" w:w="890"/>
          </w:tcPr>
          <w:p>
            <w:r>
              <w:rPr/>
              <w:t>4</w:t>
            </w:r>
          </w:p>
        </w:tc>
        <w:tc>
          <w:tcPr>
            <w:tcW w:type="dxa" w:w="3178"/>
          </w:tcPr>
          <w:p>
            <w:r>
              <w:rPr/>
              <w:t>投标报价</w:t>
            </w:r>
          </w:p>
        </w:tc>
        <w:tc>
          <w:tcPr>
            <w:tcW w:type="dxa" w:w="4238"/>
          </w:tcPr>
          <w:p>
            <w:r>
              <w:rPr/>
              <w:t>投标报价是唯一且不超出招标文件规定的限价（报单价的不超出单价）</w:t>
            </w:r>
          </w:p>
        </w:tc>
      </w:tr>
      <w:tr>
        <w:tc>
          <w:tcPr>
            <w:tcW w:type="dxa" w:w="890"/>
          </w:tcPr>
          <w:p>
            <w:r>
              <w:rPr/>
              <w:t>5</w:t>
            </w:r>
          </w:p>
        </w:tc>
        <w:tc>
          <w:tcPr>
            <w:tcW w:type="dxa" w:w="3178"/>
          </w:tcPr>
          <w:p>
            <w:r>
              <w:rPr/>
              <w:t>满足招标文件的条款</w:t>
            </w:r>
          </w:p>
        </w:tc>
        <w:tc>
          <w:tcPr>
            <w:tcW w:type="dxa" w:w="4238"/>
          </w:tcPr>
          <w:p>
            <w:r>
              <w:rPr/>
              <w:t>投标文件满足招标文件实质性条款。</w:t>
            </w:r>
          </w:p>
        </w:tc>
      </w:tr>
      <w:tr>
        <w:tc>
          <w:tcPr>
            <w:tcW w:type="dxa" w:w="890"/>
          </w:tcPr>
          <w:p>
            <w:r>
              <w:rPr/>
              <w:t>6</w:t>
            </w:r>
          </w:p>
        </w:tc>
        <w:tc>
          <w:tcPr>
            <w:tcW w:type="dxa" w:w="3178"/>
          </w:tcPr>
          <w:p>
            <w:r>
              <w:rPr/>
              <w:t>其他情形</w:t>
            </w:r>
          </w:p>
        </w:tc>
        <w:tc>
          <w:tcPr>
            <w:tcW w:type="dxa" w:w="4238"/>
          </w:tcPr>
          <w:p>
            <w:r>
              <w:rPr/>
              <w:t>无招标文件或法律、法规、规章规定属于无效投标的其他情形。</w:t>
            </w:r>
          </w:p>
        </w:tc>
      </w:tr>
    </w:tbl>
    <w:p/>
    <w:p>
      <w:r>
        <w:rPr/>
        <w:t>采购包3（地图应用服务）：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投标函已提交，且投标有效期符合招标文件规定。</w:t>
            </w:r>
          </w:p>
        </w:tc>
      </w:tr>
      <w:tr>
        <w:tc>
          <w:tcPr>
            <w:tcW w:type="dxa" w:w="890"/>
          </w:tcPr>
          <w:p>
            <w:r>
              <w:rPr/>
              <w:t>2</w:t>
            </w:r>
          </w:p>
        </w:tc>
        <w:tc>
          <w:tcPr>
            <w:tcW w:type="dxa" w:w="3178"/>
          </w:tcPr>
          <w:p>
            <w:r>
              <w:rPr/>
              <w:t>按招标文件规定签署、盖章</w:t>
            </w:r>
          </w:p>
        </w:tc>
        <w:tc>
          <w:tcPr>
            <w:tcW w:type="dxa" w:w="4238"/>
          </w:tcPr>
          <w:p>
            <w:r>
              <w:rPr/>
              <w:t>按招标文件规定签署、盖章。</w:t>
            </w:r>
          </w:p>
        </w:tc>
      </w:tr>
      <w:tr>
        <w:tc>
          <w:tcPr>
            <w:tcW w:type="dxa" w:w="890"/>
          </w:tcPr>
          <w:p>
            <w:r>
              <w:rPr/>
              <w:t>3</w:t>
            </w:r>
          </w:p>
        </w:tc>
        <w:tc>
          <w:tcPr>
            <w:tcW w:type="dxa" w:w="3178"/>
          </w:tcPr>
          <w:p>
            <w:r>
              <w:rPr/>
              <w:t>法定代表人/负责人资格证明书及授权委托书</w:t>
            </w:r>
          </w:p>
        </w:tc>
        <w:tc>
          <w:tcPr>
            <w:tcW w:type="dxa" w:w="4238"/>
          </w:tcPr>
          <w:p>
            <w:r>
              <w:rPr/>
              <w:t>投标文件具有有效的法定代表人/负责人资格证明书及授权委托书。</w:t>
            </w:r>
          </w:p>
        </w:tc>
      </w:tr>
      <w:tr>
        <w:tc>
          <w:tcPr>
            <w:tcW w:type="dxa" w:w="890"/>
          </w:tcPr>
          <w:p>
            <w:r>
              <w:rPr/>
              <w:t>4</w:t>
            </w:r>
          </w:p>
        </w:tc>
        <w:tc>
          <w:tcPr>
            <w:tcW w:type="dxa" w:w="3178"/>
          </w:tcPr>
          <w:p>
            <w:r>
              <w:rPr/>
              <w:t>投标报价</w:t>
            </w:r>
          </w:p>
        </w:tc>
        <w:tc>
          <w:tcPr>
            <w:tcW w:type="dxa" w:w="4238"/>
          </w:tcPr>
          <w:p>
            <w:r>
              <w:rPr/>
              <w:t>投标报价是唯一且不超出招标文件规定的限价（报单价的不超出单价）</w:t>
            </w:r>
          </w:p>
        </w:tc>
      </w:tr>
      <w:tr>
        <w:tc>
          <w:tcPr>
            <w:tcW w:type="dxa" w:w="890"/>
          </w:tcPr>
          <w:p>
            <w:r>
              <w:rPr/>
              <w:t>5</w:t>
            </w:r>
          </w:p>
        </w:tc>
        <w:tc>
          <w:tcPr>
            <w:tcW w:type="dxa" w:w="3178"/>
          </w:tcPr>
          <w:p>
            <w:r>
              <w:rPr/>
              <w:t>满足招标文件的条款</w:t>
            </w:r>
          </w:p>
        </w:tc>
        <w:tc>
          <w:tcPr>
            <w:tcW w:type="dxa" w:w="4238"/>
          </w:tcPr>
          <w:p>
            <w:r>
              <w:rPr/>
              <w:t>投标文件满足招标文件实质性条款。</w:t>
            </w:r>
          </w:p>
        </w:tc>
      </w:tr>
      <w:tr>
        <w:tc>
          <w:tcPr>
            <w:tcW w:type="dxa" w:w="890"/>
          </w:tcPr>
          <w:p>
            <w:r>
              <w:rPr/>
              <w:t>6</w:t>
            </w:r>
          </w:p>
        </w:tc>
        <w:tc>
          <w:tcPr>
            <w:tcW w:type="dxa" w:w="3178"/>
          </w:tcPr>
          <w:p>
            <w:r>
              <w:rPr/>
              <w:t>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采购包1(辅警通租赁):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重要技术参数响应 (20.0分)</w:t>
            </w:r>
          </w:p>
        </w:tc>
        <w:tc>
          <w:tcPr>
            <w:tcW w:type="dxa" w:w="5076"/>
          </w:tcPr>
          <w:p>
            <w:pPr>
              <w:jc w:val="left"/>
            </w:pPr>
            <w:r>
              <w:rPr/>
              <w:t>投标人对技术要求中带“▲”参数的满足情况，完全满足的得20分，每负偏离一项扣2分，扣完为止。如要求提供相关证明文件或承诺的，按要求提供，否则不得分。</w:t>
            </w:r>
          </w:p>
        </w:tc>
      </w:tr>
      <w:tr>
        <w:tc>
          <w:tcPr>
            <w:tcW w:type="dxa" w:w="922"/>
            <w:gridSpan w:val="2"/>
            <w:vMerge/>
          </w:tcPr>
          <w:p/>
        </w:tc>
        <w:tc>
          <w:tcPr>
            <w:tcW w:type="dxa" w:w="2307"/>
          </w:tcPr>
          <w:p>
            <w:pPr>
              <w:jc w:val="left"/>
            </w:pPr>
            <w:r>
              <w:rPr/>
              <w:t>一般技术参数响应 (8.0分)</w:t>
            </w:r>
          </w:p>
        </w:tc>
        <w:tc>
          <w:tcPr>
            <w:tcW w:type="dxa" w:w="5076"/>
          </w:tcPr>
          <w:p>
            <w:pPr>
              <w:jc w:val="left"/>
            </w:pPr>
            <w:r>
              <w:rPr/>
              <w:t>投标人对技术要求中一般参数（不带“▲”）的满足情况，完全满足的得8分，每负偏离一项扣0.5分，扣完为止。如要求提供相关证明文件或承诺的，按要求提供，否则不得分。</w:t>
            </w:r>
          </w:p>
        </w:tc>
      </w:tr>
      <w:tr>
        <w:tc>
          <w:tcPr>
            <w:tcW w:type="dxa" w:w="922"/>
            <w:gridSpan w:val="2"/>
            <w:vMerge/>
          </w:tcPr>
          <w:p/>
        </w:tc>
        <w:tc>
          <w:tcPr>
            <w:tcW w:type="dxa" w:w="2307"/>
          </w:tcPr>
          <w:p>
            <w:pPr>
              <w:jc w:val="left"/>
            </w:pPr>
            <w:r>
              <w:rPr/>
              <w:t>项目理解以及重点难点分析 (6.0分)</w:t>
            </w:r>
            <w:r>
              <w:rPr/>
              <w:t>，（等次分值选择：</w:t>
            </w:r>
            <w:r>
              <w:rPr/>
              <w:t>0.0;</w:t>
            </w:r>
            <w:r>
              <w:rPr/>
              <w:t>1.0;</w:t>
            </w:r>
            <w:r>
              <w:rPr/>
              <w:t>2.0;</w:t>
            </w:r>
            <w:r>
              <w:rPr/>
              <w:t>4.0;</w:t>
            </w:r>
            <w:r>
              <w:rPr/>
              <w:t>6.0;</w:t>
            </w:r>
            <w:r>
              <w:rPr/>
              <w:t>）</w:t>
            </w:r>
          </w:p>
        </w:tc>
        <w:tc>
          <w:tcPr>
            <w:tcW w:type="dxa" w:w="5076"/>
          </w:tcPr>
          <w:p>
            <w:pPr>
              <w:jc w:val="left"/>
            </w:pPr>
            <w:r>
              <w:rPr/>
              <w:t>投标人对采购需求的理解、项目重点难点分析：                                                 1、投标人对采购需求理解深入透彻，结合自身情况对项目重点难点进行详细分析，分析结果符合项目现状，有助于项目实施，得6分；                                                                                       2、投标人对采购需求良好，结合自身情况对项目重点难点进行分析，分析结果符合项目现状，得4分；                 3、投标人对采购需求一般，结合自身情况对项目重点难点进行分析，分析结果基本符合项目现状，得2分；                                               4、投标人对采购需求不理解，未结合自身情况对项目重点难点进行分析，分析结果不符合项目现状，得1分。                                                       5、未提供相关内容不得分。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根据投标人对本项目的熟悉程度、技术服务及培训方案等进行评审： 1、对本项目内容非常熟悉、认识清晰明确，技术服务及培训方案详细、科学、合理，得10分； 2、对本项目内容较熟悉、认识较清晰，技术管理服务及培训方案合理，得7分； 3、对本项目内容熟悉一般，技术管理服务及培训方案一般，得4分； 4、对本项目内容熟悉程度较差，技术管理服务及培训方案较差，得1分。 5、不提供不得分。</w:t>
            </w:r>
          </w:p>
        </w:tc>
      </w:tr>
      <w:tr>
        <w:tc>
          <w:tcPr>
            <w:tcW w:type="dxa" w:w="922"/>
            <w:gridSpan w:val="2"/>
            <w:vMerge/>
          </w:tcPr>
          <w:p/>
        </w:tc>
        <w:tc>
          <w:tcPr>
            <w:tcW w:type="dxa" w:w="2307"/>
          </w:tcPr>
          <w:p>
            <w:pPr>
              <w:jc w:val="left"/>
            </w:pPr>
            <w:r>
              <w:rPr/>
              <w:t>售后服务能力 (6.0分)</w:t>
            </w:r>
            <w:r>
              <w:rPr/>
              <w:t>，（等次分值选择：</w:t>
            </w:r>
            <w:r>
              <w:rPr/>
              <w:t>0.0;</w:t>
            </w:r>
            <w:r>
              <w:rPr/>
              <w:t>1.0;</w:t>
            </w:r>
            <w:r>
              <w:rPr/>
              <w:t>2.0;</w:t>
            </w:r>
            <w:r>
              <w:rPr/>
              <w:t>4.0;</w:t>
            </w:r>
            <w:r>
              <w:rPr/>
              <w:t>6.0;</w:t>
            </w:r>
            <w:r>
              <w:rPr/>
              <w:t>）</w:t>
            </w:r>
          </w:p>
        </w:tc>
        <w:tc>
          <w:tcPr>
            <w:tcW w:type="dxa" w:w="5076"/>
          </w:tcPr>
          <w:p>
            <w:pPr>
              <w:jc w:val="left"/>
            </w:pPr>
            <w:r>
              <w:rPr/>
              <w:t>根据各投标人的服务便利性、响应时间、保障措施方案进行评价： 1、服务便利性非常高、响应时间及时、保障措施详细、合理、可实现度高，得6分。 2、服务便利性较高、响应时间较及时、保障措施较详细、合理、可实现度较高，得4分。 3、服务便利性一般、响应时间不及时、保障措施一般、可实现度一般，得2分。 4、服务便利性差、响应时间不及时、保障措施差、可实现度差，得1分。 5、不提供不得分。</w:t>
            </w:r>
          </w:p>
        </w:tc>
      </w:tr>
      <w:tr>
        <w:tc>
          <w:tcPr>
            <w:tcW w:type="dxa" w:w="922"/>
            <w:gridSpan w:val="2"/>
            <w:vMerge w:val="restart"/>
          </w:tcPr>
          <w:p>
            <w:pPr>
              <w:jc w:val="center"/>
            </w:pPr>
            <w:r>
              <w:rPr/>
              <w:t>商务部分</w:t>
            </w:r>
          </w:p>
        </w:tc>
        <w:tc>
          <w:tcPr>
            <w:tcW w:type="dxa" w:w="2307"/>
          </w:tcPr>
          <w:p>
            <w:pPr>
              <w:jc w:val="left"/>
            </w:pPr>
            <w:r>
              <w:rPr/>
              <w:t>认证体系及技术能力  (8.0分)</w:t>
            </w:r>
          </w:p>
        </w:tc>
        <w:tc>
          <w:tcPr>
            <w:tcW w:type="dxa" w:w="5076"/>
          </w:tcPr>
          <w:p>
            <w:pPr>
              <w:jc w:val="left"/>
            </w:pPr>
            <w:r>
              <w:rPr/>
              <w:t>1、投标人具有有效期内的ISO9001质量管理体系认证证书； 2、投标人具有有效期内的ISO14001环境管理体系认证证书； 3、投标人具有有效期内的ISO45001职业健康安全管理体系认证证书； 4、投标人具有有效期内的ISO27001信息安全管理体系认证证书。 每个认证证书得2分。 注：证书获得单位名称须与投标人名称一致，投标时提供相关有效证书复印件并加盖投标人公章。</w:t>
            </w:r>
          </w:p>
        </w:tc>
      </w:tr>
      <w:tr>
        <w:tc>
          <w:tcPr>
            <w:tcW w:type="dxa" w:w="922"/>
            <w:gridSpan w:val="2"/>
            <w:vMerge/>
          </w:tcPr>
          <w:p/>
        </w:tc>
        <w:tc>
          <w:tcPr>
            <w:tcW w:type="dxa" w:w="2307"/>
          </w:tcPr>
          <w:p>
            <w:pPr>
              <w:jc w:val="left"/>
            </w:pPr>
            <w:r>
              <w:rPr/>
              <w:t>项目经理 (10.0分)</w:t>
            </w:r>
          </w:p>
        </w:tc>
        <w:tc>
          <w:tcPr>
            <w:tcW w:type="dxa" w:w="5076"/>
          </w:tcPr>
          <w:p>
            <w:pPr>
              <w:jc w:val="left"/>
            </w:pPr>
            <w:r>
              <w:rPr/>
              <w:t>拟投入本项目专职项目经理（限1人）具有信息化相关专业高级职称证书的得10分，具有信息化相关专业中级职称证书的得5分，没有的不得分。 注： 1、需提供有效的认证或职称证书复印件，不提供或不符合要求的不得分； 2、材料提交要求：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拟投入驻场人员 (10.0分)</w:t>
            </w:r>
          </w:p>
        </w:tc>
        <w:tc>
          <w:tcPr>
            <w:tcW w:type="dxa" w:w="5076"/>
          </w:tcPr>
          <w:p>
            <w:pPr>
              <w:jc w:val="left"/>
            </w:pPr>
            <w:r>
              <w:rPr/>
              <w:t>拟投入本项目建设和驻点团队人员（项目经理除外）具有信息化相关专业中级职称证书，每提供1人得2.5分,满分得5分；具有信息化相关专业高级职称证书，每提供1人得5分，满分得5分；此项最高得10分。 1、一人只计一次分，以最高级别职称计算； 2、需提供有效的认证或职称证书复印件，不提供或不符合要求的不得分； 3、材料提交要求： 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业绩情况 (12.0分)</w:t>
            </w:r>
          </w:p>
        </w:tc>
        <w:tc>
          <w:tcPr>
            <w:tcW w:type="dxa" w:w="5076"/>
          </w:tcPr>
          <w:p>
            <w:pPr>
              <w:jc w:val="left"/>
            </w:pPr>
            <w:r>
              <w:rPr/>
              <w:t>投标人2019年至今（以合同签订时间为准）具有移动终端设备采购或租赁服务的项目业绩，每提供1个合同得2分，最高得12分。注：提供合同或合同关键页（合同关键页需包括但不限于合同首页、主要内容页、签字盖章页等能甄别项目信息的页面）复印件加盖投标人公章，未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采购包2(前端感知设备):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技术部分45.0分</w:t>
            </w:r>
          </w:p>
          <w:p>
            <w:r>
              <w:rPr/>
              <w:t>报价得分40.0分</w:t>
            </w:r>
          </w:p>
        </w:tc>
      </w:tr>
      <w:tr>
        <w:tc>
          <w:tcPr>
            <w:tcW w:type="dxa" w:w="922"/>
            <w:gridSpan w:val="2"/>
            <w:vMerge w:val="restart"/>
          </w:tcPr>
          <w:p>
            <w:pPr>
              <w:jc w:val="center"/>
            </w:pPr>
            <w:r>
              <w:rPr/>
              <w:t>技术部分</w:t>
            </w:r>
          </w:p>
        </w:tc>
        <w:tc>
          <w:tcPr>
            <w:tcW w:type="dxa" w:w="2307"/>
          </w:tcPr>
          <w:p>
            <w:pPr>
              <w:jc w:val="left"/>
            </w:pPr>
            <w:r>
              <w:rPr/>
              <w:t>重要技术参数响应 (30.0分)</w:t>
            </w:r>
          </w:p>
        </w:tc>
        <w:tc>
          <w:tcPr>
            <w:tcW w:type="dxa" w:w="5076"/>
          </w:tcPr>
          <w:p>
            <w:pPr>
              <w:jc w:val="left"/>
            </w:pPr>
            <w:r>
              <w:rPr/>
              <w:t>对用户需求中的带“▲”为重要技术指标条款的响应情况，全部满足的得30分，每负偏离一项扣2分，扣完为止。 注：对用户需求书带“▲”号条款，用户需求书要求提供证明资料或承诺的，按要求提供，否则不得分。</w:t>
            </w:r>
          </w:p>
        </w:tc>
      </w:tr>
      <w:tr>
        <w:tc>
          <w:tcPr>
            <w:tcW w:type="dxa" w:w="922"/>
            <w:gridSpan w:val="2"/>
            <w:vMerge/>
          </w:tcPr>
          <w:p/>
        </w:tc>
        <w:tc>
          <w:tcPr>
            <w:tcW w:type="dxa" w:w="2307"/>
          </w:tcPr>
          <w:p>
            <w:pPr>
              <w:jc w:val="left"/>
            </w:pPr>
            <w:r>
              <w:rPr/>
              <w:t>一般技术参数响应 (5.0分)</w:t>
            </w:r>
          </w:p>
        </w:tc>
        <w:tc>
          <w:tcPr>
            <w:tcW w:type="dxa" w:w="5076"/>
          </w:tcPr>
          <w:p>
            <w:pPr>
              <w:jc w:val="left"/>
            </w:pPr>
            <w:r>
              <w:rPr/>
              <w:t>投标人对技术要求中普通参数（不带“▲”）的满足情况，完全满足的得5分，每负偏离一项扣0.2分，扣完为止。如要求提供相关证明文件或承诺的，按要求提供，否则不得分。</w:t>
            </w:r>
          </w:p>
        </w:tc>
      </w:tr>
      <w:tr>
        <w:tc>
          <w:tcPr>
            <w:tcW w:type="dxa" w:w="922"/>
            <w:gridSpan w:val="2"/>
            <w:vMerge/>
          </w:tcPr>
          <w:p/>
        </w:tc>
        <w:tc>
          <w:tcPr>
            <w:tcW w:type="dxa" w:w="2307"/>
          </w:tcPr>
          <w:p>
            <w:pPr>
              <w:jc w:val="left"/>
            </w:pPr>
            <w:r>
              <w:rPr/>
              <w:t>项目理解以及重点难点分析 (5.0分)</w:t>
            </w:r>
            <w:r>
              <w:rPr/>
              <w:t>，（等次分值选择：</w:t>
            </w:r>
            <w:r>
              <w:rPr/>
              <w:t>0.0;</w:t>
            </w:r>
            <w:r>
              <w:rPr/>
              <w:t>1.0;</w:t>
            </w:r>
            <w:r>
              <w:rPr/>
              <w:t>2.0;</w:t>
            </w:r>
            <w:r>
              <w:rPr/>
              <w:t>3.0;</w:t>
            </w:r>
            <w:r>
              <w:rPr/>
              <w:t>5.0;</w:t>
            </w:r>
            <w:r>
              <w:rPr/>
              <w:t>）</w:t>
            </w:r>
          </w:p>
        </w:tc>
        <w:tc>
          <w:tcPr>
            <w:tcW w:type="dxa" w:w="5076"/>
          </w:tcPr>
          <w:p>
            <w:pPr>
              <w:jc w:val="left"/>
            </w:pPr>
            <w:r>
              <w:rPr/>
              <w:t>投标人对采购需求的理解、项目重点难点分析： 1、投标人对采购需求理解深入透彻，结合自身情况对项目重点难点进行详细分析，分析结果符合项目现状，有助于项目实施，得5分； 2、投标人对采购需求良好，结合自身情况对项目重点难点进行分析，分析结果符合项目现状，得3分； 3、投标人对采购需求一般，结合自身情况对项目重点难点进行分析，分析结果基本符合项目现状，得2分； 4、投标人对采购需求不理解，未结合自身情况对项目重点难点进行分析，分析结果不符合项目现状，得1分。                   5、未提供相关内容不得分。</w:t>
            </w:r>
          </w:p>
        </w:tc>
      </w:tr>
      <w:tr>
        <w:tc>
          <w:tcPr>
            <w:tcW w:type="dxa" w:w="922"/>
            <w:gridSpan w:val="2"/>
            <w:vMerge/>
          </w:tcPr>
          <w:p/>
        </w:tc>
        <w:tc>
          <w:tcPr>
            <w:tcW w:type="dxa" w:w="2307"/>
          </w:tcPr>
          <w:p>
            <w:pPr>
              <w:jc w:val="left"/>
            </w:pPr>
            <w:r>
              <w:rPr/>
              <w:t>售后服务 (5.0分)</w:t>
            </w:r>
            <w:r>
              <w:rPr/>
              <w:t>，（等次分值选择：</w:t>
            </w:r>
            <w:r>
              <w:rPr/>
              <w:t>0.0;</w:t>
            </w:r>
            <w:r>
              <w:rPr/>
              <w:t>1.0;</w:t>
            </w:r>
            <w:r>
              <w:rPr/>
              <w:t>2.0;</w:t>
            </w:r>
            <w:r>
              <w:rPr/>
              <w:t>3.0;</w:t>
            </w:r>
            <w:r>
              <w:rPr/>
              <w:t>5.0;</w:t>
            </w:r>
            <w:r>
              <w:rPr/>
              <w:t>）</w:t>
            </w:r>
          </w:p>
        </w:tc>
        <w:tc>
          <w:tcPr>
            <w:tcW w:type="dxa" w:w="5076"/>
          </w:tcPr>
          <w:p>
            <w:pPr>
              <w:jc w:val="left"/>
            </w:pPr>
            <w:r>
              <w:rPr/>
              <w:t>根据各投标人的服务便利性、响应时间、保障措施方案进行评价： 1、服务便利性非常高、响应时间及时、保障措施详细、合理、可实现度高，得5分。 2、服务便利性较高、响应时间较及时、保障措施较详细、合理、可实现度较高，3分。 3、服务便利性一般、响应时间不及时、保障措施一般、可实现度一般，得2分。 4、服务便利性差、响应时间不及时、保障措施差、可实现度差，得1分。 5、不提供不得分。</w:t>
            </w:r>
          </w:p>
        </w:tc>
      </w:tr>
      <w:tr>
        <w:tc>
          <w:tcPr>
            <w:tcW w:type="dxa" w:w="922"/>
            <w:gridSpan w:val="2"/>
            <w:vMerge w:val="restart"/>
          </w:tcPr>
          <w:p>
            <w:pPr>
              <w:jc w:val="center"/>
            </w:pPr>
            <w:r>
              <w:rPr/>
              <w:t>商务部分</w:t>
            </w:r>
          </w:p>
        </w:tc>
        <w:tc>
          <w:tcPr>
            <w:tcW w:type="dxa" w:w="2307"/>
          </w:tcPr>
          <w:p>
            <w:pPr>
              <w:jc w:val="left"/>
            </w:pPr>
            <w:r>
              <w:rPr/>
              <w:t>认证体系 (3.0分)</w:t>
            </w:r>
          </w:p>
        </w:tc>
        <w:tc>
          <w:tcPr>
            <w:tcW w:type="dxa" w:w="5076"/>
          </w:tcPr>
          <w:p>
            <w:pPr>
              <w:jc w:val="left"/>
            </w:pPr>
            <w:r>
              <w:rPr/>
              <w:t>1、投标人具有有效期内的ISO9001质量管理体系认证证书； 2、投标人具有有效期内的ISO14001环境管理体系认证证书； 3、投标人具有有效期内的ISO27001信息安全管理体系认证证书；每提供一个认证得1分，满分3分。 注：证书获得单位名称须与投标人名称一致，投标时提供相关有效证书复印件并加盖投标人公章。</w:t>
            </w:r>
          </w:p>
        </w:tc>
      </w:tr>
      <w:tr>
        <w:tc>
          <w:tcPr>
            <w:tcW w:type="dxa" w:w="922"/>
            <w:gridSpan w:val="2"/>
            <w:vMerge/>
          </w:tcPr>
          <w:p/>
        </w:tc>
        <w:tc>
          <w:tcPr>
            <w:tcW w:type="dxa" w:w="2307"/>
          </w:tcPr>
          <w:p>
            <w:pPr>
              <w:jc w:val="left"/>
            </w:pPr>
            <w:r>
              <w:rPr/>
              <w:t>项目团队 (4.0分)</w:t>
            </w:r>
          </w:p>
        </w:tc>
        <w:tc>
          <w:tcPr>
            <w:tcW w:type="dxa" w:w="5076"/>
          </w:tcPr>
          <w:p>
            <w:pPr>
              <w:jc w:val="left"/>
            </w:pPr>
            <w:r>
              <w:rPr/>
              <w:t>拟投入团队人员（含项目经理）中具有①人力资源和社会保障部或信息化部颁发的中级及以上的信息系统项目管理师；②网络工程师证书，每提供一人得1分，满分4分。 1、一人只计一次分，提供人员证书复印件并加盖公章。 2、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项目业绩 (8.0分)</w:t>
            </w:r>
          </w:p>
        </w:tc>
        <w:tc>
          <w:tcPr>
            <w:tcW w:type="dxa" w:w="5076"/>
          </w:tcPr>
          <w:p>
            <w:pPr>
              <w:jc w:val="left"/>
            </w:pPr>
            <w:r>
              <w:rPr/>
              <w:t>根据各投标人2019年（以合同签订时间为准）至今完成同类产品（本采购包中任意产品）业绩情况。每提供一项得2分，最高得8分。 注：提供合同或合同关键页（合同关键页需包括但不限于合同首页、主要内容页、签字盖章页等能甄别项目信息的页面）复印件加盖投标人公章，未提供不得分。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1、投标报价得分＝（评标基准价/名义投标报价）×价格分值【注：满足招标文件要求且名义投标价格最低的名义投标报价为评标基准价。】最低报价不是中标的唯一依据。因落实政府采购政策进行价格调整的，以调整后的价格计算评标基准价和投标报价。 2、名义投标价格的计算按照第二章用户需求“6、采购包2报价要求”规定的公式计算。即名义投标报价==A1·C1·P1+A2·C2·P2……+A6·C6·P6</w:t>
            </w:r>
          </w:p>
        </w:tc>
      </w:tr>
    </w:tbl>
    <w:p/>
    <w:p>
      <w:r>
        <w:rPr/>
        <w:t>采购包3(地图应用服务):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重要技术参数响应 (26.0分)</w:t>
            </w:r>
          </w:p>
        </w:tc>
        <w:tc>
          <w:tcPr>
            <w:tcW w:type="dxa" w:w="5076"/>
          </w:tcPr>
          <w:p>
            <w:pPr>
              <w:jc w:val="left"/>
            </w:pPr>
            <w:r>
              <w:rPr/>
              <w:t>对用户需求中的带“▲”为重要技术指标条款的响应情况，全部满足的得26分，每负偏离一项扣2分，扣完为止。 注：对用户需求书带“▲”号条款，用户需求书要求提供证明资料或承诺的，按要求提供，否则不得分。</w:t>
            </w:r>
          </w:p>
        </w:tc>
      </w:tr>
      <w:tr>
        <w:tc>
          <w:tcPr>
            <w:tcW w:type="dxa" w:w="922"/>
            <w:gridSpan w:val="2"/>
            <w:vMerge/>
          </w:tcPr>
          <w:p/>
        </w:tc>
        <w:tc>
          <w:tcPr>
            <w:tcW w:type="dxa" w:w="2307"/>
          </w:tcPr>
          <w:p>
            <w:pPr>
              <w:jc w:val="left"/>
            </w:pPr>
            <w:r>
              <w:rPr/>
              <w:t>对项目的理解 (6.0分)</w:t>
            </w:r>
            <w:r>
              <w:rPr/>
              <w:t>，（等次分值选择：</w:t>
            </w:r>
            <w:r>
              <w:rPr/>
              <w:t>0.0;</w:t>
            </w:r>
            <w:r>
              <w:rPr/>
              <w:t>1.0;</w:t>
            </w:r>
            <w:r>
              <w:rPr/>
              <w:t>2.0;</w:t>
            </w:r>
            <w:r>
              <w:rPr/>
              <w:t>4.0;</w:t>
            </w:r>
            <w:r>
              <w:rPr/>
              <w:t>6.0;</w:t>
            </w:r>
            <w:r>
              <w:rPr/>
              <w:t>）</w:t>
            </w:r>
          </w:p>
        </w:tc>
        <w:tc>
          <w:tcPr>
            <w:tcW w:type="dxa" w:w="5076"/>
          </w:tcPr>
          <w:p>
            <w:pPr>
              <w:jc w:val="left"/>
            </w:pPr>
            <w:r>
              <w:rPr/>
              <w:t>投标人对采购需求的理解、项目重点难点分析： 1、投标人对采购需求理解深入透彻，结合自身情况对项目重点难点进行详细分析，分析结果符合项目现状，有助于项目实施，得6分； 2、投标人对采购需求良好，结合自身情况对项目重点难点进行分析，分析结果符合项目现状，得4分；                 3、投标人对采购需求一般，结合自身情况对项目重点难点进行分析，分析结果基本符合项目现状，得2分；                                               4、投标人对采购需求不理解，未结合自身情况对项目重点难点进行分析，分析结果不符合项目现状，得1分。 5、未提供相关内容不得分。</w:t>
            </w:r>
          </w:p>
        </w:tc>
      </w:tr>
      <w:tr>
        <w:tc>
          <w:tcPr>
            <w:tcW w:type="dxa" w:w="922"/>
            <w:gridSpan w:val="2"/>
            <w:vMerge/>
          </w:tcPr>
          <w:p/>
        </w:tc>
        <w:tc>
          <w:tcPr>
            <w:tcW w:type="dxa" w:w="2307"/>
          </w:tcPr>
          <w:p>
            <w:pPr>
              <w:jc w:val="left"/>
            </w:pPr>
            <w:r>
              <w:rPr/>
              <w:t>实施方案 (6.0分)</w:t>
            </w:r>
            <w:r>
              <w:rPr/>
              <w:t>，（等次分值选择：</w:t>
            </w:r>
            <w:r>
              <w:rPr/>
              <w:t>0.0;</w:t>
            </w:r>
            <w:r>
              <w:rPr/>
              <w:t>2.0;</w:t>
            </w:r>
            <w:r>
              <w:rPr/>
              <w:t>4.0;</w:t>
            </w:r>
            <w:r>
              <w:rPr/>
              <w:t>6.0;</w:t>
            </w:r>
            <w:r>
              <w:rPr/>
              <w:t>）</w:t>
            </w:r>
          </w:p>
        </w:tc>
        <w:tc>
          <w:tcPr>
            <w:tcW w:type="dxa" w:w="5076"/>
          </w:tcPr>
          <w:p>
            <w:pPr>
              <w:jc w:val="left"/>
            </w:pPr>
            <w:r>
              <w:rPr/>
              <w:t>针对本项目提供项目实施方案，根据项目实施方案（包括项目组织安排、实施计划、应急方案等内容）进行综合评审。 1、项目实施方案条理清晰、全面、措施科学、合理、可行的，得6分； 2、项目实施方案较为清晰、全面、措施较为科学、合理、可行的，得4分；  3、项目实施方案不够清晰、全面、科学、合理、可行的为差，得2分。 4、无提供项目实施方案不得分。</w:t>
            </w:r>
          </w:p>
        </w:tc>
      </w:tr>
      <w:tr>
        <w:tc>
          <w:tcPr>
            <w:tcW w:type="dxa" w:w="922"/>
            <w:gridSpan w:val="2"/>
            <w:vMerge/>
          </w:tcPr>
          <w:p/>
        </w:tc>
        <w:tc>
          <w:tcPr>
            <w:tcW w:type="dxa" w:w="2307"/>
          </w:tcPr>
          <w:p>
            <w:pPr>
              <w:jc w:val="left"/>
            </w:pPr>
            <w:r>
              <w:rPr/>
              <w:t>售后服务 (7.0分)</w:t>
            </w:r>
            <w:r>
              <w:rPr/>
              <w:t>，（等次分值选择：</w:t>
            </w:r>
            <w:r>
              <w:rPr/>
              <w:t>0.0;</w:t>
            </w:r>
            <w:r>
              <w:rPr/>
              <w:t>1.0;</w:t>
            </w:r>
            <w:r>
              <w:rPr/>
              <w:t>3.0;</w:t>
            </w:r>
            <w:r>
              <w:rPr/>
              <w:t>5.0;</w:t>
            </w:r>
            <w:r>
              <w:rPr/>
              <w:t>7.0;</w:t>
            </w:r>
            <w:r>
              <w:rPr/>
              <w:t>）</w:t>
            </w:r>
          </w:p>
        </w:tc>
        <w:tc>
          <w:tcPr>
            <w:tcW w:type="dxa" w:w="5076"/>
          </w:tcPr>
          <w:p>
            <w:pPr>
              <w:jc w:val="left"/>
            </w:pPr>
            <w:r>
              <w:rPr/>
              <w:t>根据各投标人的服务便利性、响应时间、保障措施方案进行评价： 1、服务便利性非常高、响应时间及时、保障措施详细、合理、可实现度高，得7分。 2、服务便利性较高、响应时间较及时、保障措施较详细合理、可实现度较高，得5分。 3、服务便利性一般、响应时间不及时、保障措施一般、可实现度一般，得3分。 4、服务便利性差、响应时间不及时、保障措施差、可实现度差，得1分。 5、不提供不得分。</w:t>
            </w:r>
          </w:p>
        </w:tc>
      </w:tr>
      <w:tr>
        <w:tc>
          <w:tcPr>
            <w:tcW w:type="dxa" w:w="922"/>
            <w:gridSpan w:val="2"/>
            <w:vMerge/>
          </w:tcPr>
          <w:p/>
        </w:tc>
        <w:tc>
          <w:tcPr>
            <w:tcW w:type="dxa" w:w="2307"/>
          </w:tcPr>
          <w:p>
            <w:pPr>
              <w:jc w:val="left"/>
            </w:pPr>
            <w:r>
              <w:rPr/>
              <w:t>系统演示 (10.0分)</w:t>
            </w:r>
            <w:r>
              <w:rPr/>
              <w:t>，（等次分值选择：</w:t>
            </w:r>
            <w:r>
              <w:rPr/>
              <w:t>0.0;</w:t>
            </w:r>
            <w:r>
              <w:rPr/>
              <w:t>6.0;</w:t>
            </w:r>
            <w:r>
              <w:rPr/>
              <w:t>10.0;</w:t>
            </w:r>
            <w:r>
              <w:rPr/>
              <w:t>）</w:t>
            </w:r>
          </w:p>
        </w:tc>
        <w:tc>
          <w:tcPr>
            <w:tcW w:type="dxa" w:w="5076"/>
          </w:tcPr>
          <w:p>
            <w:pPr>
              <w:jc w:val="left"/>
            </w:pPr>
            <w:r>
              <w:rPr/>
              <w:t>演示内容要求： 1、演示中山市的AOI深度数据效果，要求演示10个AOI的深度数据，其中，小区4个、大型商超2个、医院2个、学校2个，由评标专家随机挑选一组（10个）中山的地址进行演示。 2、演示内容要求是： （1）小区数据：在地图上展示小区AOI名称、类型、详细地址出入口（位置和数量）、停车场（位置和数量）、内部道路、经纬度坐标、详细地址，点击楼栋或者建筑物时，展示该楼栋的名称、楼层、户室、是否电梯、经纬度坐标等信息。 （2）大型商超：展示商超AOI名称、类型、出入口（位置和数量）、停车场（位置和数量）、内部道路、经纬度坐标、详细地址，点击楼栋或者建筑物时，展示该楼栋楼层、商铺、是否电梯、经纬度坐标等。 （3）医院：展示医院AOI名称、类型、出入口（位置和数量）、停车场（位置和数量）、内部道路、经纬度坐标、详细地址，点击楼栋或者建筑物时，展示该楼栋名称、是否电梯、经纬度坐标等。 （4）学校：展示学校AOI名称、类型、出入口（位置和数量）、停车场（位置和数量）、内部道路、经纬度坐标、详细地址，点击楼栋或者建筑物时，展示该楼栋名称、楼层、经纬度坐标等。  注1：以上每一个演示功能点，演示内容完整、表述清晰、切实可行，满足要求得10分；内容基本完整、表述基本清晰、基本合理可行，基本满足要求得6分；内容不完整或无响应，得0分。 要求： 1、演示内容应为原型系统演示（可联网或单机版），其他形式（如静态界面、视频、PPT等）演示得0分。 2、投标人需要现场演示的AOI名称由评审专家随机挑选一组（10个）中山的AOI名称进行演示，指定的演示名称适用于每个投标人。</w:t>
            </w:r>
          </w:p>
        </w:tc>
      </w:tr>
      <w:tr>
        <w:tc>
          <w:tcPr>
            <w:tcW w:type="dxa" w:w="922"/>
            <w:gridSpan w:val="2"/>
            <w:vMerge w:val="restart"/>
          </w:tcPr>
          <w:p>
            <w:pPr>
              <w:jc w:val="center"/>
            </w:pPr>
            <w:r>
              <w:rPr/>
              <w:t>商务部分</w:t>
            </w:r>
          </w:p>
        </w:tc>
        <w:tc>
          <w:tcPr>
            <w:tcW w:type="dxa" w:w="2307"/>
          </w:tcPr>
          <w:p>
            <w:pPr>
              <w:jc w:val="left"/>
            </w:pPr>
            <w:r>
              <w:rPr/>
              <w:t>行业资质 (10.5分)</w:t>
            </w:r>
          </w:p>
        </w:tc>
        <w:tc>
          <w:tcPr>
            <w:tcW w:type="dxa" w:w="5076"/>
          </w:tcPr>
          <w:p>
            <w:pPr>
              <w:jc w:val="left"/>
            </w:pPr>
            <w:r>
              <w:rPr/>
              <w:t>1、投标人具有ISO 9001质量管理体系认证证书，认证范围包含地理、地图、测绘等地图数据相关。 2、投标人具有ISO 27001信息安全管理体系认证证书，认证范围包含地理、地图、测绘等地图数据相关。 3、投标人具有ISO/IEC 20000信息技术服务管理体系认证证书，认证范围包含地理、地图、测绘等地图数据相关。 4、投标人具有ISO22301业务连续性管理体系认证证书，认证范围包含地理、地图、测绘等地图数据相关。 5、投标人具有“计算机信息系统安全服务等级证”证书。 6、具有地理信息数据处理软件相关计算机软件著作权登记证书。 7、具有POI实时作业平台相关计算机软件著作权登记证书 注：上述证书每个得1.5分，满分10.5分。证书获得单位名称须与投标人名称一致，投标时提供相关有效证书复印件并加盖投标人公章。</w:t>
            </w:r>
          </w:p>
        </w:tc>
      </w:tr>
      <w:tr>
        <w:tc>
          <w:tcPr>
            <w:tcW w:type="dxa" w:w="922"/>
            <w:gridSpan w:val="2"/>
            <w:vMerge/>
          </w:tcPr>
          <w:p/>
        </w:tc>
        <w:tc>
          <w:tcPr>
            <w:tcW w:type="dxa" w:w="2307"/>
          </w:tcPr>
          <w:p>
            <w:pPr>
              <w:jc w:val="left"/>
            </w:pPr>
            <w:r>
              <w:rPr/>
              <w:t>项目团队 (7.5分)</w:t>
            </w:r>
          </w:p>
        </w:tc>
        <w:tc>
          <w:tcPr>
            <w:tcW w:type="dxa" w:w="5076"/>
          </w:tcPr>
          <w:p>
            <w:pPr>
              <w:jc w:val="left"/>
            </w:pPr>
            <w:r>
              <w:rPr/>
              <w:t>1、拟投入的项目经理（限一人）具有注册测绘师证书或测绘高级工程师专业技术资格证书，每个证书得1.5分，满分3分。 2、拟投入技术人员（项目经理不能兼任）中具有测绘工程师、系统集成项目管理工程师或PMP资格证书的，每人得0.9分，满分4.5分（一人只计一次分）； 3、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业绩 (12.0分)</w:t>
            </w:r>
          </w:p>
        </w:tc>
        <w:tc>
          <w:tcPr>
            <w:tcW w:type="dxa" w:w="5076"/>
          </w:tcPr>
          <w:p>
            <w:pPr>
              <w:jc w:val="left"/>
            </w:pPr>
            <w:r>
              <w:rPr/>
              <w:t>自2019年（以合同签订时间为准）至今承接地理信息或GIS系统、地图数据、地图服务等相关项目建设经验的，每提供一个合同得2分，满分12分。注：提供合同或合同关键页（合同关键页需包括但不限于合同首页、主要内容页、签字盖章页等能甄别项目信息的页面）复印件加盖投标人公章，未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中山市公安局社会面治安巡防管控</w:t>
      </w:r>
      <w:r>
        <w:rPr>
          <w:b/>
          <w:sz w:val="48"/>
        </w:rPr>
        <w:t>“四个一”体系前端感知系统</w:t>
      </w:r>
      <w:r>
        <w:rPr>
          <w:b/>
          <w:sz w:val="48"/>
        </w:rPr>
        <w:t>项目</w:t>
      </w:r>
      <w:r>
        <w:rPr>
          <w:b/>
          <w:sz w:val="48"/>
        </w:rPr>
        <w:t>--</w:t>
      </w:r>
      <w:r>
        <w:rPr>
          <w:b/>
          <w:sz w:val="48"/>
        </w:rPr>
        <w:t>辅警通租赁子项目（采购包</w:t>
      </w:r>
      <w:r>
        <w:rPr>
          <w:b/>
          <w:sz w:val="48"/>
        </w:rPr>
        <w:t>1</w:t>
      </w:r>
      <w:r>
        <w:rPr>
          <w:b/>
          <w:sz w:val="48"/>
        </w:rPr>
        <w:t>）</w:t>
      </w:r>
    </w:p>
    <w:p>
      <w:pPr>
        <w:jc w:val="center"/>
      </w:pPr>
    </w:p>
    <w:p>
      <w:pPr>
        <w:jc w:val="center"/>
      </w:pPr>
      <w:r>
        <w:rPr>
          <w:b/>
          <w:sz w:val="72"/>
        </w:rPr>
        <w:t>框</w:t>
      </w:r>
    </w:p>
    <w:p>
      <w:pPr>
        <w:jc w:val="center"/>
      </w:pPr>
      <w:r>
        <w:rPr>
          <w:b/>
          <w:sz w:val="72"/>
        </w:rPr>
        <w:t>架</w:t>
      </w:r>
    </w:p>
    <w:p>
      <w:pPr>
        <w:jc w:val="center"/>
      </w:pPr>
      <w:r>
        <w:rPr>
          <w:b/>
          <w:sz w:val="72"/>
        </w:rPr>
        <w:t>合</w:t>
      </w:r>
    </w:p>
    <w:p>
      <w:pPr>
        <w:jc w:val="center"/>
      </w:pPr>
      <w:r>
        <w:rPr>
          <w:b/>
          <w:sz w:val="72"/>
        </w:rPr>
        <w:t>同</w:t>
      </w:r>
    </w:p>
    <w:p>
      <w:pPr>
        <w:jc w:val="center"/>
      </w:pPr>
      <w:r>
        <w:rPr>
          <w:b/>
          <w:sz w:val="72"/>
        </w:rPr>
        <w:t>书</w:t>
      </w:r>
    </w:p>
    <w:p>
      <w:pPr>
        <w:ind w:firstLine="425"/>
        <w:jc w:val="both"/>
      </w:pPr>
    </w:p>
    <w:p>
      <w:pPr>
        <w:jc w:val="center"/>
      </w:pPr>
      <w:r>
        <w:rPr>
          <w:sz w:val="21"/>
        </w:rPr>
        <w:t>（仅供参考，采购人有权对本合同进行微调）</w:t>
      </w:r>
    </w:p>
    <w:tbl>
      <w:tblPr>
        <w:tblW w:w="0" w:type="auto"/>
        <w:tblBorders>
          <w:top w:val="none" w:color="000000" w:sz="4"/>
          <w:left w:val="none" w:color="000000" w:sz="4"/>
          <w:bottom w:val="none" w:color="000000" w:sz="4"/>
          <w:right w:val="none" w:color="000000" w:sz="4"/>
          <w:insideH w:val="none"/>
          <w:insideV w:val="none"/>
        </w:tblBorders>
      </w:tblPr>
      <w:tblGrid>
        <w:gridCol w:w="9750"/>
      </w:tblGrid>
      <w:tr>
        <w:tc>
          <w:tcPr>
            <w:tcW w:type="dxa" w:w="9750"/>
            <w:tcBorders>
              <w:top w:val="none" w:color="000000" w:sz="4"/>
              <w:left w:val="none" w:color="000000" w:sz="4"/>
              <w:bottom w:val="none" w:color="000000" w:sz="4"/>
              <w:right w:val="none" w:color="000000" w:sz="4"/>
            </w:tcBorders>
            <w:vAlign w:val="top"/>
          </w:tcPr>
          <w:p>
            <w:pPr>
              <w:jc w:val="both"/>
            </w:pP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采购项目编号：</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建设单位：中山市公安局</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承建单位：</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签订日期：</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签约地址：</w:t>
            </w:r>
          </w:p>
        </w:tc>
      </w:tr>
    </w:tbl>
    <w:p>
      <w:pPr>
        <w:jc w:val="both"/>
      </w:pPr>
    </w:p>
    <w:p/>
    <w:p>
      <w:r>
        <w:rPr/>
        <w:t xml:space="preserve"> </w:t>
      </w:r>
    </w:p>
    <w:p>
      <w:pPr>
        <w:jc w:val="both"/>
      </w:pPr>
      <w:r>
        <w:rPr>
          <w:sz w:val="21"/>
        </w:rPr>
        <w:t>甲</w:t>
      </w:r>
      <w:r>
        <w:rPr>
          <w:sz w:val="21"/>
        </w:rPr>
        <w:t xml:space="preserve"> </w:t>
      </w:r>
      <w:r>
        <w:rPr>
          <w:sz w:val="21"/>
        </w:rPr>
        <w:t>方：</w:t>
      </w:r>
      <w:r>
        <w:rPr>
          <w:sz w:val="21"/>
          <w:u w:val="single"/>
        </w:rPr>
        <w:t xml:space="preserve"> </w:t>
      </w:r>
      <w:r>
        <w:rPr>
          <w:sz w:val="21"/>
          <w:u w:val="single"/>
        </w:rPr>
        <w:t>中山市公安局</w:t>
      </w:r>
      <w:r>
        <w:rPr>
          <w:sz w:val="21"/>
        </w:rPr>
        <w:t>（以下简称</w:t>
      </w:r>
      <w:r>
        <w:rPr>
          <w:sz w:val="21"/>
        </w:rPr>
        <w:t>“甲方”）</w:t>
      </w:r>
    </w:p>
    <w:p>
      <w:pPr>
        <w:jc w:val="both"/>
      </w:pPr>
    </w:p>
    <w:p>
      <w:pPr>
        <w:jc w:val="both"/>
      </w:pPr>
      <w:r>
        <w:rPr>
          <w:sz w:val="21"/>
        </w:rPr>
        <w:t>乙</w:t>
      </w:r>
      <w:r>
        <w:rPr>
          <w:sz w:val="21"/>
        </w:rPr>
        <w:t xml:space="preserve"> </w:t>
      </w:r>
      <w:r>
        <w:rPr>
          <w:sz w:val="21"/>
        </w:rPr>
        <w:t>方：</w:t>
      </w:r>
      <w:r>
        <w:rPr>
          <w:sz w:val="21"/>
          <w:u w:val="single"/>
        </w:rPr>
        <w:t xml:space="preserve">                    </w:t>
      </w:r>
      <w:r>
        <w:rPr>
          <w:sz w:val="21"/>
        </w:rPr>
        <w:t>（以下简称</w:t>
      </w:r>
      <w:r>
        <w:rPr>
          <w:sz w:val="21"/>
        </w:rPr>
        <w:t>“</w:t>
      </w:r>
      <w:r>
        <w:rPr>
          <w:sz w:val="21"/>
        </w:rPr>
        <w:t>乙</w:t>
      </w:r>
      <w:r>
        <w:rPr>
          <w:sz w:val="21"/>
        </w:rPr>
        <w:t>方</w:t>
      </w:r>
      <w:r>
        <w:rPr>
          <w:sz w:val="21"/>
        </w:rPr>
        <w:t>”）</w:t>
      </w:r>
    </w:p>
    <w:p>
      <w:pPr>
        <w:ind w:firstLine="425"/>
        <w:jc w:val="both"/>
      </w:pPr>
    </w:p>
    <w:p>
      <w:pPr>
        <w:ind w:firstLine="420"/>
        <w:jc w:val="left"/>
      </w:pPr>
      <w:r>
        <w:rPr>
          <w:sz w:val="21"/>
        </w:rPr>
        <w:t>根据</w:t>
      </w:r>
      <w:r>
        <w:rPr>
          <w:b/>
          <w:sz w:val="21"/>
          <w:u w:val="single"/>
        </w:rPr>
        <w:t>中山市公安局社会面治安巡防管控</w:t>
      </w:r>
      <w:r>
        <w:rPr>
          <w:b/>
          <w:sz w:val="21"/>
          <w:u w:val="single"/>
        </w:rPr>
        <w:t>“四个一”体系前端感知系统项目-</w:t>
      </w:r>
      <w:r>
        <w:rPr>
          <w:b/>
          <w:sz w:val="21"/>
          <w:u w:val="single"/>
        </w:rPr>
        <w:t>-</w:t>
      </w:r>
      <w:r>
        <w:rPr>
          <w:b/>
          <w:sz w:val="21"/>
          <w:u w:val="single"/>
        </w:rPr>
        <w:t>辅警通</w:t>
      </w:r>
      <w:r>
        <w:rPr>
          <w:b/>
          <w:sz w:val="21"/>
          <w:u w:val="single"/>
        </w:rPr>
        <w:t>租赁</w:t>
      </w:r>
      <w:r>
        <w:rPr>
          <w:b/>
          <w:sz w:val="21"/>
          <w:u w:val="single"/>
        </w:rPr>
        <w:t>子项目</w:t>
      </w:r>
      <w:r>
        <w:rPr>
          <w:b/>
          <w:sz w:val="21"/>
          <w:u w:val="single"/>
        </w:rPr>
        <w:t>（采购包</w:t>
      </w:r>
      <w:r>
        <w:rPr>
          <w:b/>
          <w:sz w:val="21"/>
          <w:u w:val="single"/>
        </w:rPr>
        <w:t>1</w:t>
      </w:r>
      <w:r>
        <w:rPr>
          <w:b/>
          <w:sz w:val="21"/>
          <w:u w:val="single"/>
        </w:rPr>
        <w:t>）</w:t>
      </w:r>
      <w:r>
        <w:rPr>
          <w:sz w:val="21"/>
        </w:rPr>
        <w:t>的招标结果，按照《中华人民共和国政府采购法》、《合同法》的规定，</w:t>
      </w:r>
      <w:r>
        <w:rPr>
          <w:sz w:val="21"/>
        </w:rPr>
        <w:t>经双方协商，</w:t>
      </w:r>
      <w:r>
        <w:rPr>
          <w:sz w:val="21"/>
        </w:rPr>
        <w:t>本着平等互利和诚实信用的原则，</w:t>
      </w:r>
      <w:r>
        <w:rPr>
          <w:sz w:val="21"/>
        </w:rPr>
        <w:t>一致同意签订本合同如下。</w:t>
      </w:r>
    </w:p>
    <w:p>
      <w:pPr>
        <w:ind w:firstLine="425"/>
        <w:jc w:val="both"/>
      </w:pPr>
    </w:p>
    <w:p>
      <w:pPr>
        <w:jc w:val="both"/>
      </w:pPr>
      <w:r>
        <w:rPr>
          <w:b/>
          <w:sz w:val="21"/>
        </w:rPr>
        <w:t>一、</w:t>
      </w:r>
      <w:r>
        <w:rPr>
          <w:b/>
          <w:sz w:val="21"/>
        </w:rPr>
        <w:t>项目名称、服务期限及实施地点</w:t>
      </w:r>
    </w:p>
    <w:p>
      <w:pPr>
        <w:ind w:firstLine="420"/>
        <w:jc w:val="both"/>
      </w:pPr>
      <w:r>
        <w:rPr>
          <w:sz w:val="21"/>
        </w:rPr>
        <w:t>项目名称：中山市公安局社会面治安巡防管控</w:t>
      </w:r>
      <w:r>
        <w:rPr>
          <w:sz w:val="21"/>
        </w:rPr>
        <w:t>“四个一”体系前端感知系统项目--辅警通</w:t>
      </w:r>
      <w:r>
        <w:rPr>
          <w:sz w:val="21"/>
        </w:rPr>
        <w:t>租赁</w:t>
      </w:r>
      <w:r>
        <w:rPr>
          <w:sz w:val="21"/>
        </w:rPr>
        <w:t>子项目</w:t>
      </w:r>
    </w:p>
    <w:p>
      <w:pPr>
        <w:ind w:firstLine="420"/>
        <w:jc w:val="both"/>
      </w:pPr>
      <w:r>
        <w:rPr>
          <w:sz w:val="21"/>
        </w:rPr>
        <w:t>实施地点：中山市</w:t>
      </w:r>
    </w:p>
    <w:p>
      <w:pPr>
        <w:ind w:firstLine="420"/>
        <w:jc w:val="both"/>
      </w:pPr>
      <w:r>
        <w:rPr>
          <w:sz w:val="21"/>
        </w:rPr>
        <w:t>合同期限：</w:t>
      </w:r>
      <w:r>
        <w:rPr>
          <w:sz w:val="21"/>
        </w:rPr>
        <w:t>根据本项目采购结果，</w:t>
      </w:r>
      <w:r>
        <w:rPr>
          <w:sz w:val="21"/>
        </w:rPr>
        <w:t>甲方和乙方签订框架合同。</w:t>
      </w:r>
      <w:r>
        <w:rPr>
          <w:sz w:val="21"/>
        </w:rPr>
        <w:t>甲方及下属镇区分局有权按照框架合同以及中标单价和乙方签订分项合同，租赁服务期自分项合同签订并通过验收之日起算，租赁服务期为</w:t>
      </w:r>
      <w:r>
        <w:rPr>
          <w:sz w:val="21"/>
        </w:rPr>
        <w:t>36个月。</w:t>
      </w:r>
    </w:p>
    <w:p>
      <w:pPr>
        <w:ind w:firstLine="420"/>
        <w:jc w:val="both"/>
      </w:pPr>
    </w:p>
    <w:p>
      <w:pPr>
        <w:jc w:val="both"/>
      </w:pPr>
      <w:r>
        <w:rPr>
          <w:b/>
          <w:sz w:val="21"/>
        </w:rPr>
        <w:t>二、</w:t>
      </w:r>
      <w:r>
        <w:rPr>
          <w:b/>
          <w:sz w:val="21"/>
        </w:rPr>
        <w:t>项目具体要求</w:t>
      </w:r>
    </w:p>
    <w:p>
      <w:pPr>
        <w:ind w:firstLine="435"/>
        <w:jc w:val="both"/>
      </w:pPr>
      <w:r>
        <w:rPr>
          <w:sz w:val="21"/>
        </w:rPr>
        <w:t>乙方向甲方的分</w:t>
      </w:r>
      <w:r>
        <w:rPr>
          <w:sz w:val="21"/>
        </w:rPr>
        <w:t>项</w:t>
      </w:r>
      <w:r>
        <w:rPr>
          <w:sz w:val="21"/>
        </w:rPr>
        <w:t>合同签订单位提供以下服务：</w:t>
      </w:r>
    </w:p>
    <w:p>
      <w:pPr>
        <w:numPr>
          <w:ilvl w:val="0"/>
          <w:numId w:val="1"/>
        </w:numPr>
        <w:jc w:val="both"/>
      </w:pPr>
      <w:r>
        <w:rPr>
          <w:sz w:val="21"/>
        </w:rPr>
        <w:t>租赁服务：</w:t>
      </w:r>
    </w:p>
    <w:tbl>
      <w:tblPr>
        <w:tblW w:w="0" w:type="auto"/>
        <w:tblBorders>
          <w:top w:val="none" w:color="000000" w:sz="4"/>
          <w:left w:val="none" w:color="000000" w:sz="4"/>
          <w:bottom w:val="none" w:color="000000" w:sz="4"/>
          <w:right w:val="none" w:color="000000" w:sz="4"/>
          <w:insideH w:val="none"/>
          <w:insideV w:val="none"/>
        </w:tblBorders>
      </w:tblPr>
      <w:tblGrid>
        <w:gridCol w:w="724"/>
        <w:gridCol w:w="791"/>
        <w:gridCol w:w="6172"/>
        <w:gridCol w:w="724"/>
        <w:gridCol w:w="939"/>
        <w:gridCol w:w="992"/>
      </w:tblGrid>
      <w:tr>
        <w:tc>
          <w:tcPr>
            <w:tcW w:type="dxa" w:w="724"/>
            <w:tcBorders>
              <w:top w:val="single" w:color="000000" w:sz="4"/>
              <w:left w:val="single" w:color="000000" w:sz="4"/>
              <w:bottom w:val="single" w:color="000000" w:sz="4"/>
              <w:right w:val="single" w:color="000000" w:sz="4"/>
            </w:tcBorders>
            <w:shd w:fill="E0E0E0"/>
            <w:vAlign w:val="top"/>
          </w:tcPr>
          <w:p>
            <w:pPr>
              <w:jc w:val="center"/>
            </w:pPr>
            <w:r>
              <w:rPr>
                <w:b/>
                <w:sz w:val="21"/>
              </w:rPr>
              <w:t>序号</w:t>
            </w:r>
          </w:p>
        </w:tc>
        <w:tc>
          <w:tcPr>
            <w:tcW w:type="dxa" w:w="791"/>
            <w:tcBorders>
              <w:top w:val="single" w:color="000000" w:sz="4"/>
              <w:left w:val="single" w:color="000000" w:sz="4"/>
              <w:bottom w:val="single" w:color="000000" w:sz="4"/>
              <w:right w:val="single" w:color="000000" w:sz="4"/>
            </w:tcBorders>
            <w:shd w:fill="E0E0E0"/>
            <w:vAlign w:val="top"/>
          </w:tcPr>
          <w:p>
            <w:pPr>
              <w:jc w:val="center"/>
            </w:pPr>
            <w:r>
              <w:rPr>
                <w:b/>
                <w:sz w:val="21"/>
              </w:rPr>
              <w:t>服务名称</w:t>
            </w:r>
          </w:p>
        </w:tc>
        <w:tc>
          <w:tcPr>
            <w:tcW w:type="dxa" w:w="6172"/>
            <w:tcBorders>
              <w:top w:val="single" w:color="000000" w:sz="4"/>
              <w:left w:val="single" w:color="000000" w:sz="4"/>
              <w:bottom w:val="single" w:color="000000" w:sz="4"/>
              <w:right w:val="single" w:color="000000" w:sz="4"/>
            </w:tcBorders>
            <w:shd w:fill="E0E0E0"/>
            <w:vAlign w:val="top"/>
          </w:tcPr>
          <w:p>
            <w:pPr>
              <w:jc w:val="center"/>
            </w:pPr>
            <w:r>
              <w:rPr>
                <w:b/>
                <w:sz w:val="21"/>
              </w:rPr>
              <w:t>具体内容</w:t>
            </w:r>
          </w:p>
        </w:tc>
        <w:tc>
          <w:tcPr>
            <w:tcW w:type="dxa" w:w="724"/>
            <w:tcBorders>
              <w:top w:val="single" w:color="000000" w:sz="4"/>
              <w:left w:val="single" w:color="000000" w:sz="4"/>
              <w:bottom w:val="single" w:color="000000" w:sz="4"/>
              <w:right w:val="single" w:color="000000" w:sz="4"/>
            </w:tcBorders>
            <w:shd w:fill="E0E0E0"/>
            <w:vAlign w:val="top"/>
          </w:tcPr>
          <w:p>
            <w:pPr>
              <w:jc w:val="center"/>
            </w:pPr>
            <w:r>
              <w:rPr>
                <w:b/>
                <w:sz w:val="21"/>
              </w:rPr>
              <w:t>单位</w:t>
            </w:r>
          </w:p>
        </w:tc>
        <w:tc>
          <w:tcPr>
            <w:tcW w:type="dxa" w:w="939"/>
            <w:tcBorders>
              <w:top w:val="single" w:color="000000" w:sz="4"/>
              <w:left w:val="single" w:color="000000" w:sz="4"/>
              <w:bottom w:val="single" w:color="000000" w:sz="4"/>
              <w:right w:val="single" w:color="000000" w:sz="4"/>
            </w:tcBorders>
            <w:shd w:fill="E0E0E0"/>
            <w:vAlign w:val="top"/>
          </w:tcPr>
          <w:p>
            <w:pPr>
              <w:jc w:val="center"/>
            </w:pPr>
            <w:r>
              <w:rPr>
                <w:b/>
                <w:sz w:val="21"/>
              </w:rPr>
              <w:t>数量</w:t>
            </w:r>
            <w:r>
              <w:rPr>
                <w:b/>
                <w:sz w:val="21"/>
              </w:rPr>
              <w:t>（分局采购数量以实际为准）</w:t>
            </w:r>
          </w:p>
        </w:tc>
        <w:tc>
          <w:tcPr>
            <w:tcW w:type="dxa" w:w="992"/>
            <w:tcBorders>
              <w:top w:val="single" w:color="000000" w:sz="4"/>
              <w:left w:val="single" w:color="000000" w:sz="4"/>
              <w:bottom w:val="single" w:color="000000" w:sz="4"/>
              <w:right w:val="single" w:color="000000" w:sz="4"/>
            </w:tcBorders>
            <w:shd w:fill="E0E0E0"/>
            <w:vAlign w:val="top"/>
          </w:tcPr>
          <w:p>
            <w:pPr>
              <w:jc w:val="center"/>
            </w:pPr>
            <w:r>
              <w:rPr>
                <w:b/>
                <w:sz w:val="21"/>
              </w:rPr>
              <w:t>服务时间（月）</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通讯套餐</w:t>
            </w:r>
          </w:p>
        </w:tc>
        <w:tc>
          <w:tcPr>
            <w:tcW w:type="dxa" w:w="6172"/>
            <w:tcBorders>
              <w:top w:val="none" w:color="000000" w:sz="4"/>
              <w:left w:val="single" w:color="000000" w:sz="4"/>
              <w:bottom w:val="single" w:color="000000" w:sz="4"/>
              <w:right w:val="single" w:color="000000" w:sz="4"/>
            </w:tcBorders>
            <w:vAlign w:val="top"/>
          </w:tcPr>
          <w:p>
            <w:pPr>
              <w:jc w:val="left"/>
            </w:pPr>
            <w:r>
              <w:rPr>
                <w:sz w:val="21"/>
              </w:rPr>
              <w:t>1、终端3</w:t>
            </w:r>
            <w:r>
              <w:rPr>
                <w:sz w:val="21"/>
              </w:rPr>
              <w:t>6</w:t>
            </w:r>
            <w:r>
              <w:rPr>
                <w:sz w:val="21"/>
              </w:rPr>
              <w:t>个月</w:t>
            </w:r>
            <w:r>
              <w:rPr>
                <w:sz w:val="21"/>
              </w:rPr>
              <w:t>5G通信流信费用。每月通话不少于</w:t>
            </w:r>
            <w:r>
              <w:rPr>
                <w:sz w:val="21"/>
              </w:rPr>
              <w:t>6</w:t>
            </w:r>
            <w:r>
              <w:rPr>
                <w:sz w:val="21"/>
              </w:rPr>
              <w:t>00分钟，100条短信，</w:t>
            </w:r>
            <w:r>
              <w:rPr>
                <w:sz w:val="21"/>
              </w:rPr>
              <w:t>15</w:t>
            </w:r>
            <w:r>
              <w:rPr>
                <w:sz w:val="21"/>
              </w:rPr>
              <w:t>G互联网流量、</w:t>
            </w:r>
            <w:r>
              <w:rPr>
                <w:sz w:val="21"/>
              </w:rPr>
              <w:t>15</w:t>
            </w:r>
            <w:r>
              <w:rPr>
                <w:sz w:val="21"/>
              </w:rPr>
              <w:t>G移动警务专网流量(全局用户专网流量形成流量池，各用户从流量池中使用专网流量)。当月互联网流量、专网流量未用完则结转下个月使用。</w:t>
            </w:r>
            <w:r>
              <w:rPr>
                <w:sz w:val="21"/>
              </w:rPr>
              <w:t>本项目辅警通</w:t>
            </w:r>
            <w:r>
              <w:rPr>
                <w:sz w:val="21"/>
              </w:rPr>
              <w:t>号码</w:t>
            </w:r>
            <w:r>
              <w:rPr>
                <w:sz w:val="21"/>
              </w:rPr>
              <w:t>之间</w:t>
            </w:r>
            <w:r>
              <w:rPr>
                <w:sz w:val="21"/>
              </w:rPr>
              <w:t>互打免费。</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1740</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双系统移动终端</w:t>
            </w:r>
          </w:p>
        </w:tc>
        <w:tc>
          <w:tcPr>
            <w:tcW w:type="dxa" w:w="6172"/>
            <w:tcBorders>
              <w:top w:val="none" w:color="000000" w:sz="4"/>
              <w:left w:val="single" w:color="000000" w:sz="4"/>
              <w:bottom w:val="single" w:color="000000" w:sz="4"/>
              <w:right w:val="single" w:color="000000" w:sz="4"/>
            </w:tcBorders>
            <w:vAlign w:val="top"/>
          </w:tcPr>
          <w:p>
            <w:pPr>
              <w:jc w:val="left"/>
            </w:pPr>
            <w:r>
              <w:rPr>
                <w:sz w:val="21"/>
              </w:rPr>
              <w:t>1、满足公安部《智能手机型移动警务终端第1部分技术要求》（GA/T1466.1-2018）</w:t>
            </w:r>
            <w:r>
              <w:rPr>
                <w:sz w:val="21"/>
              </w:rPr>
              <w:t>技术要求和公安部对移动警务安全隐患整改要求。</w:t>
            </w:r>
            <w:r>
              <w:rPr>
                <w:sz w:val="21"/>
              </w:rPr>
              <w:t>提供报告日期为</w:t>
            </w:r>
            <w:r>
              <w:rPr>
                <w:sz w:val="21"/>
              </w:rPr>
              <w:t>2022年11月15日之后的公安部安全和警用电子产品质量检测中心检验报告复印件；如提供2022年11月15日及之前的公安部安全和警用电子产品质量检测中心检验报告复印件，需有针对上述安全隐患整改的补充检测报告复印件</w:t>
            </w:r>
            <w:r>
              <w:rPr>
                <w:sz w:val="21"/>
              </w:rPr>
              <w:t>。</w:t>
            </w:r>
          </w:p>
          <w:p>
            <w:pPr>
              <w:jc w:val="both"/>
            </w:pPr>
            <w:r>
              <w:rPr>
                <w:sz w:val="21"/>
              </w:rPr>
              <w:t>2、性能要求详见本</w:t>
            </w:r>
            <w:r>
              <w:rPr>
                <w:sz w:val="21"/>
              </w:rPr>
              <w:t>招标文件辅警通租赁</w:t>
            </w:r>
            <w:r>
              <w:rPr>
                <w:sz w:val="21"/>
              </w:rPr>
              <w:t>需求书</w:t>
            </w:r>
            <w:r>
              <w:rPr>
                <w:sz w:val="21"/>
              </w:rPr>
              <w:t>“</w:t>
            </w:r>
            <w:r>
              <w:rPr>
                <w:sz w:val="21"/>
              </w:rPr>
              <w:t>三</w:t>
            </w:r>
            <w:r>
              <w:rPr>
                <w:sz w:val="21"/>
              </w:rPr>
              <w:t>、项目服务需求</w:t>
            </w:r>
            <w:r>
              <w:rPr>
                <w:sz w:val="21"/>
              </w:rPr>
              <w:t>”</w:t>
            </w:r>
            <w:r>
              <w:rPr>
                <w:sz w:val="21"/>
              </w:rPr>
              <w:t>。</w:t>
            </w:r>
          </w:p>
          <w:p>
            <w:pPr>
              <w:jc w:val="both"/>
            </w:pPr>
            <w:r>
              <w:rPr>
                <w:sz w:val="21"/>
              </w:rPr>
              <w:t>3、</w:t>
            </w:r>
            <w:r>
              <w:rPr>
                <w:sz w:val="21"/>
              </w:rPr>
              <w:t>为每个</w:t>
            </w:r>
            <w:r>
              <w:rPr>
                <w:sz w:val="21"/>
              </w:rPr>
              <w:t>分项合同所租赁的终端</w:t>
            </w:r>
            <w:r>
              <w:rPr>
                <w:sz w:val="21"/>
              </w:rPr>
              <w:t>提供免费</w:t>
            </w:r>
            <w:r>
              <w:rPr>
                <w:sz w:val="21"/>
              </w:rPr>
              <w:t>原装</w:t>
            </w:r>
            <w:r>
              <w:rPr>
                <w:sz w:val="21"/>
              </w:rPr>
              <w:t>屏幕修复服务，</w:t>
            </w:r>
            <w:r>
              <w:rPr>
                <w:sz w:val="21"/>
              </w:rPr>
              <w:t>总</w:t>
            </w:r>
            <w:r>
              <w:rPr>
                <w:sz w:val="21"/>
              </w:rPr>
              <w:t>数量</w:t>
            </w:r>
            <w:r>
              <w:rPr>
                <w:sz w:val="21"/>
              </w:rPr>
              <w:t>不超过</w:t>
            </w:r>
            <w:r>
              <w:rPr>
                <w:sz w:val="21"/>
              </w:rPr>
              <w:t>该</w:t>
            </w:r>
            <w:r>
              <w:rPr>
                <w:sz w:val="21"/>
              </w:rPr>
              <w:t>分项</w:t>
            </w:r>
            <w:r>
              <w:rPr>
                <w:sz w:val="21"/>
              </w:rPr>
              <w:t>合同所约定</w:t>
            </w:r>
            <w:r>
              <w:rPr>
                <w:sz w:val="21"/>
              </w:rPr>
              <w:t>租赁终端数量</w:t>
            </w:r>
            <w:r>
              <w:rPr>
                <w:sz w:val="21"/>
              </w:rPr>
              <w:t>的</w:t>
            </w:r>
            <w:r>
              <w:rPr>
                <w:sz w:val="21"/>
              </w:rPr>
              <w:t>3</w:t>
            </w:r>
            <w:r>
              <w:rPr>
                <w:sz w:val="21"/>
              </w:rPr>
              <w:t>%（不满</w:t>
            </w:r>
            <w:r>
              <w:rPr>
                <w:sz w:val="21"/>
              </w:rPr>
              <w:t>1</w:t>
            </w:r>
            <w:r>
              <w:rPr>
                <w:sz w:val="21"/>
              </w:rPr>
              <w:t>个</w:t>
            </w:r>
            <w:r>
              <w:rPr>
                <w:sz w:val="21"/>
              </w:rPr>
              <w:t>需向上折算成</w:t>
            </w:r>
            <w:r>
              <w:rPr>
                <w:sz w:val="21"/>
              </w:rPr>
              <w:t>1</w:t>
            </w:r>
            <w:r>
              <w:rPr>
                <w:sz w:val="21"/>
              </w:rPr>
              <w:t>个</w:t>
            </w:r>
            <w:r>
              <w:rPr>
                <w:sz w:val="21"/>
              </w:rPr>
              <w:t>）。</w:t>
            </w:r>
            <w:r>
              <w:rPr>
                <w:sz w:val="21"/>
              </w:rPr>
              <w:t>每台终端</w:t>
            </w:r>
            <w:r>
              <w:rPr>
                <w:sz w:val="21"/>
              </w:rPr>
              <w:t>免费更换</w:t>
            </w:r>
            <w:r>
              <w:rPr>
                <w:sz w:val="21"/>
              </w:rPr>
              <w:t>原装</w:t>
            </w:r>
            <w:r>
              <w:rPr>
                <w:sz w:val="21"/>
              </w:rPr>
              <w:t>电池</w:t>
            </w:r>
            <w:r>
              <w:rPr>
                <w:sz w:val="21"/>
              </w:rPr>
              <w:t>1次</w:t>
            </w:r>
            <w:r>
              <w:rPr>
                <w:sz w:val="21"/>
              </w:rPr>
              <w:t>，配套</w:t>
            </w:r>
            <w:r>
              <w:rPr>
                <w:sz w:val="21"/>
              </w:rPr>
              <w:t>UV光固化</w:t>
            </w:r>
            <w:r>
              <w:rPr>
                <w:sz w:val="21"/>
              </w:rPr>
              <w:t>钢化膜、带四角气泡手机保护壳。</w:t>
            </w:r>
            <w:r>
              <w:rPr>
                <w:sz w:val="21"/>
              </w:rPr>
              <w:t>租赁期内软硬件免费维保服务（维修时，需免费提供同型号或符合要求更高型号备用机）。</w:t>
            </w:r>
          </w:p>
          <w:p>
            <w:pPr>
              <w:jc w:val="both"/>
            </w:pPr>
            <w:r>
              <w:rPr>
                <w:sz w:val="21"/>
              </w:rPr>
              <w:t>4</w:t>
            </w:r>
            <w:r>
              <w:rPr>
                <w:sz w:val="21"/>
              </w:rPr>
              <w:t>、</w:t>
            </w:r>
            <w:r>
              <w:rPr>
                <w:sz w:val="21"/>
              </w:rPr>
              <w:t>上述终端均需含原装充电器、充电线。</w:t>
            </w:r>
          </w:p>
          <w:p>
            <w:pPr>
              <w:jc w:val="both"/>
            </w:pPr>
            <w:r>
              <w:rPr>
                <w:sz w:val="21"/>
              </w:rPr>
              <w:t>5、租赁</w:t>
            </w:r>
            <w:r>
              <w:rPr>
                <w:sz w:val="21"/>
              </w:rPr>
              <w:t>服务期满后终端自然报废，不回收。</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1740</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安全加密服务</w:t>
            </w:r>
          </w:p>
        </w:tc>
        <w:tc>
          <w:tcPr>
            <w:tcW w:type="dxa" w:w="6172"/>
            <w:tcBorders>
              <w:top w:val="none" w:color="000000" w:sz="4"/>
              <w:left w:val="single" w:color="000000" w:sz="4"/>
              <w:bottom w:val="single" w:color="000000" w:sz="4"/>
              <w:right w:val="single" w:color="000000" w:sz="4"/>
            </w:tcBorders>
            <w:vAlign w:val="top"/>
          </w:tcPr>
          <w:p>
            <w:pPr>
              <w:jc w:val="both"/>
            </w:pPr>
            <w:r>
              <w:rPr>
                <w:sz w:val="21"/>
              </w:rPr>
              <w:t>性能要求详见本</w:t>
            </w:r>
            <w:r>
              <w:rPr>
                <w:sz w:val="21"/>
              </w:rPr>
              <w:t>招标文件辅警通租赁</w:t>
            </w:r>
            <w:r>
              <w:rPr>
                <w:sz w:val="21"/>
              </w:rPr>
              <w:t>需求书</w:t>
            </w:r>
            <w:r>
              <w:rPr>
                <w:sz w:val="21"/>
              </w:rPr>
              <w:t>“</w:t>
            </w:r>
            <w:r>
              <w:rPr>
                <w:sz w:val="21"/>
              </w:rPr>
              <w:t>三</w:t>
            </w:r>
            <w:r>
              <w:rPr>
                <w:sz w:val="21"/>
              </w:rPr>
              <w:t>、项目服务需求</w:t>
            </w:r>
            <w:r>
              <w:rPr>
                <w:sz w:val="21"/>
              </w:rPr>
              <w:t>”</w:t>
            </w:r>
            <w:r>
              <w:rPr>
                <w:sz w:val="21"/>
              </w:rPr>
              <w:t>，</w:t>
            </w:r>
            <w:r>
              <w:rPr>
                <w:sz w:val="21"/>
              </w:rPr>
              <w:t>租赁</w:t>
            </w:r>
            <w:r>
              <w:rPr>
                <w:sz w:val="21"/>
              </w:rPr>
              <w:t>服务期满自然报废，不回收。租赁服务期内</w:t>
            </w:r>
            <w:r>
              <w:rPr>
                <w:sz w:val="21"/>
              </w:rPr>
              <w:t>乙方提供</w:t>
            </w:r>
            <w:r>
              <w:rPr>
                <w:sz w:val="21"/>
              </w:rPr>
              <w:t>免费维保服务，可与广东省公安厅安全接入平台进行身份认证。</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1740</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MDM终端安全管控服务</w:t>
            </w:r>
          </w:p>
        </w:tc>
        <w:tc>
          <w:tcPr>
            <w:tcW w:type="dxa" w:w="6172"/>
            <w:tcBorders>
              <w:top w:val="none" w:color="000000" w:sz="4"/>
              <w:left w:val="single" w:color="000000" w:sz="4"/>
              <w:bottom w:val="single" w:color="000000" w:sz="4"/>
              <w:right w:val="single" w:color="000000" w:sz="4"/>
            </w:tcBorders>
            <w:vAlign w:val="top"/>
          </w:tcPr>
          <w:p>
            <w:pPr>
              <w:jc w:val="both"/>
            </w:pPr>
            <w:r>
              <w:rPr>
                <w:sz w:val="21"/>
              </w:rPr>
              <w:t>性能要求详见本</w:t>
            </w:r>
            <w:r>
              <w:rPr>
                <w:sz w:val="21"/>
              </w:rPr>
              <w:t>招标文件辅警通租赁</w:t>
            </w:r>
            <w:r>
              <w:rPr>
                <w:sz w:val="21"/>
              </w:rPr>
              <w:t>需求书</w:t>
            </w:r>
            <w:r>
              <w:rPr>
                <w:sz w:val="21"/>
              </w:rPr>
              <w:t>“</w:t>
            </w:r>
            <w:r>
              <w:rPr>
                <w:sz w:val="21"/>
              </w:rPr>
              <w:t>三</w:t>
            </w:r>
            <w:r>
              <w:rPr>
                <w:sz w:val="21"/>
              </w:rPr>
              <w:t>、项目服务需求</w:t>
            </w:r>
            <w:r>
              <w:rPr>
                <w:sz w:val="21"/>
              </w:rPr>
              <w:t>”</w:t>
            </w:r>
            <w:r>
              <w:rPr>
                <w:sz w:val="21"/>
              </w:rPr>
              <w:t>，租赁服务期内</w:t>
            </w:r>
            <w:r>
              <w:rPr>
                <w:sz w:val="21"/>
              </w:rPr>
              <w:t>乙方提供</w:t>
            </w:r>
            <w:r>
              <w:rPr>
                <w:sz w:val="21"/>
              </w:rPr>
              <w:t>免费维保服务，满足公安部、广东省公安厅对终端管控要求。</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1740</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终端安装服务</w:t>
            </w:r>
          </w:p>
        </w:tc>
        <w:tc>
          <w:tcPr>
            <w:tcW w:type="dxa" w:w="6172"/>
            <w:tcBorders>
              <w:top w:val="none" w:color="000000" w:sz="4"/>
              <w:left w:val="single" w:color="000000" w:sz="4"/>
              <w:bottom w:val="single" w:color="000000" w:sz="4"/>
              <w:right w:val="single" w:color="000000" w:sz="4"/>
            </w:tcBorders>
            <w:vAlign w:val="top"/>
          </w:tcPr>
          <w:p>
            <w:pPr>
              <w:jc w:val="both"/>
            </w:pPr>
            <w:r>
              <w:rPr>
                <w:sz w:val="21"/>
              </w:rPr>
              <w:t>移动终端安装、调试（刷</w:t>
            </w:r>
            <w:r>
              <w:rPr>
                <w:sz w:val="21"/>
              </w:rPr>
              <w:t>Rom、制作加密卡、设置拨号帐号、APP程序等）。</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1740</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终端维护服务</w:t>
            </w:r>
          </w:p>
        </w:tc>
        <w:tc>
          <w:tcPr>
            <w:tcW w:type="dxa" w:w="6172"/>
            <w:tcBorders>
              <w:top w:val="none" w:color="000000" w:sz="4"/>
              <w:left w:val="single" w:color="000000" w:sz="4"/>
              <w:bottom w:val="single" w:color="000000" w:sz="4"/>
              <w:right w:val="single" w:color="000000" w:sz="4"/>
            </w:tcBorders>
            <w:vAlign w:val="top"/>
          </w:tcPr>
          <w:p>
            <w:pPr>
              <w:numPr>
                <w:ilvl w:val="0"/>
                <w:numId w:val="1"/>
              </w:numPr>
              <w:jc w:val="left"/>
            </w:pPr>
            <w:r>
              <w:rPr>
                <w:sz w:val="21"/>
              </w:rPr>
              <w:t>建设期</w:t>
            </w:r>
            <w:r>
              <w:rPr>
                <w:sz w:val="21"/>
              </w:rPr>
              <w:t>（合同签订到完成内部验收）</w:t>
            </w:r>
            <w:r>
              <w:rPr>
                <w:sz w:val="21"/>
              </w:rPr>
              <w:t>内，提供</w:t>
            </w:r>
            <w:r>
              <w:rPr>
                <w:sz w:val="21"/>
              </w:rPr>
              <w:t>1名项目经理、2名或以上驻场工程师。</w:t>
            </w:r>
          </w:p>
          <w:p>
            <w:pPr>
              <w:numPr>
                <w:ilvl w:val="0"/>
                <w:numId w:val="1"/>
              </w:numPr>
              <w:jc w:val="left"/>
            </w:pPr>
            <w:r>
              <w:rPr>
                <w:sz w:val="21"/>
              </w:rPr>
              <w:t>租赁期</w:t>
            </w:r>
            <w:r>
              <w:rPr>
                <w:sz w:val="21"/>
              </w:rPr>
              <w:t>（验收完成之日至合同结束）</w:t>
            </w:r>
            <w:r>
              <w:rPr>
                <w:sz w:val="21"/>
              </w:rPr>
              <w:t>内，</w:t>
            </w:r>
            <w:r>
              <w:rPr>
                <w:sz w:val="21"/>
              </w:rPr>
              <w:t>提供</w:t>
            </w:r>
            <w:r>
              <w:rPr>
                <w:sz w:val="21"/>
              </w:rPr>
              <w:t>1</w:t>
            </w:r>
            <w:r>
              <w:rPr>
                <w:sz w:val="21"/>
              </w:rPr>
              <w:t>个工程师现场驻点服务，驻点人员需信息化相关专业、半年以上相关工作经验。（如遇系统重大故障、升级、改造，中标人需提供足够应急处置人员直至任务完成）</w:t>
            </w:r>
          </w:p>
          <w:p>
            <w:pPr>
              <w:jc w:val="left"/>
            </w:pPr>
            <w:r>
              <w:rPr>
                <w:sz w:val="21"/>
              </w:rPr>
              <w:t>3</w:t>
            </w:r>
            <w:r>
              <w:rPr>
                <w:sz w:val="21"/>
              </w:rPr>
              <w:t>、提供平台定期巡检、故障检查、故障诊断、数据整理、数据备份迁移、服务联调等工作；</w:t>
            </w:r>
            <w:r>
              <w:rPr>
                <w:sz w:val="21"/>
              </w:rPr>
              <w:t>提供在线</w:t>
            </w:r>
            <w:r>
              <w:rPr>
                <w:sz w:val="21"/>
              </w:rPr>
              <w:t>7*24小时在线支持服务。</w:t>
            </w:r>
          </w:p>
          <w:p>
            <w:pPr>
              <w:jc w:val="both"/>
            </w:pPr>
            <w:r>
              <w:rPr>
                <w:sz w:val="21"/>
              </w:rPr>
              <w:t>4</w:t>
            </w:r>
            <w:r>
              <w:rPr>
                <w:sz w:val="21"/>
              </w:rPr>
              <w:t>、</w:t>
            </w:r>
            <w:r>
              <w:rPr>
                <w:sz w:val="21"/>
              </w:rPr>
              <w:t>辅警通</w:t>
            </w:r>
            <w:r>
              <w:rPr>
                <w:sz w:val="21"/>
              </w:rPr>
              <w:t>终端软件版本配合省厅平台定期升级服务，包括新终端适配、软件功能升级、辅警应用测试和适配</w:t>
            </w:r>
            <w:r>
              <w:rPr>
                <w:sz w:val="21"/>
              </w:rPr>
              <w:t>、</w:t>
            </w:r>
            <w:r>
              <w:rPr>
                <w:sz w:val="21"/>
              </w:rPr>
              <w:t>平台功能迭代升级等服务。</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91"/>
            <w:tcBorders>
              <w:top w:val="none" w:color="000000" w:sz="4"/>
              <w:left w:val="single" w:color="000000" w:sz="4"/>
              <w:bottom w:val="single" w:color="000000" w:sz="4"/>
              <w:right w:val="single" w:color="000000" w:sz="4"/>
            </w:tcBorders>
            <w:vAlign w:val="top"/>
          </w:tcPr>
          <w:p>
            <w:pPr>
              <w:jc w:val="center"/>
            </w:pPr>
            <w:r>
              <w:rPr>
                <w:sz w:val="21"/>
              </w:rPr>
              <w:t>互联链路</w:t>
            </w:r>
          </w:p>
        </w:tc>
        <w:tc>
          <w:tcPr>
            <w:tcW w:type="dxa" w:w="6172"/>
            <w:tcBorders>
              <w:top w:val="none" w:color="000000" w:sz="4"/>
              <w:left w:val="single" w:color="000000" w:sz="4"/>
              <w:bottom w:val="single" w:color="000000" w:sz="4"/>
              <w:right w:val="single" w:color="000000" w:sz="4"/>
            </w:tcBorders>
            <w:vAlign w:val="top"/>
          </w:tcPr>
          <w:p>
            <w:pPr>
              <w:jc w:val="both"/>
            </w:pPr>
            <w:r>
              <w:rPr>
                <w:sz w:val="21"/>
              </w:rPr>
              <w:t>辅警通</w:t>
            </w:r>
            <w:r>
              <w:rPr>
                <w:sz w:val="21"/>
              </w:rPr>
              <w:t>终端到</w:t>
            </w:r>
            <w:r>
              <w:rPr>
                <w:sz w:val="21"/>
              </w:rPr>
              <w:t>基站</w:t>
            </w:r>
            <w:r>
              <w:rPr>
                <w:sz w:val="21"/>
              </w:rPr>
              <w:t>5G网络接入</w:t>
            </w:r>
            <w:r>
              <w:rPr>
                <w:sz w:val="21"/>
              </w:rPr>
              <w:t>、基站到</w:t>
            </w:r>
            <w:r>
              <w:rPr>
                <w:sz w:val="21"/>
              </w:rPr>
              <w:t>中山市</w:t>
            </w:r>
            <w:r>
              <w:rPr>
                <w:sz w:val="21"/>
              </w:rPr>
              <w:t>公安</w:t>
            </w:r>
            <w:r>
              <w:rPr>
                <w:sz w:val="21"/>
              </w:rPr>
              <w:t>局移动警务系统</w:t>
            </w:r>
            <w:r>
              <w:rPr>
                <w:sz w:val="21"/>
              </w:rPr>
              <w:t>VPN</w:t>
            </w:r>
            <w:r>
              <w:rPr>
                <w:sz w:val="21"/>
              </w:rPr>
              <w:t>链路</w:t>
            </w:r>
            <w:r>
              <w:rPr>
                <w:sz w:val="21"/>
              </w:rPr>
              <w:t>（</w:t>
            </w:r>
            <w:r>
              <w:rPr>
                <w:sz w:val="21"/>
              </w:rPr>
              <w:t>1G</w:t>
            </w:r>
            <w:r>
              <w:rPr>
                <w:sz w:val="21"/>
              </w:rPr>
              <w:t>带宽</w:t>
            </w:r>
            <w:r>
              <w:rPr>
                <w:sz w:val="21"/>
              </w:rPr>
              <w:t>），</w:t>
            </w:r>
            <w:r>
              <w:rPr>
                <w:sz w:val="21"/>
              </w:rPr>
              <w:t>按照广东省公安厅规则进行部署。</w:t>
            </w:r>
            <w:r>
              <w:rPr>
                <w:sz w:val="21"/>
              </w:rPr>
              <w:t>因辅警通日常运维工作需要，需将公安移动信息网网络延伸至中山市公安局运维中心。</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9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36</w:t>
            </w:r>
          </w:p>
        </w:tc>
      </w:tr>
    </w:tbl>
    <w:p>
      <w:pPr>
        <w:ind w:firstLine="420"/>
        <w:jc w:val="both"/>
      </w:pPr>
      <w:r>
        <w:rPr>
          <w:sz w:val="21"/>
        </w:rPr>
        <w:t>注：</w:t>
      </w:r>
    </w:p>
    <w:p>
      <w:pPr>
        <w:ind w:firstLine="420"/>
        <w:jc w:val="both"/>
      </w:pPr>
      <w:r>
        <w:rPr>
          <w:sz w:val="21"/>
        </w:rPr>
        <w:t>1、</w:t>
      </w:r>
      <w:r>
        <w:rPr>
          <w:sz w:val="21"/>
        </w:rPr>
        <w:t>本项目为交钥匙工程，</w:t>
      </w:r>
      <w:r>
        <w:rPr>
          <w:sz w:val="21"/>
        </w:rPr>
        <w:t>投标人</w:t>
      </w:r>
      <w:r>
        <w:rPr>
          <w:sz w:val="21"/>
        </w:rPr>
        <w:t>须</w:t>
      </w:r>
      <w:r>
        <w:rPr>
          <w:sz w:val="21"/>
        </w:rPr>
        <w:t>承诺</w:t>
      </w:r>
      <w:r>
        <w:rPr>
          <w:sz w:val="21"/>
        </w:rPr>
        <w:t>：</w:t>
      </w:r>
      <w:r>
        <w:rPr>
          <w:sz w:val="21"/>
        </w:rPr>
        <w:t>与</w:t>
      </w:r>
      <w:r>
        <w:rPr>
          <w:sz w:val="21"/>
        </w:rPr>
        <w:t>中山</w:t>
      </w:r>
      <w:r>
        <w:rPr>
          <w:sz w:val="21"/>
        </w:rPr>
        <w:t>市公安局及各</w:t>
      </w:r>
      <w:r>
        <w:rPr>
          <w:sz w:val="21"/>
        </w:rPr>
        <w:t>镇区分局</w:t>
      </w:r>
      <w:r>
        <w:rPr>
          <w:sz w:val="21"/>
        </w:rPr>
        <w:t>签订</w:t>
      </w:r>
      <w:r>
        <w:rPr>
          <w:sz w:val="21"/>
        </w:rPr>
        <w:t>分项</w:t>
      </w:r>
      <w:r>
        <w:rPr>
          <w:sz w:val="21"/>
        </w:rPr>
        <w:t>合同起安排备货，确保</w:t>
      </w:r>
      <w:r>
        <w:rPr>
          <w:sz w:val="21"/>
        </w:rPr>
        <w:t>30</w:t>
      </w:r>
      <w:r>
        <w:rPr>
          <w:sz w:val="21"/>
        </w:rPr>
        <w:t>日内保质保量交付项目采购的各项内容</w:t>
      </w:r>
      <w:r>
        <w:rPr>
          <w:sz w:val="21"/>
        </w:rPr>
        <w:t>；</w:t>
      </w:r>
      <w:r>
        <w:rPr>
          <w:sz w:val="21"/>
        </w:rPr>
        <w:t>项目周期里，如中标终端机型停产，中标人需提供同等或更高性能的</w:t>
      </w:r>
      <w:r>
        <w:rPr>
          <w:sz w:val="21"/>
        </w:rPr>
        <w:t>同品牌</w:t>
      </w:r>
      <w:r>
        <w:rPr>
          <w:sz w:val="21"/>
        </w:rPr>
        <w:t>合规替代机型，差价由中标人承担</w:t>
      </w:r>
      <w:r>
        <w:rPr>
          <w:sz w:val="21"/>
        </w:rPr>
        <w:t>；在</w:t>
      </w:r>
      <w:r>
        <w:rPr>
          <w:sz w:val="21"/>
        </w:rPr>
        <w:t>分项合同所约定的服务时间和服务内容范围内，采购人预留未办理的辅警通终端、套餐、安全加密服务、</w:t>
      </w:r>
      <w:r>
        <w:rPr>
          <w:sz w:val="21"/>
        </w:rPr>
        <w:t>MDM终端安全管控服务</w:t>
      </w:r>
      <w:r>
        <w:rPr>
          <w:sz w:val="21"/>
        </w:rPr>
        <w:t>等，采购人可随时办理</w:t>
      </w:r>
      <w:r>
        <w:rPr>
          <w:sz w:val="21"/>
        </w:rPr>
        <w:t>；</w:t>
      </w:r>
      <w:r>
        <w:rPr>
          <w:sz w:val="21"/>
        </w:rPr>
        <w:t>租赁期内，提供采购内容的免费维保及技术支持服务。</w:t>
      </w:r>
    </w:p>
    <w:p>
      <w:pPr>
        <w:jc w:val="both"/>
      </w:pPr>
      <w:r>
        <w:rPr>
          <w:sz w:val="21"/>
        </w:rPr>
        <w:t xml:space="preserve">    </w:t>
      </w:r>
      <w:r>
        <w:rPr>
          <w:sz w:val="21"/>
        </w:rPr>
        <w:t>2、</w:t>
      </w:r>
      <w:r>
        <w:rPr>
          <w:sz w:val="21"/>
        </w:rPr>
        <w:t>辅警</w:t>
      </w:r>
      <w:r>
        <w:rPr>
          <w:sz w:val="21"/>
        </w:rPr>
        <w:t>通</w:t>
      </w:r>
      <w:r>
        <w:rPr>
          <w:sz w:val="21"/>
        </w:rPr>
        <w:t>终端接入公安移动信息网，</w:t>
      </w:r>
      <w:r>
        <w:rPr>
          <w:sz w:val="21"/>
        </w:rPr>
        <w:t>中标人须</w:t>
      </w:r>
      <w:r>
        <w:rPr>
          <w:sz w:val="21"/>
        </w:rPr>
        <w:t>自行提供</w:t>
      </w:r>
      <w:r>
        <w:rPr>
          <w:sz w:val="21"/>
        </w:rPr>
        <w:t>公安移动信息网入网</w:t>
      </w:r>
      <w:r>
        <w:rPr>
          <w:sz w:val="21"/>
        </w:rPr>
        <w:t>所需</w:t>
      </w:r>
      <w:r>
        <w:rPr>
          <w:sz w:val="21"/>
        </w:rPr>
        <w:t>设备，包含但不仅限于</w:t>
      </w:r>
      <w:r>
        <w:rPr>
          <w:sz w:val="21"/>
        </w:rPr>
        <w:t>交换机</w:t>
      </w:r>
      <w:r>
        <w:rPr>
          <w:sz w:val="21"/>
        </w:rPr>
        <w:t>、路由器</w:t>
      </w:r>
      <w:r>
        <w:rPr>
          <w:sz w:val="21"/>
        </w:rPr>
        <w:t>等</w:t>
      </w:r>
      <w:r>
        <w:rPr>
          <w:sz w:val="21"/>
        </w:rPr>
        <w:t>设备</w:t>
      </w:r>
      <w:r>
        <w:rPr>
          <w:sz w:val="21"/>
        </w:rPr>
        <w:t>，并</w:t>
      </w:r>
      <w:r>
        <w:rPr>
          <w:sz w:val="21"/>
        </w:rPr>
        <w:t>于签订合同</w:t>
      </w:r>
      <w:r>
        <w:rPr>
          <w:sz w:val="21"/>
        </w:rPr>
        <w:t>30天内</w:t>
      </w:r>
      <w:r>
        <w:rPr>
          <w:sz w:val="21"/>
        </w:rPr>
        <w:t>顺利与中山市公安局入网设备对接入网。</w:t>
      </w:r>
    </w:p>
    <w:p>
      <w:pPr>
        <w:ind w:firstLine="420"/>
        <w:jc w:val="both"/>
      </w:pPr>
      <w:r>
        <w:rPr>
          <w:sz w:val="21"/>
        </w:rPr>
        <w:t>3、</w:t>
      </w:r>
      <w:r>
        <w:rPr>
          <w:sz w:val="21"/>
        </w:rPr>
        <w:t>服务期内终端故障时</w:t>
      </w:r>
      <w:r>
        <w:rPr>
          <w:sz w:val="21"/>
        </w:rPr>
        <w:t>，</w:t>
      </w:r>
      <w:r>
        <w:rPr>
          <w:sz w:val="21"/>
        </w:rPr>
        <w:t>中标</w:t>
      </w:r>
      <w:r>
        <w:rPr>
          <w:sz w:val="21"/>
        </w:rPr>
        <w:t>人</w:t>
      </w:r>
      <w:r>
        <w:rPr>
          <w:sz w:val="21"/>
        </w:rPr>
        <w:t>或其委托维修单位</w:t>
      </w:r>
      <w:r>
        <w:rPr>
          <w:sz w:val="21"/>
        </w:rPr>
        <w:t>须在采购人监督下开展维修工作。</w:t>
      </w:r>
    </w:p>
    <w:p>
      <w:pPr>
        <w:jc w:val="both"/>
      </w:pPr>
    </w:p>
    <w:p>
      <w:pPr>
        <w:jc w:val="both"/>
      </w:pPr>
      <w:r>
        <w:rPr>
          <w:b/>
          <w:sz w:val="21"/>
        </w:rPr>
        <w:t>三、</w:t>
      </w:r>
      <w:r>
        <w:rPr>
          <w:b/>
          <w:sz w:val="21"/>
        </w:rPr>
        <w:t>合同金额</w:t>
      </w:r>
    </w:p>
    <w:p>
      <w:pPr>
        <w:ind w:firstLine="420"/>
        <w:jc w:val="both"/>
      </w:pPr>
      <w:r>
        <w:rPr>
          <w:sz w:val="21"/>
        </w:rPr>
        <w:t>1、本项目</w:t>
      </w:r>
      <w:r>
        <w:rPr>
          <w:sz w:val="21"/>
        </w:rPr>
        <w:t>辅警通每户</w:t>
      </w:r>
      <w:r>
        <w:rPr>
          <w:sz w:val="21"/>
        </w:rPr>
        <w:t>月租金</w:t>
      </w:r>
      <w:r>
        <w:rPr>
          <w:sz w:val="21"/>
          <w:u w:val="single"/>
        </w:rPr>
        <w:t xml:space="preserve">                  </w:t>
      </w:r>
      <w:r>
        <w:rPr>
          <w:sz w:val="21"/>
        </w:rPr>
        <w:t>（人民币大写）（￥</w:t>
      </w:r>
      <w:r>
        <w:rPr>
          <w:sz w:val="21"/>
          <w:u w:val="single"/>
        </w:rPr>
        <w:t xml:space="preserve">      </w:t>
      </w:r>
      <w:r>
        <w:rPr>
          <w:sz w:val="21"/>
          <w:u w:val="single"/>
        </w:rPr>
        <w:t>元</w:t>
      </w:r>
      <w:r>
        <w:rPr>
          <w:sz w:val="21"/>
          <w:u w:val="single"/>
        </w:rPr>
        <w:t>/月</w:t>
      </w:r>
      <w:r>
        <w:rPr>
          <w:sz w:val="21"/>
        </w:rPr>
        <w:t>）。</w:t>
      </w:r>
    </w:p>
    <w:p>
      <w:pPr>
        <w:ind w:firstLine="420"/>
        <w:jc w:val="both"/>
      </w:pPr>
      <w:r>
        <w:rPr>
          <w:sz w:val="21"/>
        </w:rPr>
        <w:t>2、以上租金包含本合同“二、项目具体要求”中，乙方提供本</w:t>
      </w:r>
      <w:r>
        <w:rPr>
          <w:sz w:val="21"/>
        </w:rPr>
        <w:t>项目所采购全部软硬件、</w:t>
      </w:r>
      <w:r>
        <w:rPr>
          <w:sz w:val="21"/>
        </w:rPr>
        <w:t>套餐</w:t>
      </w:r>
      <w:r>
        <w:rPr>
          <w:sz w:val="21"/>
        </w:rPr>
        <w:t>以及配套设备、维保、培训等各种所需服务</w:t>
      </w:r>
      <w:r>
        <w:rPr>
          <w:sz w:val="21"/>
        </w:rPr>
        <w:t>的全部费用</w:t>
      </w:r>
      <w:r>
        <w:rPr>
          <w:sz w:val="21"/>
        </w:rPr>
        <w:t>（按户分解）。</w:t>
      </w:r>
    </w:p>
    <w:p>
      <w:pPr>
        <w:ind w:firstLine="425"/>
        <w:jc w:val="both"/>
      </w:pPr>
    </w:p>
    <w:p>
      <w:pPr>
        <w:jc w:val="both"/>
      </w:pPr>
      <w:r>
        <w:rPr>
          <w:b/>
          <w:sz w:val="21"/>
        </w:rPr>
        <w:t>四、</w:t>
      </w:r>
      <w:r>
        <w:rPr>
          <w:b/>
          <w:sz w:val="21"/>
        </w:rPr>
        <w:t>其他条款</w:t>
      </w:r>
    </w:p>
    <w:p>
      <w:pPr>
        <w:ind w:firstLine="630"/>
        <w:jc w:val="both"/>
      </w:pPr>
      <w:r>
        <w:rPr>
          <w:sz w:val="21"/>
        </w:rPr>
        <w:t>1、乙方必须确保所提供的所有软件不存在知识产权纠纷，否则由此造成的责任由乙方负责。</w:t>
      </w:r>
    </w:p>
    <w:p>
      <w:pPr>
        <w:ind w:firstLine="630"/>
        <w:jc w:val="both"/>
      </w:pPr>
      <w:r>
        <w:rPr>
          <w:sz w:val="21"/>
        </w:rPr>
        <w:t>2</w:t>
      </w:r>
      <w:r>
        <w:rPr>
          <w:sz w:val="21"/>
        </w:rPr>
        <w:t>、本项目实施区域为中山市，在施工期内，要求乙方为甲方提供方案设计、设备采购、设备安装、系统集成、系统管理、系统维护、系统培训等全套工程服务；要求乙方为甲方提供涉及项目相关系统软件开发、系统试运行、系统联调测试配合服务，实现硬件和软件的项目集成系统运行等服务。</w:t>
      </w:r>
      <w:r>
        <w:rPr>
          <w:sz w:val="21"/>
        </w:rPr>
        <w:t xml:space="preserve"> </w:t>
      </w:r>
    </w:p>
    <w:p>
      <w:pPr>
        <w:ind w:firstLine="630"/>
        <w:jc w:val="both"/>
      </w:pPr>
      <w:r>
        <w:rPr>
          <w:sz w:val="21"/>
        </w:rPr>
        <w:t>3</w:t>
      </w:r>
      <w:r>
        <w:rPr>
          <w:sz w:val="21"/>
        </w:rPr>
        <w:t>、本合同自生效之日起，未经甲方同意，乙方不得对相关软硬件设备进行转让、出售、给第三方使用等处置。本项目履行过程产生的数据产权自项目履行之日起属甲方所有。</w:t>
      </w:r>
    </w:p>
    <w:p>
      <w:pPr>
        <w:ind w:firstLine="630"/>
        <w:jc w:val="both"/>
      </w:pPr>
      <w:r>
        <w:rPr>
          <w:sz w:val="21"/>
        </w:rPr>
        <w:t>4</w:t>
      </w:r>
      <w:r>
        <w:rPr>
          <w:sz w:val="21"/>
        </w:rPr>
        <w:t>、</w:t>
      </w:r>
      <w:r>
        <w:rPr>
          <w:sz w:val="21"/>
        </w:rPr>
        <w:t>乙方</w:t>
      </w:r>
      <w:r>
        <w:rPr>
          <w:sz w:val="21"/>
        </w:rPr>
        <w:t>如未中标</w:t>
      </w:r>
      <w:r>
        <w:rPr>
          <w:sz w:val="21"/>
        </w:rPr>
        <w:t>本项目</w:t>
      </w:r>
      <w:r>
        <w:rPr>
          <w:sz w:val="21"/>
        </w:rPr>
        <w:t>后续项目，需根据甲方要求无条件按照相关法规将所提供本项目的移动通信号码转网其</w:t>
      </w:r>
      <w:r>
        <w:rPr>
          <w:sz w:val="21"/>
        </w:rPr>
        <w:t>他运营商。</w:t>
      </w:r>
    </w:p>
    <w:p>
      <w:pPr>
        <w:ind w:firstLine="630"/>
        <w:jc w:val="both"/>
      </w:pPr>
      <w:r>
        <w:rPr>
          <w:sz w:val="21"/>
        </w:rPr>
        <w:t>5、</w:t>
      </w:r>
      <w:r>
        <w:rPr>
          <w:sz w:val="21"/>
        </w:rPr>
        <w:t>项目周期里，如中标终端机型停产，乙方需提供同品牌同等或更高性能的替代合规机型。</w:t>
      </w:r>
    </w:p>
    <w:p>
      <w:pPr>
        <w:ind w:firstLine="425"/>
        <w:jc w:val="both"/>
      </w:pPr>
    </w:p>
    <w:p>
      <w:pPr>
        <w:jc w:val="both"/>
      </w:pPr>
      <w:r>
        <w:rPr>
          <w:sz w:val="21"/>
        </w:rPr>
        <w:t>五、</w:t>
      </w:r>
      <w:r>
        <w:rPr>
          <w:b/>
          <w:sz w:val="21"/>
        </w:rPr>
        <w:t>工期要求</w:t>
      </w:r>
    </w:p>
    <w:p>
      <w:pPr>
        <w:ind w:firstLine="420"/>
        <w:jc w:val="both"/>
      </w:pPr>
      <w:r>
        <w:rPr>
          <w:sz w:val="21"/>
        </w:rPr>
        <w:t>1、</w:t>
      </w:r>
      <w:r>
        <w:rPr>
          <w:sz w:val="21"/>
        </w:rPr>
        <w:t>乙方与甲方签订</w:t>
      </w:r>
      <w:r>
        <w:rPr>
          <w:sz w:val="21"/>
        </w:rPr>
        <w:t>框架合同后</w:t>
      </w:r>
      <w:r>
        <w:rPr>
          <w:sz w:val="21"/>
        </w:rPr>
        <w:t>30</w:t>
      </w:r>
      <w:r>
        <w:rPr>
          <w:sz w:val="21"/>
        </w:rPr>
        <w:t>日</w:t>
      </w:r>
      <w:r>
        <w:rPr>
          <w:sz w:val="21"/>
        </w:rPr>
        <w:t>内提供</w:t>
      </w:r>
      <w:r>
        <w:rPr>
          <w:sz w:val="21"/>
        </w:rPr>
        <w:t>所需的</w:t>
      </w:r>
      <w:r>
        <w:rPr>
          <w:sz w:val="21"/>
        </w:rPr>
        <w:t>入网设备，</w:t>
      </w:r>
      <w:r>
        <w:rPr>
          <w:sz w:val="21"/>
        </w:rPr>
        <w:t>与中山市公安局公安移动信息网完成对接</w:t>
      </w:r>
      <w:r>
        <w:rPr>
          <w:sz w:val="21"/>
        </w:rPr>
        <w:t>。</w:t>
      </w:r>
    </w:p>
    <w:p>
      <w:pPr>
        <w:ind w:firstLine="420"/>
        <w:jc w:val="both"/>
      </w:pPr>
      <w:r>
        <w:rPr>
          <w:sz w:val="21"/>
        </w:rPr>
        <w:t>2、</w:t>
      </w:r>
      <w:r>
        <w:rPr>
          <w:sz w:val="21"/>
        </w:rPr>
        <w:t>乙方</w:t>
      </w:r>
      <w:r>
        <w:rPr>
          <w:sz w:val="21"/>
        </w:rPr>
        <w:t>与甲方</w:t>
      </w:r>
      <w:r>
        <w:rPr>
          <w:sz w:val="21"/>
        </w:rPr>
        <w:t>签订</w:t>
      </w:r>
      <w:r>
        <w:rPr>
          <w:sz w:val="21"/>
        </w:rPr>
        <w:t>分项</w:t>
      </w:r>
      <w:r>
        <w:rPr>
          <w:sz w:val="21"/>
        </w:rPr>
        <w:t>合同之日起</w:t>
      </w:r>
      <w:r>
        <w:rPr>
          <w:sz w:val="21"/>
        </w:rPr>
        <w:t>30</w:t>
      </w:r>
      <w:r>
        <w:rPr>
          <w:sz w:val="21"/>
        </w:rPr>
        <w:t>日</w:t>
      </w:r>
      <w:r>
        <w:rPr>
          <w:sz w:val="21"/>
        </w:rPr>
        <w:t>内完成终端</w:t>
      </w:r>
      <w:r>
        <w:rPr>
          <w:sz w:val="21"/>
        </w:rPr>
        <w:t>和服务</w:t>
      </w:r>
      <w:r>
        <w:rPr>
          <w:sz w:val="21"/>
        </w:rPr>
        <w:t>交付、调试、试运行、内部验收。</w:t>
      </w:r>
    </w:p>
    <w:p>
      <w:pPr>
        <w:ind w:firstLine="420"/>
        <w:jc w:val="both"/>
      </w:pPr>
      <w:r>
        <w:rPr>
          <w:sz w:val="21"/>
        </w:rPr>
        <w:t>3、</w:t>
      </w:r>
      <w:r>
        <w:rPr>
          <w:sz w:val="21"/>
        </w:rPr>
        <w:t>设备包装必须与运输方式相适应，包装方式的确定及包装费用均由乙方负责；由于不适当的包装而造成货物在运输过程中有任何损坏、丢失由乙方负责。</w:t>
      </w:r>
    </w:p>
    <w:p>
      <w:pPr>
        <w:ind w:firstLine="420"/>
        <w:jc w:val="both"/>
      </w:pPr>
      <w:r>
        <w:rPr>
          <w:sz w:val="21"/>
        </w:rPr>
        <w:t>4、</w:t>
      </w:r>
      <w:r>
        <w:rPr>
          <w:sz w:val="21"/>
        </w:rPr>
        <w:t>费用承担：安装调试费、税费、成交服务费、售后服务、培训费均已涵盖在合同价中。在该项目前中产生额外软件、硬件、工程服务等费用由乙方自行承担。</w:t>
      </w:r>
    </w:p>
    <w:p>
      <w:pPr>
        <w:ind w:firstLine="420"/>
        <w:jc w:val="both"/>
      </w:pPr>
      <w:r>
        <w:rPr>
          <w:sz w:val="21"/>
        </w:rPr>
        <w:t>5、</w:t>
      </w:r>
      <w:r>
        <w:rPr>
          <w:sz w:val="21"/>
        </w:rPr>
        <w:t>交货地点：甲方指定地点。</w:t>
      </w:r>
    </w:p>
    <w:p>
      <w:pPr>
        <w:ind w:firstLine="420"/>
        <w:jc w:val="both"/>
      </w:pPr>
      <w:r>
        <w:rPr>
          <w:sz w:val="21"/>
        </w:rPr>
        <w:t>6、</w:t>
      </w:r>
      <w:r>
        <w:rPr>
          <w:sz w:val="21"/>
        </w:rPr>
        <w:t>所有服务及产品均由制造商或其授权的分销机构所提供，具有合法透明的供货渠道，乙方及制造商须提供其产品品质和一切售后服务保障。</w:t>
      </w:r>
    </w:p>
    <w:p>
      <w:pPr>
        <w:ind w:firstLine="425"/>
        <w:jc w:val="both"/>
      </w:pPr>
    </w:p>
    <w:p>
      <w:pPr>
        <w:jc w:val="both"/>
      </w:pPr>
      <w:r>
        <w:rPr>
          <w:b/>
          <w:sz w:val="21"/>
        </w:rPr>
        <w:t>六、</w:t>
      </w:r>
      <w:r>
        <w:rPr>
          <w:b/>
          <w:sz w:val="21"/>
        </w:rPr>
        <w:t>双方权利和义务</w:t>
      </w:r>
    </w:p>
    <w:p>
      <w:pPr>
        <w:jc w:val="both"/>
      </w:pPr>
      <w:r>
        <w:rPr>
          <w:sz w:val="21"/>
        </w:rPr>
        <w:t>（一）甲方权利义务</w:t>
      </w:r>
      <w:r>
        <w:rPr>
          <w:sz w:val="21"/>
        </w:rPr>
        <w:t>:</w:t>
      </w:r>
    </w:p>
    <w:p>
      <w:pPr>
        <w:ind w:firstLine="420"/>
        <w:jc w:val="both"/>
      </w:pPr>
      <w:r>
        <w:rPr>
          <w:sz w:val="21"/>
        </w:rPr>
        <w:t>1、有权利得到合同承诺的满足要求的服务。</w:t>
      </w:r>
    </w:p>
    <w:p>
      <w:pPr>
        <w:ind w:firstLine="420"/>
        <w:jc w:val="both"/>
      </w:pPr>
      <w:r>
        <w:rPr>
          <w:sz w:val="21"/>
        </w:rPr>
        <w:t>2、负责设备维护场地的准备工作，使乙方在维护实施过程中不受外来因素的阻挠和影响；</w:t>
      </w:r>
    </w:p>
    <w:p>
      <w:pPr>
        <w:ind w:firstLine="420"/>
        <w:jc w:val="both"/>
      </w:pPr>
      <w:r>
        <w:rPr>
          <w:sz w:val="21"/>
        </w:rPr>
        <w:t>3、负责协调相关部门对乙方的维护进行人员配合和协助工作；</w:t>
      </w:r>
    </w:p>
    <w:p>
      <w:pPr>
        <w:ind w:firstLine="420"/>
        <w:jc w:val="both"/>
      </w:pPr>
      <w:r>
        <w:rPr>
          <w:sz w:val="21"/>
        </w:rPr>
        <w:t>4、按本合同约定的时间及办法对设备进行验收；</w:t>
      </w:r>
    </w:p>
    <w:p>
      <w:pPr>
        <w:ind w:firstLine="420"/>
        <w:jc w:val="both"/>
      </w:pPr>
      <w:r>
        <w:rPr>
          <w:sz w:val="21"/>
        </w:rPr>
        <w:t>5、按本合同约定的付款时间及金额付款给乙方。</w:t>
      </w:r>
    </w:p>
    <w:p>
      <w:pPr>
        <w:ind w:firstLine="425"/>
        <w:jc w:val="both"/>
      </w:pPr>
    </w:p>
    <w:p>
      <w:pPr>
        <w:ind w:firstLine="210"/>
        <w:jc w:val="both"/>
      </w:pPr>
      <w:r>
        <w:rPr>
          <w:sz w:val="21"/>
        </w:rPr>
        <w:t>（二）乙方权利义务：</w:t>
      </w:r>
    </w:p>
    <w:p>
      <w:pPr>
        <w:ind w:firstLine="420"/>
        <w:jc w:val="both"/>
      </w:pPr>
      <w:r>
        <w:rPr>
          <w:sz w:val="21"/>
        </w:rPr>
        <w:t>1、有权利按照合同承诺的方式收取合同规定金额；</w:t>
      </w:r>
    </w:p>
    <w:p>
      <w:pPr>
        <w:ind w:firstLine="420"/>
        <w:jc w:val="both"/>
      </w:pPr>
      <w:r>
        <w:rPr>
          <w:sz w:val="21"/>
        </w:rPr>
        <w:t>2、按本合同约定的质量、时间完成设备维护及保养,包括但不限于招标文件项目需求中所描述的要求；</w:t>
      </w:r>
    </w:p>
    <w:p>
      <w:pPr>
        <w:ind w:firstLine="420"/>
        <w:jc w:val="both"/>
      </w:pPr>
      <w:r>
        <w:rPr>
          <w:sz w:val="21"/>
        </w:rPr>
        <w:t>3、按本合同约定维护保养服务。</w:t>
      </w:r>
    </w:p>
    <w:p>
      <w:pPr>
        <w:ind w:firstLine="425"/>
        <w:jc w:val="both"/>
      </w:pPr>
    </w:p>
    <w:p>
      <w:pPr>
        <w:jc w:val="both"/>
      </w:pPr>
      <w:r>
        <w:rPr>
          <w:sz w:val="21"/>
        </w:rPr>
        <w:t>七、</w:t>
      </w:r>
      <w:r>
        <w:rPr>
          <w:b/>
          <w:sz w:val="21"/>
        </w:rPr>
        <w:t>付款方式</w:t>
      </w:r>
    </w:p>
    <w:p>
      <w:pPr>
        <w:ind w:firstLine="420"/>
        <w:jc w:val="both"/>
      </w:pPr>
      <w:r>
        <w:rPr>
          <w:sz w:val="21"/>
        </w:rPr>
        <w:t>1、</w:t>
      </w:r>
      <w:r>
        <w:rPr>
          <w:sz w:val="21"/>
        </w:rPr>
        <w:t>甲方</w:t>
      </w:r>
      <w:r>
        <w:rPr>
          <w:sz w:val="21"/>
        </w:rPr>
        <w:t>及各</w:t>
      </w:r>
      <w:r>
        <w:rPr>
          <w:sz w:val="21"/>
        </w:rPr>
        <w:t>镇区分局</w:t>
      </w:r>
      <w:r>
        <w:rPr>
          <w:sz w:val="21"/>
        </w:rPr>
        <w:t>与</w:t>
      </w:r>
      <w:r>
        <w:rPr>
          <w:sz w:val="21"/>
        </w:rPr>
        <w:t>乙方分项合同</w:t>
      </w:r>
      <w:r>
        <w:rPr>
          <w:sz w:val="21"/>
        </w:rPr>
        <w:t>签订并完成交付验收后，支付相应</w:t>
      </w:r>
      <w:r>
        <w:rPr>
          <w:sz w:val="21"/>
        </w:rPr>
        <w:t>分项合同</w:t>
      </w:r>
      <w:r>
        <w:rPr>
          <w:sz w:val="21"/>
        </w:rPr>
        <w:t>款总额的</w:t>
      </w:r>
      <w:r>
        <w:rPr>
          <w:sz w:val="21"/>
        </w:rPr>
        <w:t>32%</w:t>
      </w:r>
      <w:r>
        <w:rPr>
          <w:sz w:val="21"/>
        </w:rPr>
        <w:t>。</w:t>
      </w:r>
      <w:r>
        <w:rPr>
          <w:sz w:val="21"/>
        </w:rPr>
        <w:t>2024年起每半年支付合同款总额的</w:t>
      </w:r>
      <w:r>
        <w:rPr>
          <w:sz w:val="21"/>
        </w:rPr>
        <w:t>17%</w:t>
      </w:r>
      <w:r>
        <w:rPr>
          <w:sz w:val="21"/>
        </w:rPr>
        <w:t>，</w:t>
      </w:r>
      <w:r>
        <w:rPr>
          <w:sz w:val="21"/>
        </w:rPr>
        <w:t>2025年底完成全部合同款支付。</w:t>
      </w:r>
    </w:p>
    <w:p>
      <w:pPr>
        <w:ind w:firstLine="420"/>
        <w:jc w:val="both"/>
      </w:pPr>
      <w:r>
        <w:rPr>
          <w:sz w:val="21"/>
        </w:rPr>
        <w:t>2、</w:t>
      </w:r>
      <w:r>
        <w:rPr>
          <w:sz w:val="21"/>
        </w:rPr>
        <w:t>甲方</w:t>
      </w:r>
      <w:r>
        <w:rPr>
          <w:sz w:val="21"/>
        </w:rPr>
        <w:t>及镇区分局</w:t>
      </w:r>
      <w:r>
        <w:rPr>
          <w:sz w:val="21"/>
        </w:rPr>
        <w:t>有权根据财政拨付的预算情况对分项合同支付计划进行</w:t>
      </w:r>
      <w:r>
        <w:rPr>
          <w:sz w:val="21"/>
        </w:rPr>
        <w:t>调整</w:t>
      </w:r>
      <w:r>
        <w:rPr>
          <w:sz w:val="21"/>
        </w:rPr>
        <w:t>。</w:t>
      </w:r>
    </w:p>
    <w:p>
      <w:pPr>
        <w:ind w:firstLine="420"/>
        <w:jc w:val="both"/>
      </w:pPr>
      <w:r>
        <w:rPr>
          <w:sz w:val="21"/>
        </w:rPr>
        <w:t>3</w:t>
      </w:r>
      <w:r>
        <w:rPr>
          <w:sz w:val="21"/>
        </w:rPr>
        <w:t>、乙方在约定结算周期前</w:t>
      </w:r>
      <w:r>
        <w:rPr>
          <w:sz w:val="21"/>
        </w:rPr>
        <w:t>15天需向甲方提供结算明细对帐单，经甲方确认无误后开具正规发票。</w:t>
      </w:r>
    </w:p>
    <w:p>
      <w:pPr>
        <w:ind w:firstLine="420"/>
        <w:jc w:val="both"/>
      </w:pPr>
      <w:r>
        <w:rPr>
          <w:sz w:val="21"/>
        </w:rPr>
        <w:t>4</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5"/>
        <w:jc w:val="both"/>
      </w:pPr>
    </w:p>
    <w:p>
      <w:pPr>
        <w:jc w:val="both"/>
      </w:pPr>
      <w:r>
        <w:rPr>
          <w:b/>
          <w:sz w:val="21"/>
        </w:rPr>
        <w:t>八、</w:t>
      </w:r>
      <w:r>
        <w:rPr>
          <w:b/>
          <w:sz w:val="21"/>
        </w:rPr>
        <w:t>服务要求</w:t>
      </w:r>
    </w:p>
    <w:p>
      <w:pPr>
        <w:ind w:firstLine="420"/>
        <w:jc w:val="both"/>
      </w:pPr>
      <w:r>
        <w:rPr>
          <w:sz w:val="21"/>
        </w:rPr>
        <w:t>1、乙方须提供项目所有管理、实施、驻点人员的社保证明给甲方审核，并签订《广东省公安机关信息化建设第三方运维机构安全保密责任书》、《广东省公安机关信息化建设第三方运维人员安全保密责任书》后方进场。</w:t>
      </w:r>
    </w:p>
    <w:p>
      <w:pPr>
        <w:ind w:firstLine="420"/>
        <w:jc w:val="both"/>
      </w:pPr>
      <w:r>
        <w:rPr>
          <w:sz w:val="21"/>
        </w:rPr>
        <w:t>2、乙方对其提供的入网设备及</w:t>
      </w:r>
      <w:r>
        <w:rPr>
          <w:sz w:val="21"/>
        </w:rPr>
        <w:t>辅警通相关</w:t>
      </w:r>
      <w:r>
        <w:rPr>
          <w:sz w:val="21"/>
        </w:rPr>
        <w:t>设备提供</w:t>
      </w:r>
      <w:r>
        <w:rPr>
          <w:sz w:val="21"/>
        </w:rPr>
        <w:t>36个月</w:t>
      </w:r>
      <w:r>
        <w:rPr>
          <w:sz w:val="21"/>
        </w:rPr>
        <w:t>7*24小时的免费升级维护和软件缺陷的长期免费修复。自内部验收合格之日起至租用期满为质保期。质保期内，在非人为因素情况下，一切维修换件保养费用均由乙方免费提供。</w:t>
      </w:r>
    </w:p>
    <w:p>
      <w:pPr>
        <w:ind w:firstLine="420"/>
        <w:jc w:val="both"/>
      </w:pPr>
      <w:r>
        <w:rPr>
          <w:sz w:val="21"/>
        </w:rPr>
        <w:t>3、在质保期内，乙方需及时响应用户的服务请求。如遇网络故障，乙方须在接报后2小时内到达故障现场；如遇故障无法排除乙方原因，乙方需参与故障分析、故障处理，直至故障修复。</w:t>
      </w:r>
    </w:p>
    <w:p>
      <w:pPr>
        <w:ind w:firstLine="420"/>
        <w:jc w:val="both"/>
      </w:pPr>
      <w:r>
        <w:rPr>
          <w:sz w:val="21"/>
        </w:rPr>
        <w:t>4、保修期内，所有软件维护服务均为上门服务，由此产生的费用均不再收取。</w:t>
      </w:r>
    </w:p>
    <w:p>
      <w:pPr>
        <w:ind w:firstLine="420"/>
        <w:jc w:val="both"/>
      </w:pPr>
      <w:r>
        <w:rPr>
          <w:sz w:val="21"/>
        </w:rPr>
        <w:t>5、质保期内须提供周期上门免费服务：周期为3个月一次，形式为预约上门，服务内容为周期保养检修、检测系统运行状况、处理使用过程中出现的问题等。</w:t>
      </w:r>
    </w:p>
    <w:p>
      <w:pPr>
        <w:ind w:firstLine="420"/>
        <w:jc w:val="both"/>
      </w:pPr>
      <w:r>
        <w:rPr>
          <w:sz w:val="21"/>
        </w:rPr>
        <w:t>6、乙方负责向甲方提供现场安全操作及必要的维护保养培训。</w:t>
      </w:r>
    </w:p>
    <w:p>
      <w:pPr>
        <w:ind w:firstLine="420"/>
        <w:jc w:val="both"/>
      </w:pPr>
      <w:r>
        <w:rPr>
          <w:sz w:val="21"/>
        </w:rPr>
        <w:t>7、终端在交付前确保无与</w:t>
      </w:r>
      <w:r>
        <w:rPr>
          <w:sz w:val="21"/>
        </w:rPr>
        <w:t>移动警务</w:t>
      </w:r>
      <w:r>
        <w:rPr>
          <w:sz w:val="21"/>
        </w:rPr>
        <w:t>应用无关的运营商预装程序，若终端返修时间超过</w:t>
      </w:r>
      <w:r>
        <w:rPr>
          <w:sz w:val="21"/>
        </w:rPr>
        <w:t>7天，乙方需通过增加维修备用机或调换新机等方法确保用户能正常使用</w:t>
      </w:r>
      <w:r>
        <w:rPr>
          <w:sz w:val="21"/>
        </w:rPr>
        <w:t>移动警务</w:t>
      </w:r>
      <w:r>
        <w:rPr>
          <w:sz w:val="21"/>
        </w:rPr>
        <w:t>功能（提供的维修备用机或新机为返修机的同型号或升级版机型）。</w:t>
      </w:r>
    </w:p>
    <w:p>
      <w:pPr>
        <w:ind w:firstLine="420"/>
        <w:jc w:val="both"/>
      </w:pPr>
      <w:r>
        <w:rPr>
          <w:sz w:val="21"/>
        </w:rPr>
        <w:t>8</w:t>
      </w:r>
      <w:r>
        <w:rPr>
          <w:sz w:val="21"/>
        </w:rPr>
        <w:t>、</w:t>
      </w:r>
      <w:r>
        <w:rPr>
          <w:sz w:val="21"/>
        </w:rPr>
        <w:t>在重大活动安保</w:t>
      </w:r>
      <w:r>
        <w:rPr>
          <w:sz w:val="21"/>
        </w:rPr>
        <w:t>、</w:t>
      </w:r>
      <w:r>
        <w:rPr>
          <w:sz w:val="21"/>
        </w:rPr>
        <w:t>节假日期间</w:t>
      </w:r>
      <w:r>
        <w:rPr>
          <w:sz w:val="21"/>
        </w:rPr>
        <w:t>以及采购方因工作需要的其他情况</w:t>
      </w:r>
      <w:r>
        <w:rPr>
          <w:sz w:val="21"/>
        </w:rPr>
        <w:t>，能根据采购方的要求，做好支撑保障，必要时能根据要求到现场做技术支持。</w:t>
      </w:r>
    </w:p>
    <w:p>
      <w:pPr>
        <w:ind w:firstLine="420"/>
        <w:jc w:val="both"/>
      </w:pPr>
      <w:r>
        <w:rPr>
          <w:sz w:val="21"/>
        </w:rPr>
        <w:t>9</w:t>
      </w:r>
      <w:r>
        <w:rPr>
          <w:sz w:val="21"/>
        </w:rPr>
        <w:t>、</w:t>
      </w:r>
      <w:r>
        <w:rPr>
          <w:sz w:val="21"/>
        </w:rPr>
        <w:t>针对采购方实际需求提供相应的网络优化保障服务，例如大型活动，重要会议，节日保障</w:t>
      </w:r>
      <w:r>
        <w:rPr>
          <w:sz w:val="21"/>
        </w:rPr>
        <w:t>、</w:t>
      </w:r>
      <w:r>
        <w:rPr>
          <w:sz w:val="21"/>
        </w:rPr>
        <w:t>特殊区域与位置</w:t>
      </w:r>
      <w:r>
        <w:rPr>
          <w:sz w:val="21"/>
        </w:rPr>
        <w:t>以及采购方因工作需要的其他情况</w:t>
      </w:r>
      <w:r>
        <w:rPr>
          <w:sz w:val="21"/>
        </w:rPr>
        <w:t>的网络信号加强与优化保障，接到通知后</w:t>
      </w:r>
      <w:r>
        <w:rPr>
          <w:sz w:val="21"/>
        </w:rPr>
        <w:t>30分钟内响应，2 小时内到达现场。</w:t>
      </w:r>
    </w:p>
    <w:p>
      <w:pPr>
        <w:jc w:val="both"/>
      </w:pPr>
      <w:r>
        <w:rPr>
          <w:b/>
          <w:sz w:val="21"/>
        </w:rPr>
        <w:t>九、</w:t>
      </w:r>
      <w:r>
        <w:rPr>
          <w:b/>
          <w:sz w:val="21"/>
        </w:rPr>
        <w:t>培训</w:t>
      </w:r>
    </w:p>
    <w:p>
      <w:pPr>
        <w:ind w:firstLine="420"/>
        <w:jc w:val="both"/>
      </w:pPr>
      <w:r>
        <w:rPr>
          <w:sz w:val="21"/>
        </w:rPr>
        <w:t>1、</w:t>
      </w:r>
      <w:r>
        <w:rPr>
          <w:sz w:val="21"/>
        </w:rPr>
        <w:t>乙方</w:t>
      </w:r>
      <w:r>
        <w:rPr>
          <w:sz w:val="21"/>
        </w:rPr>
        <w:t>须</w:t>
      </w:r>
      <w:r>
        <w:rPr>
          <w:sz w:val="21"/>
        </w:rPr>
        <w:t>分别为市公安局局直单位及分局</w:t>
      </w:r>
      <w:r>
        <w:rPr>
          <w:sz w:val="21"/>
        </w:rPr>
        <w:t>提供</w:t>
      </w:r>
      <w:r>
        <w:rPr>
          <w:sz w:val="21"/>
        </w:rPr>
        <w:t>满足本项目要求的培训服务各至少</w:t>
      </w:r>
      <w:r>
        <w:rPr>
          <w:sz w:val="21"/>
        </w:rPr>
        <w:t>1次</w:t>
      </w:r>
      <w:r>
        <w:rPr>
          <w:sz w:val="21"/>
        </w:rPr>
        <w:t>。</w:t>
      </w:r>
    </w:p>
    <w:p>
      <w:pPr>
        <w:ind w:firstLine="420"/>
        <w:jc w:val="both"/>
      </w:pPr>
      <w:r>
        <w:rPr>
          <w:sz w:val="21"/>
        </w:rPr>
        <w:t>2、</w:t>
      </w:r>
      <w:r>
        <w:rPr>
          <w:sz w:val="21"/>
        </w:rPr>
        <w:t>培训目的：协助甲方及下属镇区分局熟悉辅警通终端和系统；</w:t>
      </w:r>
    </w:p>
    <w:p>
      <w:pPr>
        <w:ind w:firstLine="840"/>
        <w:jc w:val="both"/>
      </w:pPr>
      <w:r>
        <w:rPr>
          <w:sz w:val="21"/>
        </w:rPr>
        <w:t>培训时间安排：根据甲方及分局需要安排；</w:t>
      </w:r>
    </w:p>
    <w:p>
      <w:pPr>
        <w:ind w:firstLine="840"/>
        <w:jc w:val="both"/>
      </w:pPr>
      <w:r>
        <w:rPr>
          <w:sz w:val="21"/>
        </w:rPr>
        <w:t>培训对象：辅警用户；</w:t>
      </w:r>
    </w:p>
    <w:p>
      <w:pPr>
        <w:ind w:firstLine="840"/>
        <w:jc w:val="both"/>
      </w:pPr>
      <w:r>
        <w:rPr>
          <w:sz w:val="21"/>
        </w:rPr>
        <w:t>培训地点：</w:t>
      </w:r>
      <w:r>
        <w:rPr>
          <w:sz w:val="21"/>
        </w:rPr>
        <w:t>市公安局局直单位及分局。</w:t>
      </w:r>
    </w:p>
    <w:p>
      <w:pPr>
        <w:ind w:firstLine="420"/>
        <w:jc w:val="both"/>
      </w:pPr>
      <w:r>
        <w:rPr>
          <w:sz w:val="21"/>
        </w:rPr>
        <w:t>3、乙方</w:t>
      </w:r>
      <w:r>
        <w:rPr>
          <w:sz w:val="21"/>
        </w:rPr>
        <w:t>必须为所有被培训人员提供培训用文字资料和讲义等相关用品，所有的资料必须是中文书写。</w:t>
      </w:r>
    </w:p>
    <w:p>
      <w:pPr>
        <w:ind w:firstLine="425"/>
        <w:jc w:val="both"/>
      </w:pPr>
    </w:p>
    <w:p>
      <w:pPr>
        <w:jc w:val="both"/>
      </w:pPr>
      <w:r>
        <w:rPr>
          <w:b/>
          <w:sz w:val="21"/>
        </w:rPr>
        <w:t>十、违约责任与赔偿损失</w:t>
      </w:r>
    </w:p>
    <w:p>
      <w:pPr>
        <w:ind w:firstLine="420"/>
        <w:jc w:val="both"/>
      </w:pPr>
      <w:r>
        <w:rPr>
          <w:sz w:val="21"/>
        </w:rPr>
        <w:t>1</w:t>
      </w:r>
      <w:r>
        <w:rPr>
          <w:sz w:val="21"/>
        </w:rPr>
        <w:t>、如乙方</w:t>
      </w:r>
      <w:r>
        <w:rPr>
          <w:sz w:val="21"/>
        </w:rPr>
        <w:t>网络、通信、</w:t>
      </w:r>
      <w:r>
        <w:rPr>
          <w:sz w:val="21"/>
        </w:rPr>
        <w:t>维修等服务保障措施不到位的，每逾期</w:t>
      </w:r>
      <w:r>
        <w:rPr>
          <w:sz w:val="21"/>
        </w:rPr>
        <w:t>1</w:t>
      </w:r>
      <w:r>
        <w:rPr>
          <w:sz w:val="21"/>
        </w:rPr>
        <w:t>天</w:t>
      </w:r>
      <w:r>
        <w:rPr>
          <w:sz w:val="21"/>
        </w:rPr>
        <w:t>（按月租费</w:t>
      </w:r>
      <w:r>
        <w:rPr>
          <w:sz w:val="21"/>
        </w:rPr>
        <w:t>/30天计算</w:t>
      </w:r>
      <w:r>
        <w:rPr>
          <w:sz w:val="21"/>
        </w:rPr>
        <w:t>）</w:t>
      </w:r>
      <w:r>
        <w:rPr>
          <w:sz w:val="21"/>
        </w:rPr>
        <w:t>，</w:t>
      </w:r>
      <w:r>
        <w:rPr>
          <w:sz w:val="21"/>
        </w:rPr>
        <w:t>甲方</w:t>
      </w:r>
      <w:r>
        <w:rPr>
          <w:sz w:val="21"/>
        </w:rPr>
        <w:t>按该终端</w:t>
      </w:r>
      <w:r>
        <w:rPr>
          <w:sz w:val="21"/>
        </w:rPr>
        <w:t>5</w:t>
      </w:r>
      <w:r>
        <w:rPr>
          <w:sz w:val="21"/>
        </w:rPr>
        <w:t>倍日租费用</w:t>
      </w:r>
      <w:r>
        <w:rPr>
          <w:sz w:val="21"/>
        </w:rPr>
        <w:t>扣除乙方违约金</w:t>
      </w:r>
      <w:r>
        <w:rPr>
          <w:sz w:val="21"/>
        </w:rPr>
        <w:t>，</w:t>
      </w:r>
      <w:r>
        <w:rPr>
          <w:sz w:val="21"/>
        </w:rPr>
        <w:t>在本项目合同总价款中扣减。</w:t>
      </w:r>
    </w:p>
    <w:p>
      <w:pPr>
        <w:ind w:firstLine="420"/>
        <w:jc w:val="both"/>
      </w:pPr>
      <w:r>
        <w:rPr>
          <w:sz w:val="21"/>
        </w:rPr>
        <w:t>2</w:t>
      </w:r>
      <w:r>
        <w:rPr>
          <w:sz w:val="21"/>
        </w:rPr>
        <w:t>、</w:t>
      </w:r>
      <w:r>
        <w:rPr>
          <w:sz w:val="21"/>
        </w:rPr>
        <w:t>其它违约责任按《中华人民共和国民法典》处理。</w:t>
      </w:r>
    </w:p>
    <w:p>
      <w:pPr>
        <w:ind w:firstLine="425"/>
        <w:jc w:val="both"/>
      </w:pPr>
    </w:p>
    <w:p>
      <w:pPr>
        <w:jc w:val="both"/>
      </w:pPr>
      <w:r>
        <w:rPr>
          <w:b/>
          <w:sz w:val="21"/>
        </w:rPr>
        <w:t>十一、提出异议的时间和方法</w:t>
      </w:r>
    </w:p>
    <w:p>
      <w:pPr>
        <w:ind w:firstLine="420"/>
        <w:jc w:val="both"/>
      </w:pPr>
      <w:r>
        <w:rPr>
          <w:sz w:val="21"/>
        </w:rPr>
        <w:t>1、甲方在验收中如发现服务不合规定、服务质量达不到要求，应向乙方提出书面异议。</w:t>
      </w:r>
    </w:p>
    <w:p>
      <w:pPr>
        <w:ind w:firstLine="420"/>
        <w:jc w:val="both"/>
      </w:pPr>
      <w:r>
        <w:rPr>
          <w:sz w:val="21"/>
        </w:rPr>
        <w:t>2、乙方在接到甲方书面异议后，应在2个工作日内负责处理并函复甲方处理情况，否则，即视为默认甲方提出的异议和处理意见。</w:t>
      </w:r>
    </w:p>
    <w:p>
      <w:pPr>
        <w:ind w:firstLine="425"/>
        <w:jc w:val="both"/>
      </w:pPr>
    </w:p>
    <w:p>
      <w:pPr>
        <w:jc w:val="both"/>
      </w:pPr>
      <w:r>
        <w:rPr>
          <w:b/>
          <w:sz w:val="21"/>
        </w:rPr>
        <w:t>十二、知识产权产权归属</w:t>
      </w:r>
    </w:p>
    <w:p>
      <w:pPr>
        <w:ind w:firstLine="420"/>
        <w:jc w:val="both"/>
      </w:pPr>
      <w:r>
        <w:rPr>
          <w:sz w:val="21"/>
        </w:rPr>
        <w:t>乙方应保证本项目的报价、技术、服务或其它任何一部分不会产生因第三方提出侵犯其专利权、商标权或其他知识产权而引起的法律和经济纠纷；如因第三方提出其专利权、商标权或其他知识产权的侵权之诉，则一切法律责任由乙方承担。</w:t>
      </w:r>
    </w:p>
    <w:p>
      <w:pPr>
        <w:ind w:firstLine="425"/>
        <w:jc w:val="both"/>
      </w:pPr>
    </w:p>
    <w:p>
      <w:pPr>
        <w:jc w:val="both"/>
      </w:pPr>
      <w:r>
        <w:rPr>
          <w:b/>
          <w:sz w:val="21"/>
        </w:rPr>
        <w:t>十三、保密</w:t>
      </w:r>
    </w:p>
    <w:p>
      <w:pPr>
        <w:ind w:firstLine="420"/>
        <w:jc w:val="both"/>
      </w:pP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rPr>
          <w:sz w:val="21"/>
        </w:rPr>
        <w:t>。</w:t>
      </w:r>
      <w:r>
        <w:rPr>
          <w:sz w:val="21"/>
        </w:rPr>
        <w:t>未经甲方事先书面同意，乙方不得将由甲方为本合同提供的条文、规格、计划、图纸、模型、样品或资料等提供给与本合同无关的任何第三方，不得将其用于履行本合同之外的其它用途。即使向与履行本合同有关的人员提供，也应注意保密并限于履行本合同所必需的范围。</w:t>
      </w:r>
    </w:p>
    <w:p>
      <w:pPr>
        <w:jc w:val="both"/>
      </w:pPr>
      <w:r>
        <w:rPr>
          <w:b/>
          <w:sz w:val="21"/>
        </w:rPr>
        <w:t>十四、不可抗力</w:t>
      </w:r>
    </w:p>
    <w:p>
      <w:pPr>
        <w:ind w:firstLine="50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5"/>
        <w:jc w:val="both"/>
      </w:pPr>
    </w:p>
    <w:p>
      <w:pPr>
        <w:jc w:val="both"/>
      </w:pPr>
      <w:r>
        <w:rPr>
          <w:b/>
          <w:sz w:val="21"/>
        </w:rPr>
        <w:t>十五、争议的解决</w:t>
      </w:r>
    </w:p>
    <w:p>
      <w:pPr>
        <w:ind w:firstLine="420"/>
        <w:jc w:val="both"/>
      </w:pPr>
      <w:r>
        <w:rPr>
          <w:sz w:val="21"/>
        </w:rPr>
        <w:t>1、因服务的质量问题发生争议，由法律及有关规章规定的单位进行质量鉴定，双方无条件服从该鉴定的结论。</w:t>
      </w:r>
    </w:p>
    <w:p>
      <w:pPr>
        <w:ind w:firstLine="420"/>
        <w:jc w:val="both"/>
      </w:pPr>
      <w:r>
        <w:rPr>
          <w:sz w:val="21"/>
        </w:rPr>
        <w:t>2、</w:t>
      </w:r>
      <w:r>
        <w:rPr>
          <w:sz w:val="21"/>
        </w:rPr>
        <w:t>合同实施或与合同有关的一切争议应通过双方友好协商解决。经协商不能达成协议时，任何一方有权向中山市第一人民法院提起诉讼。</w:t>
      </w:r>
    </w:p>
    <w:p>
      <w:pPr>
        <w:ind w:firstLine="425"/>
        <w:jc w:val="both"/>
      </w:pPr>
    </w:p>
    <w:p>
      <w:pPr>
        <w:jc w:val="both"/>
      </w:pPr>
      <w:r>
        <w:rPr>
          <w:b/>
          <w:sz w:val="21"/>
        </w:rPr>
        <w:t>十六、监督和管理</w:t>
      </w:r>
    </w:p>
    <w:p>
      <w:pPr>
        <w:ind w:firstLine="499"/>
        <w:jc w:val="both"/>
      </w:pPr>
      <w:r>
        <w:rPr>
          <w:sz w:val="21"/>
        </w:rPr>
        <w:t>甲乙双方均应自觉配合中山市财政局对合同履行情况的监督检查，如实反映情况，提供有关资料；否则，将对有关单位、当事人按照有关规定予以处罚。</w:t>
      </w:r>
    </w:p>
    <w:p>
      <w:pPr>
        <w:ind w:firstLine="425"/>
        <w:jc w:val="both"/>
      </w:pPr>
    </w:p>
    <w:p>
      <w:pPr>
        <w:jc w:val="both"/>
      </w:pPr>
      <w:r>
        <w:rPr>
          <w:b/>
          <w:sz w:val="21"/>
        </w:rPr>
        <w:t>十七、合同生效</w:t>
      </w:r>
    </w:p>
    <w:p>
      <w:pPr>
        <w:jc w:val="both"/>
      </w:pPr>
      <w:r>
        <w:rPr>
          <w:sz w:val="21"/>
        </w:rPr>
        <w:t>本合同经双方授权代表签字盖章后生效。</w:t>
      </w:r>
    </w:p>
    <w:p>
      <w:pPr>
        <w:ind w:firstLine="425"/>
        <w:jc w:val="both"/>
      </w:pPr>
    </w:p>
    <w:p>
      <w:pPr>
        <w:jc w:val="both"/>
      </w:pPr>
      <w:r>
        <w:rPr>
          <w:b/>
          <w:sz w:val="21"/>
        </w:rPr>
        <w:t>十八、合同终止</w:t>
      </w:r>
    </w:p>
    <w:p>
      <w:pPr>
        <w:ind w:firstLine="425"/>
        <w:jc w:val="both"/>
      </w:pPr>
      <w:r>
        <w:rPr>
          <w:sz w:val="21"/>
        </w:rPr>
        <w:t>如果一方严重违反合同，并在收到对方违约通知书后在</w:t>
      </w:r>
      <w:r>
        <w:rPr>
          <w:sz w:val="21"/>
        </w:rPr>
        <w:t>30</w:t>
      </w:r>
      <w:r>
        <w:rPr>
          <w:sz w:val="21"/>
        </w:rPr>
        <w:t>日</w:t>
      </w:r>
      <w:r>
        <w:rPr>
          <w:sz w:val="21"/>
        </w:rPr>
        <w:t>内仍未能改正的，另一方可立即终止本合同。</w:t>
      </w:r>
    </w:p>
    <w:p>
      <w:pPr>
        <w:ind w:firstLine="425"/>
        <w:jc w:val="both"/>
      </w:pPr>
    </w:p>
    <w:p>
      <w:pPr>
        <w:jc w:val="both"/>
      </w:pPr>
      <w:r>
        <w:rPr>
          <w:b/>
          <w:sz w:val="21"/>
        </w:rPr>
        <w:t>十九、附则</w:t>
      </w:r>
    </w:p>
    <w:p>
      <w:pPr>
        <w:jc w:val="both"/>
      </w:pPr>
      <w:r>
        <w:rPr>
          <w:sz w:val="21"/>
        </w:rPr>
        <w:t xml:space="preserve">    </w:t>
      </w:r>
      <w:r>
        <w:rPr>
          <w:sz w:val="21"/>
        </w:rPr>
        <w:t>1、本合同之所有附件均为合同的有效组成部分，与本合同具有同样法律效力。合同与附件之间内容应认为是互为补充和解释，但如有模棱两可或相互矛盾之处，以时间在后的文件为准。本合同与投标文件互为补充，如本合同与投标文件不一致的，以本合同为准。</w:t>
      </w:r>
    </w:p>
    <w:p>
      <w:pPr>
        <w:jc w:val="both"/>
      </w:pPr>
      <w:r>
        <w:rPr>
          <w:sz w:val="21"/>
        </w:rPr>
        <w:t xml:space="preserve">    </w:t>
      </w:r>
      <w:r>
        <w:rPr>
          <w:sz w:val="21"/>
        </w:rPr>
        <w:t>2、在执行本合同的过程中，因本项目可能涉及到公安内部信息系统数据库及网络，乙方在项目实施过程中须严格遵守甲方相关信息安全及签订保密协议。</w:t>
      </w:r>
    </w:p>
    <w:p>
      <w:pPr>
        <w:jc w:val="both"/>
      </w:pPr>
      <w:r>
        <w:rPr>
          <w:sz w:val="21"/>
        </w:rPr>
        <w:t xml:space="preserve">    </w:t>
      </w:r>
      <w:r>
        <w:rPr>
          <w:sz w:val="21"/>
        </w:rPr>
        <w:t>3、在执行本合同的过程中，乙方需遵守所有经甲乙双方签署确认的文件（包括会议纪要、补充协议、往来信函）即成为本合同的有效组成部分，其生效日期为双方签字盖章或确认之日期。</w:t>
      </w:r>
    </w:p>
    <w:p>
      <w:pPr>
        <w:ind w:firstLine="420"/>
        <w:jc w:val="both"/>
      </w:pPr>
      <w:r>
        <w:rPr>
          <w:sz w:val="21"/>
        </w:rPr>
        <w:t>4、除甲方事先书面同意外，乙方不得部分或全部转让其应履行的合同项下的义务，否则甲方有权单方面终止本合同，乙方应自收到买方《终止合同通知书》之日起15日内退还合同甲方已支付的全部款项，已发生的一切费用及损失均由乙方自行承担，且乙方应向合同甲方支付已签合同总价款10%的违约金，造成合同甲方损失的乙方还应赔偿甲方因此所遭受的全部损失。</w:t>
      </w:r>
    </w:p>
    <w:p>
      <w:pPr>
        <w:jc w:val="both"/>
      </w:pPr>
      <w:r>
        <w:rPr>
          <w:sz w:val="21"/>
        </w:rPr>
        <w:t xml:space="preserve">   </w:t>
      </w:r>
      <w:r>
        <w:rPr>
          <w:sz w:val="21"/>
        </w:rPr>
        <w:t xml:space="preserve"> </w:t>
      </w:r>
      <w:r>
        <w:rPr>
          <w:sz w:val="21"/>
        </w:rPr>
        <w:t>5、本合同一式肆份，甲乙双方各执贰份。</w:t>
      </w:r>
    </w:p>
    <w:p>
      <w:pPr>
        <w:jc w:val="both"/>
      </w:pPr>
      <w:r>
        <w:rPr>
          <w:sz w:val="21"/>
        </w:rPr>
        <w:t xml:space="preserve">    </w:t>
      </w:r>
      <w:r>
        <w:rPr>
          <w:sz w:val="21"/>
        </w:rPr>
        <w:t>6、本合同合计</w:t>
      </w:r>
      <w:r>
        <w:rPr>
          <w:sz w:val="21"/>
          <w:u w:val="single"/>
        </w:rPr>
        <w:t xml:space="preserve">    </w:t>
      </w:r>
      <w:r>
        <w:rPr>
          <w:sz w:val="21"/>
        </w:rPr>
        <w:t>页</w:t>
      </w:r>
      <w:r>
        <w:rPr>
          <w:sz w:val="21"/>
        </w:rPr>
        <w:t>A4纸张，缺页之合同为无效合同。</w:t>
      </w:r>
    </w:p>
    <w:p>
      <w:pPr>
        <w:ind w:firstLine="424"/>
        <w:jc w:val="both"/>
      </w:pPr>
      <w:r>
        <w:rPr>
          <w:sz w:val="21"/>
        </w:rPr>
        <w:t>（以下无正文）</w:t>
      </w:r>
    </w:p>
    <w:p>
      <w:pPr>
        <w:jc w:val="both"/>
      </w:pPr>
    </w:p>
    <w:p>
      <w:pPr>
        <w:ind w:firstLine="318"/>
        <w:jc w:val="both"/>
      </w:pPr>
    </w:p>
    <w:p>
      <w:pPr>
        <w:ind w:firstLine="317"/>
        <w:jc w:val="both"/>
      </w:pPr>
      <w:r>
        <w:rPr>
          <w:sz w:val="21"/>
        </w:rPr>
        <w:t>甲</w:t>
      </w:r>
      <w:r>
        <w:rPr>
          <w:sz w:val="21"/>
        </w:rPr>
        <w:t xml:space="preserve"> </w:t>
      </w:r>
      <w:r>
        <w:rPr>
          <w:sz w:val="21"/>
        </w:rPr>
        <w:t>方（盖章）：</w:t>
      </w:r>
      <w:r>
        <w:rPr>
          <w:sz w:val="21"/>
        </w:rPr>
        <w:t xml:space="preserve">                          </w:t>
      </w:r>
      <w:r>
        <w:rPr>
          <w:sz w:val="21"/>
        </w:rPr>
        <w:t>乙</w:t>
      </w:r>
      <w:r>
        <w:rPr>
          <w:sz w:val="21"/>
        </w:rPr>
        <w:t>方（盖章）：</w:t>
      </w:r>
    </w:p>
    <w:p>
      <w:pPr>
        <w:ind w:firstLine="317"/>
        <w:jc w:val="both"/>
      </w:pPr>
      <w:r>
        <w:rPr>
          <w:sz w:val="21"/>
        </w:rPr>
        <w:t>代表人（签字）：</w:t>
      </w:r>
      <w:r>
        <w:rPr>
          <w:sz w:val="21"/>
        </w:rPr>
        <w:t xml:space="preserve">                        </w:t>
      </w:r>
      <w:r>
        <w:rPr>
          <w:sz w:val="21"/>
        </w:rPr>
        <w:t xml:space="preserve"> </w:t>
      </w:r>
      <w:r>
        <w:rPr>
          <w:sz w:val="21"/>
        </w:rPr>
        <w:t xml:space="preserve"> </w:t>
      </w:r>
      <w:r>
        <w:rPr>
          <w:sz w:val="21"/>
        </w:rPr>
        <w:t>代表人（签字）：</w:t>
      </w:r>
    </w:p>
    <w:p>
      <w:pPr>
        <w:ind w:firstLine="317"/>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317"/>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ind w:firstLine="317"/>
        <w:jc w:val="both"/>
      </w:pPr>
      <w:r>
        <w:rPr>
          <w:sz w:val="21"/>
        </w:rPr>
        <w:t>邮政编码：</w:t>
      </w:r>
      <w:r>
        <w:rPr>
          <w:sz w:val="21"/>
        </w:rPr>
        <w:t xml:space="preserve">                                </w:t>
      </w:r>
      <w:r>
        <w:rPr>
          <w:sz w:val="21"/>
        </w:rPr>
        <w:t>邮政编码：</w:t>
      </w:r>
    </w:p>
    <w:p>
      <w:pPr>
        <w:ind w:firstLine="317"/>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317"/>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317"/>
        <w:jc w:val="both"/>
      </w:pPr>
      <w:r>
        <w:rPr>
          <w:sz w:val="21"/>
        </w:rPr>
        <w:t xml:space="preserve">                                        </w:t>
      </w:r>
      <w:r>
        <w:rPr>
          <w:sz w:val="21"/>
        </w:rPr>
        <w:t xml:space="preserve">   </w:t>
      </w:r>
      <w:r>
        <w:rPr>
          <w:sz w:val="21"/>
        </w:rPr>
        <w:t>开户银行：</w:t>
      </w:r>
    </w:p>
    <w:p>
      <w:pPr>
        <w:ind w:firstLine="317"/>
        <w:jc w:val="both"/>
      </w:pPr>
      <w:r>
        <w:rPr>
          <w:sz w:val="21"/>
        </w:rPr>
        <w:t xml:space="preserve">                                        </w:t>
      </w:r>
      <w:r>
        <w:rPr>
          <w:sz w:val="21"/>
        </w:rPr>
        <w:t xml:space="preserve">   </w:t>
      </w:r>
      <w:r>
        <w:rPr>
          <w:sz w:val="21"/>
        </w:rPr>
        <w:t>开户账号：</w:t>
      </w:r>
    </w:p>
    <w:p>
      <w:pPr>
        <w:jc w:val="both"/>
      </w:pPr>
      <w:r>
        <w:rPr>
          <w:b/>
          <w:sz w:val="21"/>
        </w:rPr>
        <w:t>合同附件（合同编号</w:t>
      </w:r>
      <w:r>
        <w:rPr>
          <w:b/>
          <w:sz w:val="21"/>
        </w:rPr>
        <w:t xml:space="preserve">  </w:t>
      </w:r>
      <w:r>
        <w:rPr>
          <w:b/>
          <w:sz w:val="21"/>
        </w:rPr>
        <w:t>）</w:t>
      </w:r>
    </w:p>
    <w:p>
      <w:pPr>
        <w:jc w:val="both"/>
      </w:pPr>
      <w:r>
        <w:rPr>
          <w:b/>
          <w:sz w:val="21"/>
        </w:rPr>
        <w:t>附件</w:t>
      </w:r>
      <w:r>
        <w:rPr>
          <w:b/>
          <w:sz w:val="21"/>
        </w:rPr>
        <w:t>1：中标通知书</w:t>
      </w:r>
    </w:p>
    <w:p>
      <w:r>
        <w:rPr>
          <w:b/>
          <w:sz w:val="21"/>
        </w:rPr>
        <w:t>附件</w:t>
      </w:r>
      <w:r>
        <w:rPr>
          <w:b/>
          <w:sz w:val="21"/>
        </w:rPr>
        <w:t>2：招标文件（另册）</w:t>
      </w:r>
    </w:p>
    <w:p>
      <w:r>
        <w:rPr>
          <w:b/>
          <w:sz w:val="21"/>
        </w:rPr>
        <w:t>附件</w:t>
      </w:r>
      <w:r>
        <w:rPr>
          <w:b/>
          <w:sz w:val="21"/>
        </w:rPr>
        <w:t>3：投标文件（另册）</w:t>
      </w:r>
    </w:p>
    <w:p>
      <w:pPr>
        <w:jc w:val="both"/>
      </w:pPr>
    </w:p>
    <w:p>
      <w:pPr>
        <w:jc w:val="center"/>
      </w:pPr>
    </w:p>
    <w:p>
      <w:pPr>
        <w:jc w:val="center"/>
      </w:pPr>
    </w:p>
    <w:p>
      <w:pPr>
        <w:ind w:firstLine="425"/>
        <w:jc w:val="both"/>
      </w:pPr>
    </w:p>
    <w:p>
      <w:pPr>
        <w:jc w:val="center"/>
      </w:pPr>
      <w:r>
        <w:rPr>
          <w:b/>
          <w:sz w:val="48"/>
        </w:rPr>
        <w:t>中山市公安局社会面治安巡防管控</w:t>
      </w:r>
      <w:r>
        <w:rPr>
          <w:b/>
          <w:sz w:val="48"/>
        </w:rPr>
        <w:t>“四个一”体系前端感知系统</w:t>
      </w:r>
      <w:r>
        <w:rPr>
          <w:b/>
          <w:sz w:val="48"/>
        </w:rPr>
        <w:t>项目</w:t>
      </w:r>
      <w:r>
        <w:rPr>
          <w:b/>
          <w:sz w:val="48"/>
        </w:rPr>
        <w:t>--</w:t>
      </w:r>
      <w:r>
        <w:rPr>
          <w:b/>
          <w:sz w:val="48"/>
        </w:rPr>
        <w:t>前端感知设备子项目（采购包</w:t>
      </w:r>
      <w:r>
        <w:rPr>
          <w:b/>
          <w:sz w:val="48"/>
        </w:rPr>
        <w:t>2</w:t>
      </w:r>
      <w:r>
        <w:rPr>
          <w:b/>
          <w:sz w:val="48"/>
        </w:rPr>
        <w:t>）</w:t>
      </w:r>
    </w:p>
    <w:p>
      <w:pPr>
        <w:jc w:val="center"/>
      </w:pPr>
    </w:p>
    <w:p>
      <w:pPr>
        <w:jc w:val="center"/>
      </w:pPr>
      <w:r>
        <w:rPr>
          <w:b/>
          <w:sz w:val="72"/>
        </w:rPr>
        <w:t>框</w:t>
      </w:r>
    </w:p>
    <w:p>
      <w:pPr>
        <w:jc w:val="center"/>
      </w:pPr>
      <w:r>
        <w:rPr>
          <w:b/>
          <w:sz w:val="72"/>
        </w:rPr>
        <w:t>架</w:t>
      </w:r>
    </w:p>
    <w:p>
      <w:pPr>
        <w:jc w:val="center"/>
      </w:pPr>
      <w:r>
        <w:rPr>
          <w:b/>
          <w:sz w:val="72"/>
        </w:rPr>
        <w:t>合</w:t>
      </w:r>
    </w:p>
    <w:p>
      <w:pPr>
        <w:jc w:val="center"/>
      </w:pPr>
      <w:r>
        <w:rPr>
          <w:b/>
          <w:sz w:val="72"/>
        </w:rPr>
        <w:t>同</w:t>
      </w:r>
    </w:p>
    <w:p>
      <w:pPr>
        <w:jc w:val="center"/>
      </w:pPr>
      <w:r>
        <w:rPr>
          <w:b/>
          <w:sz w:val="72"/>
        </w:rPr>
        <w:t>书</w:t>
      </w:r>
    </w:p>
    <w:p>
      <w:pPr>
        <w:ind w:firstLine="425"/>
        <w:jc w:val="both"/>
      </w:pPr>
    </w:p>
    <w:p>
      <w:pPr>
        <w:jc w:val="center"/>
      </w:pPr>
      <w:r>
        <w:rPr>
          <w:sz w:val="21"/>
        </w:rPr>
        <w:t>（仅供参考，采购人有权对本合同进行微调）</w:t>
      </w:r>
    </w:p>
    <w:p>
      <w:pPr>
        <w:ind w:firstLine="425"/>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9750"/>
      </w:tblGrid>
      <w:tr>
        <w:tc>
          <w:tcPr>
            <w:tcW w:type="dxa" w:w="9750"/>
            <w:tcBorders>
              <w:top w:val="none" w:color="000000" w:sz="4"/>
              <w:left w:val="none" w:color="000000" w:sz="4"/>
              <w:bottom w:val="none" w:color="000000" w:sz="4"/>
              <w:right w:val="none" w:color="000000" w:sz="4"/>
            </w:tcBorders>
            <w:vAlign w:val="top"/>
          </w:tcPr>
          <w:p>
            <w:pPr>
              <w:jc w:val="both"/>
            </w:pP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采购项目编号：</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建设单位：中山市公安局</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承建单位：</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签订日期：</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签约地址：</w:t>
            </w:r>
          </w:p>
        </w:tc>
      </w:tr>
    </w:tbl>
    <w:p>
      <w:pPr>
        <w:jc w:val="both"/>
      </w:pPr>
    </w:p>
    <w:p/>
    <w:p>
      <w:r>
        <w:rPr/>
        <w:t xml:space="preserve"> </w:t>
      </w:r>
    </w:p>
    <w:p>
      <w:pPr>
        <w:jc w:val="both"/>
      </w:pPr>
      <w:r>
        <w:rPr>
          <w:sz w:val="21"/>
        </w:rPr>
        <w:t>甲</w:t>
      </w:r>
      <w:r>
        <w:rPr>
          <w:sz w:val="21"/>
        </w:rPr>
        <w:t xml:space="preserve"> </w:t>
      </w:r>
      <w:r>
        <w:rPr>
          <w:sz w:val="21"/>
        </w:rPr>
        <w:t>方：</w:t>
      </w:r>
      <w:r>
        <w:rPr>
          <w:sz w:val="21"/>
          <w:u w:val="single"/>
        </w:rPr>
        <w:t xml:space="preserve"> </w:t>
      </w:r>
      <w:r>
        <w:rPr>
          <w:sz w:val="21"/>
          <w:u w:val="single"/>
        </w:rPr>
        <w:t>中山市公安局</w:t>
      </w:r>
      <w:r>
        <w:rPr>
          <w:sz w:val="21"/>
        </w:rPr>
        <w:t>（以下简称</w:t>
      </w:r>
      <w:r>
        <w:rPr>
          <w:sz w:val="21"/>
        </w:rPr>
        <w:t>“甲方”）</w:t>
      </w:r>
    </w:p>
    <w:p>
      <w:pPr>
        <w:jc w:val="both"/>
      </w:pPr>
    </w:p>
    <w:p>
      <w:pPr>
        <w:jc w:val="both"/>
      </w:pPr>
      <w:r>
        <w:rPr>
          <w:sz w:val="21"/>
        </w:rPr>
        <w:t>乙</w:t>
      </w:r>
      <w:r>
        <w:rPr>
          <w:sz w:val="21"/>
        </w:rPr>
        <w:t xml:space="preserve"> </w:t>
      </w:r>
      <w:r>
        <w:rPr>
          <w:sz w:val="21"/>
        </w:rPr>
        <w:t>方：</w:t>
      </w:r>
      <w:r>
        <w:rPr>
          <w:sz w:val="21"/>
          <w:u w:val="single"/>
        </w:rPr>
        <w:t xml:space="preserve">                    </w:t>
      </w:r>
      <w:r>
        <w:rPr>
          <w:sz w:val="21"/>
        </w:rPr>
        <w:t>（以下简称</w:t>
      </w:r>
      <w:r>
        <w:rPr>
          <w:sz w:val="21"/>
        </w:rPr>
        <w:t>“</w:t>
      </w:r>
      <w:r>
        <w:rPr>
          <w:sz w:val="21"/>
        </w:rPr>
        <w:t>乙</w:t>
      </w:r>
      <w:r>
        <w:rPr>
          <w:sz w:val="21"/>
        </w:rPr>
        <w:t>方</w:t>
      </w:r>
      <w:r>
        <w:rPr>
          <w:sz w:val="21"/>
        </w:rPr>
        <w:t>”）</w:t>
      </w:r>
    </w:p>
    <w:p>
      <w:pPr>
        <w:ind w:firstLine="425"/>
        <w:jc w:val="both"/>
      </w:pPr>
    </w:p>
    <w:p>
      <w:pPr>
        <w:ind w:firstLine="420"/>
        <w:jc w:val="both"/>
      </w:pPr>
      <w:r>
        <w:rPr>
          <w:sz w:val="21"/>
        </w:rPr>
        <w:t>根据</w:t>
      </w:r>
      <w:r>
        <w:rPr>
          <w:sz w:val="21"/>
          <w:u w:val="single"/>
        </w:rPr>
        <w:t xml:space="preserve"> </w:t>
      </w:r>
      <w:r>
        <w:rPr>
          <w:sz w:val="21"/>
          <w:u w:val="single"/>
        </w:rPr>
        <w:t>中山市公安局社会面治安巡防管控</w:t>
      </w:r>
      <w:r>
        <w:rPr>
          <w:sz w:val="21"/>
          <w:u w:val="single"/>
        </w:rPr>
        <w:t>“四个一”体系前端感知系统</w:t>
      </w:r>
      <w:r>
        <w:rPr>
          <w:sz w:val="21"/>
          <w:u w:val="single"/>
        </w:rPr>
        <w:t>--前端感知设备子项目（采购包2）</w:t>
      </w:r>
      <w:r>
        <w:rPr>
          <w:sz w:val="21"/>
        </w:rPr>
        <w:t>项目</w:t>
      </w:r>
      <w:r>
        <w:rPr>
          <w:sz w:val="21"/>
        </w:rPr>
        <w:t>招标结果，按照《中华人民共和国政府采购法》、《合同法》的规定，</w:t>
      </w:r>
      <w:r>
        <w:rPr>
          <w:sz w:val="21"/>
        </w:rPr>
        <w:t>经双方协商，</w:t>
      </w:r>
      <w:r>
        <w:rPr>
          <w:sz w:val="21"/>
        </w:rPr>
        <w:t>本着平等互利和诚实信用的原则，</w:t>
      </w:r>
      <w:r>
        <w:rPr>
          <w:sz w:val="21"/>
        </w:rPr>
        <w:t>一致同意签订本合同如下。</w:t>
      </w:r>
    </w:p>
    <w:p>
      <w:pPr>
        <w:ind w:firstLine="425"/>
        <w:jc w:val="both"/>
      </w:pPr>
    </w:p>
    <w:p>
      <w:r>
        <w:rPr>
          <w:b/>
          <w:sz w:val="21"/>
        </w:rPr>
        <w:t>一、合同标的</w:t>
      </w:r>
    </w:p>
    <w:p>
      <w:r>
        <w:rPr>
          <w:b/>
        </w:rPr>
        <w:t xml:space="preserve">    </w:t>
      </w:r>
      <w:r>
        <w:rPr>
          <w:sz w:val="21"/>
        </w:rPr>
        <w:t>包括中山市公安局</w:t>
      </w:r>
      <w:r>
        <w:rPr>
          <w:sz w:val="21"/>
          <w:u w:val="single"/>
        </w:rPr>
        <w:t>社会面治安巡防管控</w:t>
      </w:r>
      <w:r>
        <w:rPr>
          <w:sz w:val="21"/>
          <w:u w:val="single"/>
        </w:rPr>
        <w:t>“四个一”体系前端感知</w:t>
      </w:r>
      <w:r>
        <w:rPr>
          <w:sz w:val="21"/>
          <w:u w:val="single"/>
        </w:rPr>
        <w:t>系统（前端感知设备）</w:t>
      </w:r>
      <w:r>
        <w:rPr>
          <w:u w:val="single"/>
        </w:rPr>
        <w:t xml:space="preserve"> </w:t>
      </w:r>
      <w:r>
        <w:rPr>
          <w:sz w:val="21"/>
        </w:rPr>
        <w:t>项目的所有货物，含所有货物的运输、安装调试，资料、培训、质保期服务等。</w:t>
      </w:r>
    </w:p>
    <w:p/>
    <w:p>
      <w:r>
        <w:rPr>
          <w:b/>
          <w:sz w:val="21"/>
        </w:rPr>
        <w:t>二、合同金额</w:t>
      </w:r>
    </w:p>
    <w:p>
      <w:pPr>
        <w:ind w:firstLine="420"/>
        <w:jc w:val="left"/>
      </w:pPr>
      <w:r>
        <w:rPr>
          <w:sz w:val="21"/>
        </w:rPr>
        <w:t>合同总价为人民币大写：</w:t>
      </w:r>
      <w:r>
        <w:rPr>
          <w:sz w:val="21"/>
          <w:u w:val="single"/>
        </w:rPr>
        <w:t xml:space="preserve">              </w:t>
      </w:r>
      <w:r>
        <w:rPr>
          <w:sz w:val="21"/>
          <w:u w:val="single"/>
        </w:rPr>
        <w:t>元</w:t>
      </w:r>
      <w:r>
        <w:rPr>
          <w:sz w:val="21"/>
          <w:u w:val="single"/>
        </w:rPr>
        <w:t>整</w:t>
      </w:r>
      <w:r>
        <w:rPr>
          <w:sz w:val="21"/>
        </w:rPr>
        <w:t>（</w:t>
      </w:r>
      <w:r>
        <w:rPr>
          <w:sz w:val="21"/>
          <w:u w:val="single"/>
        </w:rPr>
        <w:t xml:space="preserve">¥                </w:t>
      </w:r>
      <w:r>
        <w:rPr>
          <w:sz w:val="21"/>
        </w:rPr>
        <w:t>元</w:t>
      </w:r>
      <w:r>
        <w:rPr>
          <w:sz w:val="21"/>
        </w:rPr>
        <w:t>）</w:t>
      </w:r>
      <w:r>
        <w:rPr>
          <w:sz w:val="21"/>
        </w:rPr>
        <w:t>。</w:t>
      </w:r>
    </w:p>
    <w:p>
      <w:pPr>
        <w:ind w:firstLine="480"/>
      </w:pPr>
      <w:r>
        <w:rPr>
          <w:sz w:val="21"/>
        </w:rPr>
        <w:t>该合同总价包括</w:t>
      </w:r>
      <w:r>
        <w:rPr>
          <w:sz w:val="21"/>
        </w:rPr>
        <w:t>本</w:t>
      </w:r>
      <w:r>
        <w:rPr>
          <w:sz w:val="21"/>
        </w:rPr>
        <w:t>项目</w:t>
      </w:r>
      <w:r>
        <w:rPr>
          <w:sz w:val="21"/>
        </w:rPr>
        <w:t>的所有货物运输和安装调试、各项税费、资料、培训、质保期服务和各项措施费等完成招标内容所需的一切费用。本合同执行期间合同总价不变，甲方无须另向乙方支付本合同规定之外的其他任何费用。</w:t>
      </w:r>
    </w:p>
    <w:p>
      <w:pPr>
        <w:ind w:firstLine="480"/>
      </w:pPr>
    </w:p>
    <w:p>
      <w:r>
        <w:rPr>
          <w:b/>
          <w:sz w:val="21"/>
        </w:rPr>
        <w:t>三、项目内容要求及分项价格</w:t>
      </w:r>
    </w:p>
    <w:p>
      <w:pPr>
        <w:ind w:firstLine="3162"/>
      </w:pPr>
      <w:r>
        <w:rPr>
          <w:b/>
          <w:sz w:val="21"/>
        </w:rPr>
        <w:t>项目建设内容及分项报价</w:t>
      </w:r>
    </w:p>
    <w:tbl>
      <w:tblPr>
        <w:tblW w:w="0" w:type="auto"/>
        <w:tblBorders>
          <w:top w:val="none" w:color="000000" w:sz="4"/>
          <w:left w:val="none" w:color="000000" w:sz="4"/>
          <w:bottom w:val="none" w:color="000000" w:sz="4"/>
          <w:right w:val="none" w:color="000000" w:sz="4"/>
          <w:insideH w:val="none"/>
          <w:insideV w:val="none"/>
        </w:tblBorders>
      </w:tblPr>
      <w:tblGrid>
        <w:gridCol w:w="746"/>
        <w:gridCol w:w="1764"/>
        <w:gridCol w:w="1438"/>
        <w:gridCol w:w="1397"/>
        <w:gridCol w:w="1262"/>
        <w:gridCol w:w="950"/>
        <w:gridCol w:w="922"/>
        <w:gridCol w:w="922"/>
        <w:gridCol w:w="922"/>
      </w:tblGrid>
      <w:tr>
        <w:tc>
          <w:tcPr>
            <w:tcW w:type="dxa" w:w="74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764"/>
            <w:tcBorders>
              <w:top w:val="single" w:color="000000" w:sz="4"/>
              <w:left w:val="none" w:color="000000" w:sz="4"/>
              <w:bottom w:val="single" w:color="000000" w:sz="4"/>
              <w:right w:val="single" w:color="000000" w:sz="4"/>
            </w:tcBorders>
            <w:vAlign w:val="top"/>
          </w:tcPr>
          <w:p>
            <w:pPr>
              <w:jc w:val="center"/>
            </w:pPr>
            <w:r>
              <w:rPr>
                <w:b/>
                <w:sz w:val="21"/>
              </w:rPr>
              <w:t>货物（设备）名称</w:t>
            </w:r>
          </w:p>
        </w:tc>
        <w:tc>
          <w:tcPr>
            <w:tcW w:type="dxa" w:w="1438"/>
            <w:tcBorders>
              <w:top w:val="single" w:color="000000" w:sz="4"/>
              <w:left w:val="none" w:color="000000" w:sz="4"/>
              <w:bottom w:val="single" w:color="000000" w:sz="4"/>
              <w:right w:val="single" w:color="000000" w:sz="4"/>
            </w:tcBorders>
            <w:vAlign w:val="top"/>
          </w:tcPr>
          <w:p>
            <w:pPr>
              <w:jc w:val="center"/>
            </w:pPr>
            <w:r>
              <w:rPr>
                <w:b/>
                <w:sz w:val="21"/>
              </w:rPr>
              <w:t>货物（设备）</w:t>
            </w:r>
            <w:r>
              <w:rPr>
                <w:b/>
                <w:sz w:val="21"/>
              </w:rPr>
              <w:t>规格</w:t>
            </w:r>
          </w:p>
        </w:tc>
        <w:tc>
          <w:tcPr>
            <w:tcW w:type="dxa" w:w="1397"/>
            <w:tcBorders>
              <w:top w:val="single" w:color="000000" w:sz="4"/>
              <w:left w:val="none" w:color="000000" w:sz="4"/>
              <w:bottom w:val="single" w:color="000000" w:sz="4"/>
              <w:right w:val="single" w:color="000000" w:sz="4"/>
            </w:tcBorders>
            <w:vAlign w:val="top"/>
          </w:tcPr>
          <w:p>
            <w:pPr>
              <w:jc w:val="center"/>
            </w:pPr>
            <w:r>
              <w:rPr>
                <w:b/>
                <w:sz w:val="21"/>
              </w:rPr>
              <w:t>货物（设备）</w:t>
            </w:r>
            <w:r>
              <w:rPr>
                <w:b/>
                <w:sz w:val="21"/>
              </w:rPr>
              <w:t>型号</w:t>
            </w:r>
          </w:p>
        </w:tc>
        <w:tc>
          <w:tcPr>
            <w:tcW w:type="dxa" w:w="1262"/>
            <w:tcBorders>
              <w:top w:val="single" w:color="000000" w:sz="4"/>
              <w:left w:val="none" w:color="000000" w:sz="4"/>
              <w:bottom w:val="single" w:color="000000" w:sz="4"/>
              <w:right w:val="single" w:color="000000" w:sz="4"/>
            </w:tcBorders>
            <w:vAlign w:val="top"/>
          </w:tcPr>
          <w:p>
            <w:pPr>
              <w:jc w:val="center"/>
            </w:pPr>
            <w:r>
              <w:rPr>
                <w:b/>
                <w:sz w:val="21"/>
              </w:rPr>
              <w:t>货物（设备）</w:t>
            </w:r>
            <w:r>
              <w:rPr>
                <w:b/>
                <w:sz w:val="21"/>
              </w:rPr>
              <w:t>制造商</w:t>
            </w:r>
          </w:p>
        </w:tc>
        <w:tc>
          <w:tcPr>
            <w:tcW w:type="dxa" w:w="950"/>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922"/>
            <w:tcBorders>
              <w:top w:val="single" w:color="000000" w:sz="4"/>
              <w:left w:val="none" w:color="000000" w:sz="4"/>
              <w:bottom w:val="single" w:color="000000" w:sz="4"/>
              <w:right w:val="single" w:color="000000" w:sz="4"/>
            </w:tcBorders>
            <w:vAlign w:val="top"/>
          </w:tcPr>
          <w:p>
            <w:pPr>
              <w:jc w:val="center"/>
            </w:pPr>
            <w:r>
              <w:rPr>
                <w:b/>
                <w:sz w:val="21"/>
              </w:rPr>
              <w:t>数量</w:t>
            </w:r>
            <w:r>
              <w:rPr>
                <w:b/>
                <w:sz w:val="21"/>
              </w:rPr>
              <w:t>（分局采购数量以实际为准）</w:t>
            </w:r>
          </w:p>
        </w:tc>
        <w:tc>
          <w:tcPr>
            <w:tcW w:type="dxa" w:w="922"/>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922"/>
            <w:tcBorders>
              <w:top w:val="single" w:color="000000" w:sz="4"/>
              <w:left w:val="none" w:color="000000" w:sz="4"/>
              <w:bottom w:val="single" w:color="000000" w:sz="4"/>
              <w:right w:val="single" w:color="000000" w:sz="4"/>
            </w:tcBorders>
            <w:vAlign w:val="top"/>
          </w:tcPr>
          <w:p>
            <w:pPr>
              <w:jc w:val="center"/>
            </w:pPr>
            <w:r>
              <w:rPr>
                <w:b/>
                <w:sz w:val="21"/>
              </w:rPr>
              <w:t>小计</w:t>
            </w:r>
            <w:r>
              <w:rPr>
                <w:b/>
                <w:sz w:val="21"/>
              </w:rPr>
              <w:t xml:space="preserve"> </w:t>
            </w:r>
            <w:r>
              <w:rPr>
                <w:b/>
                <w:sz w:val="21"/>
              </w:rPr>
              <w:t>总价</w:t>
            </w: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64"/>
            <w:tcBorders>
              <w:top w:val="none" w:color="000000" w:sz="4"/>
              <w:left w:val="none" w:color="000000" w:sz="4"/>
              <w:bottom w:val="single" w:color="000000" w:sz="4"/>
              <w:right w:val="single" w:color="000000" w:sz="4"/>
            </w:tcBorders>
            <w:shd w:fill="FFFFFF"/>
            <w:vAlign w:val="top"/>
          </w:tcPr>
          <w:p>
            <w:pPr>
              <w:jc w:val="center"/>
            </w:pPr>
            <w:r>
              <w:rPr>
                <w:sz w:val="21"/>
              </w:rPr>
              <w:t>移动布控球</w:t>
            </w:r>
          </w:p>
        </w:tc>
        <w:tc>
          <w:tcPr>
            <w:tcW w:type="dxa" w:w="1438"/>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shd w:fill="FFFFFF"/>
            <w:vAlign w:val="top"/>
          </w:tcPr>
          <w:p>
            <w:pPr>
              <w:jc w:val="center"/>
            </w:pPr>
          </w:p>
        </w:tc>
        <w:tc>
          <w:tcPr>
            <w:tcW w:type="dxa" w:w="1262"/>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64"/>
            <w:tcBorders>
              <w:top w:val="none" w:color="000000" w:sz="4"/>
              <w:left w:val="none" w:color="000000" w:sz="4"/>
              <w:bottom w:val="single" w:color="000000" w:sz="4"/>
              <w:right w:val="single" w:color="000000" w:sz="4"/>
            </w:tcBorders>
            <w:shd w:fill="FFFFFF"/>
            <w:vAlign w:val="top"/>
          </w:tcPr>
          <w:p>
            <w:pPr>
              <w:jc w:val="left"/>
            </w:pPr>
            <w:r>
              <w:rPr>
                <w:sz w:val="21"/>
              </w:rPr>
              <w:t>车载视频采集设备</w:t>
            </w:r>
          </w:p>
        </w:tc>
        <w:tc>
          <w:tcPr>
            <w:tcW w:type="dxa" w:w="1438"/>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shd w:fill="FFFFFF"/>
            <w:vAlign w:val="top"/>
          </w:tcPr>
          <w:p>
            <w:pPr>
              <w:jc w:val="center"/>
            </w:pPr>
          </w:p>
        </w:tc>
        <w:tc>
          <w:tcPr>
            <w:tcW w:type="dxa" w:w="1262"/>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64"/>
            <w:tcBorders>
              <w:top w:val="none" w:color="000000" w:sz="4"/>
              <w:left w:val="none" w:color="000000" w:sz="4"/>
              <w:bottom w:val="single" w:color="000000" w:sz="4"/>
              <w:right w:val="single" w:color="000000" w:sz="4"/>
            </w:tcBorders>
            <w:shd w:fill="FFFFFF"/>
            <w:vAlign w:val="top"/>
          </w:tcPr>
          <w:p>
            <w:pPr>
              <w:jc w:val="center"/>
            </w:pPr>
            <w:r>
              <w:rPr>
                <w:sz w:val="21"/>
              </w:rPr>
              <w:t>执法记录仪</w:t>
            </w:r>
          </w:p>
        </w:tc>
        <w:tc>
          <w:tcPr>
            <w:tcW w:type="dxa" w:w="1438"/>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shd w:fill="FFFFFF"/>
            <w:vAlign w:val="top"/>
          </w:tcPr>
          <w:p>
            <w:pPr>
              <w:jc w:val="center"/>
            </w:pPr>
          </w:p>
        </w:tc>
        <w:tc>
          <w:tcPr>
            <w:tcW w:type="dxa" w:w="1262"/>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64"/>
            <w:tcBorders>
              <w:top w:val="none" w:color="000000" w:sz="4"/>
              <w:left w:val="none" w:color="000000" w:sz="4"/>
              <w:bottom w:val="single" w:color="000000" w:sz="4"/>
              <w:right w:val="single" w:color="000000" w:sz="4"/>
            </w:tcBorders>
            <w:shd w:fill="FFFFFF"/>
            <w:vAlign w:val="top"/>
          </w:tcPr>
          <w:p>
            <w:pPr>
              <w:jc w:val="center"/>
            </w:pPr>
            <w:r>
              <w:rPr>
                <w:sz w:val="21"/>
              </w:rPr>
              <w:t>采集工作站</w:t>
            </w:r>
          </w:p>
        </w:tc>
        <w:tc>
          <w:tcPr>
            <w:tcW w:type="dxa" w:w="1438"/>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shd w:fill="FFFFFF"/>
            <w:vAlign w:val="top"/>
          </w:tcPr>
          <w:p>
            <w:pPr>
              <w:jc w:val="center"/>
            </w:pPr>
          </w:p>
        </w:tc>
        <w:tc>
          <w:tcPr>
            <w:tcW w:type="dxa" w:w="1262"/>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764"/>
            <w:tcBorders>
              <w:top w:val="none" w:color="000000" w:sz="4"/>
              <w:left w:val="none" w:color="000000" w:sz="4"/>
              <w:bottom w:val="single" w:color="000000" w:sz="4"/>
              <w:right w:val="single" w:color="000000" w:sz="4"/>
            </w:tcBorders>
            <w:shd w:fill="FFFFFF"/>
            <w:vAlign w:val="top"/>
          </w:tcPr>
          <w:p>
            <w:pPr>
              <w:jc w:val="center"/>
            </w:pPr>
            <w:r>
              <w:rPr>
                <w:sz w:val="21"/>
              </w:rPr>
              <w:t>350M</w:t>
            </w:r>
            <w:r>
              <w:rPr>
                <w:sz w:val="21"/>
              </w:rPr>
              <w:t>手持</w:t>
            </w:r>
            <w:r>
              <w:rPr>
                <w:sz w:val="21"/>
              </w:rPr>
              <w:t>数字集群对讲机</w:t>
            </w:r>
          </w:p>
        </w:tc>
        <w:tc>
          <w:tcPr>
            <w:tcW w:type="dxa" w:w="1438"/>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shd w:fill="FFFFFF"/>
            <w:vAlign w:val="top"/>
          </w:tcPr>
          <w:p>
            <w:pPr>
              <w:jc w:val="center"/>
            </w:pPr>
          </w:p>
        </w:tc>
        <w:tc>
          <w:tcPr>
            <w:tcW w:type="dxa" w:w="1262"/>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764"/>
            <w:tcBorders>
              <w:top w:val="none" w:color="000000" w:sz="4"/>
              <w:left w:val="none" w:color="000000" w:sz="4"/>
              <w:bottom w:val="single" w:color="000000" w:sz="4"/>
              <w:right w:val="single" w:color="000000" w:sz="4"/>
            </w:tcBorders>
            <w:shd w:fill="FFFFFF"/>
            <w:vAlign w:val="top"/>
          </w:tcPr>
          <w:p>
            <w:pPr>
              <w:jc w:val="center"/>
            </w:pPr>
            <w:r>
              <w:rPr>
                <w:sz w:val="21"/>
              </w:rPr>
              <w:t>350M</w:t>
            </w:r>
            <w:r>
              <w:rPr>
                <w:sz w:val="21"/>
              </w:rPr>
              <w:t>车载</w:t>
            </w:r>
            <w:r>
              <w:rPr>
                <w:sz w:val="21"/>
              </w:rPr>
              <w:t>数字集群对讲机</w:t>
            </w:r>
          </w:p>
        </w:tc>
        <w:tc>
          <w:tcPr>
            <w:tcW w:type="dxa" w:w="1438"/>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shd w:fill="FFFFFF"/>
            <w:vAlign w:val="top"/>
          </w:tcPr>
          <w:p>
            <w:pPr>
              <w:jc w:val="center"/>
            </w:pPr>
          </w:p>
        </w:tc>
        <w:tc>
          <w:tcPr>
            <w:tcW w:type="dxa" w:w="1262"/>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6607"/>
            <w:gridSpan w:val="5"/>
            <w:tcBorders>
              <w:top w:val="none" w:color="000000" w:sz="4"/>
              <w:left w:val="single" w:color="000000" w:sz="4"/>
              <w:bottom w:val="single" w:color="000000" w:sz="4"/>
              <w:right w:val="single" w:color="000000" w:sz="4"/>
            </w:tcBorders>
            <w:vAlign w:val="top"/>
          </w:tcPr>
          <w:p>
            <w:pPr>
              <w:jc w:val="center"/>
            </w:pPr>
            <w:r>
              <w:rPr>
                <w:b/>
                <w:sz w:val="21"/>
              </w:rPr>
              <w:t>合计</w:t>
            </w:r>
            <w:r>
              <w:rPr>
                <w:b/>
                <w:sz w:val="21"/>
              </w:rPr>
              <w:t>总价</w:t>
            </w:r>
          </w:p>
        </w:tc>
        <w:tc>
          <w:tcPr>
            <w:tcW w:type="dxa" w:w="3716"/>
            <w:gridSpan w:val="4"/>
            <w:tcBorders>
              <w:top w:val="none" w:color="000000" w:sz="4"/>
              <w:left w:val="none" w:color="000000" w:sz="4"/>
              <w:bottom w:val="single" w:color="000000" w:sz="4"/>
              <w:right w:val="single" w:color="000000" w:sz="4"/>
            </w:tcBorders>
            <w:vAlign w:val="top"/>
          </w:tcPr>
          <w:p>
            <w:pPr>
              <w:jc w:val="both"/>
            </w:pPr>
          </w:p>
        </w:tc>
      </w:tr>
      <w:tr>
        <w:tc>
          <w:tcPr>
            <w:tcW w:type="dxa" w:w="10323"/>
            <w:gridSpan w:val="9"/>
            <w:tcBorders>
              <w:top w:val="none" w:color="000000" w:sz="4"/>
              <w:left w:val="single" w:color="000000" w:sz="4"/>
              <w:bottom w:val="single" w:color="000000" w:sz="4"/>
              <w:right w:val="single" w:color="000000" w:sz="4"/>
            </w:tcBorders>
            <w:vAlign w:val="top"/>
          </w:tcPr>
          <w:p>
            <w:pPr>
              <w:jc w:val="both"/>
            </w:pPr>
            <w:r>
              <w:rPr>
                <w:sz w:val="21"/>
              </w:rPr>
              <w:t>项目配置要求、供货范围、技术规格详见合同附件</w:t>
            </w:r>
          </w:p>
        </w:tc>
      </w:tr>
    </w:tbl>
    <w:p>
      <w:pPr>
        <w:jc w:val="both"/>
      </w:pPr>
      <w:r>
        <w:rPr>
          <w:b/>
          <w:sz w:val="21"/>
        </w:rPr>
        <w:t>四</w:t>
      </w:r>
      <w:r>
        <w:rPr>
          <w:b/>
          <w:sz w:val="21"/>
        </w:rPr>
        <w:t>、项目</w:t>
      </w:r>
      <w:r>
        <w:rPr>
          <w:b/>
          <w:sz w:val="21"/>
        </w:rPr>
        <w:t>交付要求</w:t>
      </w:r>
    </w:p>
    <w:p>
      <w:pPr>
        <w:ind w:firstLine="371"/>
      </w:pPr>
      <w:r>
        <w:rPr>
          <w:sz w:val="21"/>
        </w:rPr>
        <w:t>（一）</w:t>
      </w:r>
      <w:r>
        <w:rPr>
          <w:sz w:val="21"/>
        </w:rPr>
        <w:t>乙方</w:t>
      </w:r>
      <w:r>
        <w:rPr>
          <w:sz w:val="21"/>
        </w:rPr>
        <w:t>与中山市公安局及各镇区公安分局签订</w:t>
      </w:r>
      <w:r>
        <w:rPr>
          <w:sz w:val="21"/>
        </w:rPr>
        <w:t>分项合同</w:t>
      </w:r>
      <w:r>
        <w:rPr>
          <w:sz w:val="21"/>
        </w:rPr>
        <w:t>起安排备货，确保</w:t>
      </w:r>
      <w:r>
        <w:rPr>
          <w:sz w:val="21"/>
        </w:rPr>
        <w:t>30</w:t>
      </w:r>
      <w:r>
        <w:rPr>
          <w:sz w:val="21"/>
        </w:rPr>
        <w:t>个日历</w:t>
      </w:r>
      <w:r>
        <w:rPr>
          <w:sz w:val="21"/>
        </w:rPr>
        <w:t>日内保质保量交付项目采购的各项内容。</w:t>
      </w:r>
    </w:p>
    <w:p>
      <w:pPr>
        <w:ind w:firstLine="371"/>
      </w:pPr>
      <w:r>
        <w:rPr>
          <w:sz w:val="21"/>
        </w:rPr>
        <w:t>（二）交付地点：甲方指定地点。</w:t>
      </w:r>
    </w:p>
    <w:p>
      <w:pPr>
        <w:ind w:firstLine="371"/>
      </w:pPr>
      <w:r>
        <w:rPr>
          <w:sz w:val="21"/>
        </w:rPr>
        <w:t>（三）本项目为交钥匙工程，甲方无须另向乙方支付其他任何费用，投标报价包括项目所需的设备制造</w:t>
      </w:r>
      <w:r>
        <w:rPr>
          <w:sz w:val="21"/>
        </w:rPr>
        <w:t>(或采购)、设备运输、环境安装调试、系统调试、</w:t>
      </w:r>
      <w:r>
        <w:rPr>
          <w:sz w:val="21"/>
        </w:rPr>
        <w:t>验收、</w:t>
      </w:r>
      <w:r>
        <w:rPr>
          <w:sz w:val="21"/>
        </w:rPr>
        <w:t>培训、质保期服务和各项措施费、税费等完成招标内容所需的一切费用。</w:t>
      </w:r>
    </w:p>
    <w:p>
      <w:pPr>
        <w:jc w:val="both"/>
      </w:pPr>
      <w:r>
        <w:rPr>
          <w:b/>
          <w:sz w:val="21"/>
        </w:rPr>
        <w:t>五、质保期及售后服务要求</w:t>
      </w:r>
    </w:p>
    <w:p>
      <w:pPr>
        <w:ind w:firstLine="420"/>
        <w:jc w:val="both"/>
      </w:pPr>
      <w:r>
        <w:rPr>
          <w:sz w:val="21"/>
        </w:rPr>
        <w:t>1、质量保证期（简称“质保期”）3年，质保期内乙方对所供货物实行包修、包换及免费技术支持等服务。质保期按设备交付甲方之日起计算。</w:t>
      </w:r>
    </w:p>
    <w:p>
      <w:pPr>
        <w:ind w:firstLine="420"/>
        <w:jc w:val="both"/>
      </w:pPr>
      <w:r>
        <w:rPr>
          <w:sz w:val="21"/>
        </w:rPr>
        <w:t>2、对甲方的服务通知，乙方在接报后1小时内响应，4小时内到达现场，24小时内处理完毕。若在24小时内仍未能有效解决，乙方须免费提供不低于同档次的设备给予甲方临时使用。如乙方无法妥善处理甲方故障问题，超过上述时限，甲方有权另请第三方进行处理，费用由乙方承担。</w:t>
      </w:r>
    </w:p>
    <w:p>
      <w:pPr>
        <w:ind w:firstLine="420"/>
        <w:jc w:val="both"/>
      </w:pPr>
      <w:r>
        <w:rPr>
          <w:sz w:val="21"/>
        </w:rPr>
        <w:t>3、质保服务方式均为乙方上门服务。非甲方的人为原因而出现产品质量及安装问题，由乙方负责包修、包换或包退。并承担上述情况产生的一切费用。</w:t>
      </w:r>
    </w:p>
    <w:p>
      <w:pPr>
        <w:jc w:val="both"/>
      </w:pPr>
      <w:r>
        <w:rPr>
          <w:b/>
          <w:sz w:val="21"/>
        </w:rPr>
        <w:t>六、</w:t>
      </w:r>
      <w:r>
        <w:rPr>
          <w:b/>
          <w:sz w:val="21"/>
        </w:rPr>
        <w:t>货物标准</w:t>
      </w:r>
    </w:p>
    <w:p>
      <w:pPr>
        <w:ind w:firstLine="420"/>
        <w:jc w:val="both"/>
      </w:pPr>
      <w:r>
        <w:rPr>
          <w:sz w:val="21"/>
        </w:rPr>
        <w:t>1. 乙方依本合同约定向甲方提供的软硬件产品服务均来自正规渠道，并将依本合同中之约定对甲方提供软硬件产品保修服务。货物均为全新的原装产品（含零部件、配件、工具等），表面无划伤、无碰撞。</w:t>
      </w:r>
    </w:p>
    <w:p>
      <w:pPr>
        <w:ind w:firstLine="420"/>
        <w:jc w:val="both"/>
      </w:pPr>
      <w:r>
        <w:rPr>
          <w:sz w:val="21"/>
        </w:rPr>
        <w:t>2. 标准：</w:t>
      </w:r>
    </w:p>
    <w:p>
      <w:pPr>
        <w:ind w:firstLine="420"/>
        <w:jc w:val="both"/>
      </w:pPr>
      <w:r>
        <w:rPr>
          <w:sz w:val="21"/>
        </w:rPr>
        <w:t>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本协议签定前有关机构发布的最新版本的标准。</w:t>
      </w:r>
    </w:p>
    <w:p>
      <w:pPr>
        <w:jc w:val="both"/>
      </w:pPr>
      <w:r>
        <w:rPr>
          <w:sz w:val="21"/>
        </w:rPr>
        <w:t>(1) 国内产品或合资厂的产品必须具备出厂合格证。</w:t>
      </w:r>
    </w:p>
    <w:p>
      <w:pPr>
        <w:jc w:val="both"/>
      </w:pPr>
      <w:r>
        <w:rPr>
          <w:sz w:val="21"/>
        </w:rPr>
        <w:t>(</w:t>
      </w:r>
      <w:r>
        <w:rPr>
          <w:sz w:val="21"/>
        </w:rPr>
        <w:t>2</w:t>
      </w:r>
      <w:r>
        <w:rPr>
          <w:sz w:val="21"/>
        </w:rPr>
        <w:t>) 乙方应将所供物品的用户手册、有关资料及配件、工具等交付给甲方。</w:t>
      </w:r>
    </w:p>
    <w:p>
      <w:pPr>
        <w:jc w:val="both"/>
      </w:pPr>
      <w:r>
        <w:rPr>
          <w:sz w:val="21"/>
        </w:rPr>
        <w:t>(</w:t>
      </w:r>
      <w:r>
        <w:rPr>
          <w:sz w:val="21"/>
        </w:rPr>
        <w:t>3</w:t>
      </w:r>
      <w:r>
        <w:rPr>
          <w:sz w:val="21"/>
        </w:rPr>
        <w:t>) 乙方保证所售系统不会侵犯任何第三方权利。</w:t>
      </w:r>
    </w:p>
    <w:p>
      <w:pPr>
        <w:jc w:val="both"/>
      </w:pPr>
      <w:r>
        <w:rPr>
          <w:b/>
          <w:sz w:val="21"/>
        </w:rPr>
        <w:t>七、</w:t>
      </w:r>
      <w:r>
        <w:rPr>
          <w:b/>
          <w:sz w:val="21"/>
        </w:rPr>
        <w:t>包装、运输及保险</w:t>
      </w:r>
    </w:p>
    <w:p>
      <w:pPr>
        <w:ind w:firstLine="420"/>
        <w:jc w:val="both"/>
      </w:pPr>
      <w:r>
        <w:rPr>
          <w:sz w:val="21"/>
        </w:rPr>
        <w:t>（一）乙方所供货物必须为制造商原厂包装，包装质量符合国家相关标准，设备的包装均应有良好的防湿、防锈、防潮、防雨、防腐及防碰撞的措施。货物要求有包装材料保护运至现场。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（二）乙方负责根据甲方指定的安装地点，将货物材料送到现场过程中的全部运输，包括装卸车、货物现场的搬运。</w:t>
      </w:r>
    </w:p>
    <w:p>
      <w:pPr>
        <w:ind w:firstLine="420"/>
        <w:jc w:val="both"/>
      </w:pPr>
      <w:r>
        <w:rPr>
          <w:sz w:val="21"/>
        </w:rPr>
        <w:t>（三）各种设备，必须提供装箱清单，按装箱清单验收货物。</w:t>
      </w:r>
    </w:p>
    <w:p>
      <w:pPr>
        <w:ind w:firstLine="420"/>
        <w:jc w:val="both"/>
      </w:pPr>
      <w:r>
        <w:rPr>
          <w:sz w:val="21"/>
        </w:rPr>
        <w:t>（四）货物在现场的保管由乙方负责，直至项目安装、验收完毕。</w:t>
      </w:r>
    </w:p>
    <w:p>
      <w:pPr>
        <w:ind w:firstLine="420"/>
        <w:jc w:val="both"/>
      </w:pPr>
      <w:r>
        <w:rPr>
          <w:sz w:val="21"/>
        </w:rPr>
        <w:t>（五）货物在安装调试验收合格前的保险由乙方负责，乙方负责其派出的现场服务人员人身意外保险。</w:t>
      </w:r>
    </w:p>
    <w:p>
      <w:pPr>
        <w:ind w:firstLine="420"/>
        <w:jc w:val="both"/>
      </w:pPr>
      <w:r>
        <w:rPr>
          <w:sz w:val="21"/>
        </w:rPr>
        <w:t>（六）乙方负责项目现场货物的仓储保管。</w:t>
      </w:r>
    </w:p>
    <w:p>
      <w:pPr>
        <w:ind w:firstLine="425"/>
        <w:jc w:val="both"/>
      </w:pPr>
    </w:p>
    <w:p>
      <w:pPr>
        <w:jc w:val="both"/>
      </w:pPr>
      <w:r>
        <w:rPr>
          <w:b/>
          <w:sz w:val="21"/>
        </w:rPr>
        <w:t>八、</w:t>
      </w:r>
      <w:r>
        <w:rPr>
          <w:b/>
          <w:sz w:val="21"/>
        </w:rPr>
        <w:t>货物检验与测试</w:t>
      </w:r>
    </w:p>
    <w:p>
      <w:pPr>
        <w:ind w:firstLine="420"/>
        <w:jc w:val="both"/>
      </w:pPr>
      <w:r>
        <w:rPr>
          <w:sz w:val="21"/>
        </w:rPr>
        <w:t>1. 甲方有权检验和测试货物以确认货物是否符合合同规格的要求。</w:t>
      </w:r>
    </w:p>
    <w:p>
      <w:pPr>
        <w:ind w:firstLine="404"/>
        <w:jc w:val="both"/>
      </w:pPr>
      <w:r>
        <w:rPr>
          <w:sz w:val="21"/>
        </w:rPr>
        <w:t>2. 如果任何被检验或测试的货物不能满足规格的要求,甲方可以拒绝接受该货物，乙方应更换被拒绝的货物,或者免费进行必要的修改以满足规格的要求。</w:t>
      </w:r>
    </w:p>
    <w:p>
      <w:pPr>
        <w:ind w:firstLine="404"/>
        <w:jc w:val="both"/>
      </w:pPr>
      <w:r>
        <w:rPr>
          <w:sz w:val="21"/>
        </w:rPr>
        <w:t>3. 交货时，乙方应将制造商对货物的质量、规格、性能、数量和重量等进行详细而全面的检验。</w:t>
      </w:r>
    </w:p>
    <w:p>
      <w:pPr>
        <w:ind w:firstLine="425"/>
        <w:jc w:val="both"/>
      </w:pPr>
    </w:p>
    <w:p>
      <w:pPr>
        <w:jc w:val="both"/>
      </w:pPr>
      <w:r>
        <w:rPr>
          <w:b/>
          <w:sz w:val="21"/>
        </w:rPr>
        <w:t>九、</w:t>
      </w:r>
      <w:r>
        <w:rPr>
          <w:b/>
          <w:sz w:val="21"/>
        </w:rPr>
        <w:t>安装与调试</w:t>
      </w:r>
    </w:p>
    <w:p>
      <w:pPr>
        <w:jc w:val="both"/>
      </w:pPr>
      <w:r>
        <w:rPr>
          <w:sz w:val="21"/>
        </w:rPr>
        <w:t>1. 乙方负责到用户指定的安装地点进行安装调试。</w:t>
      </w:r>
    </w:p>
    <w:p>
      <w:pPr>
        <w:jc w:val="both"/>
      </w:pPr>
      <w:r>
        <w:rPr>
          <w:sz w:val="21"/>
        </w:rPr>
        <w:t>2. 乙方应提交详细安装进度表。</w:t>
      </w:r>
    </w:p>
    <w:p>
      <w:pPr>
        <w:jc w:val="both"/>
      </w:pPr>
      <w:r>
        <w:rPr>
          <w:sz w:val="21"/>
        </w:rPr>
        <w:t>3. 乙方应设安装负责人，负责安装协调管理工作。</w:t>
      </w:r>
    </w:p>
    <w:p>
      <w:pPr>
        <w:jc w:val="both"/>
      </w:pPr>
      <w:r>
        <w:rPr>
          <w:sz w:val="21"/>
        </w:rPr>
        <w:t>4. 安装所需工具设施物料由乙方自备、自费运到现场，完工后自费搬走。</w:t>
      </w:r>
    </w:p>
    <w:p>
      <w:pPr>
        <w:jc w:val="both"/>
      </w:pPr>
      <w:r>
        <w:rPr>
          <w:sz w:val="21"/>
        </w:rPr>
        <w:t>5. 调试：按国家相关验收规范进行。</w:t>
      </w:r>
    </w:p>
    <w:p>
      <w:pPr>
        <w:jc w:val="both"/>
      </w:pPr>
      <w:r>
        <w:rPr>
          <w:sz w:val="21"/>
        </w:rPr>
        <w:t>6. 设备的拆箱、安装、调试等项工作由乙方负责，但必须在甲方指定人员的参与下进行。</w:t>
      </w:r>
    </w:p>
    <w:p>
      <w:pPr>
        <w:jc w:val="both"/>
      </w:pPr>
    </w:p>
    <w:p>
      <w:pPr>
        <w:jc w:val="both"/>
      </w:pPr>
      <w:r>
        <w:rPr>
          <w:b/>
          <w:sz w:val="21"/>
        </w:rPr>
        <w:t>十</w:t>
      </w:r>
      <w:r>
        <w:rPr>
          <w:b/>
          <w:sz w:val="21"/>
        </w:rPr>
        <w:t>、付款方式</w:t>
      </w:r>
    </w:p>
    <w:p>
      <w:pPr>
        <w:jc w:val="both"/>
      </w:pPr>
      <w:r>
        <w:rPr>
          <w:sz w:val="21"/>
        </w:rPr>
        <w:t xml:space="preserve">    </w:t>
      </w:r>
      <w:r>
        <w:rPr>
          <w:sz w:val="21"/>
        </w:rPr>
        <w:t>1期：中山市公安局及各镇区公安分局与中标人</w:t>
      </w:r>
      <w:r>
        <w:rPr>
          <w:sz w:val="21"/>
        </w:rPr>
        <w:t>分项合同</w:t>
      </w:r>
      <w:r>
        <w:rPr>
          <w:sz w:val="21"/>
        </w:rPr>
        <w:t>签订后，支付相应</w:t>
      </w:r>
      <w:r>
        <w:rPr>
          <w:sz w:val="21"/>
        </w:rPr>
        <w:t>分项合同</w:t>
      </w:r>
      <w:r>
        <w:rPr>
          <w:sz w:val="21"/>
        </w:rPr>
        <w:t>款总额的</w:t>
      </w:r>
      <w:r>
        <w:rPr>
          <w:sz w:val="21"/>
        </w:rPr>
        <w:t>30%</w:t>
      </w:r>
      <w:r>
        <w:rPr>
          <w:sz w:val="21"/>
        </w:rPr>
        <w:t>。</w:t>
      </w:r>
    </w:p>
    <w:p>
      <w:pPr>
        <w:ind w:firstLine="420"/>
        <w:jc w:val="both"/>
      </w:pPr>
      <w:r>
        <w:rPr>
          <w:sz w:val="21"/>
        </w:rPr>
        <w:t>2期：</w:t>
      </w:r>
      <w:r>
        <w:rPr>
          <w:sz w:val="21"/>
        </w:rPr>
        <w:t>设备</w:t>
      </w:r>
      <w:r>
        <w:rPr>
          <w:sz w:val="21"/>
        </w:rPr>
        <w:t>完成交付验收后，</w:t>
      </w:r>
      <w:r>
        <w:rPr>
          <w:sz w:val="21"/>
        </w:rPr>
        <w:t>一次性</w:t>
      </w:r>
      <w:r>
        <w:rPr>
          <w:sz w:val="21"/>
        </w:rPr>
        <w:t>支付</w:t>
      </w:r>
      <w:r>
        <w:rPr>
          <w:sz w:val="21"/>
        </w:rPr>
        <w:t>合同</w:t>
      </w:r>
      <w:r>
        <w:rPr>
          <w:sz w:val="21"/>
        </w:rPr>
        <w:t>款总额的</w:t>
      </w:r>
      <w:r>
        <w:rPr>
          <w:sz w:val="21"/>
        </w:rPr>
        <w:t>70%</w:t>
      </w:r>
      <w:r>
        <w:rPr>
          <w:sz w:val="21"/>
        </w:rPr>
        <w:t>。</w:t>
      </w:r>
    </w:p>
    <w:p>
      <w:pPr>
        <w:ind w:firstLine="420"/>
        <w:jc w:val="both"/>
      </w:pPr>
      <w:r>
        <w:rPr>
          <w:sz w:val="21"/>
        </w:rPr>
        <w:t>甲方</w:t>
      </w:r>
      <w:r>
        <w:rPr>
          <w:sz w:val="21"/>
        </w:rPr>
        <w:t>及镇区分局</w:t>
      </w:r>
      <w:r>
        <w:rPr>
          <w:sz w:val="21"/>
        </w:rPr>
        <w:t>有权根据财政拨付的预算情况对分项合同支付计划进行</w:t>
      </w:r>
      <w:r>
        <w:rPr>
          <w:sz w:val="21"/>
        </w:rPr>
        <w:t>调整</w:t>
      </w:r>
      <w:r>
        <w:rPr>
          <w:sz w:val="21"/>
        </w:rPr>
        <w:t>。</w:t>
      </w:r>
      <w:r>
        <w:rPr>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Pr>
        <w:ind w:firstLine="425"/>
        <w:jc w:val="both"/>
      </w:pPr>
    </w:p>
    <w:p>
      <w:pPr>
        <w:jc w:val="both"/>
      </w:pPr>
      <w:r>
        <w:rPr>
          <w:b/>
          <w:sz w:val="21"/>
        </w:rPr>
        <w:t>十</w:t>
      </w:r>
      <w:r>
        <w:rPr>
          <w:b/>
          <w:sz w:val="21"/>
        </w:rPr>
        <w:t>一</w:t>
      </w:r>
      <w:r>
        <w:rPr>
          <w:b/>
          <w:sz w:val="21"/>
        </w:rPr>
        <w:t>、培训要求</w:t>
      </w:r>
    </w:p>
    <w:p>
      <w:pPr>
        <w:ind w:firstLine="420"/>
        <w:jc w:val="both"/>
      </w:pPr>
      <w:r>
        <w:rPr>
          <w:sz w:val="21"/>
        </w:rPr>
        <w:t>基于项目的复杂性，本项目中的培训工作应当作为一项重点工作进行开展，通过培训能够有效的实现项目</w:t>
      </w:r>
      <w:r>
        <w:rPr>
          <w:sz w:val="21"/>
        </w:rPr>
        <w:t>设备</w:t>
      </w:r>
      <w:r>
        <w:rPr>
          <w:sz w:val="21"/>
        </w:rPr>
        <w:t>的稳定运行及</w:t>
      </w:r>
      <w:r>
        <w:rPr>
          <w:sz w:val="21"/>
        </w:rPr>
        <w:t>正常使用</w:t>
      </w:r>
      <w:r>
        <w:rPr>
          <w:sz w:val="21"/>
        </w:rPr>
        <w:t>。</w:t>
      </w:r>
    </w:p>
    <w:p>
      <w:pPr>
        <w:jc w:val="both"/>
      </w:pPr>
      <w:r>
        <w:rPr>
          <w:b/>
          <w:sz w:val="21"/>
        </w:rPr>
        <w:t>（一）培训对象</w:t>
      </w:r>
    </w:p>
    <w:p>
      <w:pPr>
        <w:ind w:firstLine="420"/>
        <w:jc w:val="both"/>
      </w:pPr>
      <w:r>
        <w:rPr>
          <w:sz w:val="21"/>
        </w:rPr>
        <w:t>针对本项目的项目培训对象主要包含有：</w:t>
      </w:r>
    </w:p>
    <w:p>
      <w:pPr>
        <w:jc w:val="both"/>
      </w:pPr>
      <w:r>
        <w:rPr>
          <w:sz w:val="21"/>
        </w:rPr>
        <w:t xml:space="preserve">    </w:t>
      </w:r>
      <w:r>
        <w:rPr>
          <w:sz w:val="21"/>
        </w:rPr>
        <w:t>主要包含有甲方</w:t>
      </w:r>
      <w:r>
        <w:rPr>
          <w:sz w:val="21"/>
        </w:rPr>
        <w:t>建设</w:t>
      </w:r>
      <w:r>
        <w:rPr>
          <w:sz w:val="21"/>
        </w:rPr>
        <w:t>部门相关的技术人员及各业务部门的技术人员</w:t>
      </w:r>
      <w:r>
        <w:rPr>
          <w:sz w:val="21"/>
        </w:rPr>
        <w:t>。</w:t>
      </w:r>
    </w:p>
    <w:p>
      <w:pPr>
        <w:ind w:firstLine="420"/>
        <w:jc w:val="both"/>
      </w:pPr>
      <w:r>
        <w:rPr>
          <w:b/>
          <w:sz w:val="21"/>
        </w:rPr>
        <w:t>（二）培训地点</w:t>
      </w:r>
    </w:p>
    <w:p>
      <w:pPr>
        <w:ind w:firstLine="420"/>
        <w:jc w:val="both"/>
      </w:pPr>
      <w:r>
        <w:rPr>
          <w:sz w:val="21"/>
        </w:rPr>
        <w:t>中山市公安局或项目相关指定地点。</w:t>
      </w:r>
    </w:p>
    <w:p>
      <w:pPr>
        <w:jc w:val="both"/>
      </w:pPr>
      <w:r>
        <w:rPr>
          <w:b/>
          <w:sz w:val="21"/>
        </w:rPr>
        <w:t>（三）培训安排</w:t>
      </w:r>
    </w:p>
    <w:p>
      <w:pPr>
        <w:ind w:firstLine="420"/>
        <w:jc w:val="both"/>
      </w:pPr>
      <w:r>
        <w:rPr>
          <w:sz w:val="21"/>
        </w:rPr>
        <w:t>不同层次不同类型的培训可选择不同的培训地点，以达到更好的培训效果。乙方为甲方指定人员提供系统使用、系统维护、安全管理等方面的培训。</w:t>
      </w:r>
    </w:p>
    <w:p>
      <w:pPr>
        <w:jc w:val="both"/>
      </w:pPr>
      <w:r>
        <w:rPr>
          <w:b/>
          <w:sz w:val="21"/>
        </w:rPr>
        <w:t>（四）培训步骤</w:t>
      </w:r>
    </w:p>
    <w:p>
      <w:pPr>
        <w:ind w:firstLine="420"/>
        <w:jc w:val="both"/>
      </w:pPr>
      <w:r>
        <w:rPr>
          <w:sz w:val="21"/>
        </w:rPr>
        <w:t>为能够有效的实现对甲方的技术培训，制定的技术培训服务步骤要求如下：</w:t>
      </w:r>
    </w:p>
    <w:p>
      <w:pPr>
        <w:ind w:firstLine="420"/>
        <w:jc w:val="both"/>
      </w:pPr>
      <w:r>
        <w:rPr>
          <w:sz w:val="21"/>
        </w:rPr>
        <w:t>（</w:t>
      </w:r>
      <w:r>
        <w:rPr>
          <w:sz w:val="21"/>
        </w:rPr>
        <w:t>1）乙方项目负责人制定项目的总体培训计划；</w:t>
      </w:r>
    </w:p>
    <w:p>
      <w:pPr>
        <w:ind w:firstLine="420"/>
        <w:jc w:val="both"/>
      </w:pPr>
      <w:r>
        <w:rPr>
          <w:sz w:val="21"/>
        </w:rPr>
        <w:t>（</w:t>
      </w:r>
      <w:r>
        <w:rPr>
          <w:sz w:val="21"/>
        </w:rPr>
        <w:t>2）技术支持小组人员在培训开始前，准备并安排相应的培训资源，包括培训课程、时间计划、地点、讲师等；</w:t>
      </w:r>
    </w:p>
    <w:p>
      <w:pPr>
        <w:ind w:firstLine="420"/>
        <w:jc w:val="both"/>
      </w:pPr>
      <w:r>
        <w:rPr>
          <w:sz w:val="21"/>
        </w:rPr>
        <w:t>（</w:t>
      </w:r>
      <w:r>
        <w:rPr>
          <w:sz w:val="21"/>
        </w:rPr>
        <w:t>3）经过项目组协调确认后，开始进入技术培训的实施阶段；</w:t>
      </w:r>
    </w:p>
    <w:p>
      <w:pPr>
        <w:ind w:firstLine="420"/>
        <w:jc w:val="both"/>
      </w:pPr>
      <w:r>
        <w:rPr>
          <w:sz w:val="21"/>
        </w:rPr>
        <w:t>（</w:t>
      </w:r>
      <w:r>
        <w:rPr>
          <w:sz w:val="21"/>
        </w:rPr>
        <w:t>4）培训过程中，乙方将对培训的过程和效果进行必要的记录，并及时根据学员的需求及时调整培训的内容、形式、资源等；</w:t>
      </w:r>
    </w:p>
    <w:p>
      <w:pPr>
        <w:ind w:firstLine="420"/>
        <w:jc w:val="both"/>
      </w:pPr>
      <w:r>
        <w:rPr>
          <w:sz w:val="21"/>
        </w:rPr>
        <w:t>（</w:t>
      </w:r>
      <w:r>
        <w:rPr>
          <w:sz w:val="21"/>
        </w:rPr>
        <w:t>5）在技术培训结束后，乙方技术支持小组将培训的结果汇总、整理后，反馈给中山市公安局项目管理人员，并对技术培训的成果进行审核和评估。</w:t>
      </w:r>
    </w:p>
    <w:p>
      <w:pPr>
        <w:jc w:val="both"/>
      </w:pPr>
      <w:r>
        <w:rPr>
          <w:b/>
          <w:sz w:val="21"/>
        </w:rPr>
        <w:t>（五）培训方式</w:t>
      </w:r>
    </w:p>
    <w:p>
      <w:pPr>
        <w:jc w:val="both"/>
      </w:pPr>
      <w:r>
        <w:rPr>
          <w:sz w:val="21"/>
        </w:rPr>
        <w:t>（</w:t>
      </w:r>
      <w:r>
        <w:rPr>
          <w:sz w:val="21"/>
        </w:rPr>
        <w:t>1）授课和实际操作相结合；</w:t>
      </w:r>
    </w:p>
    <w:p>
      <w:pPr>
        <w:jc w:val="both"/>
      </w:pPr>
      <w:r>
        <w:rPr>
          <w:sz w:val="21"/>
        </w:rPr>
        <w:t>（</w:t>
      </w:r>
      <w:r>
        <w:rPr>
          <w:sz w:val="21"/>
        </w:rPr>
        <w:t>2）指导培训人员进行工作；</w:t>
      </w:r>
    </w:p>
    <w:p>
      <w:pPr>
        <w:jc w:val="both"/>
      </w:pPr>
      <w:r>
        <w:rPr>
          <w:sz w:val="21"/>
        </w:rPr>
        <w:t>（</w:t>
      </w:r>
      <w:r>
        <w:rPr>
          <w:sz w:val="21"/>
        </w:rPr>
        <w:t>3）让培训人员参与项目的一些简单工作；</w:t>
      </w:r>
    </w:p>
    <w:p>
      <w:pPr>
        <w:jc w:val="both"/>
      </w:pPr>
      <w:r>
        <w:rPr>
          <w:sz w:val="21"/>
        </w:rPr>
        <w:t>（</w:t>
      </w:r>
      <w:r>
        <w:rPr>
          <w:sz w:val="21"/>
        </w:rPr>
        <w:t>4）让培训人员独立工作，由</w:t>
      </w:r>
      <w:r>
        <w:rPr>
          <w:sz w:val="21"/>
        </w:rPr>
        <w:t>乙方</w:t>
      </w:r>
      <w:r>
        <w:rPr>
          <w:sz w:val="21"/>
        </w:rPr>
        <w:t>进行质量控制；</w:t>
      </w:r>
    </w:p>
    <w:p>
      <w:pPr>
        <w:ind w:firstLine="371"/>
      </w:pPr>
      <w:r>
        <w:rPr>
          <w:sz w:val="21"/>
        </w:rPr>
        <w:t>（</w:t>
      </w:r>
      <w:r>
        <w:rPr>
          <w:sz w:val="21"/>
        </w:rPr>
        <w:t>5）培训结束后，可根据培训情况对培训人员进行理论和实际操作的考试。</w:t>
      </w:r>
    </w:p>
    <w:p/>
    <w:p>
      <w:pPr>
        <w:jc w:val="both"/>
      </w:pPr>
      <w:r>
        <w:rPr>
          <w:b/>
          <w:sz w:val="21"/>
        </w:rPr>
        <w:t>十二、</w:t>
      </w:r>
      <w:r>
        <w:rPr>
          <w:b/>
          <w:sz w:val="21"/>
        </w:rPr>
        <w:t>产权与风险转移</w:t>
      </w:r>
    </w:p>
    <w:p>
      <w:pPr>
        <w:ind w:firstLine="420"/>
        <w:jc w:val="both"/>
      </w:pPr>
      <w:r>
        <w:rPr>
          <w:sz w:val="21"/>
        </w:rPr>
        <w:t>1. 货物的产权，在货物验收合格并移交交付</w:t>
      </w:r>
      <w:r>
        <w:rPr>
          <w:sz w:val="21"/>
        </w:rPr>
        <w:t>给甲方</w:t>
      </w:r>
      <w:r>
        <w:rPr>
          <w:sz w:val="21"/>
        </w:rPr>
        <w:t>后由乙方转移至甲方。</w:t>
      </w:r>
    </w:p>
    <w:p>
      <w:pPr>
        <w:ind w:firstLine="420"/>
        <w:jc w:val="both"/>
      </w:pPr>
      <w:r>
        <w:rPr>
          <w:sz w:val="21"/>
        </w:rPr>
        <w:t>2. 货物损坏、灭失的风险在验收合格，甲乙双方签署验收报告并移交交付使用时由乙方转移至甲方。</w:t>
      </w:r>
    </w:p>
    <w:p>
      <w:pPr>
        <w:ind w:firstLine="420"/>
        <w:jc w:val="both"/>
      </w:pPr>
      <w:r>
        <w:rPr>
          <w:sz w:val="21"/>
        </w:rPr>
        <w:t>3. 如货物不符合合同约定，甲方可以拒收，在拒收理由成立，或者合法解除合同的情况下，货物毁损、灭失的风险由乙方承担；若拒收理由不立或者甲方违法解除合同的，则货物毁损、灭失的风险由甲方承担。</w:t>
      </w:r>
    </w:p>
    <w:p>
      <w:pPr>
        <w:ind w:firstLine="420"/>
        <w:jc w:val="both"/>
      </w:pPr>
      <w:r>
        <w:rPr>
          <w:sz w:val="21"/>
        </w:rPr>
        <w:t>4. 产权和风险的转移，不影响因乙方履行义务不符合约定，甲方要求其承担违约责任的权利。</w:t>
      </w:r>
    </w:p>
    <w:p>
      <w:pPr>
        <w:ind w:firstLine="425"/>
        <w:jc w:val="both"/>
      </w:pPr>
    </w:p>
    <w:p>
      <w:pPr>
        <w:jc w:val="both"/>
      </w:pPr>
      <w:r>
        <w:rPr>
          <w:b/>
          <w:sz w:val="21"/>
        </w:rPr>
        <w:t>十三、</w:t>
      </w:r>
      <w:r>
        <w:rPr>
          <w:b/>
          <w:sz w:val="21"/>
        </w:rPr>
        <w:t>索赔</w:t>
      </w:r>
    </w:p>
    <w:p>
      <w:pPr>
        <w:ind w:firstLine="420"/>
        <w:jc w:val="left"/>
      </w:pPr>
      <w:r>
        <w:rPr>
          <w:sz w:val="21"/>
        </w:rPr>
        <w:t>1. 乙方对所供货物与合同要求不符负有责任，如经检验证实不符或缺陷存在的，包括潜在的缺陷或使用不合适的材料，甲方可根据本合同有关质量保证或验收的规定提出索赔，乙方同意甲方选择下述一种或多种结合的方法解决索赔事宜：</w:t>
      </w:r>
    </w:p>
    <w:p>
      <w:pPr>
        <w:jc w:val="left"/>
      </w:pPr>
      <w:r>
        <w:rPr>
          <w:sz w:val="21"/>
        </w:rPr>
        <w:t>（</w:t>
      </w:r>
      <w:r>
        <w:rPr>
          <w:sz w:val="21"/>
        </w:rPr>
        <w:t>1）</w:t>
      </w:r>
      <w:r>
        <w:rPr>
          <w:sz w:val="21"/>
        </w:rPr>
        <w:t>用符合合同规定的规格、质量和性能要求的新零件、部件和</w:t>
      </w:r>
      <w:r>
        <w:rPr>
          <w:sz w:val="21"/>
        </w:rPr>
        <w:t>/或设备来更换有缺陷的部份和/或修补缺陷部份，以使货物达到合同规定的规格、质量和性能，乙方承担一切费用和风险并负担甲方遭受的一切损失。</w:t>
      </w:r>
    </w:p>
    <w:p>
      <w:pPr>
        <w:jc w:val="left"/>
      </w:pPr>
      <w:r>
        <w:rPr>
          <w:sz w:val="21"/>
        </w:rPr>
        <w:t>（</w:t>
      </w:r>
      <w:r>
        <w:rPr>
          <w:sz w:val="21"/>
        </w:rPr>
        <w:t>2）</w:t>
      </w:r>
      <w:r>
        <w:rPr>
          <w:sz w:val="21"/>
        </w:rPr>
        <w:t>或乙方同意按甲方意见换货，乙方承担由此发生的一切损失和费用，包括利息、银行手续费、运费、保险费、检验费、装卸费以及为保管、维护和被换货物所发生的其它必要费用。</w:t>
      </w:r>
    </w:p>
    <w:p>
      <w:pPr>
        <w:jc w:val="both"/>
      </w:pPr>
      <w:r>
        <w:rPr>
          <w:sz w:val="21"/>
        </w:rPr>
        <w:t>2</w:t>
      </w:r>
      <w:r>
        <w:rPr>
          <w:sz w:val="21"/>
        </w:rPr>
        <w:t>．</w:t>
      </w:r>
      <w:r>
        <w:rPr>
          <w:sz w:val="21"/>
        </w:rPr>
        <w:t>索赔范围只针对经检验证实不符或缺陷存在的部分。</w:t>
      </w:r>
    </w:p>
    <w:p>
      <w:pPr>
        <w:ind w:firstLine="425"/>
        <w:jc w:val="both"/>
      </w:pPr>
    </w:p>
    <w:p>
      <w:pPr>
        <w:jc w:val="both"/>
      </w:pPr>
      <w:r>
        <w:rPr>
          <w:b/>
          <w:sz w:val="21"/>
        </w:rPr>
        <w:t>十四、</w:t>
      </w:r>
      <w:r>
        <w:rPr>
          <w:b/>
          <w:sz w:val="21"/>
        </w:rPr>
        <w:t>违约责任</w:t>
      </w:r>
    </w:p>
    <w:p>
      <w:pPr>
        <w:ind w:firstLine="420"/>
      </w:pPr>
      <w:r>
        <w:rPr>
          <w:sz w:val="21"/>
        </w:rPr>
        <w:t>1、乙方交付的货物、提供的服务不符合本合同规定的，甲方有权拒收，并且乙方须向甲方支付本合同总价</w:t>
      </w:r>
      <w:r>
        <w:rPr>
          <w:sz w:val="21"/>
        </w:rPr>
        <w:t>5</w:t>
      </w:r>
      <w:r>
        <w:rPr>
          <w:sz w:val="21"/>
        </w:rPr>
        <w:t>%的违约金。</w:t>
      </w:r>
    </w:p>
    <w:p>
      <w:pPr>
        <w:ind w:firstLine="420"/>
      </w:pPr>
      <w:r>
        <w:rPr>
          <w:sz w:val="21"/>
        </w:rPr>
        <w:t>2、乙方未能按本合同规定的交货时间交付货物/提供服务的，从逾期之日起每日按本合同总价</w:t>
      </w:r>
      <w:r>
        <w:rPr>
          <w:sz w:val="21"/>
        </w:rPr>
        <w:t>1</w:t>
      </w:r>
      <w:r>
        <w:rPr>
          <w:sz w:val="21"/>
        </w:rPr>
        <w:t>‰</w:t>
      </w:r>
      <w:r>
        <w:rPr>
          <w:sz w:val="21"/>
        </w:rPr>
        <w:t>的数额向甲方支付违约金；逾期半个月以上的，甲方有权终止合同，由此造成的甲方经济损失由乙方承担。</w:t>
      </w:r>
    </w:p>
    <w:p>
      <w:pPr>
        <w:ind w:firstLine="420"/>
      </w:pPr>
      <w:r>
        <w:rPr>
          <w:sz w:val="21"/>
        </w:rPr>
        <w:t>3</w:t>
      </w:r>
      <w:r>
        <w:rPr>
          <w:sz w:val="21"/>
        </w:rPr>
        <w:t>、其它违约责任按《中华人民共和国民法典》处理。</w:t>
      </w:r>
    </w:p>
    <w:p>
      <w:pPr>
        <w:jc w:val="both"/>
      </w:pPr>
      <w:r>
        <w:rPr>
          <w:b/>
          <w:sz w:val="21"/>
        </w:rPr>
        <w:t>十五</w:t>
      </w:r>
      <w:r>
        <w:rPr>
          <w:b/>
          <w:sz w:val="21"/>
        </w:rPr>
        <w:t>、</w:t>
      </w:r>
      <w:r>
        <w:rPr>
          <w:b/>
          <w:sz w:val="21"/>
        </w:rPr>
        <w:t>知识产权</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20"/>
        <w:jc w:val="both"/>
      </w:pPr>
      <w:r>
        <w:rPr>
          <w:sz w:val="21"/>
        </w:rPr>
        <w:t>本项目所采购硬件设备自项目通过</w:t>
      </w:r>
      <w:r>
        <w:rPr>
          <w:sz w:val="21"/>
        </w:rPr>
        <w:t>综合验收</w:t>
      </w:r>
      <w:r>
        <w:rPr>
          <w:sz w:val="21"/>
        </w:rPr>
        <w:t>之日起产权归甲方所有。</w:t>
      </w:r>
    </w:p>
    <w:p>
      <w:pPr>
        <w:jc w:val="both"/>
      </w:pPr>
    </w:p>
    <w:p>
      <w:pPr>
        <w:jc w:val="both"/>
      </w:pPr>
      <w:r>
        <w:rPr>
          <w:b/>
          <w:sz w:val="21"/>
        </w:rPr>
        <w:t>十</w:t>
      </w:r>
      <w:r>
        <w:rPr>
          <w:b/>
          <w:sz w:val="21"/>
        </w:rPr>
        <w:t>六</w:t>
      </w:r>
      <w:r>
        <w:rPr>
          <w:b/>
          <w:sz w:val="21"/>
        </w:rPr>
        <w:t>、</w:t>
      </w:r>
      <w:r>
        <w:rPr>
          <w:b/>
          <w:sz w:val="21"/>
        </w:rPr>
        <w:t>保密要求</w:t>
      </w:r>
    </w:p>
    <w:p>
      <w:pPr>
        <w:ind w:firstLine="420"/>
        <w:jc w:val="both"/>
      </w:pPr>
      <w:r>
        <w:rPr>
          <w:sz w:val="21"/>
        </w:rPr>
        <w:t>项目完成后，甲方、乙方双方均有责任对本项目的技术保密承担责任：未经甲方先书面同意，乙方不得将由采购人为本项目提供的条文、规格、计划、图纸、模型、样品或资料等提供给与本项目无关的任何第三方，不得将其用于履行本项目之外的其它用途。即使向与履行本项目有关的人员提供，也应注意保密并限于履行本项目所必需的范围。</w:t>
      </w:r>
    </w:p>
    <w:p>
      <w:pPr>
        <w:ind w:firstLine="420"/>
        <w:jc w:val="both"/>
      </w:pPr>
    </w:p>
    <w:p>
      <w:r>
        <w:rPr>
          <w:b/>
          <w:sz w:val="21"/>
        </w:rPr>
        <w:t>十</w:t>
      </w:r>
      <w:r>
        <w:rPr>
          <w:b/>
          <w:sz w:val="21"/>
        </w:rPr>
        <w:t>七</w:t>
      </w:r>
      <w:r>
        <w:rPr>
          <w:b/>
          <w:sz w:val="21"/>
        </w:rPr>
        <w:t>、争议的解决</w:t>
      </w:r>
    </w:p>
    <w:p>
      <w:pPr>
        <w:jc w:val="both"/>
      </w:pPr>
      <w:r>
        <w:rPr>
          <w:sz w:val="21"/>
        </w:rPr>
        <w:t xml:space="preserve">    </w:t>
      </w:r>
      <w:r>
        <w:rPr>
          <w:sz w:val="21"/>
        </w:rPr>
        <w:t>（一）</w:t>
      </w:r>
      <w:r>
        <w:rPr>
          <w:sz w:val="21"/>
        </w:rPr>
        <w:t>本合同适用中华人民共和国法律。</w:t>
      </w:r>
    </w:p>
    <w:p>
      <w:pPr>
        <w:ind w:firstLine="420"/>
        <w:jc w:val="both"/>
      </w:pPr>
      <w:r>
        <w:rPr>
          <w:sz w:val="21"/>
        </w:rPr>
        <w:t>（二）</w:t>
      </w:r>
      <w:r>
        <w:rPr>
          <w:sz w:val="21"/>
        </w:rPr>
        <w:t>所有与本合同有关的任何争议将通过各方友好协商解决。如果各方不能通过友好协商解决争议，则任何一方均可向中山市第一人民法院起诉。</w:t>
      </w:r>
    </w:p>
    <w:p>
      <w:pPr>
        <w:ind w:firstLine="420"/>
      </w:pPr>
      <w:r>
        <w:rPr>
          <w:sz w:val="21"/>
        </w:rPr>
        <w:t>（三）</w:t>
      </w:r>
      <w:r>
        <w:rPr>
          <w:sz w:val="21"/>
        </w:rPr>
        <w:t>诉讼进行过程中，各方将继续履行未涉诉讼的其它部分。</w:t>
      </w:r>
    </w:p>
    <w:p>
      <w:pPr>
        <w:ind w:firstLine="420"/>
      </w:pPr>
    </w:p>
    <w:p>
      <w:r>
        <w:rPr>
          <w:b/>
          <w:sz w:val="21"/>
        </w:rPr>
        <w:t>十</w:t>
      </w:r>
      <w:r>
        <w:rPr>
          <w:b/>
          <w:sz w:val="21"/>
        </w:rPr>
        <w:t>八</w:t>
      </w:r>
      <w:r>
        <w:rPr>
          <w:b/>
          <w:sz w:val="21"/>
        </w:rPr>
        <w:t>、不可抗力</w:t>
      </w:r>
    </w:p>
    <w:p>
      <w:pPr>
        <w:ind w:firstLine="411"/>
      </w:pPr>
      <w:r>
        <w:rPr>
          <w:sz w:val="21"/>
        </w:rPr>
        <w:t>任何一方由于不可抗力原因不能履行合同时，应在不可抗力事件发生之日起向对方通报，以减轻可能给对方造成的损失，在取得有关机构的不可抗力证明和另一方谅解确认后，允许延期履行或修订合同，并根据情况可部分或全部免于承担违约责任。</w:t>
      </w:r>
    </w:p>
    <w:p>
      <w:pPr>
        <w:ind w:firstLine="411"/>
      </w:pPr>
    </w:p>
    <w:p>
      <w:r>
        <w:rPr>
          <w:b/>
          <w:sz w:val="21"/>
        </w:rPr>
        <w:t>十</w:t>
      </w:r>
      <w:r>
        <w:rPr>
          <w:b/>
          <w:sz w:val="21"/>
        </w:rPr>
        <w:t>九</w:t>
      </w:r>
      <w:r>
        <w:rPr>
          <w:b/>
          <w:sz w:val="21"/>
        </w:rPr>
        <w:t>、税费：</w:t>
      </w:r>
      <w:r>
        <w:rPr>
          <w:sz w:val="21"/>
        </w:rPr>
        <w:t>在中国境内、外发生的与本合同执行有关的一切税费均由乙方负担。</w:t>
      </w:r>
    </w:p>
    <w:p/>
    <w:p>
      <w:r>
        <w:rPr>
          <w:b/>
          <w:sz w:val="21"/>
        </w:rPr>
        <w:t>二十、其他</w:t>
      </w:r>
    </w:p>
    <w:p>
      <w:r>
        <w:rPr>
          <w:sz w:val="21"/>
        </w:rPr>
        <w:t xml:space="preserve">   </w:t>
      </w:r>
      <w:r>
        <w:rPr>
          <w:sz w:val="21"/>
        </w:rPr>
        <w:t>（一）本合同所有附件、采购文件、投标文件、中标通知书均为合同的有效组成部分，与本合同具有同等法律效力。</w:t>
      </w:r>
    </w:p>
    <w:p>
      <w:r>
        <w:rPr>
          <w:sz w:val="21"/>
        </w:rPr>
        <w:t xml:space="preserve">   </w:t>
      </w:r>
      <w:r>
        <w:rPr>
          <w:sz w:val="21"/>
        </w:rPr>
        <w:t>（二）</w:t>
      </w:r>
      <w:r>
        <w:rPr>
          <w:sz w:val="21"/>
        </w:rPr>
        <w:t>在执行本合同的过程中，所有经双方签署确认的文件（包括会议纪要、补充协议、往来信函）即成为本合同的有效组成部分。</w:t>
      </w:r>
    </w:p>
    <w:p>
      <w:r>
        <w:rPr>
          <w:sz w:val="21"/>
        </w:rPr>
        <w:t xml:space="preserve">   </w:t>
      </w:r>
      <w:r>
        <w:rPr>
          <w:sz w:val="21"/>
        </w:rPr>
        <w:t>（三）如一方地址、电话、传真号码有变更，应在变更当日内书面通知对方，否则，应承担相应责任。</w:t>
      </w:r>
    </w:p>
    <w:p>
      <w:r>
        <w:rPr>
          <w:sz w:val="21"/>
        </w:rPr>
        <w:t xml:space="preserve">   </w:t>
      </w:r>
      <w:r>
        <w:rPr>
          <w:sz w:val="21"/>
        </w:rPr>
        <w:t>（四）除甲方事先书面同意外，乙方不得部分或全部转让其应履行的合同项下的义务。</w:t>
      </w:r>
    </w:p>
    <w:p>
      <w:r>
        <w:rPr/>
        <w:t xml:space="preserve">   </w:t>
      </w:r>
    </w:p>
    <w:p>
      <w:r>
        <w:rPr>
          <w:b/>
          <w:sz w:val="21"/>
        </w:rPr>
        <w:t>二十一、合同生效：</w:t>
      </w:r>
    </w:p>
    <w:p>
      <w:r>
        <w:rPr>
          <w:sz w:val="21"/>
        </w:rPr>
        <w:t xml:space="preserve">   </w:t>
      </w:r>
      <w:r>
        <w:rPr>
          <w:sz w:val="21"/>
        </w:rPr>
        <w:t>（一）本合同在甲乙双方法人代表或其授权代表签字盖章后生效。</w:t>
      </w:r>
    </w:p>
    <w:p>
      <w:r>
        <w:rPr>
          <w:sz w:val="21"/>
        </w:rPr>
        <w:t xml:space="preserve">   </w:t>
      </w:r>
      <w:r>
        <w:rPr>
          <w:sz w:val="21"/>
        </w:rPr>
        <w:t>（二）本合同一式</w:t>
      </w:r>
      <w:r>
        <w:rPr>
          <w:sz w:val="21"/>
        </w:rPr>
        <w:t>五</w:t>
      </w:r>
      <w:r>
        <w:rPr>
          <w:sz w:val="21"/>
        </w:rPr>
        <w:t>份，甲方执三份，乙方执二份，均具同等效力。</w:t>
      </w:r>
    </w:p>
    <w:p>
      <w:pPr>
        <w:ind w:firstLine="495"/>
      </w:pPr>
    </w:p>
    <w:p>
      <w:pPr>
        <w:jc w:val="center"/>
      </w:pPr>
      <w:r>
        <w:rPr>
          <w:sz w:val="21"/>
        </w:rPr>
        <w:t>甲方（盖章）：中山市公安局</w:t>
      </w:r>
      <w:r>
        <w:rPr>
          <w:sz w:val="21"/>
        </w:rPr>
        <w:t xml:space="preserve">           </w:t>
      </w:r>
      <w:r>
        <w:rPr>
          <w:sz w:val="21"/>
        </w:rPr>
        <w:t>乙方（盖章）：</w:t>
      </w:r>
      <w:r>
        <w:rPr>
          <w:sz w:val="21"/>
        </w:rPr>
        <w:t xml:space="preserve">   </w:t>
      </w:r>
      <w:r>
        <w:rPr>
          <w:b/>
        </w:rPr>
        <w:t xml:space="preserve">                                                   </w:t>
      </w:r>
    </w:p>
    <w:p>
      <w:r>
        <w:rPr>
          <w:sz w:val="21"/>
        </w:rPr>
        <w:t>法人代表或授权代理人（签字）：</w:t>
      </w:r>
      <w:r>
        <w:rPr>
          <w:sz w:val="21"/>
        </w:rPr>
        <w:t xml:space="preserve">      </w:t>
      </w:r>
      <w:r>
        <w:rPr>
          <w:sz w:val="21"/>
        </w:rPr>
        <w:t>法人代表或授权代理人（签字）：</w:t>
      </w:r>
    </w:p>
    <w:p/>
    <w:p/>
    <w:p/>
    <w:p>
      <w:r>
        <w:rPr>
          <w:sz w:val="21"/>
        </w:rPr>
        <w:t xml:space="preserve">                                     </w:t>
      </w:r>
      <w:r>
        <w:rPr>
          <w:sz w:val="21"/>
        </w:rPr>
        <w:t>开户银行：</w:t>
      </w:r>
      <w:r>
        <w:rPr>
          <w:sz w:val="21"/>
        </w:rPr>
        <w:t xml:space="preserve">  </w:t>
      </w:r>
    </w:p>
    <w:p>
      <w:r>
        <w:rPr>
          <w:sz w:val="21"/>
        </w:rPr>
        <w:t xml:space="preserve">                                     </w:t>
      </w:r>
      <w:r>
        <w:rPr>
          <w:sz w:val="21"/>
        </w:rPr>
        <w:t>开户名称：</w:t>
      </w:r>
    </w:p>
    <w:p>
      <w:r>
        <w:rPr>
          <w:sz w:val="21"/>
        </w:rPr>
        <w:t xml:space="preserve">                                     </w:t>
      </w:r>
      <w:r>
        <w:rPr>
          <w:sz w:val="21"/>
        </w:rPr>
        <w:t>银行帐号：</w:t>
      </w:r>
    </w:p>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center"/>
      </w:pPr>
      <w:r>
        <w:rPr/>
        <w:t xml:space="preserve">                 </w:t>
      </w:r>
    </w:p>
    <w:p>
      <w:pPr>
        <w:ind w:firstLine="3885"/>
      </w:pPr>
      <w:r>
        <w:rPr/>
        <w:t xml:space="preserve">                                     </w:t>
      </w:r>
    </w:p>
    <w:p>
      <w:pPr>
        <w:jc w:val="both"/>
      </w:pPr>
      <w:r>
        <w:rPr>
          <w:b/>
          <w:sz w:val="21"/>
        </w:rPr>
        <w:t>附件</w:t>
      </w:r>
      <w:r>
        <w:rPr>
          <w:b/>
          <w:sz w:val="21"/>
        </w:rPr>
        <w:t>1：中标通知书</w:t>
      </w:r>
    </w:p>
    <w:p>
      <w:r>
        <w:rPr>
          <w:b/>
          <w:sz w:val="21"/>
        </w:rPr>
        <w:t>附件</w:t>
      </w:r>
      <w:r>
        <w:rPr>
          <w:b/>
          <w:sz w:val="21"/>
        </w:rPr>
        <w:t>2：招标文件（另册）</w:t>
      </w:r>
    </w:p>
    <w:p>
      <w:r>
        <w:rPr>
          <w:b/>
          <w:sz w:val="21"/>
        </w:rPr>
        <w:t>附件</w:t>
      </w:r>
      <w:r>
        <w:rPr>
          <w:b/>
          <w:sz w:val="21"/>
        </w:rPr>
        <w:t>3：投标文件（另册）</w:t>
      </w:r>
    </w:p>
    <w:p/>
    <w:p/>
    <w:p>
      <w:pPr>
        <w:jc w:val="center"/>
      </w:pPr>
      <w:r>
        <w:rPr>
          <w:b/>
          <w:sz w:val="48"/>
        </w:rPr>
        <w:t>中山市公安局社会面治安巡防管控</w:t>
      </w:r>
      <w:r>
        <w:rPr>
          <w:b/>
          <w:sz w:val="48"/>
        </w:rPr>
        <w:t>“四个一”体系前端感知系统</w:t>
      </w:r>
      <w:r>
        <w:rPr>
          <w:b/>
          <w:sz w:val="48"/>
        </w:rPr>
        <w:t>项目</w:t>
      </w:r>
      <w:r>
        <w:rPr>
          <w:b/>
          <w:sz w:val="48"/>
        </w:rPr>
        <w:t>--</w:t>
      </w:r>
      <w:r>
        <w:rPr>
          <w:b/>
          <w:sz w:val="48"/>
        </w:rPr>
        <w:t>地图应用服务子项目（采购包</w:t>
      </w:r>
      <w:r>
        <w:rPr>
          <w:b/>
          <w:sz w:val="48"/>
        </w:rPr>
        <w:t>3</w:t>
      </w:r>
      <w:r>
        <w:rPr>
          <w:b/>
          <w:sz w:val="48"/>
        </w:rPr>
        <w:t>）</w:t>
      </w:r>
    </w:p>
    <w:p>
      <w:pPr>
        <w:jc w:val="center"/>
      </w:pPr>
    </w:p>
    <w:p>
      <w:pPr>
        <w:jc w:val="center"/>
      </w:pPr>
      <w:r>
        <w:rPr>
          <w:b/>
          <w:sz w:val="72"/>
        </w:rPr>
        <w:t>合</w:t>
      </w:r>
    </w:p>
    <w:p>
      <w:pPr>
        <w:jc w:val="center"/>
      </w:pPr>
    </w:p>
    <w:p>
      <w:pPr>
        <w:jc w:val="center"/>
      </w:pPr>
      <w:r>
        <w:rPr>
          <w:b/>
          <w:sz w:val="72"/>
        </w:rPr>
        <w:t>同</w:t>
      </w:r>
    </w:p>
    <w:p>
      <w:pPr>
        <w:jc w:val="center"/>
      </w:pPr>
      <w:r>
        <w:rPr>
          <w:b/>
          <w:sz w:val="21"/>
        </w:rPr>
        <w:t xml:space="preserve"> </w:t>
      </w:r>
    </w:p>
    <w:p>
      <w:pPr>
        <w:jc w:val="center"/>
      </w:pPr>
      <w:r>
        <w:rPr>
          <w:b/>
          <w:sz w:val="72"/>
        </w:rPr>
        <w:t>书</w:t>
      </w:r>
    </w:p>
    <w:p>
      <w:pPr>
        <w:ind w:firstLine="425"/>
        <w:jc w:val="both"/>
      </w:pPr>
    </w:p>
    <w:p>
      <w:pPr>
        <w:jc w:val="center"/>
      </w:pPr>
      <w:r>
        <w:rPr>
          <w:sz w:val="21"/>
        </w:rPr>
        <w:t>（仅供参考，采购人有权对本合同进行微调）</w:t>
      </w:r>
    </w:p>
    <w:p>
      <w:pPr>
        <w:ind w:firstLine="425"/>
        <w:jc w:val="both"/>
      </w:pPr>
    </w:p>
    <w:p>
      <w:pPr>
        <w:ind w:firstLine="425"/>
        <w:jc w:val="both"/>
      </w:pPr>
    </w:p>
    <w:p>
      <w:pPr>
        <w:ind w:firstLine="425"/>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9750"/>
      </w:tblGrid>
      <w:tr>
        <w:tc>
          <w:tcPr>
            <w:tcW w:type="dxa" w:w="9750"/>
            <w:tcBorders>
              <w:top w:val="none" w:color="000000" w:sz="4"/>
              <w:left w:val="none" w:color="000000" w:sz="4"/>
              <w:bottom w:val="none" w:color="000000" w:sz="4"/>
              <w:right w:val="none" w:color="000000" w:sz="4"/>
            </w:tcBorders>
            <w:vAlign w:val="top"/>
          </w:tcPr>
          <w:p>
            <w:pPr>
              <w:jc w:val="both"/>
            </w:pP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采购项目编号：</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建设单位：中山市公安局</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承建单位：</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签订日期：</w:t>
            </w:r>
          </w:p>
        </w:tc>
      </w:tr>
      <w:tr>
        <w:tc>
          <w:tcPr>
            <w:tcW w:type="dxa" w:w="9750"/>
            <w:tcBorders>
              <w:top w:val="none" w:color="000000" w:sz="4"/>
              <w:left w:val="none" w:color="000000" w:sz="4"/>
              <w:bottom w:val="none" w:color="000000" w:sz="4"/>
              <w:right w:val="none" w:color="000000" w:sz="4"/>
            </w:tcBorders>
            <w:vAlign w:val="top"/>
          </w:tcPr>
          <w:p>
            <w:pPr>
              <w:jc w:val="both"/>
            </w:pPr>
            <w:r>
              <w:rPr>
                <w:b/>
                <w:sz w:val="28"/>
              </w:rPr>
              <w:t>签约地址：</w:t>
            </w:r>
          </w:p>
        </w:tc>
      </w:tr>
    </w:tbl>
    <w:p>
      <w:pPr>
        <w:jc w:val="both"/>
      </w:pPr>
      <w:r>
        <w:rPr>
          <w:sz w:val="21"/>
        </w:rPr>
        <w:t>甲</w:t>
      </w:r>
      <w:r>
        <w:rPr>
          <w:sz w:val="21"/>
        </w:rPr>
        <w:t xml:space="preserve"> </w:t>
      </w:r>
      <w:r>
        <w:rPr>
          <w:sz w:val="21"/>
        </w:rPr>
        <w:t>方：</w:t>
      </w:r>
      <w:r>
        <w:rPr>
          <w:sz w:val="21"/>
          <w:u w:val="single"/>
        </w:rPr>
        <w:t xml:space="preserve"> </w:t>
      </w:r>
      <w:r>
        <w:rPr>
          <w:sz w:val="21"/>
          <w:u w:val="single"/>
        </w:rPr>
        <w:t>中山市公安局</w:t>
      </w:r>
      <w:r>
        <w:rPr>
          <w:sz w:val="21"/>
        </w:rPr>
        <w:t>（以下简称</w:t>
      </w:r>
      <w:r>
        <w:rPr>
          <w:sz w:val="21"/>
        </w:rPr>
        <w:t>“甲方”）</w:t>
      </w:r>
    </w:p>
    <w:p>
      <w:pPr>
        <w:jc w:val="both"/>
      </w:pPr>
    </w:p>
    <w:p>
      <w:pPr>
        <w:jc w:val="both"/>
      </w:pPr>
      <w:r>
        <w:rPr>
          <w:sz w:val="21"/>
        </w:rPr>
        <w:t>乙</w:t>
      </w:r>
      <w:r>
        <w:rPr>
          <w:sz w:val="21"/>
        </w:rPr>
        <w:t xml:space="preserve"> </w:t>
      </w:r>
      <w:r>
        <w:rPr>
          <w:sz w:val="21"/>
        </w:rPr>
        <w:t>方：</w:t>
      </w:r>
      <w:r>
        <w:rPr>
          <w:sz w:val="21"/>
          <w:u w:val="single"/>
        </w:rPr>
        <w:t xml:space="preserve">                    </w:t>
      </w:r>
      <w:r>
        <w:rPr>
          <w:sz w:val="21"/>
        </w:rPr>
        <w:t>（以下简称</w:t>
      </w:r>
      <w:r>
        <w:rPr>
          <w:sz w:val="21"/>
        </w:rPr>
        <w:t>“</w:t>
      </w:r>
      <w:r>
        <w:rPr>
          <w:sz w:val="21"/>
        </w:rPr>
        <w:t>乙</w:t>
      </w:r>
      <w:r>
        <w:rPr>
          <w:sz w:val="21"/>
        </w:rPr>
        <w:t>方</w:t>
      </w:r>
      <w:r>
        <w:rPr>
          <w:sz w:val="21"/>
        </w:rPr>
        <w:t>”）</w:t>
      </w:r>
    </w:p>
    <w:p>
      <w:pPr>
        <w:ind w:firstLine="425"/>
        <w:jc w:val="both"/>
      </w:pPr>
    </w:p>
    <w:p>
      <w:pPr>
        <w:ind w:firstLine="420"/>
        <w:jc w:val="both"/>
      </w:pPr>
      <w:r>
        <w:rPr>
          <w:sz w:val="21"/>
        </w:rPr>
        <w:t>根据</w:t>
      </w:r>
      <w:r>
        <w:rPr>
          <w:sz w:val="21"/>
          <w:u w:val="single"/>
        </w:rPr>
        <w:t>中山市公安局社会面治安巡防管控</w:t>
      </w:r>
      <w:r>
        <w:rPr>
          <w:sz w:val="21"/>
          <w:u w:val="single"/>
        </w:rPr>
        <w:t>“四个一”体系前端感知系统项目</w:t>
      </w:r>
      <w:r>
        <w:rPr>
          <w:sz w:val="21"/>
          <w:u w:val="single"/>
        </w:rPr>
        <w:t>--</w:t>
      </w:r>
      <w:r>
        <w:rPr>
          <w:sz w:val="21"/>
          <w:u w:val="single"/>
        </w:rPr>
        <w:t>地图应用服务子项目（采购包</w:t>
      </w:r>
      <w:r>
        <w:rPr>
          <w:sz w:val="21"/>
          <w:u w:val="single"/>
        </w:rPr>
        <w:t>3）</w:t>
      </w:r>
      <w:r>
        <w:rPr>
          <w:sz w:val="21"/>
        </w:rPr>
        <w:t>项目</w:t>
      </w:r>
      <w:r>
        <w:rPr>
          <w:sz w:val="21"/>
        </w:rPr>
        <w:t>招标结果，按照《中华人民共和国政府采购法》、《合同法》的规定，</w:t>
      </w:r>
      <w:r>
        <w:rPr>
          <w:sz w:val="21"/>
        </w:rPr>
        <w:t>经双方协商，</w:t>
      </w:r>
      <w:r>
        <w:rPr>
          <w:sz w:val="21"/>
        </w:rPr>
        <w:t>本着平等互利和诚实信用的原则，</w:t>
      </w:r>
      <w:r>
        <w:rPr>
          <w:sz w:val="21"/>
        </w:rPr>
        <w:t>一致同意签订本合同如下。</w:t>
      </w:r>
    </w:p>
    <w:p>
      <w:pPr>
        <w:ind w:firstLine="425"/>
        <w:jc w:val="both"/>
      </w:pPr>
    </w:p>
    <w:p>
      <w:r>
        <w:rPr>
          <w:b/>
          <w:sz w:val="21"/>
        </w:rPr>
        <w:t>一、合同标的</w:t>
      </w:r>
    </w:p>
    <w:p>
      <w:r>
        <w:rPr>
          <w:b/>
        </w:rPr>
        <w:t xml:space="preserve">    </w:t>
      </w:r>
      <w:r>
        <w:rPr>
          <w:sz w:val="21"/>
        </w:rPr>
        <w:t>包括中山市公安局</w:t>
      </w:r>
      <w:r>
        <w:rPr>
          <w:u w:val="single"/>
        </w:rPr>
        <w:t xml:space="preserve"> </w:t>
      </w:r>
      <w:r>
        <w:rPr>
          <w:sz w:val="21"/>
          <w:u w:val="single"/>
        </w:rPr>
        <w:t>中山市公安局社会面治安巡防管控</w:t>
      </w:r>
      <w:r>
        <w:rPr>
          <w:sz w:val="21"/>
          <w:u w:val="single"/>
        </w:rPr>
        <w:t>“四个一”体系前端感知系统</w:t>
      </w:r>
      <w:r>
        <w:rPr>
          <w:u w:val="single"/>
        </w:rPr>
        <w:t xml:space="preserve"> </w:t>
      </w:r>
      <w:r>
        <w:rPr>
          <w:sz w:val="21"/>
        </w:rPr>
        <w:t>项目的</w:t>
      </w:r>
      <w:r>
        <w:rPr>
          <w:sz w:val="21"/>
        </w:rPr>
        <w:t>所采购的</w:t>
      </w:r>
      <w:r>
        <w:rPr>
          <w:u w:val="single"/>
        </w:rPr>
        <w:t xml:space="preserve"> </w:t>
      </w:r>
      <w:r>
        <w:rPr>
          <w:sz w:val="21"/>
          <w:u w:val="single"/>
        </w:rPr>
        <w:t>采购包</w:t>
      </w:r>
      <w:r>
        <w:rPr>
          <w:sz w:val="21"/>
          <w:u w:val="single"/>
        </w:rPr>
        <w:t>3（</w:t>
      </w:r>
      <w:r>
        <w:rPr>
          <w:sz w:val="21"/>
          <w:u w:val="single"/>
        </w:rPr>
        <w:t>地图应用服务</w:t>
      </w:r>
      <w:r>
        <w:rPr>
          <w:sz w:val="21"/>
          <w:u w:val="single"/>
        </w:rPr>
        <w:t>）</w:t>
      </w:r>
      <w:r>
        <w:rPr>
          <w:u w:val="single"/>
        </w:rPr>
        <w:t xml:space="preserve"> </w:t>
      </w:r>
      <w:r>
        <w:rPr>
          <w:sz w:val="21"/>
        </w:rPr>
        <w:t>服务</w:t>
      </w:r>
      <w:r>
        <w:rPr>
          <w:sz w:val="21"/>
        </w:rPr>
        <w:t>，</w:t>
      </w:r>
      <w:r>
        <w:rPr>
          <w:sz w:val="21"/>
        </w:rPr>
        <w:t>含所有</w:t>
      </w:r>
      <w:r>
        <w:rPr>
          <w:sz w:val="21"/>
        </w:rPr>
        <w:t>服务</w:t>
      </w:r>
      <w:r>
        <w:rPr>
          <w:sz w:val="21"/>
        </w:rPr>
        <w:t>的运输、安装调试，开发，资料、培训、试运行、</w:t>
      </w:r>
      <w:r>
        <w:rPr>
          <w:sz w:val="21"/>
        </w:rPr>
        <w:t>运维</w:t>
      </w:r>
      <w:r>
        <w:rPr>
          <w:sz w:val="21"/>
        </w:rPr>
        <w:t>服务等。</w:t>
      </w:r>
    </w:p>
    <w:p/>
    <w:p>
      <w:r>
        <w:rPr>
          <w:b/>
          <w:sz w:val="21"/>
        </w:rPr>
        <w:t>二、合同金额</w:t>
      </w:r>
    </w:p>
    <w:p>
      <w:pPr>
        <w:ind w:firstLine="420"/>
        <w:jc w:val="left"/>
      </w:pPr>
      <w:r>
        <w:rPr>
          <w:sz w:val="21"/>
        </w:rPr>
        <w:t>合同总价为人民币大写：</w:t>
      </w:r>
      <w:r>
        <w:rPr>
          <w:sz w:val="21"/>
          <w:u w:val="single"/>
        </w:rPr>
        <w:t xml:space="preserve">              </w:t>
      </w:r>
      <w:r>
        <w:rPr>
          <w:sz w:val="21"/>
          <w:u w:val="single"/>
        </w:rPr>
        <w:t>元</w:t>
      </w:r>
      <w:r>
        <w:rPr>
          <w:sz w:val="21"/>
          <w:u w:val="single"/>
        </w:rPr>
        <w:t>整</w:t>
      </w:r>
      <w:r>
        <w:rPr>
          <w:sz w:val="21"/>
        </w:rPr>
        <w:t>（</w:t>
      </w:r>
      <w:r>
        <w:rPr>
          <w:sz w:val="21"/>
          <w:u w:val="single"/>
        </w:rPr>
        <w:t xml:space="preserve">¥                </w:t>
      </w:r>
      <w:r>
        <w:rPr>
          <w:sz w:val="21"/>
        </w:rPr>
        <w:t>元</w:t>
      </w:r>
      <w:r>
        <w:rPr>
          <w:sz w:val="21"/>
        </w:rPr>
        <w:t>）</w:t>
      </w:r>
      <w:r>
        <w:rPr>
          <w:sz w:val="21"/>
        </w:rPr>
        <w:t>。</w:t>
      </w:r>
    </w:p>
    <w:p>
      <w:pPr>
        <w:ind w:firstLine="480"/>
      </w:pPr>
      <w:r>
        <w:rPr>
          <w:sz w:val="21"/>
        </w:rPr>
        <w:t>该合同总价包括</w:t>
      </w:r>
      <w:r>
        <w:rPr>
          <w:sz w:val="21"/>
        </w:rPr>
        <w:t>本</w:t>
      </w:r>
      <w:r>
        <w:rPr>
          <w:sz w:val="21"/>
        </w:rPr>
        <w:t>项目</w:t>
      </w:r>
      <w:r>
        <w:rPr>
          <w:sz w:val="21"/>
        </w:rPr>
        <w:t>的所有货物运输和安装调试、软件开发、各项税费、资料、培训、质保期服务和各项措施费等完成招标内容所需的一切费用。本合同执行期间合同总价不变，甲方无须另向乙方支付本合同规定之外的其他任何费用。</w:t>
      </w:r>
    </w:p>
    <w:p>
      <w:pPr>
        <w:ind w:firstLine="480"/>
      </w:pPr>
    </w:p>
    <w:p>
      <w:r>
        <w:rPr>
          <w:b/>
          <w:sz w:val="21"/>
        </w:rPr>
        <w:t>三、项目内容要求及分项价格</w:t>
      </w:r>
    </w:p>
    <w:p>
      <w:pPr>
        <w:ind w:firstLine="3162"/>
      </w:pPr>
      <w:r>
        <w:rPr>
          <w:b/>
          <w:sz w:val="21"/>
        </w:rPr>
        <w:t>项目建设内容及分项报价</w:t>
      </w:r>
    </w:p>
    <w:tbl>
      <w:tblPr>
        <w:tblW w:w="0" w:type="auto"/>
        <w:tblBorders>
          <w:top w:val="none" w:color="000000" w:sz="4"/>
          <w:left w:val="none" w:color="000000" w:sz="4"/>
          <w:bottom w:val="none" w:color="000000" w:sz="4"/>
          <w:right w:val="none" w:color="000000" w:sz="4"/>
          <w:insideH w:val="none"/>
          <w:insideV w:val="none"/>
        </w:tblBorders>
      </w:tblPr>
      <w:tblGrid>
        <w:gridCol w:w="1045"/>
        <w:gridCol w:w="1452"/>
        <w:gridCol w:w="4112"/>
        <w:gridCol w:w="950"/>
        <w:gridCol w:w="922"/>
        <w:gridCol w:w="922"/>
        <w:gridCol w:w="922"/>
      </w:tblGrid>
      <w:tr>
        <w:tc>
          <w:tcPr>
            <w:tcW w:type="dxa" w:w="104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52"/>
            <w:tcBorders>
              <w:top w:val="single" w:color="000000" w:sz="4"/>
              <w:left w:val="none" w:color="000000" w:sz="4"/>
              <w:bottom w:val="single" w:color="000000" w:sz="4"/>
              <w:right w:val="single" w:color="000000" w:sz="4"/>
            </w:tcBorders>
            <w:vAlign w:val="top"/>
          </w:tcPr>
          <w:p>
            <w:pPr>
              <w:jc w:val="center"/>
            </w:pPr>
            <w:r>
              <w:rPr>
                <w:b/>
                <w:sz w:val="21"/>
              </w:rPr>
              <w:t>服务</w:t>
            </w:r>
            <w:r>
              <w:rPr>
                <w:b/>
                <w:sz w:val="21"/>
              </w:rPr>
              <w:t>名称</w:t>
            </w:r>
          </w:p>
        </w:tc>
        <w:tc>
          <w:tcPr>
            <w:tcW w:type="dxa" w:w="4112"/>
            <w:tcBorders>
              <w:top w:val="single" w:color="000000" w:sz="4"/>
              <w:left w:val="none" w:color="000000" w:sz="4"/>
              <w:bottom w:val="single" w:color="000000" w:sz="4"/>
              <w:right w:val="single" w:color="000000" w:sz="4"/>
            </w:tcBorders>
            <w:vAlign w:val="top"/>
          </w:tcPr>
          <w:p>
            <w:pPr>
              <w:jc w:val="center"/>
            </w:pPr>
            <w:r>
              <w:rPr>
                <w:b/>
                <w:sz w:val="21"/>
              </w:rPr>
              <w:t>服务详细内容</w:t>
            </w:r>
          </w:p>
        </w:tc>
        <w:tc>
          <w:tcPr>
            <w:tcW w:type="dxa" w:w="950"/>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92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922"/>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922"/>
            <w:tcBorders>
              <w:top w:val="single" w:color="000000" w:sz="4"/>
              <w:left w:val="none" w:color="000000" w:sz="4"/>
              <w:bottom w:val="single" w:color="000000" w:sz="4"/>
              <w:right w:val="single" w:color="000000" w:sz="4"/>
            </w:tcBorders>
            <w:vAlign w:val="top"/>
          </w:tcPr>
          <w:p>
            <w:pPr>
              <w:jc w:val="center"/>
            </w:pPr>
            <w:r>
              <w:rPr>
                <w:b/>
                <w:sz w:val="21"/>
              </w:rPr>
              <w:t>小计</w:t>
            </w:r>
            <w:r>
              <w:rPr>
                <w:b/>
                <w:sz w:val="21"/>
              </w:rPr>
              <w:t xml:space="preserve"> </w:t>
            </w:r>
            <w:r>
              <w:rPr>
                <w:b/>
                <w:sz w:val="21"/>
              </w:rPr>
              <w:t>总价</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2"/>
            <w:tcBorders>
              <w:top w:val="none" w:color="000000" w:sz="4"/>
              <w:left w:val="none" w:color="000000" w:sz="4"/>
              <w:bottom w:val="single" w:color="000000" w:sz="4"/>
              <w:right w:val="single" w:color="000000" w:sz="4"/>
            </w:tcBorders>
            <w:shd w:fill="FFFFFF"/>
            <w:vAlign w:val="top"/>
          </w:tcPr>
          <w:p>
            <w:pPr>
              <w:jc w:val="center"/>
            </w:pPr>
            <w:r>
              <w:rPr>
                <w:sz w:val="21"/>
              </w:rPr>
              <w:t>矢量电子地图服务</w:t>
            </w:r>
          </w:p>
        </w:tc>
        <w:tc>
          <w:tcPr>
            <w:tcW w:type="dxa" w:w="4112"/>
            <w:tcBorders>
              <w:top w:val="none" w:color="000000" w:sz="4"/>
              <w:left w:val="none" w:color="000000" w:sz="4"/>
              <w:bottom w:val="single" w:color="000000" w:sz="4"/>
              <w:right w:val="single" w:color="000000" w:sz="4"/>
            </w:tcBorders>
            <w:vAlign w:val="top"/>
          </w:tcPr>
          <w:p>
            <w:r>
              <w:rPr>
                <w:sz w:val="21"/>
              </w:rPr>
              <w:t>1、数据需求范围是中山市全市域1:2000矢量电子地图，包括基础路网、矢量导航路网、行政区划地图、POI、土地、绿地、水系、建筑物数据。</w:t>
            </w:r>
          </w:p>
          <w:p>
            <w:r>
              <w:rPr>
                <w:sz w:val="21"/>
              </w:rPr>
              <w:t>2、</w:t>
            </w:r>
            <w:r>
              <w:rPr>
                <w:sz w:val="21"/>
              </w:rPr>
              <w:t>数据空间参考坐标系：</w:t>
            </w:r>
            <w:r>
              <w:rPr>
                <w:sz w:val="21"/>
              </w:rPr>
              <w:t>2000国家大地坐标系。</w:t>
            </w:r>
          </w:p>
          <w:p>
            <w:r>
              <w:rPr>
                <w:sz w:val="21"/>
              </w:rPr>
              <w:t>3、交付格式：电子地图瓦片（0-20级）的方式交付。</w:t>
            </w:r>
          </w:p>
          <w:p>
            <w:pPr>
              <w:jc w:val="both"/>
            </w:pPr>
            <w:r>
              <w:rPr>
                <w:sz w:val="21"/>
              </w:rPr>
              <w:t>4、</w:t>
            </w:r>
            <w:r>
              <w:rPr>
                <w:sz w:val="21"/>
              </w:rPr>
              <w:t>各要素详细要求见需求表</w:t>
            </w:r>
            <w:r>
              <w:rPr>
                <w:sz w:val="21"/>
              </w:rPr>
              <w:t>。</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2"/>
            <w:tcBorders>
              <w:top w:val="none" w:color="000000" w:sz="4"/>
              <w:left w:val="none" w:color="000000" w:sz="4"/>
              <w:bottom w:val="single" w:color="000000" w:sz="4"/>
              <w:right w:val="single" w:color="000000" w:sz="4"/>
            </w:tcBorders>
            <w:shd w:fill="FFFFFF"/>
            <w:vAlign w:val="top"/>
          </w:tcPr>
          <w:p>
            <w:pPr>
              <w:jc w:val="center"/>
            </w:pPr>
            <w:r>
              <w:rPr>
                <w:sz w:val="21"/>
              </w:rPr>
              <w:t>矢量电子地图数据服务更新</w:t>
            </w:r>
          </w:p>
        </w:tc>
        <w:tc>
          <w:tcPr>
            <w:tcW w:type="dxa" w:w="4112"/>
            <w:tcBorders>
              <w:top w:val="none" w:color="000000" w:sz="4"/>
              <w:left w:val="none" w:color="000000" w:sz="4"/>
              <w:bottom w:val="single" w:color="000000" w:sz="4"/>
              <w:right w:val="single" w:color="000000" w:sz="4"/>
            </w:tcBorders>
            <w:vAlign w:val="top"/>
          </w:tcPr>
          <w:p>
            <w:pPr>
              <w:jc w:val="both"/>
            </w:pPr>
            <w:r>
              <w:rPr>
                <w:sz w:val="21"/>
              </w:rPr>
              <w:t>提供三年更新服务，除了初始化建设外，再提供</w:t>
            </w:r>
            <w:r>
              <w:rPr>
                <w:sz w:val="21"/>
              </w:rPr>
              <w:t>5次地图数据更新，更新频率为一年2次。</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52"/>
            <w:tcBorders>
              <w:top w:val="none" w:color="000000" w:sz="4"/>
              <w:left w:val="none" w:color="000000" w:sz="4"/>
              <w:bottom w:val="single" w:color="000000" w:sz="4"/>
              <w:right w:val="single" w:color="000000" w:sz="4"/>
            </w:tcBorders>
            <w:shd w:fill="FFFFFF"/>
            <w:vAlign w:val="top"/>
          </w:tcPr>
          <w:p>
            <w:pPr>
              <w:jc w:val="center"/>
            </w:pPr>
            <w:r>
              <w:rPr>
                <w:sz w:val="21"/>
              </w:rPr>
              <w:t>遥感影像地图服务</w:t>
            </w:r>
          </w:p>
        </w:tc>
        <w:tc>
          <w:tcPr>
            <w:tcW w:type="dxa" w:w="4112"/>
            <w:tcBorders>
              <w:top w:val="none" w:color="000000" w:sz="4"/>
              <w:left w:val="none" w:color="000000" w:sz="4"/>
              <w:bottom w:val="single" w:color="000000" w:sz="4"/>
              <w:right w:val="single" w:color="000000" w:sz="4"/>
            </w:tcBorders>
            <w:vAlign w:val="top"/>
          </w:tcPr>
          <w:p>
            <w:pPr>
              <w:numPr>
                <w:ilvl w:val="0"/>
                <w:numId w:val="1"/>
              </w:numPr>
              <w:jc w:val="both"/>
            </w:pPr>
            <w:r>
              <w:rPr>
                <w:sz w:val="21"/>
              </w:rPr>
              <w:t>提供中山市全市域空间分辨率不低于</w:t>
            </w:r>
            <w:r>
              <w:rPr>
                <w:sz w:val="21"/>
              </w:rPr>
              <w:t>0.5米的卫星遥感影像数据,2023年存量卫星或航拍影像数据。</w:t>
            </w:r>
          </w:p>
          <w:p>
            <w:r>
              <w:rPr>
                <w:sz w:val="21"/>
              </w:rPr>
              <w:t>2、</w:t>
            </w:r>
            <w:r>
              <w:rPr>
                <w:sz w:val="21"/>
              </w:rPr>
              <w:t>数据格式：遥感影像数据以成果数据的方式交付。</w:t>
            </w:r>
          </w:p>
          <w:p>
            <w:r>
              <w:rPr>
                <w:sz w:val="21"/>
              </w:rPr>
              <w:t>3、</w:t>
            </w:r>
            <w:r>
              <w:rPr>
                <w:sz w:val="21"/>
              </w:rPr>
              <w:t>数据空间参考坐标系：</w:t>
            </w:r>
            <w:r>
              <w:rPr>
                <w:sz w:val="21"/>
              </w:rPr>
              <w:t>2000国家大地坐标系。</w:t>
            </w:r>
          </w:p>
          <w:p>
            <w:r>
              <w:rPr>
                <w:sz w:val="21"/>
              </w:rPr>
              <w:t>4、</w:t>
            </w:r>
            <w:r>
              <w:rPr>
                <w:sz w:val="21"/>
              </w:rPr>
              <w:t>影像参数见用户需求。</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52"/>
            <w:tcBorders>
              <w:top w:val="none" w:color="000000" w:sz="4"/>
              <w:left w:val="none" w:color="000000" w:sz="4"/>
              <w:bottom w:val="single" w:color="000000" w:sz="4"/>
              <w:right w:val="single" w:color="000000" w:sz="4"/>
            </w:tcBorders>
            <w:shd w:fill="FFFFFF"/>
            <w:vAlign w:val="top"/>
          </w:tcPr>
          <w:p>
            <w:pPr>
              <w:jc w:val="center"/>
            </w:pPr>
            <w:r>
              <w:rPr>
                <w:sz w:val="21"/>
              </w:rPr>
              <w:t>遥感影像地图数据服务更新</w:t>
            </w:r>
          </w:p>
        </w:tc>
        <w:tc>
          <w:tcPr>
            <w:tcW w:type="dxa" w:w="4112"/>
            <w:tcBorders>
              <w:top w:val="none" w:color="000000" w:sz="4"/>
              <w:left w:val="none" w:color="000000" w:sz="4"/>
              <w:bottom w:val="single" w:color="000000" w:sz="4"/>
              <w:right w:val="single" w:color="000000" w:sz="4"/>
            </w:tcBorders>
            <w:vAlign w:val="top"/>
          </w:tcPr>
          <w:p>
            <w:r>
              <w:rPr>
                <w:sz w:val="21"/>
              </w:rPr>
              <w:t>提供三年更新服务，除了初始化建设外，再提供</w:t>
            </w:r>
            <w:r>
              <w:rPr>
                <w:sz w:val="21"/>
              </w:rPr>
              <w:t>5次地图数据更新，更新频率为一年2次。</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52"/>
            <w:tcBorders>
              <w:top w:val="none" w:color="000000" w:sz="4"/>
              <w:left w:val="none" w:color="000000" w:sz="4"/>
              <w:bottom w:val="single" w:color="000000" w:sz="4"/>
              <w:right w:val="single" w:color="000000" w:sz="4"/>
            </w:tcBorders>
            <w:shd w:fill="FFFFFF"/>
            <w:vAlign w:val="top"/>
          </w:tcPr>
          <w:p>
            <w:r>
              <w:rPr>
                <w:sz w:val="21"/>
              </w:rPr>
              <w:t>POI数据服务</w:t>
            </w:r>
          </w:p>
        </w:tc>
        <w:tc>
          <w:tcPr>
            <w:tcW w:type="dxa" w:w="4112"/>
            <w:tcBorders>
              <w:top w:val="none" w:color="000000" w:sz="4"/>
              <w:left w:val="none" w:color="000000" w:sz="4"/>
              <w:bottom w:val="single" w:color="000000" w:sz="4"/>
              <w:right w:val="single" w:color="000000" w:sz="4"/>
            </w:tcBorders>
            <w:vAlign w:val="top"/>
          </w:tcPr>
          <w:p>
            <w:r>
              <w:rPr>
                <w:sz w:val="21"/>
              </w:rPr>
              <w:t>1、内容包括POI的名称、坐标、类型、分类等信息。</w:t>
            </w:r>
          </w:p>
          <w:p>
            <w:r>
              <w:rPr>
                <w:sz w:val="21"/>
              </w:rPr>
              <w:t>2、</w:t>
            </w:r>
            <w:r>
              <w:rPr>
                <w:sz w:val="21"/>
              </w:rPr>
              <w:t>数据格式：</w:t>
            </w:r>
            <w:r>
              <w:rPr>
                <w:sz w:val="21"/>
              </w:rPr>
              <w:t>POI数据以原始数据（</w:t>
            </w:r>
            <w:r>
              <w:rPr>
                <w:sz w:val="21"/>
              </w:rPr>
              <w:t>SHP格式</w:t>
            </w:r>
            <w:r>
              <w:rPr>
                <w:sz w:val="21"/>
              </w:rPr>
              <w:t>）方式交付。</w:t>
            </w:r>
          </w:p>
          <w:p>
            <w:r>
              <w:rPr>
                <w:sz w:val="21"/>
              </w:rPr>
              <w:t>3、</w:t>
            </w:r>
            <w:r>
              <w:rPr>
                <w:sz w:val="21"/>
              </w:rPr>
              <w:t>数据空间参考坐标系：</w:t>
            </w:r>
            <w:r>
              <w:rPr>
                <w:sz w:val="21"/>
              </w:rPr>
              <w:t>2000国家大地坐标系。</w:t>
            </w:r>
          </w:p>
          <w:p>
            <w:r>
              <w:rPr>
                <w:sz w:val="21"/>
              </w:rPr>
              <w:t>4、详细POI分类见需求表3。</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52"/>
            <w:tcBorders>
              <w:top w:val="none" w:color="000000" w:sz="4"/>
              <w:left w:val="none" w:color="000000" w:sz="4"/>
              <w:bottom w:val="single" w:color="000000" w:sz="4"/>
              <w:right w:val="single" w:color="000000" w:sz="4"/>
            </w:tcBorders>
            <w:shd w:fill="FFFFFF"/>
            <w:vAlign w:val="top"/>
          </w:tcPr>
          <w:p>
            <w:r>
              <w:rPr>
                <w:sz w:val="21"/>
              </w:rPr>
              <w:t>POI数据</w:t>
            </w:r>
            <w:r>
              <w:rPr>
                <w:sz w:val="21"/>
              </w:rPr>
              <w:t>更新</w:t>
            </w:r>
          </w:p>
        </w:tc>
        <w:tc>
          <w:tcPr>
            <w:tcW w:type="dxa" w:w="4112"/>
            <w:tcBorders>
              <w:top w:val="none" w:color="000000" w:sz="4"/>
              <w:left w:val="none" w:color="000000" w:sz="4"/>
              <w:bottom w:val="single" w:color="000000" w:sz="4"/>
              <w:right w:val="single" w:color="000000" w:sz="4"/>
            </w:tcBorders>
            <w:vAlign w:val="top"/>
          </w:tcPr>
          <w:p>
            <w:r>
              <w:rPr>
                <w:sz w:val="21"/>
              </w:rPr>
              <w:t>提供三年更新，除了初始化建设外，再提供</w:t>
            </w:r>
            <w:r>
              <w:rPr>
                <w:sz w:val="21"/>
              </w:rPr>
              <w:t>5次数据更新，更新频率为一年2次。</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52"/>
            <w:vMerge w:val="restart"/>
            <w:tcBorders>
              <w:top w:val="none" w:color="000000" w:sz="4"/>
              <w:left w:val="none" w:color="000000" w:sz="4"/>
              <w:bottom w:val="none" w:color="000000" w:sz="4"/>
              <w:right w:val="single" w:color="000000" w:sz="4"/>
            </w:tcBorders>
            <w:shd w:fill="FFFFFF"/>
            <w:vAlign w:val="top"/>
          </w:tcPr>
          <w:p>
            <w:pPr>
              <w:jc w:val="both"/>
            </w:pPr>
            <w:r>
              <w:rPr>
                <w:sz w:val="21"/>
              </w:rPr>
              <w:t>地图专题服务</w:t>
            </w:r>
          </w:p>
        </w:tc>
        <w:tc>
          <w:tcPr>
            <w:tcW w:type="dxa" w:w="4112"/>
            <w:tcBorders>
              <w:top w:val="none" w:color="000000" w:sz="4"/>
              <w:left w:val="none" w:color="000000" w:sz="4"/>
              <w:bottom w:val="single" w:color="000000" w:sz="4"/>
              <w:right w:val="single" w:color="000000" w:sz="4"/>
            </w:tcBorders>
            <w:vAlign w:val="top"/>
          </w:tcPr>
          <w:p>
            <w:r>
              <w:rPr>
                <w:sz w:val="21"/>
              </w:rPr>
              <w:t>无人机实时位置</w:t>
            </w:r>
            <w:r>
              <w:rPr>
                <w:sz w:val="21"/>
              </w:rPr>
              <w:t>数据服务</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52"/>
            <w:vMerge/>
            <w:tcBorders>
              <w:top w:val="none" w:color="000000" w:sz="4"/>
              <w:left w:val="none" w:color="000000" w:sz="4"/>
              <w:bottom w:val="none" w:color="000000" w:sz="4"/>
              <w:right w:val="single" w:color="000000" w:sz="4"/>
            </w:tcBorders>
          </w:tcPr>
          <w:p/>
        </w:tc>
        <w:tc>
          <w:tcPr>
            <w:tcW w:type="dxa" w:w="4112"/>
            <w:tcBorders>
              <w:top w:val="none" w:color="000000" w:sz="4"/>
              <w:left w:val="none" w:color="000000" w:sz="4"/>
              <w:bottom w:val="single" w:color="000000" w:sz="4"/>
              <w:right w:val="single" w:color="000000" w:sz="4"/>
            </w:tcBorders>
            <w:vAlign w:val="top"/>
          </w:tcPr>
          <w:p>
            <w:r>
              <w:rPr>
                <w:sz w:val="21"/>
              </w:rPr>
              <w:t>执法记录仪</w:t>
            </w:r>
            <w:r>
              <w:rPr>
                <w:sz w:val="21"/>
              </w:rPr>
              <w:t>位置数据服务</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52"/>
            <w:vMerge/>
            <w:tcBorders>
              <w:top w:val="none" w:color="000000" w:sz="4"/>
              <w:left w:val="none" w:color="000000" w:sz="4"/>
              <w:bottom w:val="none" w:color="000000" w:sz="4"/>
              <w:right w:val="single" w:color="000000" w:sz="4"/>
            </w:tcBorders>
          </w:tcPr>
          <w:p/>
        </w:tc>
        <w:tc>
          <w:tcPr>
            <w:tcW w:type="dxa" w:w="4112"/>
            <w:tcBorders>
              <w:top w:val="none" w:color="000000" w:sz="4"/>
              <w:left w:val="none" w:color="000000" w:sz="4"/>
              <w:bottom w:val="single" w:color="000000" w:sz="4"/>
              <w:right w:val="single" w:color="000000" w:sz="4"/>
            </w:tcBorders>
            <w:vAlign w:val="top"/>
          </w:tcPr>
          <w:p>
            <w:r>
              <w:rPr>
                <w:sz w:val="21"/>
              </w:rPr>
              <w:t>警格图层制作及服务发布</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52"/>
            <w:vMerge/>
            <w:tcBorders>
              <w:top w:val="none" w:color="000000" w:sz="4"/>
              <w:left w:val="none" w:color="000000" w:sz="4"/>
              <w:bottom w:val="none" w:color="000000" w:sz="4"/>
              <w:right w:val="single" w:color="000000" w:sz="4"/>
            </w:tcBorders>
          </w:tcPr>
          <w:p/>
        </w:tc>
        <w:tc>
          <w:tcPr>
            <w:tcW w:type="dxa" w:w="4112"/>
            <w:tcBorders>
              <w:top w:val="none" w:color="000000" w:sz="4"/>
              <w:left w:val="none" w:color="000000" w:sz="4"/>
              <w:bottom w:val="single" w:color="000000" w:sz="4"/>
              <w:right w:val="single" w:color="000000" w:sz="4"/>
            </w:tcBorders>
            <w:vAlign w:val="top"/>
          </w:tcPr>
          <w:p>
            <w:r>
              <w:rPr>
                <w:sz w:val="21"/>
              </w:rPr>
              <w:t>在线地图打印</w:t>
            </w: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c>
          <w:tcPr>
            <w:tcW w:type="dxa" w:w="922"/>
            <w:tcBorders>
              <w:top w:val="none" w:color="000000" w:sz="4"/>
              <w:left w:val="none" w:color="000000" w:sz="4"/>
              <w:bottom w:val="single" w:color="000000" w:sz="4"/>
              <w:right w:val="single" w:color="000000" w:sz="4"/>
            </w:tcBorders>
            <w:vAlign w:val="top"/>
          </w:tcPr>
          <w:p>
            <w:pPr>
              <w:jc w:val="both"/>
            </w:pPr>
          </w:p>
        </w:tc>
      </w:tr>
      <w:tr>
        <w:tc>
          <w:tcPr>
            <w:tcW w:type="dxa" w:w="6609"/>
            <w:gridSpan w:val="3"/>
            <w:tcBorders>
              <w:top w:val="none" w:color="000000" w:sz="4"/>
              <w:left w:val="single" w:color="000000" w:sz="4"/>
              <w:bottom w:val="single" w:color="000000" w:sz="4"/>
              <w:right w:val="single" w:color="000000" w:sz="4"/>
            </w:tcBorders>
            <w:vAlign w:val="top"/>
          </w:tcPr>
          <w:p>
            <w:pPr>
              <w:jc w:val="center"/>
            </w:pPr>
            <w:r>
              <w:rPr>
                <w:b/>
                <w:sz w:val="21"/>
              </w:rPr>
              <w:t>合计</w:t>
            </w:r>
            <w:r>
              <w:rPr>
                <w:b/>
                <w:sz w:val="21"/>
              </w:rPr>
              <w:t>总价</w:t>
            </w:r>
          </w:p>
        </w:tc>
        <w:tc>
          <w:tcPr>
            <w:tcW w:type="dxa" w:w="3716"/>
            <w:gridSpan w:val="4"/>
            <w:tcBorders>
              <w:top w:val="none" w:color="000000" w:sz="4"/>
              <w:left w:val="none" w:color="000000" w:sz="4"/>
              <w:bottom w:val="single" w:color="000000" w:sz="4"/>
              <w:right w:val="single" w:color="000000" w:sz="4"/>
            </w:tcBorders>
            <w:vAlign w:val="top"/>
          </w:tcPr>
          <w:p>
            <w:pPr>
              <w:jc w:val="both"/>
            </w:pPr>
          </w:p>
        </w:tc>
      </w:tr>
      <w:tr>
        <w:tc>
          <w:tcPr>
            <w:tcW w:type="dxa" w:w="10325"/>
            <w:gridSpan w:val="7"/>
            <w:tcBorders>
              <w:top w:val="none" w:color="000000" w:sz="4"/>
              <w:left w:val="single" w:color="000000" w:sz="4"/>
              <w:bottom w:val="single" w:color="000000" w:sz="4"/>
              <w:right w:val="single" w:color="000000" w:sz="4"/>
            </w:tcBorders>
            <w:vAlign w:val="top"/>
          </w:tcPr>
          <w:p>
            <w:pPr>
              <w:jc w:val="both"/>
            </w:pPr>
            <w:r>
              <w:rPr>
                <w:sz w:val="21"/>
              </w:rPr>
              <w:t>项目配置要求、供货范围、技术规格详见合同附件</w:t>
            </w:r>
          </w:p>
        </w:tc>
      </w:tr>
    </w:tbl>
    <w:p/>
    <w:p>
      <w:pPr>
        <w:ind w:firstLine="211"/>
      </w:pPr>
      <w:r>
        <w:rPr>
          <w:b/>
          <w:sz w:val="21"/>
        </w:rPr>
        <w:t>四、质量要求</w:t>
      </w:r>
    </w:p>
    <w:p>
      <w:pPr>
        <w:ind w:firstLine="210"/>
      </w:pPr>
      <w:r>
        <w:rPr>
          <w:sz w:val="21"/>
        </w:rPr>
        <w:t>1、</w:t>
      </w:r>
      <w:r>
        <w:rPr>
          <w:sz w:val="21"/>
        </w:rPr>
        <w:t>地图</w:t>
      </w:r>
      <w:r>
        <w:rPr>
          <w:sz w:val="21"/>
        </w:rPr>
        <w:t>数据内容指标要求</w:t>
      </w:r>
      <w:r>
        <w:rPr>
          <w:sz w:val="21"/>
        </w:rPr>
        <w:t>：</w:t>
      </w:r>
    </w:p>
    <w:p>
      <w:r>
        <w:rPr>
          <w:sz w:val="21"/>
        </w:rPr>
        <w:t>1)</w:t>
      </w:r>
      <w:r>
        <w:rPr>
          <w:sz w:val="21"/>
        </w:rPr>
        <w:t>AOI完备率≥85%，正确率≥90%； 楼栋完备率≥85%，正确率≥90%。</w:t>
      </w:r>
    </w:p>
    <w:p>
      <w:r>
        <w:rPr>
          <w:sz w:val="21"/>
        </w:rPr>
        <w:t>2)</w:t>
      </w:r>
      <w:r>
        <w:rPr>
          <w:sz w:val="21"/>
        </w:rPr>
        <w:t>城市范围内城市快速路、主干道、次干道、普通道路等各种道路数据齐全，城市主要道路覆盖率</w:t>
      </w:r>
      <w:r>
        <w:rPr>
          <w:sz w:val="21"/>
        </w:rPr>
        <w:t>≥90%，正确率≥90%。</w:t>
      </w:r>
    </w:p>
    <w:p>
      <w:r>
        <w:rPr>
          <w:sz w:val="21"/>
        </w:rPr>
        <w:t>3)</w:t>
      </w:r>
      <w:r>
        <w:rPr>
          <w:sz w:val="21"/>
        </w:rPr>
        <w:t>重点</w:t>
      </w:r>
      <w:r>
        <w:rPr>
          <w:sz w:val="21"/>
        </w:rPr>
        <w:t>POI（地标建筑、政府机关、科技教育、文化体育、医疗卫生等）完备率≥95%，正确率≥90%，重复率≤10%。</w:t>
      </w:r>
    </w:p>
    <w:p>
      <w:r>
        <w:rPr>
          <w:sz w:val="21"/>
        </w:rPr>
        <w:t>2、</w:t>
      </w:r>
      <w:r>
        <w:rPr>
          <w:sz w:val="21"/>
        </w:rPr>
        <w:t>数据标准</w:t>
      </w:r>
    </w:p>
    <w:p>
      <w:r>
        <w:rPr>
          <w:sz w:val="21"/>
        </w:rPr>
        <w:t>1)</w:t>
      </w:r>
      <w:r>
        <w:rPr>
          <w:sz w:val="21"/>
        </w:rPr>
        <w:t>电子地图精度、要素分层、要素模型、处理方式等应满足</w:t>
      </w:r>
      <w:r>
        <w:rPr>
          <w:sz w:val="21"/>
        </w:rPr>
        <w:t>GBT20268-2006《车载导航地理数据采集处理技术规程》中的要求。</w:t>
      </w:r>
    </w:p>
    <w:p>
      <w:r>
        <w:rPr>
          <w:sz w:val="21"/>
        </w:rPr>
        <w:t>2)</w:t>
      </w:r>
      <w:r>
        <w:rPr>
          <w:sz w:val="21"/>
        </w:rPr>
        <w:t>数据应依据</w:t>
      </w:r>
      <w:r>
        <w:rPr>
          <w:sz w:val="21"/>
        </w:rPr>
        <w:t>GB/T 19711-2005《导航地理数据模型与交换格式》进行分类，并赋代码，如有差异应提供详细数据标准及分类代码表。</w:t>
      </w:r>
    </w:p>
    <w:p>
      <w:r>
        <w:rPr>
          <w:sz w:val="21"/>
        </w:rPr>
        <w:t>3)</w:t>
      </w:r>
      <w:r>
        <w:rPr>
          <w:sz w:val="21"/>
        </w:rPr>
        <w:t>元数据内容应符合</w:t>
      </w:r>
      <w:r>
        <w:rPr>
          <w:sz w:val="21"/>
        </w:rPr>
        <w:t>GB/T 19711-2005《导航地理数据模型与交换格式》的规定，包括数据集目录及相关的分区、图层描述；属性记录的字段及数据类型定义；数据源描述；空间参考系统描述；更新情况说明等。</w:t>
      </w:r>
    </w:p>
    <w:p/>
    <w:p>
      <w:pPr>
        <w:jc w:val="both"/>
      </w:pPr>
      <w:r>
        <w:rPr>
          <w:b/>
          <w:sz w:val="21"/>
        </w:rPr>
        <w:t>五</w:t>
      </w:r>
      <w:r>
        <w:rPr>
          <w:b/>
          <w:sz w:val="21"/>
        </w:rPr>
        <w:t>、项目工期及交付地点</w:t>
      </w:r>
    </w:p>
    <w:p>
      <w:pPr>
        <w:ind w:firstLine="371"/>
      </w:pPr>
      <w:r>
        <w:rPr>
          <w:sz w:val="21"/>
        </w:rPr>
        <w:t>（一）本项目</w:t>
      </w:r>
      <w:r>
        <w:rPr>
          <w:sz w:val="21"/>
        </w:rPr>
        <w:t>服务期</w:t>
      </w:r>
      <w:r>
        <w:rPr>
          <w:sz w:val="21"/>
        </w:rPr>
        <w:t>为</w:t>
      </w:r>
      <w:r>
        <w:rPr>
          <w:u w:val="single"/>
        </w:rPr>
        <w:t xml:space="preserve"> </w:t>
      </w:r>
      <w:r>
        <w:rPr>
          <w:sz w:val="21"/>
          <w:u w:val="single"/>
        </w:rPr>
        <w:t>36</w:t>
      </w:r>
      <w:r>
        <w:rPr>
          <w:u w:val="single"/>
        </w:rPr>
        <w:t xml:space="preserve"> </w:t>
      </w:r>
      <w:r>
        <w:rPr>
          <w:sz w:val="21"/>
        </w:rPr>
        <w:t>个月，其中合同签订后</w:t>
      </w:r>
      <w:r>
        <w:rPr>
          <w:u w:val="single"/>
        </w:rPr>
        <w:t xml:space="preserve"> </w:t>
      </w:r>
      <w:r>
        <w:rPr>
          <w:sz w:val="21"/>
          <w:u w:val="single"/>
        </w:rPr>
        <w:t>1</w:t>
      </w:r>
      <w:r>
        <w:rPr>
          <w:u w:val="single"/>
        </w:rPr>
        <w:t xml:space="preserve"> </w:t>
      </w:r>
      <w:r>
        <w:rPr>
          <w:sz w:val="21"/>
        </w:rPr>
        <w:t>个月内</w:t>
      </w:r>
      <w:r>
        <w:rPr>
          <w:sz w:val="21"/>
        </w:rPr>
        <w:t>实现服务提供</w:t>
      </w:r>
      <w:r>
        <w:rPr>
          <w:sz w:val="21"/>
        </w:rPr>
        <w:t>，</w:t>
      </w:r>
      <w:r>
        <w:rPr>
          <w:sz w:val="21"/>
        </w:rPr>
        <w:t>试运行</w:t>
      </w:r>
      <w:r>
        <w:rPr>
          <w:u w:val="single"/>
        </w:rPr>
        <w:t xml:space="preserve">    </w:t>
      </w:r>
      <w:r>
        <w:rPr>
          <w:sz w:val="21"/>
        </w:rPr>
        <w:t>个月</w:t>
      </w:r>
      <w:r>
        <w:rPr>
          <w:sz w:val="21"/>
        </w:rPr>
        <w:t>后</w:t>
      </w:r>
      <w:r>
        <w:rPr>
          <w:sz w:val="21"/>
        </w:rPr>
        <w:t>完成项目内部验收。</w:t>
      </w:r>
    </w:p>
    <w:p>
      <w:pPr>
        <w:ind w:firstLine="371"/>
      </w:pPr>
      <w:r>
        <w:rPr>
          <w:sz w:val="21"/>
        </w:rPr>
        <w:t>（二）交付地点：甲方指定地点。</w:t>
      </w:r>
    </w:p>
    <w:p>
      <w:pPr>
        <w:ind w:firstLine="371"/>
      </w:pPr>
      <w:r>
        <w:rPr>
          <w:sz w:val="21"/>
        </w:rPr>
        <w:t>（三）本项目为交钥匙工程，甲方无须另向乙方支付其他任何费用，投标报价包括项目所需的设备制造</w:t>
      </w:r>
      <w:r>
        <w:rPr>
          <w:sz w:val="21"/>
        </w:rPr>
        <w:t>(或采购)、设备运输、环境安装调试、系统安装调试、试运行、验收、培训、质保期服务和各项措施费、税费等完成招标内容所需的一切费用。</w:t>
      </w:r>
    </w:p>
    <w:p>
      <w:pPr>
        <w:ind w:firstLine="371"/>
      </w:pPr>
    </w:p>
    <w:p>
      <w:pPr>
        <w:jc w:val="both"/>
      </w:pPr>
      <w:r>
        <w:rPr>
          <w:b/>
          <w:sz w:val="21"/>
        </w:rPr>
        <w:t>六</w:t>
      </w:r>
      <w:r>
        <w:rPr>
          <w:b/>
          <w:sz w:val="21"/>
        </w:rPr>
        <w:t>、项目实施要求</w:t>
      </w:r>
    </w:p>
    <w:p>
      <w:pPr>
        <w:ind w:firstLine="371"/>
      </w:pPr>
      <w:r>
        <w:rPr>
          <w:sz w:val="21"/>
        </w:rPr>
        <w:t>（一）乙方须提供项目所有管理、实施、驻点人员的社保证明给甲方审核</w:t>
      </w:r>
      <w:r>
        <w:rPr>
          <w:sz w:val="21"/>
        </w:rPr>
        <w:t>，并签订《广东省公安机关信息化建设第三方运维机构安全保密责任书》、《广东省公安机关信息化建设第三方运维人员安全保密责任书》</w:t>
      </w:r>
      <w:r>
        <w:rPr>
          <w:sz w:val="21"/>
        </w:rPr>
        <w:t>后方进场。</w:t>
      </w:r>
    </w:p>
    <w:p>
      <w:pPr>
        <w:ind w:firstLine="371"/>
      </w:pPr>
      <w:r>
        <w:rPr>
          <w:sz w:val="21"/>
        </w:rPr>
        <w:t>（二）乙方须向甲方提供本项目采购的所有</w:t>
      </w:r>
      <w:r>
        <w:rPr>
          <w:sz w:val="21"/>
        </w:rPr>
        <w:t>服务安装</w:t>
      </w:r>
      <w:r>
        <w:rPr>
          <w:sz w:val="21"/>
        </w:rPr>
        <w:t>、</w:t>
      </w:r>
      <w:r>
        <w:rPr>
          <w:sz w:val="21"/>
        </w:rPr>
        <w:t>调试、</w:t>
      </w:r>
      <w:r>
        <w:rPr>
          <w:sz w:val="21"/>
        </w:rPr>
        <w:t>测试和维护服务。</w:t>
      </w:r>
    </w:p>
    <w:p>
      <w:pPr>
        <w:ind w:firstLine="371"/>
      </w:pPr>
      <w:r>
        <w:rPr>
          <w:sz w:val="21"/>
        </w:rPr>
        <w:t>（</w:t>
      </w:r>
      <w:r>
        <w:rPr>
          <w:sz w:val="21"/>
        </w:rPr>
        <w:t>三</w:t>
      </w:r>
      <w:r>
        <w:rPr>
          <w:sz w:val="21"/>
        </w:rPr>
        <w:t>）乙方必须派驻具有良好信誉和相关实力的技术队伍。</w:t>
      </w:r>
    </w:p>
    <w:p>
      <w:pPr>
        <w:ind w:firstLine="371"/>
      </w:pPr>
      <w:r>
        <w:rPr>
          <w:sz w:val="21"/>
        </w:rPr>
        <w:t>（</w:t>
      </w:r>
      <w:r>
        <w:rPr>
          <w:sz w:val="21"/>
        </w:rPr>
        <w:t>四</w:t>
      </w:r>
      <w:r>
        <w:rPr>
          <w:sz w:val="21"/>
        </w:rPr>
        <w:t>）系统实施期内，项目管理人员和主要技术人员长期驻场服务。</w:t>
      </w:r>
    </w:p>
    <w:p>
      <w:pPr>
        <w:ind w:firstLine="371"/>
      </w:pPr>
      <w:r>
        <w:rPr>
          <w:sz w:val="21"/>
        </w:rPr>
        <w:t>（</w:t>
      </w:r>
      <w:r>
        <w:rPr>
          <w:sz w:val="21"/>
        </w:rPr>
        <w:t>五</w:t>
      </w:r>
      <w:r>
        <w:rPr>
          <w:sz w:val="21"/>
        </w:rPr>
        <w:t>）</w:t>
      </w:r>
      <w:r>
        <w:rPr>
          <w:sz w:val="21"/>
        </w:rPr>
        <w:t>项目服务</w:t>
      </w:r>
      <w:r>
        <w:rPr>
          <w:sz w:val="21"/>
        </w:rPr>
        <w:t>期内，</w:t>
      </w:r>
      <w:r>
        <w:rPr>
          <w:sz w:val="21"/>
        </w:rPr>
        <w:t>乙方须安排</w:t>
      </w:r>
      <w:r>
        <w:rPr>
          <w:sz w:val="21"/>
        </w:rPr>
        <w:t>工作人员常驻甲方现场服务。</w:t>
      </w:r>
    </w:p>
    <w:p>
      <w:pPr>
        <w:ind w:firstLine="371"/>
      </w:pPr>
      <w:r>
        <w:rPr>
          <w:sz w:val="21"/>
        </w:rPr>
        <w:t>（</w:t>
      </w:r>
      <w:r>
        <w:rPr>
          <w:sz w:val="21"/>
        </w:rPr>
        <w:t>六</w:t>
      </w:r>
      <w:r>
        <w:rPr>
          <w:sz w:val="21"/>
        </w:rPr>
        <w:t>）乙方对提供的</w:t>
      </w:r>
      <w:r>
        <w:rPr>
          <w:sz w:val="21"/>
        </w:rPr>
        <w:t>服务</w:t>
      </w:r>
      <w:r>
        <w:rPr>
          <w:sz w:val="21"/>
        </w:rPr>
        <w:t>保证至少</w:t>
      </w:r>
      <w:r>
        <w:rPr>
          <w:sz w:val="21"/>
          <w:u w:val="single"/>
        </w:rPr>
        <w:t>3</w:t>
      </w:r>
      <w:r>
        <w:rPr>
          <w:sz w:val="21"/>
        </w:rPr>
        <w:t>年的产品免费技术支持售后服务。</w:t>
      </w:r>
    </w:p>
    <w:p>
      <w:pPr>
        <w:ind w:firstLine="371"/>
      </w:pPr>
      <w:r>
        <w:rPr>
          <w:sz w:val="21"/>
        </w:rPr>
        <w:t>（</w:t>
      </w:r>
      <w:r>
        <w:rPr>
          <w:sz w:val="21"/>
        </w:rPr>
        <w:t>七</w:t>
      </w:r>
      <w:r>
        <w:rPr>
          <w:sz w:val="21"/>
        </w:rPr>
        <w:t>）</w:t>
      </w:r>
      <w:r>
        <w:rPr>
          <w:sz w:val="21"/>
        </w:rPr>
        <w:t>服务</w:t>
      </w:r>
      <w:r>
        <w:rPr>
          <w:sz w:val="21"/>
        </w:rPr>
        <w:t>免费保修期内，</w:t>
      </w:r>
      <w:r>
        <w:rPr>
          <w:sz w:val="21"/>
        </w:rPr>
        <w:t>乙方应</w:t>
      </w:r>
      <w:r>
        <w:rPr>
          <w:sz w:val="21"/>
        </w:rPr>
        <w:t>提供专业技术人员免费维护服务</w:t>
      </w:r>
      <w:r>
        <w:rPr>
          <w:sz w:val="21"/>
        </w:rPr>
        <w:t>，</w:t>
      </w:r>
      <w:r>
        <w:rPr>
          <w:sz w:val="21"/>
        </w:rPr>
        <w:t>同时设立长期的项目建设和系统运行维护</w:t>
      </w:r>
      <w:r>
        <w:rPr>
          <w:sz w:val="21"/>
        </w:rPr>
        <w:t>方案</w:t>
      </w:r>
      <w:r>
        <w:rPr>
          <w:sz w:val="21"/>
        </w:rPr>
        <w:t>。</w:t>
      </w:r>
    </w:p>
    <w:p>
      <w:pPr>
        <w:jc w:val="both"/>
      </w:pPr>
    </w:p>
    <w:p>
      <w:pPr>
        <w:jc w:val="both"/>
      </w:pPr>
      <w:r>
        <w:rPr>
          <w:b/>
          <w:sz w:val="21"/>
        </w:rPr>
        <w:t>七、</w:t>
      </w:r>
      <w:r>
        <w:rPr>
          <w:b/>
          <w:sz w:val="21"/>
        </w:rPr>
        <w:t>项目售后服务和运维要求</w:t>
      </w:r>
    </w:p>
    <w:p>
      <w:pPr>
        <w:ind w:firstLine="422"/>
      </w:pPr>
      <w:r>
        <w:rPr>
          <w:b/>
          <w:sz w:val="21"/>
        </w:rPr>
        <w:t>（</w:t>
      </w:r>
      <w:r>
        <w:rPr>
          <w:b/>
          <w:sz w:val="21"/>
        </w:rPr>
        <w:t>一</w:t>
      </w:r>
      <w:r>
        <w:rPr>
          <w:b/>
          <w:sz w:val="21"/>
        </w:rPr>
        <w:t>）现场专职驻点运维人员</w:t>
      </w:r>
    </w:p>
    <w:p>
      <w:pPr>
        <w:ind w:firstLine="420"/>
      </w:pPr>
      <w:r>
        <w:rPr>
          <w:sz w:val="21"/>
        </w:rPr>
        <w:t>乙方提供不少于</w:t>
      </w:r>
      <w:r>
        <w:rPr>
          <w:sz w:val="21"/>
        </w:rPr>
        <w:t>30天每年的驻场服务，</w:t>
      </w:r>
      <w:r>
        <w:rPr>
          <w:sz w:val="21"/>
        </w:rPr>
        <w:t>现场专职驻点运维</w:t>
      </w:r>
      <w:r>
        <w:rPr>
          <w:sz w:val="21"/>
        </w:rPr>
        <w:t>人员</w:t>
      </w:r>
      <w:r>
        <w:rPr>
          <w:sz w:val="21"/>
        </w:rPr>
        <w:t>资质</w:t>
      </w:r>
      <w:r>
        <w:rPr>
          <w:sz w:val="21"/>
        </w:rPr>
        <w:t>要求：</w:t>
      </w:r>
    </w:p>
    <w:p>
      <w:pPr>
        <w:ind w:firstLine="420"/>
      </w:pPr>
      <w:r>
        <w:rPr>
          <w:sz w:val="21"/>
        </w:rPr>
        <w:t>（</w:t>
      </w:r>
      <w:r>
        <w:rPr>
          <w:sz w:val="21"/>
        </w:rPr>
        <w:t>1）现场专职驻点运维人员要求具有</w:t>
      </w:r>
      <w:r>
        <w:rPr>
          <w:u w:val="single"/>
        </w:rPr>
        <w:t xml:space="preserve"> </w:t>
      </w:r>
      <w:r>
        <w:rPr>
          <w:sz w:val="21"/>
          <w:u w:val="single"/>
        </w:rPr>
        <w:t>半年</w:t>
      </w:r>
      <w:r>
        <w:rPr>
          <w:u w:val="single"/>
        </w:rPr>
        <w:t xml:space="preserve"> </w:t>
      </w:r>
      <w:r>
        <w:rPr>
          <w:sz w:val="21"/>
        </w:rPr>
        <w:t>以上信息化相关工作经验，熟悉</w:t>
      </w:r>
      <w:r>
        <w:rPr>
          <w:sz w:val="21"/>
        </w:rPr>
        <w:t>本项目服务内容</w:t>
      </w:r>
      <w:r>
        <w:rPr>
          <w:sz w:val="21"/>
        </w:rPr>
        <w:t>。</w:t>
      </w:r>
    </w:p>
    <w:p>
      <w:pPr>
        <w:ind w:firstLine="420"/>
      </w:pPr>
      <w:r>
        <w:rPr>
          <w:sz w:val="21"/>
        </w:rPr>
        <w:t>（</w:t>
      </w:r>
      <w:r>
        <w:rPr>
          <w:sz w:val="21"/>
        </w:rPr>
        <w:t>2）现场专职驻点运维人员工作地点由甲方指定。</w:t>
      </w:r>
    </w:p>
    <w:p>
      <w:pPr>
        <w:ind w:firstLine="420"/>
      </w:pPr>
      <w:r>
        <w:rPr>
          <w:sz w:val="21"/>
        </w:rPr>
        <w:t>（</w:t>
      </w:r>
      <w:r>
        <w:rPr>
          <w:sz w:val="21"/>
        </w:rPr>
        <w:t>3）现场专职驻点运维人员的调整需经甲方同意。</w:t>
      </w:r>
    </w:p>
    <w:p>
      <w:pPr>
        <w:ind w:firstLine="420"/>
      </w:pPr>
      <w:r>
        <w:rPr>
          <w:sz w:val="21"/>
        </w:rPr>
        <w:t>（</w:t>
      </w:r>
      <w:r>
        <w:rPr>
          <w:sz w:val="21"/>
        </w:rPr>
        <w:t>4）甲方有权对现场专职驻点运维人员进行考核，考核不合格的，甲方有权要求更换驻点人员。乙方须承诺在甲方提出更换要求7天内，更换符合资质的驻点人员。</w:t>
      </w:r>
    </w:p>
    <w:p>
      <w:pPr>
        <w:ind w:firstLine="422"/>
      </w:pPr>
      <w:r>
        <w:rPr>
          <w:b/>
          <w:sz w:val="21"/>
        </w:rPr>
        <w:t>（</w:t>
      </w:r>
      <w:r>
        <w:rPr>
          <w:b/>
          <w:sz w:val="21"/>
        </w:rPr>
        <w:t>二</w:t>
      </w:r>
      <w:r>
        <w:rPr>
          <w:b/>
          <w:sz w:val="21"/>
        </w:rPr>
        <w:t>）基本服务方式</w:t>
      </w:r>
    </w:p>
    <w:p>
      <w:pPr>
        <w:ind w:firstLine="420"/>
      </w:pPr>
      <w:r>
        <w:rPr>
          <w:sz w:val="21"/>
        </w:rPr>
        <w:t>（</w:t>
      </w:r>
      <w:r>
        <w:rPr>
          <w:sz w:val="21"/>
        </w:rPr>
        <w:t>1）实时技术支持</w:t>
      </w:r>
    </w:p>
    <w:p>
      <w:pPr>
        <w:ind w:firstLine="420"/>
      </w:pPr>
      <w:r>
        <w:rPr>
          <w:sz w:val="21"/>
        </w:rPr>
        <w:t>系统</w:t>
      </w:r>
      <w:r>
        <w:rPr>
          <w:sz w:val="21"/>
        </w:rPr>
        <w:t>运行、维护提供</w:t>
      </w:r>
      <w:r>
        <w:rPr>
          <w:sz w:val="21"/>
        </w:rPr>
        <w:t>7×24×365的全年实时技术支持。</w:t>
      </w:r>
    </w:p>
    <w:p>
      <w:pPr>
        <w:ind w:firstLine="420"/>
      </w:pPr>
      <w:r>
        <w:rPr>
          <w:sz w:val="21"/>
        </w:rPr>
        <w:t>（</w:t>
      </w:r>
      <w:r>
        <w:rPr>
          <w:sz w:val="21"/>
        </w:rPr>
        <w:t>2）热线电话服务</w:t>
      </w:r>
    </w:p>
    <w:p>
      <w:pPr>
        <w:ind w:firstLine="420"/>
      </w:pPr>
      <w:r>
        <w:rPr>
          <w:sz w:val="21"/>
        </w:rPr>
        <w:t>7×24小时热线电话随时接通技术人员。</w:t>
      </w:r>
    </w:p>
    <w:p>
      <w:pPr>
        <w:ind w:firstLine="420"/>
      </w:pPr>
      <w:r>
        <w:rPr>
          <w:sz w:val="21"/>
        </w:rPr>
        <w:t>针对系统故障问题，</w:t>
      </w:r>
      <w:r>
        <w:rPr>
          <w:sz w:val="21"/>
        </w:rPr>
        <w:t>形成故障台账</w:t>
      </w:r>
      <w:r>
        <w:rPr>
          <w:sz w:val="21"/>
        </w:rPr>
        <w:t>。</w:t>
      </w:r>
    </w:p>
    <w:p>
      <w:pPr>
        <w:ind w:firstLine="420"/>
      </w:pPr>
      <w:r>
        <w:rPr>
          <w:sz w:val="21"/>
        </w:rPr>
        <w:t>（</w:t>
      </w:r>
      <w:r>
        <w:rPr>
          <w:sz w:val="21"/>
        </w:rPr>
        <w:t>3）现场支持</w:t>
      </w:r>
    </w:p>
    <w:p>
      <w:pPr>
        <w:ind w:firstLine="420"/>
      </w:pPr>
      <w:r>
        <w:rPr>
          <w:sz w:val="21"/>
        </w:rPr>
        <w:t>系统</w:t>
      </w:r>
      <w:r>
        <w:rPr>
          <w:sz w:val="21"/>
        </w:rPr>
        <w:t>建设期间，项目管理人员和主要技术人员长期驻场服务。</w:t>
      </w:r>
    </w:p>
    <w:p>
      <w:pPr>
        <w:ind w:firstLine="420"/>
      </w:pPr>
      <w:r>
        <w:rPr>
          <w:sz w:val="21"/>
        </w:rPr>
        <w:t>系统</w:t>
      </w:r>
      <w:r>
        <w:rPr>
          <w:sz w:val="21"/>
        </w:rPr>
        <w:t>服务</w:t>
      </w:r>
      <w:r>
        <w:rPr>
          <w:sz w:val="21"/>
        </w:rPr>
        <w:t>期内，乙方必须</w:t>
      </w:r>
      <w:r>
        <w:rPr>
          <w:sz w:val="21"/>
        </w:rPr>
        <w:t>提供运维人员提高</w:t>
      </w:r>
      <w:r>
        <w:rPr>
          <w:u w:val="single"/>
        </w:rPr>
        <w:t xml:space="preserve"> </w:t>
      </w:r>
      <w:r>
        <w:rPr>
          <w:sz w:val="21"/>
          <w:u w:val="single"/>
        </w:rPr>
        <w:t>现场派驻（或远程</w:t>
      </w:r>
      <w:r>
        <w:rPr>
          <w:sz w:val="21"/>
          <w:u w:val="single"/>
        </w:rPr>
        <w:t>服务</w:t>
      </w:r>
      <w:r>
        <w:rPr>
          <w:sz w:val="21"/>
          <w:u w:val="single"/>
        </w:rPr>
        <w:t>）</w:t>
      </w:r>
      <w:r>
        <w:rPr>
          <w:u w:val="single"/>
        </w:rPr>
        <w:t xml:space="preserve"> </w:t>
      </w:r>
      <w:r>
        <w:rPr>
          <w:sz w:val="21"/>
        </w:rPr>
        <w:t>方式</w:t>
      </w:r>
      <w:r>
        <w:rPr>
          <w:sz w:val="21"/>
        </w:rPr>
        <w:t>在</w:t>
      </w:r>
      <w:r>
        <w:rPr>
          <w:sz w:val="21"/>
        </w:rPr>
        <w:t>甲方指定地点</w:t>
      </w:r>
      <w:r>
        <w:rPr>
          <w:sz w:val="21"/>
        </w:rPr>
        <w:t>负责设备使用的维护、信息处理和人员培训工作</w:t>
      </w:r>
      <w:r>
        <w:rPr>
          <w:sz w:val="21"/>
        </w:rPr>
        <w:t>。</w:t>
      </w:r>
    </w:p>
    <w:p>
      <w:pPr>
        <w:ind w:firstLine="420"/>
      </w:pPr>
      <w:r>
        <w:rPr>
          <w:sz w:val="21"/>
        </w:rPr>
        <w:t>客户重大活动或重要工作期间，例如现场演示、兄弟单位参观学习，或上级领导现场视察等，</w:t>
      </w:r>
      <w:r>
        <w:rPr>
          <w:sz w:val="21"/>
        </w:rPr>
        <w:t>乙方必须</w:t>
      </w:r>
      <w:r>
        <w:rPr>
          <w:sz w:val="21"/>
        </w:rPr>
        <w:t>增派人</w:t>
      </w:r>
      <w:r>
        <w:rPr>
          <w:sz w:val="21"/>
        </w:rPr>
        <w:t>员进入现场实施保障服务，以确保</w:t>
      </w:r>
      <w:r>
        <w:rPr>
          <w:sz w:val="21"/>
        </w:rPr>
        <w:t>甲方</w:t>
      </w:r>
      <w:r>
        <w:rPr>
          <w:sz w:val="21"/>
        </w:rPr>
        <w:t>特殊时期工作不发生中断。</w:t>
      </w:r>
    </w:p>
    <w:p>
      <w:pPr>
        <w:ind w:firstLine="420"/>
      </w:pPr>
      <w:r>
        <w:rPr>
          <w:sz w:val="21"/>
        </w:rPr>
        <w:t>服务</w:t>
      </w:r>
      <w:r>
        <w:rPr>
          <w:sz w:val="21"/>
        </w:rPr>
        <w:t>期内：</w:t>
      </w:r>
      <w:r>
        <w:rPr>
          <w:sz w:val="21"/>
        </w:rPr>
        <w:t>乙方对故障</w:t>
      </w:r>
      <w:r>
        <w:rPr>
          <w:sz w:val="21"/>
        </w:rPr>
        <w:t>响应时限为</w:t>
      </w:r>
      <w:r>
        <w:rPr>
          <w:u w:val="single"/>
        </w:rPr>
        <w:t xml:space="preserve">   </w:t>
      </w:r>
      <w:r>
        <w:rPr>
          <w:sz w:val="21"/>
        </w:rPr>
        <w:t>分钟，重大故障</w:t>
      </w:r>
      <w:r>
        <w:rPr>
          <w:u w:val="single"/>
        </w:rPr>
        <w:t xml:space="preserve">   </w:t>
      </w:r>
      <w:r>
        <w:rPr>
          <w:sz w:val="21"/>
        </w:rPr>
        <w:t>小时内修复，一般故障</w:t>
      </w:r>
      <w:r>
        <w:rPr>
          <w:u w:val="single"/>
        </w:rPr>
        <w:t xml:space="preserve">   </w:t>
      </w:r>
      <w:r>
        <w:rPr>
          <w:sz w:val="21"/>
        </w:rPr>
        <w:t>小时内修复</w:t>
      </w:r>
      <w:r>
        <w:rPr>
          <w:sz w:val="21"/>
        </w:rPr>
        <w:t>，</w:t>
      </w:r>
      <w:r>
        <w:rPr>
          <w:sz w:val="21"/>
        </w:rPr>
        <w:t>保证在</w:t>
      </w:r>
      <w:r>
        <w:rPr>
          <w:u w:val="single"/>
        </w:rPr>
        <w:t xml:space="preserve">   </w:t>
      </w:r>
      <w:r>
        <w:rPr>
          <w:sz w:val="21"/>
        </w:rPr>
        <w:t>小时内排除设备故障，恢复正常。</w:t>
      </w:r>
    </w:p>
    <w:p>
      <w:pPr>
        <w:ind w:firstLine="420"/>
      </w:pPr>
      <w:r>
        <w:rPr>
          <w:sz w:val="21"/>
        </w:rPr>
        <w:t>如果设备故障在规定时间后仍无法排除，乙方</w:t>
      </w:r>
      <w:r>
        <w:rPr>
          <w:sz w:val="21"/>
        </w:rPr>
        <w:t>须</w:t>
      </w:r>
      <w:r>
        <w:rPr>
          <w:sz w:val="21"/>
        </w:rPr>
        <w:t>在</w:t>
      </w:r>
      <w:r>
        <w:rPr>
          <w:u w:val="single"/>
        </w:rPr>
        <w:t xml:space="preserve">   </w:t>
      </w:r>
      <w:r>
        <w:rPr>
          <w:sz w:val="21"/>
        </w:rPr>
        <w:t>小时内提供不低于故障设备档次及性能的备用设备供甲方使用，直至故障设备修复，否则，</w:t>
      </w:r>
      <w:r>
        <w:rPr>
          <w:sz w:val="21"/>
        </w:rPr>
        <w:t>由此导致的甲方业务影响</w:t>
      </w:r>
      <w:r>
        <w:rPr>
          <w:sz w:val="21"/>
        </w:rPr>
        <w:t>造成的损失</w:t>
      </w:r>
      <w:r>
        <w:rPr>
          <w:sz w:val="21"/>
        </w:rPr>
        <w:t>由乙方负责。</w:t>
      </w:r>
    </w:p>
    <w:p>
      <w:pPr>
        <w:ind w:firstLine="420"/>
      </w:pPr>
      <w:r>
        <w:rPr>
          <w:sz w:val="21"/>
        </w:rPr>
        <w:t>对于不能明确故障</w:t>
      </w:r>
      <w:r>
        <w:rPr>
          <w:sz w:val="21"/>
        </w:rPr>
        <w:t>原因</w:t>
      </w:r>
      <w:r>
        <w:rPr>
          <w:sz w:val="21"/>
        </w:rPr>
        <w:t>时，乙方应尽力配合相关人员进行检查，并能在上述响应时限内到达现场协助排除问题，直到问题故障解决为止。</w:t>
      </w:r>
    </w:p>
    <w:p>
      <w:pPr>
        <w:ind w:firstLine="420"/>
      </w:pPr>
      <w:r>
        <w:rPr>
          <w:sz w:val="21"/>
        </w:rPr>
        <w:t>（</w:t>
      </w:r>
      <w:r>
        <w:rPr>
          <w:sz w:val="21"/>
        </w:rPr>
        <w:t>4）定期检查与调优</w:t>
      </w:r>
    </w:p>
    <w:p>
      <w:pPr>
        <w:ind w:firstLine="420"/>
      </w:pPr>
      <w:r>
        <w:rPr>
          <w:sz w:val="21"/>
        </w:rPr>
        <w:t>定期</w:t>
      </w:r>
      <w:r>
        <w:rPr>
          <w:sz w:val="21"/>
        </w:rPr>
        <w:t>检查</w:t>
      </w:r>
      <w:r>
        <w:rPr>
          <w:sz w:val="21"/>
        </w:rPr>
        <w:t>本项目服务</w:t>
      </w:r>
      <w:r>
        <w:rPr>
          <w:sz w:val="21"/>
        </w:rPr>
        <w:t>的运行效率</w:t>
      </w:r>
      <w:r>
        <w:rPr>
          <w:sz w:val="21"/>
        </w:rPr>
        <w:t>、</w:t>
      </w:r>
      <w:r>
        <w:rPr>
          <w:sz w:val="21"/>
        </w:rPr>
        <w:t>运行状态，定期评估</w:t>
      </w:r>
      <w:r>
        <w:rPr>
          <w:sz w:val="21"/>
        </w:rPr>
        <w:t>服务</w:t>
      </w:r>
      <w:r>
        <w:rPr>
          <w:sz w:val="21"/>
        </w:rPr>
        <w:t>隐患，以便于以专业的水准提供最有价值的售后服务。</w:t>
      </w:r>
    </w:p>
    <w:p>
      <w:pPr>
        <w:ind w:firstLine="420"/>
      </w:pPr>
      <w:r>
        <w:rPr>
          <w:sz w:val="21"/>
        </w:rPr>
        <w:t>提供的</w:t>
      </w:r>
      <w:r>
        <w:rPr>
          <w:sz w:val="21"/>
        </w:rPr>
        <w:t>服务应</w:t>
      </w:r>
      <w:r>
        <w:rPr>
          <w:sz w:val="21"/>
        </w:rPr>
        <w:t>进行检查及定期维护</w:t>
      </w:r>
      <w:r>
        <w:rPr>
          <w:sz w:val="21"/>
        </w:rPr>
        <w:t>、</w:t>
      </w:r>
      <w:r>
        <w:rPr>
          <w:sz w:val="21"/>
        </w:rPr>
        <w:t>升级</w:t>
      </w:r>
      <w:r>
        <w:rPr>
          <w:sz w:val="21"/>
        </w:rPr>
        <w:t>、</w:t>
      </w:r>
      <w:r>
        <w:rPr>
          <w:sz w:val="21"/>
        </w:rPr>
        <w:t>测试，保证能正常</w:t>
      </w:r>
      <w:r>
        <w:rPr>
          <w:sz w:val="21"/>
        </w:rPr>
        <w:t>服务</w:t>
      </w:r>
      <w:r>
        <w:rPr>
          <w:sz w:val="21"/>
        </w:rPr>
        <w:t>。</w:t>
      </w:r>
    </w:p>
    <w:p>
      <w:pPr>
        <w:ind w:firstLine="420"/>
      </w:pPr>
      <w:r>
        <w:rPr>
          <w:sz w:val="21"/>
        </w:rPr>
        <w:t>在运行环境逐步发生改变后，检查</w:t>
      </w:r>
      <w:r>
        <w:rPr>
          <w:sz w:val="21"/>
        </w:rPr>
        <w:t>服务</w:t>
      </w:r>
      <w:r>
        <w:rPr>
          <w:sz w:val="21"/>
        </w:rPr>
        <w:t>适应能力，并做出正确的调整。</w:t>
      </w:r>
    </w:p>
    <w:p>
      <w:pPr>
        <w:ind w:firstLine="420"/>
      </w:pPr>
      <w:r>
        <w:rPr>
          <w:sz w:val="21"/>
        </w:rPr>
        <w:t>（</w:t>
      </w:r>
      <w:r>
        <w:rPr>
          <w:sz w:val="21"/>
        </w:rPr>
        <w:t>5）远程服务</w:t>
      </w:r>
    </w:p>
    <w:p>
      <w:pPr>
        <w:ind w:firstLine="420"/>
      </w:pPr>
      <w:r>
        <w:rPr>
          <w:sz w:val="21"/>
        </w:rPr>
        <w:t>远程即时服务：当出现重大问题时，通过远程登陆方式，直接对用户系统进行必要的维护，以最快的速度解决用户遇到的问题。</w:t>
      </w:r>
    </w:p>
    <w:p>
      <w:pPr>
        <w:ind w:firstLine="420"/>
      </w:pPr>
      <w:r>
        <w:rPr>
          <w:sz w:val="21"/>
        </w:rPr>
        <w:t>远程离线服务：通过公司的网站，在网上设立公众号、公告栏等栏目，提供客户留言，对客户的一般性问题给出具体的解决方法。</w:t>
      </w:r>
    </w:p>
    <w:p>
      <w:pPr>
        <w:ind w:firstLine="420"/>
      </w:pPr>
      <w:r>
        <w:rPr>
          <w:sz w:val="21"/>
        </w:rPr>
        <w:t>远程技术支持和维护，由技术人员通过热线电话、</w:t>
      </w:r>
      <w:r>
        <w:rPr>
          <w:sz w:val="21"/>
        </w:rPr>
        <w:t>Email、传真等途径进行技术支持，并在24小时内提出解决方案。</w:t>
      </w:r>
    </w:p>
    <w:p>
      <w:pPr>
        <w:ind w:firstLine="422"/>
      </w:pPr>
      <w:r>
        <w:rPr>
          <w:b/>
          <w:sz w:val="21"/>
        </w:rPr>
        <w:t>（四）保障措施</w:t>
      </w:r>
    </w:p>
    <w:p>
      <w:pPr>
        <w:ind w:firstLine="420"/>
      </w:pPr>
      <w:r>
        <w:rPr>
          <w:sz w:val="21"/>
        </w:rPr>
        <w:t>日常维护</w:t>
      </w:r>
    </w:p>
    <w:p>
      <w:pPr>
        <w:ind w:firstLine="420"/>
      </w:pPr>
      <w:r>
        <w:rPr>
          <w:sz w:val="21"/>
        </w:rPr>
        <w:t>在项目实施过程中，现场派驻经验丰富的技术骨干开展实施工作，并针对项目要求实行为期</w:t>
      </w:r>
      <w:r>
        <w:rPr>
          <w:sz w:val="21"/>
          <w:u w:val="single"/>
        </w:rPr>
        <w:t xml:space="preserve"> </w:t>
      </w:r>
      <w:r>
        <w:rPr>
          <w:sz w:val="21"/>
          <w:u w:val="single"/>
        </w:rPr>
        <w:t>3</w:t>
      </w:r>
      <w:r>
        <w:rPr>
          <w:sz w:val="21"/>
        </w:rPr>
        <w:t>个月的试运行。项目试运行完成后，根据具体情况需求继续</w:t>
      </w:r>
      <w:r>
        <w:rPr>
          <w:u w:val="single"/>
        </w:rPr>
        <w:t xml:space="preserve"> </w:t>
      </w:r>
      <w:r>
        <w:rPr>
          <w:sz w:val="21"/>
          <w:u w:val="single"/>
        </w:rPr>
        <w:t>现场派驻（或远程</w:t>
      </w:r>
      <w:r>
        <w:rPr>
          <w:sz w:val="21"/>
          <w:u w:val="single"/>
        </w:rPr>
        <w:t>服务</w:t>
      </w:r>
      <w:r>
        <w:rPr>
          <w:sz w:val="21"/>
          <w:u w:val="single"/>
        </w:rPr>
        <w:t>）</w:t>
      </w:r>
      <w:r>
        <w:rPr>
          <w:u w:val="single"/>
        </w:rPr>
        <w:t xml:space="preserve"> </w:t>
      </w:r>
      <w:r>
        <w:rPr>
          <w:sz w:val="21"/>
        </w:rPr>
        <w:t>进行日常维护。</w:t>
      </w:r>
    </w:p>
    <w:p>
      <w:pPr>
        <w:ind w:firstLine="420"/>
      </w:pPr>
      <w:r>
        <w:rPr>
          <w:sz w:val="21"/>
        </w:rPr>
        <w:t>售后服务</w:t>
      </w:r>
    </w:p>
    <w:p>
      <w:pPr>
        <w:ind w:firstLine="420"/>
      </w:pPr>
      <w:r>
        <w:rPr>
          <w:sz w:val="21"/>
        </w:rPr>
        <w:t>对</w:t>
      </w:r>
      <w:r>
        <w:rPr>
          <w:sz w:val="21"/>
        </w:rPr>
        <w:t>本项目提供的各项服务</w:t>
      </w:r>
      <w:r>
        <w:rPr>
          <w:sz w:val="21"/>
        </w:rPr>
        <w:t>，</w:t>
      </w:r>
      <w:r>
        <w:rPr>
          <w:sz w:val="21"/>
        </w:rPr>
        <w:t>乙方</w:t>
      </w:r>
      <w:r>
        <w:rPr>
          <w:sz w:val="21"/>
        </w:rPr>
        <w:t>都需派出骨干力量来实施，提供高效、优质的技术服务，最大程度保障系统的质量。</w:t>
      </w:r>
    </w:p>
    <w:p>
      <w:pPr>
        <w:jc w:val="both"/>
      </w:pPr>
    </w:p>
    <w:p>
      <w:pPr>
        <w:jc w:val="both"/>
      </w:pPr>
      <w:r>
        <w:rPr>
          <w:b/>
          <w:sz w:val="21"/>
        </w:rPr>
        <w:t>八、</w:t>
      </w:r>
      <w:r>
        <w:rPr>
          <w:b/>
          <w:sz w:val="21"/>
        </w:rPr>
        <w:t>付款方式</w:t>
      </w:r>
    </w:p>
    <w:p>
      <w:pPr>
        <w:ind w:firstLine="420"/>
        <w:jc w:val="both"/>
      </w:pPr>
      <w:r>
        <w:rPr>
          <w:sz w:val="21"/>
        </w:rPr>
        <w:t>1期：合同签订后20个工作日内，甲方启动付款流程申请支付合同总价的40%给乙方。</w:t>
      </w:r>
    </w:p>
    <w:p>
      <w:pPr>
        <w:ind w:firstLine="420"/>
        <w:jc w:val="both"/>
      </w:pPr>
      <w:r>
        <w:rPr>
          <w:sz w:val="21"/>
        </w:rPr>
        <w:t>2期：2024年12月15日前，甲方启动付款流程申请支付合同总价的30%给乙方。</w:t>
      </w:r>
    </w:p>
    <w:p>
      <w:pPr>
        <w:ind w:firstLine="420"/>
        <w:jc w:val="both"/>
      </w:pPr>
      <w:r>
        <w:rPr>
          <w:sz w:val="21"/>
        </w:rPr>
        <w:t>3期：</w:t>
      </w:r>
      <w:r>
        <w:rPr>
          <w:sz w:val="21"/>
        </w:rPr>
        <w:t>2025年12月15日前</w:t>
      </w:r>
      <w:r>
        <w:rPr>
          <w:sz w:val="21"/>
        </w:rPr>
        <w:t>，甲方启动付款流程申请支付合同总价的</w:t>
      </w:r>
      <w:r>
        <w:rPr>
          <w:sz w:val="21"/>
        </w:rPr>
        <w:t>30%给乙方。</w:t>
      </w:r>
    </w:p>
    <w:p>
      <w:pPr>
        <w:ind w:firstLine="420"/>
        <w:jc w:val="both"/>
      </w:pPr>
      <w:r>
        <w:rPr>
          <w:sz w:val="21"/>
        </w:rPr>
        <w:t>甲方</w:t>
      </w:r>
      <w:r>
        <w:rPr>
          <w:sz w:val="21"/>
        </w:rPr>
        <w:t>有权根据财政拨付的预算情况对支付计划进行微调。</w:t>
      </w:r>
      <w:r>
        <w:rPr>
          <w:sz w:val="21"/>
        </w:rPr>
        <w:t>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r>
        <w:rPr>
          <w:sz w:val="21"/>
        </w:rPr>
        <w:t>乙方</w:t>
      </w:r>
      <w:r>
        <w:rPr>
          <w:sz w:val="21"/>
        </w:rPr>
        <w:t>不得以此作为不履行或迟延履行合同义务的抗辩理由。</w:t>
      </w:r>
    </w:p>
    <w:p>
      <w:pPr>
        <w:jc w:val="both"/>
      </w:pPr>
    </w:p>
    <w:p>
      <w:pPr>
        <w:jc w:val="both"/>
      </w:pPr>
      <w:r>
        <w:rPr>
          <w:b/>
          <w:sz w:val="21"/>
        </w:rPr>
        <w:t>九</w:t>
      </w:r>
      <w:r>
        <w:rPr>
          <w:b/>
          <w:sz w:val="21"/>
        </w:rPr>
        <w:t>、培训要求</w:t>
      </w:r>
    </w:p>
    <w:p>
      <w:pPr>
        <w:ind w:firstLine="420"/>
        <w:jc w:val="both"/>
      </w:pPr>
      <w:r>
        <w:rPr>
          <w:sz w:val="21"/>
        </w:rPr>
        <w:t>基于项目的复杂性，本项目中的培训工作应当作为一项重点工作进行开展，通过培训能够有效的实现项目</w:t>
      </w:r>
      <w:r>
        <w:rPr>
          <w:sz w:val="21"/>
        </w:rPr>
        <w:t>服务</w:t>
      </w:r>
      <w:r>
        <w:rPr>
          <w:sz w:val="21"/>
        </w:rPr>
        <w:t>的稳定</w:t>
      </w:r>
      <w:r>
        <w:rPr>
          <w:sz w:val="21"/>
        </w:rPr>
        <w:t>提供及</w:t>
      </w:r>
      <w:r>
        <w:rPr>
          <w:sz w:val="21"/>
        </w:rPr>
        <w:t>推广应用。</w:t>
      </w:r>
    </w:p>
    <w:p>
      <w:pPr>
        <w:jc w:val="both"/>
      </w:pPr>
      <w:r>
        <w:rPr>
          <w:b/>
          <w:sz w:val="21"/>
        </w:rPr>
        <w:t>（一）培训对象</w:t>
      </w:r>
    </w:p>
    <w:p>
      <w:pPr>
        <w:ind w:firstLine="420"/>
        <w:jc w:val="both"/>
      </w:pPr>
      <w:r>
        <w:rPr>
          <w:sz w:val="21"/>
        </w:rPr>
        <w:t>针对本项目的项目培训对象主要包含有：</w:t>
      </w:r>
    </w:p>
    <w:p>
      <w:pPr>
        <w:jc w:val="both"/>
      </w:pPr>
      <w:r>
        <w:rPr>
          <w:sz w:val="21"/>
        </w:rPr>
        <w:t xml:space="preserve">    </w:t>
      </w:r>
      <w:r>
        <w:rPr>
          <w:sz w:val="21"/>
        </w:rPr>
        <w:t>（</w:t>
      </w:r>
      <w:r>
        <w:rPr>
          <w:sz w:val="21"/>
        </w:rPr>
        <w:t>1）</w:t>
      </w:r>
      <w:r>
        <w:rPr>
          <w:sz w:val="21"/>
        </w:rPr>
        <w:t>技术人员：</w:t>
      </w:r>
      <w:r>
        <w:rPr>
          <w:sz w:val="21"/>
        </w:rPr>
        <w:t>主要包含有甲方</w:t>
      </w:r>
      <w:r>
        <w:rPr>
          <w:sz w:val="21"/>
        </w:rPr>
        <w:t>建设</w:t>
      </w:r>
      <w:r>
        <w:rPr>
          <w:sz w:val="21"/>
        </w:rPr>
        <w:t>部门相关的技术人员及各业务部门的技术人员</w:t>
      </w:r>
      <w:r>
        <w:rPr>
          <w:sz w:val="21"/>
        </w:rPr>
        <w:t>。</w:t>
      </w:r>
    </w:p>
    <w:p>
      <w:pPr>
        <w:ind w:firstLine="420"/>
        <w:jc w:val="both"/>
      </w:pPr>
      <w:r>
        <w:rPr>
          <w:sz w:val="21"/>
        </w:rPr>
        <w:t>（</w:t>
      </w:r>
      <w:r>
        <w:rPr>
          <w:sz w:val="21"/>
        </w:rPr>
        <w:t>2）</w:t>
      </w:r>
      <w:r>
        <w:rPr>
          <w:sz w:val="21"/>
        </w:rPr>
        <w:t>业务人员：</w:t>
      </w:r>
      <w:r>
        <w:rPr>
          <w:sz w:val="21"/>
        </w:rPr>
        <w:t>主要包</w:t>
      </w:r>
      <w:r>
        <w:rPr>
          <w:sz w:val="21"/>
        </w:rPr>
        <w:t>含有项目</w:t>
      </w:r>
      <w:r>
        <w:rPr>
          <w:sz w:val="21"/>
        </w:rPr>
        <w:t>服务</w:t>
      </w:r>
      <w:r>
        <w:rPr>
          <w:sz w:val="21"/>
        </w:rPr>
        <w:t>涉及的相关使用人员</w:t>
      </w:r>
      <w:r>
        <w:rPr>
          <w:sz w:val="21"/>
        </w:rPr>
        <w:t>。</w:t>
      </w:r>
    </w:p>
    <w:p>
      <w:pPr>
        <w:ind w:firstLine="420"/>
        <w:jc w:val="both"/>
      </w:pPr>
      <w:r>
        <w:rPr>
          <w:b/>
          <w:sz w:val="21"/>
        </w:rPr>
        <w:t>（二）培训地点</w:t>
      </w:r>
    </w:p>
    <w:p>
      <w:pPr>
        <w:ind w:firstLine="420"/>
        <w:jc w:val="both"/>
      </w:pPr>
      <w:r>
        <w:rPr>
          <w:sz w:val="21"/>
        </w:rPr>
        <w:t>中山市公安局或项目相关指定地点。</w:t>
      </w:r>
    </w:p>
    <w:p>
      <w:pPr>
        <w:jc w:val="both"/>
      </w:pPr>
      <w:r>
        <w:rPr>
          <w:b/>
          <w:sz w:val="21"/>
        </w:rPr>
        <w:t>（三）培训安排</w:t>
      </w:r>
    </w:p>
    <w:p>
      <w:pPr>
        <w:ind w:firstLine="420"/>
        <w:jc w:val="both"/>
      </w:pPr>
      <w:r>
        <w:rPr>
          <w:sz w:val="21"/>
        </w:rPr>
        <w:t>不同层次不同类型的培训可选择不同的培训地点，以达到更好的培训效果。</w:t>
      </w:r>
      <w:r>
        <w:rPr>
          <w:sz w:val="21"/>
        </w:rPr>
        <w:t xml:space="preserve"> 乙方为甲方指定人员提供</w:t>
      </w:r>
      <w:r>
        <w:rPr>
          <w:sz w:val="21"/>
        </w:rPr>
        <w:t>服务</w:t>
      </w:r>
      <w:r>
        <w:rPr>
          <w:sz w:val="21"/>
        </w:rPr>
        <w:t>使用、维护、安全管理等方面的培训。</w:t>
      </w:r>
    </w:p>
    <w:p>
      <w:pPr>
        <w:jc w:val="both"/>
      </w:pPr>
      <w:r>
        <w:rPr>
          <w:b/>
          <w:sz w:val="21"/>
        </w:rPr>
        <w:t>（四）培训步骤</w:t>
      </w:r>
    </w:p>
    <w:p>
      <w:pPr>
        <w:ind w:firstLine="420"/>
        <w:jc w:val="both"/>
      </w:pPr>
      <w:r>
        <w:rPr>
          <w:sz w:val="21"/>
        </w:rPr>
        <w:t>为能够有效的实现对甲方的技术培训，制定的技术培训服务步骤要求如下：</w:t>
      </w:r>
    </w:p>
    <w:p>
      <w:pPr>
        <w:ind w:firstLine="420"/>
        <w:jc w:val="both"/>
      </w:pPr>
      <w:r>
        <w:rPr>
          <w:sz w:val="21"/>
        </w:rPr>
        <w:t>（</w:t>
      </w:r>
      <w:r>
        <w:rPr>
          <w:sz w:val="21"/>
        </w:rPr>
        <w:t>1）乙方项目负责人制定项目的总体培训计划；</w:t>
      </w:r>
    </w:p>
    <w:p>
      <w:pPr>
        <w:ind w:firstLine="420"/>
        <w:jc w:val="both"/>
      </w:pPr>
      <w:r>
        <w:rPr>
          <w:sz w:val="21"/>
        </w:rPr>
        <w:t>（</w:t>
      </w:r>
      <w:r>
        <w:rPr>
          <w:sz w:val="21"/>
        </w:rPr>
        <w:t>2）技术支持小组人员在培训开始前，准备并安排相应的培训资源，包括培训课程、时间计划、地点、讲师等；</w:t>
      </w:r>
    </w:p>
    <w:p>
      <w:pPr>
        <w:ind w:firstLine="420"/>
        <w:jc w:val="both"/>
      </w:pPr>
      <w:r>
        <w:rPr>
          <w:sz w:val="21"/>
        </w:rPr>
        <w:t>（</w:t>
      </w:r>
      <w:r>
        <w:rPr>
          <w:sz w:val="21"/>
        </w:rPr>
        <w:t>3）经过项目组协调确认后，开始进入技术培训的实施阶段；</w:t>
      </w:r>
    </w:p>
    <w:p>
      <w:pPr>
        <w:ind w:firstLine="420"/>
        <w:jc w:val="both"/>
      </w:pPr>
      <w:r>
        <w:rPr>
          <w:sz w:val="21"/>
        </w:rPr>
        <w:t>（</w:t>
      </w:r>
      <w:r>
        <w:rPr>
          <w:sz w:val="21"/>
        </w:rPr>
        <w:t>4）培训过程中，乙方将对培训的过程和效果进行必要的记录，并及时根据学员的需求及时调整培训的内容、形式、资源等；</w:t>
      </w:r>
    </w:p>
    <w:p>
      <w:pPr>
        <w:ind w:firstLine="420"/>
        <w:jc w:val="both"/>
      </w:pPr>
      <w:r>
        <w:rPr>
          <w:sz w:val="21"/>
        </w:rPr>
        <w:t>（</w:t>
      </w:r>
      <w:r>
        <w:rPr>
          <w:sz w:val="21"/>
        </w:rPr>
        <w:t>5）在技术培训结束后，乙方技术支持小组将培训的结果汇总、整理后，反馈给中山市公安局项目管理人员，并对技术培训的成果进行审核和评估。</w:t>
      </w:r>
    </w:p>
    <w:p>
      <w:pPr>
        <w:jc w:val="both"/>
      </w:pPr>
      <w:r>
        <w:rPr>
          <w:b/>
          <w:sz w:val="21"/>
        </w:rPr>
        <w:t>（五）培训方式</w:t>
      </w:r>
    </w:p>
    <w:p>
      <w:pPr>
        <w:jc w:val="both"/>
      </w:pPr>
      <w:r>
        <w:rPr>
          <w:sz w:val="21"/>
        </w:rPr>
        <w:t>（</w:t>
      </w:r>
      <w:r>
        <w:rPr>
          <w:sz w:val="21"/>
        </w:rPr>
        <w:t>1）授课和实际操作相结合；</w:t>
      </w:r>
    </w:p>
    <w:p>
      <w:pPr>
        <w:jc w:val="both"/>
      </w:pPr>
      <w:r>
        <w:rPr>
          <w:sz w:val="21"/>
        </w:rPr>
        <w:t>（</w:t>
      </w:r>
      <w:r>
        <w:rPr>
          <w:sz w:val="21"/>
        </w:rPr>
        <w:t>2）指导培训人员进行工作；</w:t>
      </w:r>
    </w:p>
    <w:p>
      <w:pPr>
        <w:jc w:val="both"/>
      </w:pPr>
      <w:r>
        <w:rPr>
          <w:sz w:val="21"/>
        </w:rPr>
        <w:t>（</w:t>
      </w:r>
      <w:r>
        <w:rPr>
          <w:sz w:val="21"/>
        </w:rPr>
        <w:t>3）让培训人员参与项目的一些简单工作；</w:t>
      </w:r>
    </w:p>
    <w:p>
      <w:pPr>
        <w:jc w:val="both"/>
      </w:pPr>
      <w:r>
        <w:rPr>
          <w:sz w:val="21"/>
        </w:rPr>
        <w:t>（</w:t>
      </w:r>
      <w:r>
        <w:rPr>
          <w:sz w:val="21"/>
        </w:rPr>
        <w:t>4）让培训人员独立工作，由</w:t>
      </w:r>
      <w:r>
        <w:rPr>
          <w:sz w:val="21"/>
        </w:rPr>
        <w:t>乙方</w:t>
      </w:r>
      <w:r>
        <w:rPr>
          <w:sz w:val="21"/>
        </w:rPr>
        <w:t>进行质量控制；</w:t>
      </w:r>
    </w:p>
    <w:p>
      <w:pPr>
        <w:ind w:firstLine="371"/>
      </w:pPr>
      <w:r>
        <w:rPr>
          <w:sz w:val="21"/>
        </w:rPr>
        <w:t>（</w:t>
      </w:r>
      <w:r>
        <w:rPr>
          <w:sz w:val="21"/>
        </w:rPr>
        <w:t>5）培训结束后，可根据培训情况对培训人员进行理论和实际操作的考试。</w:t>
      </w:r>
    </w:p>
    <w:p>
      <w:pPr>
        <w:ind w:firstLine="371"/>
      </w:pPr>
    </w:p>
    <w:p>
      <w:r>
        <w:rPr>
          <w:b/>
          <w:sz w:val="21"/>
        </w:rPr>
        <w:t>十、甲乙方权利义务</w:t>
      </w:r>
    </w:p>
    <w:p>
      <w:pPr>
        <w:ind w:firstLine="420"/>
        <w:jc w:val="both"/>
      </w:pPr>
      <w:r>
        <w:rPr>
          <w:sz w:val="21"/>
        </w:rPr>
        <w:t>（一）甲方权利义务</w:t>
      </w:r>
    </w:p>
    <w:p>
      <w:pPr>
        <w:jc w:val="left"/>
      </w:pPr>
      <w:r>
        <w:rPr/>
        <w:t xml:space="preserve">    </w:t>
      </w:r>
      <w:r>
        <w:rPr>
          <w:sz w:val="21"/>
        </w:rPr>
        <w:t>（</w:t>
      </w:r>
      <w:r>
        <w:rPr>
          <w:sz w:val="21"/>
        </w:rPr>
        <w:t>1）</w:t>
      </w:r>
      <w:r>
        <w:rPr>
          <w:sz w:val="21"/>
        </w:rPr>
        <w:t>甲方未按本合同约定支付乙方合同款，影响项目开展进度的，甲方应承担顺延工</w:t>
      </w:r>
    </w:p>
    <w:p>
      <w:pPr>
        <w:jc w:val="left"/>
      </w:pPr>
      <w:r>
        <w:rPr>
          <w:sz w:val="21"/>
        </w:rPr>
        <w:t>期的责任。</w:t>
      </w:r>
    </w:p>
    <w:p>
      <w:pPr>
        <w:jc w:val="left"/>
      </w:pPr>
      <w:r>
        <w:rPr/>
        <w:t xml:space="preserve">    </w:t>
      </w:r>
      <w:r>
        <w:rPr>
          <w:sz w:val="21"/>
        </w:rPr>
        <w:t>（</w:t>
      </w:r>
      <w:r>
        <w:rPr>
          <w:sz w:val="21"/>
        </w:rPr>
        <w:t>2</w:t>
      </w:r>
      <w:r>
        <w:rPr>
          <w:sz w:val="21"/>
        </w:rPr>
        <w:t>）</w:t>
      </w:r>
      <w:r>
        <w:rPr>
          <w:sz w:val="21"/>
        </w:rPr>
        <w:t>甲方应配合乙方进行项目需求调研分析。</w:t>
      </w:r>
    </w:p>
    <w:p>
      <w:pPr>
        <w:jc w:val="left"/>
      </w:pPr>
      <w:r>
        <w:rPr/>
        <w:t xml:space="preserve">    </w:t>
      </w:r>
      <w:r>
        <w:rPr>
          <w:sz w:val="21"/>
        </w:rPr>
        <w:t>（</w:t>
      </w:r>
      <w:r>
        <w:rPr>
          <w:sz w:val="21"/>
        </w:rPr>
        <w:t>3</w:t>
      </w:r>
      <w:r>
        <w:rPr>
          <w:sz w:val="21"/>
        </w:rPr>
        <w:t>）</w:t>
      </w:r>
      <w:r>
        <w:rPr>
          <w:sz w:val="21"/>
        </w:rPr>
        <w:t>甲方应向乙方提供必要的资料和条件，配合乙方进行服务开发、调试及实施。</w:t>
      </w:r>
    </w:p>
    <w:p>
      <w:pPr>
        <w:jc w:val="left"/>
      </w:pPr>
      <w:r>
        <w:rPr/>
        <w:t xml:space="preserve">    </w:t>
      </w:r>
      <w:r>
        <w:rPr>
          <w:sz w:val="21"/>
        </w:rPr>
        <w:t>（</w:t>
      </w:r>
      <w:r>
        <w:rPr>
          <w:sz w:val="21"/>
        </w:rPr>
        <w:t>4</w:t>
      </w:r>
      <w:r>
        <w:rPr>
          <w:sz w:val="21"/>
        </w:rPr>
        <w:t>）</w:t>
      </w:r>
      <w:r>
        <w:rPr>
          <w:sz w:val="21"/>
        </w:rPr>
        <w:t>甲方有权对本合同工程的工作进度、质量等情况进行监督、检查，乙方须对甲方提出的与项目有关的咨询做解答。</w:t>
      </w:r>
    </w:p>
    <w:p>
      <w:pPr>
        <w:ind w:firstLine="420"/>
        <w:jc w:val="left"/>
      </w:pPr>
      <w:r>
        <w:rPr>
          <w:sz w:val="21"/>
        </w:rPr>
        <w:t>(二）乙方的权利和义务</w:t>
      </w:r>
    </w:p>
    <w:p>
      <w:pPr>
        <w:jc w:val="left"/>
      </w:pPr>
      <w:r>
        <w:rPr/>
        <w:t xml:space="preserve">    </w:t>
      </w:r>
      <w:r>
        <w:rPr>
          <w:sz w:val="21"/>
        </w:rPr>
        <w:t>（</w:t>
      </w:r>
      <w:r>
        <w:rPr>
          <w:sz w:val="21"/>
        </w:rPr>
        <w:t>1）</w:t>
      </w:r>
      <w:r>
        <w:rPr>
          <w:sz w:val="21"/>
        </w:rPr>
        <w:t>乙方收到甲方支付的</w:t>
      </w:r>
      <w:r>
        <w:rPr>
          <w:sz w:val="21"/>
        </w:rPr>
        <w:t>预付款</w:t>
      </w:r>
      <w:r>
        <w:rPr>
          <w:sz w:val="21"/>
        </w:rPr>
        <w:t>后，未如期进入项目实施，经甲方书面催告后</w:t>
      </w:r>
      <w:r>
        <w:rPr>
          <w:sz w:val="21"/>
        </w:rPr>
        <w:t>10日内仍未进行项目实施的，甲方有权单方终止合同，乙方除应退还甲方已支付的</w:t>
      </w:r>
      <w:r>
        <w:rPr>
          <w:sz w:val="21"/>
        </w:rPr>
        <w:t>预付款</w:t>
      </w:r>
      <w:r>
        <w:rPr>
          <w:sz w:val="21"/>
        </w:rPr>
        <w:t>外，仍需向甲方支付合同总价的</w:t>
      </w:r>
      <w:r>
        <w:rPr>
          <w:u w:val="single"/>
        </w:rPr>
        <w:t xml:space="preserve">    </w:t>
      </w:r>
      <w:r>
        <w:rPr>
          <w:sz w:val="21"/>
        </w:rPr>
        <w:t>%作为违约金。</w:t>
      </w:r>
    </w:p>
    <w:p>
      <w:pPr>
        <w:jc w:val="left"/>
      </w:pPr>
      <w:r>
        <w:rPr/>
        <w:t xml:space="preserve">   </w:t>
      </w:r>
      <w:r>
        <w:rPr>
          <w:sz w:val="21"/>
        </w:rPr>
        <w:t>（</w:t>
      </w:r>
      <w:r>
        <w:rPr>
          <w:sz w:val="21"/>
        </w:rPr>
        <w:t>2</w:t>
      </w:r>
      <w:r>
        <w:rPr>
          <w:sz w:val="21"/>
        </w:rPr>
        <w:t>）</w:t>
      </w:r>
      <w:r>
        <w:rPr>
          <w:sz w:val="21"/>
        </w:rPr>
        <w:t>因</w:t>
      </w:r>
      <w:r>
        <w:rPr>
          <w:sz w:val="21"/>
        </w:rPr>
        <w:t>天气、政府行为、甲方提供的环境不满足实施要求等影响作业的客观原因造成的工期拖延，乙方不承担赔偿责任。</w:t>
      </w:r>
    </w:p>
    <w:p>
      <w:pPr>
        <w:jc w:val="left"/>
      </w:pPr>
      <w:r>
        <w:rPr/>
        <w:t xml:space="preserve">   </w:t>
      </w:r>
      <w:r>
        <w:rPr>
          <w:sz w:val="21"/>
        </w:rPr>
        <w:t>（</w:t>
      </w:r>
      <w:r>
        <w:rPr>
          <w:sz w:val="21"/>
        </w:rPr>
        <w:t>3</w:t>
      </w:r>
      <w:r>
        <w:rPr>
          <w:sz w:val="21"/>
        </w:rPr>
        <w:t>）</w:t>
      </w:r>
      <w:r>
        <w:rPr>
          <w:sz w:val="21"/>
        </w:rPr>
        <w:t>乙方完成本项目需求报告后，必须经过甲方评审确认后方可实施。若需求报告出现偏差，甲方有权要求乙方按照评审意见进行修正。</w:t>
      </w:r>
    </w:p>
    <w:p>
      <w:pPr>
        <w:jc w:val="left"/>
      </w:pPr>
      <w:r>
        <w:rPr>
          <w:sz w:val="21"/>
        </w:rPr>
        <w:t xml:space="preserve">   </w:t>
      </w:r>
      <w:r>
        <w:rPr>
          <w:sz w:val="21"/>
        </w:rPr>
        <w:t>（</w:t>
      </w:r>
      <w:r>
        <w:rPr>
          <w:sz w:val="21"/>
        </w:rPr>
        <w:t>4）乙方提供的项目成果质量不合格，乙方应负责无偿采取补救措施，因此给甲方所造成的损失由乙方承担。</w:t>
      </w:r>
    </w:p>
    <w:p>
      <w:pPr>
        <w:jc w:val="left"/>
      </w:pPr>
    </w:p>
    <w:p>
      <w:pPr>
        <w:jc w:val="left"/>
      </w:pPr>
      <w:r>
        <w:rPr>
          <w:b/>
          <w:sz w:val="21"/>
        </w:rPr>
        <w:t>十</w:t>
      </w:r>
      <w:r>
        <w:rPr>
          <w:b/>
          <w:sz w:val="21"/>
        </w:rPr>
        <w:t>一</w:t>
      </w:r>
      <w:r>
        <w:rPr>
          <w:b/>
          <w:sz w:val="21"/>
        </w:rPr>
        <w:t>、</w:t>
      </w:r>
      <w:r>
        <w:rPr>
          <w:b/>
          <w:sz w:val="21"/>
        </w:rPr>
        <w:t>知识产权</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p>
    <w:p>
      <w:pPr>
        <w:jc w:val="both"/>
      </w:pPr>
      <w:r>
        <w:rPr>
          <w:b/>
          <w:sz w:val="21"/>
        </w:rPr>
        <w:t>十二</w:t>
      </w:r>
      <w:r>
        <w:rPr>
          <w:b/>
          <w:sz w:val="21"/>
        </w:rPr>
        <w:t>、</w:t>
      </w:r>
      <w:r>
        <w:rPr>
          <w:b/>
          <w:sz w:val="21"/>
        </w:rPr>
        <w:t>保密要求</w:t>
      </w:r>
    </w:p>
    <w:p>
      <w:pPr>
        <w:ind w:firstLine="420"/>
        <w:jc w:val="both"/>
      </w:pPr>
      <w:r>
        <w:rPr>
          <w:sz w:val="21"/>
        </w:rPr>
        <w:t>由于该项目内容</w:t>
      </w:r>
      <w:r>
        <w:rPr>
          <w:sz w:val="21"/>
        </w:rPr>
        <w:t>涉及</w:t>
      </w:r>
      <w:r>
        <w:rPr>
          <w:sz w:val="21"/>
        </w:rPr>
        <w:t>甲方</w:t>
      </w:r>
      <w:r>
        <w:rPr>
          <w:sz w:val="21"/>
        </w:rPr>
        <w:t>内部事项和国家规定的保密事项，乙方应承诺做好保密工作并承担相应的责任：</w:t>
      </w:r>
    </w:p>
    <w:p>
      <w:pPr>
        <w:ind w:firstLine="420"/>
        <w:jc w:val="both"/>
      </w:pPr>
      <w:r>
        <w:rPr>
          <w:sz w:val="21"/>
        </w:rPr>
        <w:t>乙方须和甲方签订</w:t>
      </w:r>
      <w:r>
        <w:rPr>
          <w:sz w:val="21"/>
        </w:rPr>
        <w:t>《广东省公安机关信息化建设第三方运维机构安全保密责任书》</w:t>
      </w:r>
      <w:r>
        <w:rPr>
          <w:sz w:val="21"/>
        </w:rPr>
        <w:t xml:space="preserve"> </w:t>
      </w:r>
      <w:r>
        <w:rPr>
          <w:sz w:val="21"/>
        </w:rPr>
        <w:t>、</w:t>
      </w:r>
      <w:r>
        <w:rPr>
          <w:sz w:val="21"/>
        </w:rPr>
        <w:t xml:space="preserve"> </w:t>
      </w:r>
      <w:r>
        <w:rPr>
          <w:sz w:val="21"/>
        </w:rPr>
        <w:t>《广东省公安机关信息化建设第三方运维人员安全保密责任书》，</w:t>
      </w:r>
      <w:r>
        <w:rPr>
          <w:sz w:val="21"/>
        </w:rPr>
        <w:t>保证对本项目相关资料的使用仅限于本项目，未经甲方书面同意，不得直接、间接地透露或提供给任何第三方或将其使用在其它项目中</w:t>
      </w:r>
      <w:r>
        <w:rPr>
          <w:sz w:val="21"/>
        </w:rPr>
        <w:t>；</w:t>
      </w:r>
      <w:r>
        <w:rPr>
          <w:sz w:val="21"/>
        </w:rPr>
        <w:t>保证对本项目相关资料的内容保密，乙方参与本项目的人员若泄露相关内容，责任由乙方承担。</w:t>
      </w:r>
    </w:p>
    <w:p>
      <w:pPr>
        <w:ind w:firstLine="420"/>
        <w:jc w:val="both"/>
      </w:pPr>
      <w:r>
        <w:rPr>
          <w:sz w:val="21"/>
        </w:rPr>
        <w:t>如违反上述约定及《中华人民共和国保守国家秘密法》等相关规定，甲方有权对乙方采取相应的处罚措施并有权依法追究其法律责任。</w:t>
      </w:r>
    </w:p>
    <w:p/>
    <w:p>
      <w:r>
        <w:rPr>
          <w:b/>
          <w:sz w:val="21"/>
        </w:rPr>
        <w:t>十</w:t>
      </w:r>
      <w:r>
        <w:rPr>
          <w:b/>
          <w:sz w:val="21"/>
        </w:rPr>
        <w:t>三</w:t>
      </w:r>
      <w:r>
        <w:rPr>
          <w:b/>
          <w:sz w:val="21"/>
        </w:rPr>
        <w:t>、违约责任与赔偿损失</w:t>
      </w:r>
    </w:p>
    <w:p>
      <w:r>
        <w:rPr>
          <w:b/>
        </w:rPr>
        <w:t xml:space="preserve">   </w:t>
      </w:r>
      <w:r>
        <w:rPr>
          <w:b/>
        </w:rPr>
        <w:t xml:space="preserve"> </w:t>
      </w:r>
      <w:r>
        <w:rPr>
          <w:sz w:val="21"/>
        </w:rPr>
        <w:t>（一）乙方提供的服务不符合采购文件、报价文件或本合同规定的，甲方有权拒收，并且乙方须向甲方支付本合同总价</w:t>
      </w:r>
      <w:r>
        <w:rPr>
          <w:sz w:val="21"/>
        </w:rPr>
        <w:t>5%的违约金。</w:t>
      </w:r>
    </w:p>
    <w:p>
      <w:r>
        <w:rPr/>
        <w:t xml:space="preserve">    </w:t>
      </w:r>
      <w:r>
        <w:rPr>
          <w:sz w:val="21"/>
        </w:rPr>
        <w:t>（二）如乙方不能在合同要求的工期内完成本项目招标文件中的全部需求，必将严重影响甲方的正常业务，乙方必须承担由此而导致的甲方所有经济损失，每逾期一天，乙方须向甲方支付合同总额</w:t>
      </w:r>
      <w:r>
        <w:rPr>
          <w:sz w:val="21"/>
        </w:rPr>
        <w:t>1‰的逾期违约金，并承担一切法律责任。</w:t>
      </w:r>
    </w:p>
    <w:p>
      <w:pPr>
        <w:ind w:firstLine="420"/>
      </w:pPr>
      <w:r>
        <w:rPr>
          <w:sz w:val="21"/>
        </w:rPr>
        <w:t>（三）乙方收到甲方支付的预付款后，未如期进入项目实施，或乙方提供的地图数据不符合投标文件的承诺，经甲方告知后</w:t>
      </w:r>
      <w:r>
        <w:rPr>
          <w:sz w:val="21"/>
        </w:rPr>
        <w:t>30天仍无法解决的，甲方有权单方终止合同，乙方除应退还甲方已支付的预付款外，仍需向甲方支付合同总价的10%作为违约金。</w:t>
      </w:r>
    </w:p>
    <w:p>
      <w:r>
        <w:rPr/>
        <w:t xml:space="preserve">    </w:t>
      </w:r>
      <w:r>
        <w:rPr>
          <w:sz w:val="21"/>
        </w:rPr>
        <w:t>（四）甲方无正当理由拒绝项目验收和接受服务，到期拒付服务款项的，甲方向乙方偿付本合同总的</w:t>
      </w:r>
      <w:r>
        <w:rPr>
          <w:sz w:val="21"/>
        </w:rPr>
        <w:t>5%的违约金。</w:t>
      </w:r>
    </w:p>
    <w:p>
      <w:r>
        <w:rPr/>
        <w:t xml:space="preserve">    </w:t>
      </w:r>
      <w:r>
        <w:rPr>
          <w:sz w:val="21"/>
        </w:rPr>
        <w:t>（五）如因乙方原因，导致服务保障措施不到位的，每延期一天修复完成，乙方须向甲方支付合同总额</w:t>
      </w:r>
      <w:r>
        <w:rPr>
          <w:sz w:val="21"/>
        </w:rPr>
        <w:t>1‰的逾期违约金。</w:t>
      </w:r>
    </w:p>
    <w:p>
      <w:pPr>
        <w:ind w:firstLine="420"/>
      </w:pPr>
      <w:r>
        <w:rPr>
          <w:sz w:val="21"/>
        </w:rPr>
        <w:t>（六）其它违约责任按《中华人民共和国民法典》处理。</w:t>
      </w:r>
    </w:p>
    <w:p>
      <w:pPr>
        <w:ind w:firstLine="495"/>
      </w:pPr>
    </w:p>
    <w:p>
      <w:r>
        <w:rPr>
          <w:b/>
          <w:sz w:val="21"/>
        </w:rPr>
        <w:t>十</w:t>
      </w:r>
      <w:r>
        <w:rPr>
          <w:b/>
          <w:sz w:val="21"/>
        </w:rPr>
        <w:t>四</w:t>
      </w:r>
      <w:r>
        <w:rPr>
          <w:b/>
          <w:sz w:val="21"/>
        </w:rPr>
        <w:t>、争议的解决</w:t>
      </w:r>
    </w:p>
    <w:p>
      <w:pPr>
        <w:jc w:val="both"/>
      </w:pPr>
      <w:r>
        <w:rPr>
          <w:sz w:val="21"/>
        </w:rPr>
        <w:t xml:space="preserve">    </w:t>
      </w:r>
      <w:r>
        <w:rPr>
          <w:sz w:val="21"/>
        </w:rPr>
        <w:t>（一）</w:t>
      </w:r>
      <w:r>
        <w:rPr>
          <w:sz w:val="21"/>
        </w:rPr>
        <w:t>本合同适用中华人民共和国法律。</w:t>
      </w:r>
    </w:p>
    <w:p>
      <w:pPr>
        <w:ind w:firstLine="420"/>
        <w:jc w:val="both"/>
      </w:pPr>
      <w:r>
        <w:rPr>
          <w:sz w:val="21"/>
        </w:rPr>
        <w:t>（二）</w:t>
      </w:r>
      <w:r>
        <w:rPr>
          <w:sz w:val="21"/>
        </w:rPr>
        <w:t>所有与本合同有关的任何争议将通过各方友好协商解决。如果各方不能通过友好协商解决争议，则任何一方均可向中山市第一人民法院起诉。</w:t>
      </w:r>
    </w:p>
    <w:p>
      <w:pPr>
        <w:ind w:firstLine="420"/>
      </w:pPr>
      <w:r>
        <w:rPr>
          <w:sz w:val="21"/>
        </w:rPr>
        <w:t>（三）</w:t>
      </w:r>
      <w:r>
        <w:rPr>
          <w:sz w:val="21"/>
        </w:rPr>
        <w:t>诉讼进行过程中，各方将继续履行未涉诉讼的其它部分。</w:t>
      </w:r>
    </w:p>
    <w:p>
      <w:pPr>
        <w:ind w:firstLine="420"/>
      </w:pPr>
    </w:p>
    <w:p>
      <w:r>
        <w:rPr>
          <w:b/>
          <w:sz w:val="21"/>
        </w:rPr>
        <w:t>十</w:t>
      </w:r>
      <w:r>
        <w:rPr>
          <w:b/>
          <w:sz w:val="21"/>
        </w:rPr>
        <w:t>五</w:t>
      </w:r>
      <w:r>
        <w:rPr>
          <w:b/>
          <w:sz w:val="21"/>
        </w:rPr>
        <w:t>、不可抗力</w:t>
      </w:r>
    </w:p>
    <w:p>
      <w:pPr>
        <w:ind w:firstLine="411"/>
      </w:pPr>
      <w:r>
        <w:rPr>
          <w:sz w:val="21"/>
        </w:rPr>
        <w:t>任何一方由于不可抗力原因不能履行合同时，应在不可抗力事件发生之日起向对方通报，以减轻可能给对方造成的损失，在取得有关机构的不可抗力证明和另一方谅解确认后，允许延期履行或修订合同，并根据情况可部分或全部免于承担违约责任。</w:t>
      </w:r>
    </w:p>
    <w:p>
      <w:pPr>
        <w:ind w:firstLine="411"/>
      </w:pPr>
    </w:p>
    <w:p>
      <w:r>
        <w:rPr>
          <w:b/>
          <w:sz w:val="21"/>
        </w:rPr>
        <w:t>十</w:t>
      </w:r>
      <w:r>
        <w:rPr>
          <w:b/>
          <w:sz w:val="21"/>
        </w:rPr>
        <w:t>六</w:t>
      </w:r>
      <w:r>
        <w:rPr>
          <w:b/>
          <w:sz w:val="21"/>
        </w:rPr>
        <w:t>、税费：</w:t>
      </w:r>
      <w:r>
        <w:rPr>
          <w:sz w:val="21"/>
        </w:rPr>
        <w:t>在中国境内、外发生的与本合同执行有关的一切税费均由乙方负担。</w:t>
      </w:r>
    </w:p>
    <w:p/>
    <w:p>
      <w:r>
        <w:rPr>
          <w:b/>
          <w:sz w:val="21"/>
        </w:rPr>
        <w:t>十</w:t>
      </w:r>
      <w:r>
        <w:rPr>
          <w:b/>
          <w:sz w:val="21"/>
        </w:rPr>
        <w:t>七</w:t>
      </w:r>
      <w:r>
        <w:rPr>
          <w:b/>
          <w:sz w:val="21"/>
        </w:rPr>
        <w:t>、</w:t>
      </w:r>
      <w:r>
        <w:rPr>
          <w:b/>
          <w:sz w:val="21"/>
        </w:rPr>
        <w:t>其他</w:t>
      </w:r>
    </w:p>
    <w:p>
      <w:r>
        <w:rPr>
          <w:sz w:val="21"/>
        </w:rPr>
        <w:t xml:space="preserve">   </w:t>
      </w:r>
      <w:r>
        <w:rPr>
          <w:sz w:val="21"/>
        </w:rPr>
        <w:t>（一）本合同所有附件、采购文件、投标文件、中标通知书均为合同的有效组成部分，与本合同具有同等法律效力。</w:t>
      </w:r>
    </w:p>
    <w:p>
      <w:r>
        <w:rPr>
          <w:sz w:val="21"/>
        </w:rPr>
        <w:t xml:space="preserve">   </w:t>
      </w:r>
      <w:r>
        <w:rPr>
          <w:sz w:val="21"/>
        </w:rPr>
        <w:t>（二）</w:t>
      </w:r>
      <w:r>
        <w:rPr>
          <w:sz w:val="21"/>
        </w:rPr>
        <w:t>在执行本合同的过程中，所有经双方签署确认的文件（包括会议纪要、补充协议、往来信函）即成为本合同的有效组成部分。</w:t>
      </w:r>
    </w:p>
    <w:p>
      <w:r>
        <w:rPr>
          <w:sz w:val="21"/>
        </w:rPr>
        <w:t xml:space="preserve">   </w:t>
      </w:r>
      <w:r>
        <w:rPr>
          <w:sz w:val="21"/>
        </w:rPr>
        <w:t>（三）如一方地址、电话、传真号码有变更，应在变更当日内书面通知对方，否则，应承担相应责任。</w:t>
      </w:r>
    </w:p>
    <w:p>
      <w:r>
        <w:rPr>
          <w:sz w:val="21"/>
        </w:rPr>
        <w:t xml:space="preserve">   </w:t>
      </w:r>
      <w:r>
        <w:rPr>
          <w:sz w:val="21"/>
        </w:rPr>
        <w:t>（四）除甲方事先书面同意外，乙方不得部分或全部转让其应履行的合同项下的义务。</w:t>
      </w:r>
    </w:p>
    <w:p>
      <w:r>
        <w:rPr/>
        <w:t xml:space="preserve">   </w:t>
      </w:r>
    </w:p>
    <w:p>
      <w:r>
        <w:rPr>
          <w:b/>
          <w:sz w:val="21"/>
        </w:rPr>
        <w:t>十</w:t>
      </w:r>
      <w:r>
        <w:rPr>
          <w:b/>
          <w:sz w:val="21"/>
        </w:rPr>
        <w:t>八</w:t>
      </w:r>
      <w:r>
        <w:rPr>
          <w:b/>
          <w:sz w:val="21"/>
        </w:rPr>
        <w:t>、合同生效：</w:t>
      </w:r>
    </w:p>
    <w:p>
      <w:r>
        <w:rPr>
          <w:sz w:val="21"/>
        </w:rPr>
        <w:t xml:space="preserve">   </w:t>
      </w:r>
      <w:r>
        <w:rPr>
          <w:sz w:val="21"/>
        </w:rPr>
        <w:t>（一）本合同在甲乙双方法人代表或其授权代表签字盖章后生效。</w:t>
      </w:r>
    </w:p>
    <w:p>
      <w:r>
        <w:rPr>
          <w:sz w:val="21"/>
        </w:rPr>
        <w:t xml:space="preserve">   </w:t>
      </w:r>
      <w:r>
        <w:rPr>
          <w:sz w:val="21"/>
        </w:rPr>
        <w:t>（二）本合同一式</w:t>
      </w:r>
      <w:r>
        <w:rPr>
          <w:sz w:val="21"/>
        </w:rPr>
        <w:t>五</w:t>
      </w:r>
      <w:r>
        <w:rPr>
          <w:sz w:val="21"/>
        </w:rPr>
        <w:t>份，甲方执三份，乙方执二份，均具同等效力。</w:t>
      </w:r>
    </w:p>
    <w:p>
      <w:pPr>
        <w:ind w:firstLine="495"/>
      </w:pPr>
    </w:p>
    <w:p>
      <w:pPr>
        <w:jc w:val="center"/>
      </w:pPr>
      <w:r>
        <w:rPr>
          <w:sz w:val="21"/>
        </w:rPr>
        <w:t>甲方（盖章）：中山市公安局</w:t>
      </w:r>
      <w:r>
        <w:rPr>
          <w:sz w:val="21"/>
        </w:rPr>
        <w:t xml:space="preserve">           </w:t>
      </w:r>
      <w:r>
        <w:rPr>
          <w:sz w:val="21"/>
        </w:rPr>
        <w:t>乙方（盖章）：</w:t>
      </w:r>
      <w:r>
        <w:rPr>
          <w:sz w:val="21"/>
        </w:rPr>
        <w:t xml:space="preserve">   </w:t>
      </w:r>
      <w:r>
        <w:rPr>
          <w:b/>
        </w:rPr>
        <w:t xml:space="preserve">                                                   </w:t>
      </w:r>
    </w:p>
    <w:p>
      <w:r>
        <w:rPr>
          <w:sz w:val="21"/>
        </w:rPr>
        <w:t>法人代表或授权代理人（签字）：</w:t>
      </w:r>
      <w:r>
        <w:rPr>
          <w:sz w:val="21"/>
        </w:rPr>
        <w:t xml:space="preserve">      </w:t>
      </w:r>
      <w:r>
        <w:rPr>
          <w:sz w:val="21"/>
        </w:rPr>
        <w:t>法人代表或授权代理人（签字）：</w:t>
      </w:r>
    </w:p>
    <w:p/>
    <w:p/>
    <w:p/>
    <w:p>
      <w:r>
        <w:rPr>
          <w:sz w:val="21"/>
        </w:rPr>
        <w:t xml:space="preserve">                                     </w:t>
      </w:r>
      <w:r>
        <w:rPr>
          <w:sz w:val="21"/>
        </w:rPr>
        <w:t>开户银行：</w:t>
      </w:r>
      <w:r>
        <w:rPr>
          <w:sz w:val="21"/>
        </w:rPr>
        <w:t xml:space="preserve">  </w:t>
      </w:r>
    </w:p>
    <w:p>
      <w:r>
        <w:rPr>
          <w:sz w:val="21"/>
        </w:rPr>
        <w:t xml:space="preserve">                                     </w:t>
      </w:r>
      <w:r>
        <w:rPr>
          <w:sz w:val="21"/>
        </w:rPr>
        <w:t>开户名称：</w:t>
      </w:r>
    </w:p>
    <w:p>
      <w:r>
        <w:rPr>
          <w:sz w:val="21"/>
        </w:rPr>
        <w:t xml:space="preserve">                                     </w:t>
      </w:r>
      <w:r>
        <w:rPr>
          <w:sz w:val="21"/>
        </w:rPr>
        <w:t>银行帐号：</w:t>
      </w:r>
    </w:p>
    <w:p/>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442000-2023-05020</w:t>
      </w:r>
    </w:p>
    <w:p>
      <w:pPr>
        <w:jc w:val="center"/>
      </w:pPr>
      <w:r>
        <w:rPr>
          <w:b/>
          <w:sz w:val="24"/>
        </w:rPr>
        <w:t>采购项目编号：</w:t>
      </w:r>
      <w:r>
        <w:rPr>
          <w:b/>
          <w:sz w:val="24"/>
        </w:rPr>
        <w:t>ZSXCTAZ2306049G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中山信诚招标有限公司</w:t>
      </w:r>
    </w:p>
    <w:p>
      <w:pPr>
        <w:ind w:firstLine="480"/>
      </w:pPr>
      <w:r>
        <w:rPr/>
        <w:t>你方组织的</w:t>
      </w:r>
      <w:r>
        <w:rPr>
          <w:u w:val="single"/>
        </w:rPr>
        <w:t>“</w:t>
      </w:r>
      <w:r>
        <w:rPr>
          <w:u w:val="single"/>
        </w:rPr>
        <w:t>中山市公安局社会面治安巡防管控“四个一”体系前端感知系统项目</w:t>
      </w:r>
      <w:r>
        <w:rPr>
          <w:u w:val="single"/>
        </w:rPr>
        <w:t>”</w:t>
      </w:r>
      <w:r>
        <w:rPr/>
        <w:t>项目的招标[采购项目编号为：</w:t>
      </w:r>
      <w:r>
        <w:rPr>
          <w:u w:val="single"/>
        </w:rPr>
        <w:t>ZSXCTAZ2306049G</w:t>
      </w:r>
      <w:r>
        <w:rPr/>
        <w:t>]，我方愿参与投标。</w:t>
      </w:r>
    </w:p>
    <w:p>
      <w:pPr>
        <w:ind w:firstLine="480"/>
      </w:pPr>
      <w:r>
        <w:rPr/>
        <w:t>我方确认收到贵方提供的</w:t>
      </w:r>
      <w:r>
        <w:rPr>
          <w:u w:val="single"/>
        </w:rPr>
        <w:t>“</w:t>
      </w:r>
      <w:r>
        <w:rPr>
          <w:u w:val="single"/>
        </w:rPr>
        <w:t>中山市公安局社会面治安巡防管控“四个一”体系前端感知系统项目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中山信诚招标有限公司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中山市公安局社会面治安巡防管控“四个一”体系前端感知系统项目</w:t>
      </w:r>
      <w:r>
        <w:rPr/>
        <w:t>”项目采购[采购项目编号为</w:t>
      </w:r>
      <w:r>
        <w:rPr/>
        <w:t>ZSXCTAZ2306049G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中山信诚招标有限公司</w:t>
      </w:r>
    </w:p>
    <w:p>
      <w:pPr>
        <w:ind w:firstLine="480"/>
      </w:pPr>
      <w:r>
        <w:rPr/>
        <w:t>如果我方在贵采购代理机构组织的</w:t>
      </w:r>
      <w:r>
        <w:rPr/>
        <w:t>中山市公安局社会面治安巡防管控“四个一”体系前端感知系统项目</w:t>
      </w:r>
      <w:r>
        <w:rPr/>
        <w:t>招标中获中标（采购项目编号：</w:t>
      </w:r>
      <w:r>
        <w:rPr/>
        <w:t>ZSXCTAZ2306049G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中山信诚招标有限公司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中山信诚招标有限公司</w:t>
      </w:r>
    </w:p>
    <w:p>
      <w:pPr>
        <w:ind w:firstLine="480"/>
      </w:pPr>
      <w:r>
        <w:rPr/>
        <w:t>我单位已登记并准备参与“</w:t>
      </w:r>
      <w:r>
        <w:rPr/>
        <w:t>中山市公安局社会面治安巡防管控“四个一”体系前端感知系统项目</w:t>
      </w:r>
      <w:r>
        <w:rPr/>
        <w:t>”项目（采购项目编号：</w:t>
      </w:r>
      <w:r>
        <w:rPr/>
        <w:t>ZSXCTAZ2306049G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