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442000-2023-05101</w:t>
      </w:r>
    </w:p>
    <w:p>
      <w:pPr>
        <w:jc w:val="center"/>
      </w:pPr>
      <w:r>
        <w:rPr>
          <w:b/>
          <w:sz w:val="24"/>
        </w:rPr>
        <w:t>采购项目编号：</w:t>
      </w:r>
      <w:r>
        <w:rPr>
          <w:b/>
          <w:sz w:val="24"/>
        </w:rPr>
        <w:t>ZSXCTAZ2310082G</w:t>
      </w:r>
    </w:p>
    <w:p>
      <w:pPr>
        <w:jc w:val="center"/>
      </w:pPr>
      <w:r>
        <w:rPr>
          <w:b/>
          <w:sz w:val="24"/>
        </w:rPr>
        <w:t>项目名称：</w:t>
      </w:r>
      <w:r>
        <w:rPr>
          <w:b/>
          <w:sz w:val="24"/>
        </w:rPr>
        <w:t>中山市详细规划评估与详细规划单元划分优化</w:t>
      </w:r>
    </w:p>
    <w:p>
      <w:pPr>
        <w:jc w:val="center"/>
      </w:pPr>
      <w:r>
        <w:rPr>
          <w:b/>
          <w:sz w:val="24"/>
        </w:rPr>
        <w:t>采购人：</w:t>
      </w:r>
      <w:r>
        <w:rPr>
          <w:b/>
          <w:sz w:val="24"/>
        </w:rPr>
        <w:t>中山市自然资源局</w:t>
      </w:r>
    </w:p>
    <w:p>
      <w:pPr>
        <w:jc w:val="center"/>
      </w:pPr>
      <w:r>
        <w:rPr>
          <w:b/>
          <w:sz w:val="24"/>
        </w:rPr>
        <w:t>采购代理机构：</w:t>
      </w:r>
      <w:r>
        <w:rPr>
          <w:b/>
          <w:sz w:val="24"/>
        </w:rPr>
        <w:t>中山信诚招标有限公司</w:t>
      </w:r>
    </w:p>
    <w:p>
      <w:pPr>
        <w:ind w:firstLine="480"/>
      </w:pPr>
    </w:p>
    <w:p>
      <w:r>
        <w:rPr/>
        <w:t xml:space="preserve"> </w:t>
      </w:r>
    </w:p>
    <w:p/>
    <w:p>
      <w:pPr>
        <w:jc w:val="center"/>
      </w:pPr>
      <w:r>
        <w:rPr>
          <w:b/>
          <w:sz w:val="36"/>
        </w:rPr>
        <w:t>第一章投标邀请</w:t>
      </w:r>
    </w:p>
    <w:p>
      <w:pPr>
        <w:ind w:firstLine="480"/>
      </w:pPr>
      <w:r>
        <w:rPr/>
        <w:t>中山信诚招标有限公司</w:t>
      </w:r>
      <w:r>
        <w:rPr/>
        <w:t>受</w:t>
      </w:r>
      <w:r>
        <w:rPr/>
        <w:t>中山市自然资源局</w:t>
      </w:r>
      <w:r>
        <w:rPr/>
        <w:t>的委托，采用</w:t>
      </w:r>
      <w:r>
        <w:rPr/>
        <w:t>公开招标</w:t>
      </w:r>
      <w:r>
        <w:rPr/>
        <w:t>方式组织采购</w:t>
      </w:r>
      <w:r>
        <w:rPr/>
        <w:t>中山市详细规划评估与详细规划单元划分优化</w:t>
      </w:r>
      <w:r>
        <w:rPr/>
        <w:t>。欢迎符合资格条件的国内供应商参加投标。</w:t>
      </w:r>
    </w:p>
    <w:p>
      <w:r>
        <w:rPr>
          <w:b/>
          <w:sz w:val="28"/>
        </w:rPr>
        <w:t>一.项目概述</w:t>
      </w:r>
    </w:p>
    <w:p>
      <w:r>
        <w:rPr>
          <w:b/>
          <w:sz w:val="24"/>
        </w:rPr>
        <w:t>1.名称与编号</w:t>
      </w:r>
    </w:p>
    <w:p>
      <w:pPr>
        <w:ind w:firstLine="480"/>
      </w:pPr>
      <w:r>
        <w:rPr/>
        <w:t>项目名称：</w:t>
      </w:r>
      <w:r>
        <w:rPr/>
        <w:t>中山市详细规划评估与详细规划单元划分优化</w:t>
      </w:r>
    </w:p>
    <w:p>
      <w:pPr>
        <w:ind w:firstLine="480"/>
      </w:pPr>
      <w:r>
        <w:rPr/>
        <w:t>采购计划编号：</w:t>
      </w:r>
      <w:r>
        <w:rPr/>
        <w:t>442000-2023-05101</w:t>
      </w:r>
    </w:p>
    <w:p>
      <w:pPr>
        <w:ind w:firstLine="480"/>
      </w:pPr>
      <w:r>
        <w:rPr/>
        <w:t>采购项目编号：</w:t>
      </w:r>
      <w:r>
        <w:rPr/>
        <w:t>ZSXCTAZ2310082G</w:t>
      </w:r>
    </w:p>
    <w:p>
      <w:pPr>
        <w:ind w:firstLine="480"/>
      </w:pPr>
      <w:r>
        <w:rPr/>
        <w:t>采购方式：</w:t>
      </w:r>
      <w:r>
        <w:rPr/>
        <w:t>公开招标</w:t>
      </w:r>
    </w:p>
    <w:p>
      <w:pPr>
        <w:ind w:firstLine="480"/>
      </w:pPr>
      <w:r>
        <w:rPr/>
        <w:t>预算金额：</w:t>
      </w:r>
      <w:r>
        <w:rPr/>
        <w:t>2,645,500.00</w:t>
      </w:r>
      <w:r>
        <w:rPr/>
        <w:t>元</w:t>
      </w:r>
    </w:p>
    <w:p>
      <w:r>
        <w:rPr>
          <w:b/>
          <w:sz w:val="24"/>
        </w:rPr>
        <w:t>2.项目内容及需求情况（采购项目技术规格、参数及要求）</w:t>
      </w:r>
    </w:p>
    <w:p>
      <w:pPr>
        <w:ind w:firstLine="480"/>
      </w:pPr>
    </w:p>
    <w:p/>
    <w:p>
      <w:r>
        <w:rPr/>
        <w:t>采购包1(中山市详细规划评估与详细规划单元划分优化):</w:t>
      </w:r>
    </w:p>
    <w:p>
      <w:r>
        <w:rPr/>
        <w:t>采购包预算金额：2,645,500.00元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区域规划和设计服务</w:t>
            </w:r>
          </w:p>
        </w:tc>
        <w:tc>
          <w:tcPr>
            <w:tcW w:type="dxa" w:w="2136"/>
          </w:tcPr>
          <w:p>
            <w:r>
              <w:rPr/>
              <w:t>中山市详细规划评估与详细规划单元划分优化</w:t>
            </w:r>
          </w:p>
        </w:tc>
        <w:tc>
          <w:tcPr>
            <w:tcW w:type="dxa" w:w="1187"/>
          </w:tcPr>
          <w:p>
            <w:r>
              <w:rPr/>
              <w:t>1.00(项)</w:t>
            </w:r>
          </w:p>
        </w:tc>
        <w:tc>
          <w:tcPr>
            <w:tcW w:type="dxa" w:w="1187"/>
          </w:tcPr>
          <w:p>
            <w:r>
              <w:rPr/>
              <w:t>详见第二章</w:t>
            </w:r>
          </w:p>
        </w:tc>
        <w:tc>
          <w:tcPr>
            <w:tcW w:type="dxa" w:w="1187"/>
          </w:tcPr>
          <w:p>
            <w:r>
              <w:rPr/>
              <w:t>否</w:t>
            </w:r>
          </w:p>
        </w:tc>
      </w:tr>
    </w:tbl>
    <w:p/>
    <w:p>
      <w:r>
        <w:rPr/>
        <w:t>本采购包接受联合体投标</w:t>
      </w:r>
    </w:p>
    <w:p/>
    <w:p>
      <w:r>
        <w:rPr/>
        <w:t>合同履行期限：自合同签订之日起150天内完成并提交全部成果。</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单位法人登记证或身份证等相关证明）复印件/扫描件并加盖公章。分支机构投标的，须提供总公司和分公司营业执照副本复印件，总公司出具给分支机构的授权书。</w:t>
      </w:r>
    </w:p>
    <w:p/>
    <w:p>
      <w:r>
        <w:rPr/>
        <w:t>2）有依法缴纳税收和社会保障资金的良好记录：提供所属期限为2023年任意1个月依法缴纳①税收（其中险种不能为社会保险基金）和②社会保障资金的相关材料；如依法免税或不需要缴纳社会保障资金的，提供相应证明材料并加盖公章。</w:t>
      </w:r>
    </w:p>
    <w:p/>
    <w:p>
      <w:r>
        <w:rPr/>
        <w:t>3）具有良好的商业信誉和健全的财务会计制度：提供以下任一证明材料复印件并加盖公章：①2022年度财务报表或审计报告；②2023年任意1个月财务报表；③基本开户行出具的资信证明。</w:t>
      </w:r>
    </w:p>
    <w:p/>
    <w:p>
      <w:r>
        <w:rPr/>
        <w:t>4）履行合同所必需的设备和专业技术能力：按投标文件格式九提供具有履行合同所必需的设备和专业技术能力情况表或相关承诺（格式自拟）。</w:t>
      </w:r>
    </w:p>
    <w:p/>
    <w:p>
      <w:r>
        <w:rPr/>
        <w:t>5）参加采购活动前3年内，在经营活动中没有重大违法记录：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参照投标函格式承诺相关内容。</w:t>
      </w:r>
    </w:p>
    <w:p/>
    <w:p>
      <w:r>
        <w:rPr>
          <w:b/>
          <w:sz w:val="24"/>
        </w:rPr>
        <w:t>2.落实政府采购政策需满足的资格要求：</w:t>
      </w:r>
    </w:p>
    <w:p>
      <w:pPr>
        <w:ind w:firstLine="480"/>
      </w:pPr>
    </w:p>
    <w:p>
      <w:pPr>
        <w:jc w:val="left"/>
      </w:pPr>
    </w:p>
    <w:p>
      <w:r>
        <w:rPr/>
        <w:t>采购包1（中山市详细规划评估与详细规划单元划分优化）：</w:t>
      </w:r>
      <w:r>
        <w:rPr/>
        <w:t>本项目不属于专门面向中小微企业采购的项目。</w:t>
      </w:r>
    </w:p>
    <w:p/>
    <w:p>
      <w:r>
        <w:rPr>
          <w:b/>
          <w:sz w:val="24"/>
        </w:rPr>
        <w:t>3.本项目特定的资格要求：</w:t>
      </w:r>
    </w:p>
    <w:p>
      <w:pPr>
        <w:ind w:firstLine="480"/>
      </w:pPr>
    </w:p>
    <w:p/>
    <w:p>
      <w:r>
        <w:rPr/>
        <w:t>采购包1（中山市详细规划评估与详细规划单元划分优化）：</w:t>
      </w:r>
    </w:p>
    <w:p/>
    <w:p>
      <w:r>
        <w:rPr/>
        <w:t>1)投标人须具备城乡规划编制乙级或以上资质。（须提供资质证书复印件并加盖公章，根据《自然资源部办公厅关于国土空间规划编制资质有关问题的函》（自然资办函[2019]2375 号）由于机构改革导致城乡规划编制无法续期资质证书的此种情况暂不对城乡规划编制资质有效期限作出要求。）</w:t>
      </w:r>
    </w:p>
    <w:p/>
    <w:p>
      <w:r>
        <w:rPr/>
        <w:t>2)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3)单位负责人为同一人或者存在直接控股、管理关系的不同投标人，不得同时参加本采购项目投标。为本项目提供整体设计、规范编制或者项目管理、监理、检测等服务的投标人，不得再参与本项目投标。参照投标承诺函格式承诺相关内容。</w:t>
      </w:r>
    </w:p>
    <w:p/>
    <w:p>
      <w:r>
        <w:rPr/>
        <w:t>4)本次招标允许联合体投标，联合体投标的，应满足下列要求：提供联合体投标协议书，明确主体企业，且主体企业需具备城乡规划编制乙级或以上资质：联合体各方签订联合体投标协议后，不得再以自己名义单独或以其他联合体成员的名义参加同一项目的投标，组成联合体投标的成员不得超过2个。</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中山市公共资源交易中心网站（https://ggzyjy.zs.gov.cn），中山信诚招标有限公司官网（http://www.zsxct.com）</w:t>
      </w:r>
    </w:p>
    <w:p>
      <w:r>
        <w:rPr>
          <w:b/>
          <w:sz w:val="28"/>
        </w:rPr>
        <w:t>六.本项目联系方式：</w:t>
      </w:r>
    </w:p>
    <w:p>
      <w:r>
        <w:rPr>
          <w:b/>
          <w:sz w:val="24"/>
        </w:rPr>
        <w:t>1.采购人信息</w:t>
      </w:r>
    </w:p>
    <w:p>
      <w:pPr>
        <w:ind w:firstLine="480"/>
      </w:pPr>
      <w:r>
        <w:rPr/>
        <w:t>名称：</w:t>
      </w:r>
      <w:r>
        <w:rPr/>
        <w:t>中山市自然资源局</w:t>
      </w:r>
    </w:p>
    <w:p>
      <w:pPr>
        <w:ind w:firstLine="480"/>
      </w:pPr>
      <w:r>
        <w:rPr/>
        <w:t>地址：</w:t>
      </w:r>
      <w:r>
        <w:rPr/>
        <w:t>中山市石岐区兴中道二号</w:t>
      </w:r>
    </w:p>
    <w:p>
      <w:pPr>
        <w:ind w:firstLine="480"/>
      </w:pPr>
      <w:r>
        <w:rPr/>
        <w:t>联系方式：</w:t>
      </w:r>
      <w:r>
        <w:rPr/>
        <w:t>0760-88268559</w:t>
      </w:r>
    </w:p>
    <w:p>
      <w:r>
        <w:rPr>
          <w:b/>
          <w:sz w:val="24"/>
        </w:rPr>
        <w:t>2.采购代理机构信息</w:t>
      </w:r>
    </w:p>
    <w:p>
      <w:pPr>
        <w:ind w:firstLine="480"/>
      </w:pPr>
      <w:r>
        <w:rPr/>
        <w:t>名称：</w:t>
      </w:r>
      <w:r>
        <w:rPr/>
        <w:t>中山信诚招标有限公司</w:t>
      </w:r>
    </w:p>
    <w:p>
      <w:pPr>
        <w:ind w:firstLine="480"/>
      </w:pPr>
      <w:r>
        <w:rPr/>
        <w:t>地址：</w:t>
      </w:r>
      <w:r>
        <w:rPr/>
        <w:t>中山市东区东苑路119号（一、二层）</w:t>
      </w:r>
    </w:p>
    <w:p>
      <w:pPr>
        <w:ind w:firstLine="480"/>
      </w:pPr>
      <w:r>
        <w:rPr/>
        <w:t>联系方式：</w:t>
      </w:r>
      <w:r>
        <w:rPr/>
        <w:t>0760-89889189</w:t>
      </w:r>
    </w:p>
    <w:p>
      <w:r>
        <w:rPr>
          <w:b/>
          <w:sz w:val="24"/>
        </w:rPr>
        <w:t>3.项目联系方式</w:t>
      </w:r>
    </w:p>
    <w:p>
      <w:pPr>
        <w:ind w:firstLine="480"/>
      </w:pPr>
      <w:r>
        <w:rPr/>
        <w:t>项目联系人：</w:t>
      </w:r>
      <w:r>
        <w:rPr/>
        <w:t>中山信诚招标有限公司</w:t>
      </w:r>
    </w:p>
    <w:p>
      <w:pPr>
        <w:ind w:firstLine="480"/>
      </w:pPr>
      <w:r>
        <w:rPr/>
        <w:t>电话：</w:t>
      </w:r>
      <w:r>
        <w:rPr/>
        <w:t>0760-89889189</w:t>
      </w:r>
    </w:p>
    <w:p>
      <w:r>
        <w:rPr>
          <w:b/>
          <w:sz w:val="24"/>
        </w:rPr>
        <w:t>4.技术支持联系方式</w:t>
      </w:r>
    </w:p>
    <w:p>
      <w:pPr>
        <w:ind w:firstLine="480"/>
      </w:pPr>
      <w:r>
        <w:rPr/>
        <w:t>云平台联系方式：020-88696588</w:t>
      </w:r>
    </w:p>
    <w:p>
      <w:r>
        <w:rPr/>
        <w:t>采购代理机构：</w:t>
      </w:r>
      <w:r>
        <w:rPr/>
        <w:t>中山信诚招标有限公司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20"/>
        <w:jc w:val="both"/>
      </w:pPr>
      <w:r>
        <w:rPr>
          <w:sz w:val="21"/>
        </w:rPr>
        <w:t>1．</w:t>
      </w:r>
      <w:r>
        <w:rPr>
          <w:sz w:val="21"/>
        </w:rPr>
        <w:t>《用户需求书》中凡有</w:t>
      </w:r>
      <w:r>
        <w:rPr>
          <w:sz w:val="21"/>
        </w:rPr>
        <w:t>“★”标识的内容条款(如有)被视为实质性响应项目、指标；投标人必须对此做出回答并完全满足这些要求不可以出现任何负偏离，如果出现负偏离将被视为无效投标。</w:t>
      </w:r>
    </w:p>
    <w:p>
      <w:pPr>
        <w:ind w:firstLine="420"/>
        <w:jc w:val="both"/>
      </w:pPr>
      <w:r>
        <w:rPr>
          <w:sz w:val="21"/>
        </w:rPr>
        <w:t>2．</w:t>
      </w:r>
      <w:r>
        <w:rPr>
          <w:sz w:val="21"/>
        </w:rPr>
        <w:t>本次采购的服务必须是产自中华人民共和国境内的服务。</w:t>
      </w:r>
    </w:p>
    <w:p>
      <w:pPr>
        <w:ind w:firstLine="420"/>
        <w:jc w:val="both"/>
      </w:pPr>
      <w:r>
        <w:rPr>
          <w:sz w:val="21"/>
        </w:rPr>
        <w:t>3．</w:t>
      </w:r>
      <w:r>
        <w:rPr>
          <w:sz w:val="21"/>
        </w:rPr>
        <w:t>本项目由中标人负责招标文件对中标人要求的一切事宜及责任。</w:t>
      </w:r>
    </w:p>
    <w:p>
      <w:pPr>
        <w:ind w:firstLine="420"/>
        <w:jc w:val="both"/>
      </w:pPr>
      <w:r>
        <w:rPr>
          <w:sz w:val="21"/>
        </w:rPr>
        <w:t>4．</w:t>
      </w:r>
      <w:r>
        <w:rPr>
          <w:sz w:val="21"/>
        </w:rPr>
        <w:t>投标报价应包括完成本项目所涉及人工费、办公费、设备费、交通费、调查费、测绘费、方案编制费、评审费、税金等完成本项目所需的全部费用。若投标报价有缺漏项的，缺漏项部分的价格视为已包含在投标报价中，中标后不作任何调整，采购人将不再支付任何费用。</w:t>
      </w:r>
    </w:p>
    <w:p/>
    <w:p>
      <w:pPr>
        <w:ind w:firstLine="480"/>
      </w:pPr>
    </w:p>
    <w:p/>
    <w:p>
      <w:r>
        <w:rPr/>
        <w:t>采购包1（中山市详细规划评估与详细规划单元划分优化）</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自合同签订之日起150天内（不含送审、公示等时间）完成并提交全部成果。</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1期：支付比例20%,合同签订并形成初步方案10个工作日内，支付合同金额的20%；</w:t>
            </w:r>
          </w:p>
          <w:p/>
          <w:p>
            <w:r>
              <w:rPr/>
              <w:t>2期：支付比例20%,项目经甲方审核并形成征求意见稿后，支付合同金额的的20%；</w:t>
            </w:r>
          </w:p>
          <w:p/>
          <w:p>
            <w:r>
              <w:rPr/>
              <w:t>3期：支付比例30%,项目按意见修改完善并通过专家评审后，支付合同金额的的30%；</w:t>
            </w:r>
          </w:p>
          <w:p/>
          <w:p>
            <w:r>
              <w:rPr/>
              <w:t>4期：支付比例30%,成果修改完善上报省自然资源厅完成后，支付合同金额的30%。</w:t>
            </w:r>
          </w:p>
        </w:tc>
      </w:tr>
      <w:tr>
        <w:tc>
          <w:tcPr>
            <w:tcW w:type="dxa" w:w="4153"/>
          </w:tcPr>
          <w:p>
            <w:r>
              <w:rPr/>
              <w:t>验收要求</w:t>
            </w:r>
          </w:p>
        </w:tc>
        <w:tc>
          <w:tcPr>
            <w:tcW w:type="dxa" w:w="4153"/>
          </w:tcPr>
          <w:p/>
          <w:p/>
          <w:p/>
          <w:p>
            <w:r>
              <w:rPr/>
              <w:t>1期：（1）成果通过专家评审且上报省自然资源厅完成。 （2）规划成果内容和数据格式需符合中山市规划管理电子数据标准化要求。</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报价要求，包干总价，投标报价应包括完成本项目所涉及人工费、办公费、设备费、交通费、调查费、测绘费、方案编制费、评审费、税金等完成本项目所需的全部费用。若投标报价有缺漏项的，缺漏项部分的价格视为已包含在投标报价中，中标后不作任何调整，采购人将不再支付任何费用。</w:t>
            </w:r>
          </w:p>
          <w:p/>
          <w:p>
            <w:r>
              <w:rPr/>
              <w:t>本项目中小企业划分标准所属行业，其他未列明行业。从业人员300人以下的为中小微型企业。其中，从业人员100人及以上的为中型企业；从业人员10人及以上的为小型企业；从业人员10人以下的为微型企业。</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区域规划和设计服务</w:t>
            </w:r>
          </w:p>
        </w:tc>
        <w:tc>
          <w:tcPr>
            <w:tcW w:type="dxa" w:w="933"/>
          </w:tcPr>
          <w:p>
            <w:pPr>
              <w:jc w:val="left"/>
            </w:pPr>
            <w:r>
              <w:rPr/>
              <w:t>中山市详细规划评估与详细规划单元划分优化</w:t>
            </w:r>
          </w:p>
        </w:tc>
        <w:tc>
          <w:tcPr>
            <w:tcW w:type="dxa" w:w="933"/>
          </w:tcPr>
          <w:p>
            <w:pPr>
              <w:jc w:val="left"/>
            </w:pPr>
            <w:r>
              <w:rPr/>
              <w:t>项</w:t>
            </w:r>
          </w:p>
        </w:tc>
        <w:tc>
          <w:tcPr>
            <w:tcW w:type="dxa" w:w="933"/>
          </w:tcPr>
          <w:p>
            <w:pPr>
              <w:jc w:val="right"/>
            </w:pPr>
            <w:r>
              <w:rPr/>
              <w:t>1.00</w:t>
            </w:r>
          </w:p>
        </w:tc>
        <w:tc>
          <w:tcPr>
            <w:tcW w:type="dxa" w:w="933"/>
          </w:tcPr>
          <w:p>
            <w:pPr>
              <w:jc w:val="right"/>
            </w:pPr>
            <w:r>
              <w:rPr/>
              <w:t>2,645,500.00</w:t>
            </w:r>
          </w:p>
        </w:tc>
        <w:tc>
          <w:tcPr>
            <w:tcW w:type="dxa" w:w="933"/>
          </w:tcPr>
          <w:p>
            <w:pPr>
              <w:jc w:val="right"/>
            </w:pPr>
            <w:r>
              <w:rPr/>
              <w:t>2,645,500.00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中山市详细规划评估与详细规划单元划分优化</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ind w:firstLine="420"/>
              <w:jc w:val="both"/>
            </w:pPr>
            <w:r>
              <w:rPr>
                <w:b/>
                <w:sz w:val="24"/>
              </w:rPr>
              <w:t>一、项目背景</w:t>
            </w:r>
          </w:p>
          <w:p>
            <w:pPr>
              <w:ind w:firstLine="420"/>
              <w:jc w:val="both"/>
            </w:pPr>
            <w:r>
              <w:rPr>
                <w:b/>
                <w:sz w:val="21"/>
              </w:rPr>
              <w:t>1．</w:t>
            </w:r>
            <w:r>
              <w:rPr>
                <w:b/>
                <w:sz w:val="21"/>
              </w:rPr>
              <w:t>贯彻落实广东省文件要求，推进开展已编控规评估和详细单元划定工作</w:t>
            </w:r>
          </w:p>
          <w:p>
            <w:pPr>
              <w:ind w:firstLine="420"/>
              <w:jc w:val="both"/>
            </w:pPr>
            <w:r>
              <w:rPr>
                <w:sz w:val="21"/>
              </w:rPr>
              <w:t>根据广东省自然资源厅于</w:t>
            </w:r>
            <w:r>
              <w:rPr>
                <w:sz w:val="21"/>
              </w:rPr>
              <w:t>2023年3月15日印发《关于推进城镇开发边界内详细规划评估及编制工作的通知》（粤自然资函[2023]207号）的工作要求，各地市需按照“省级统筹、市县负责、有序推进、分类实施”的原则，以“详细规划单元”为抓手，开展已编控制性详细规划评估和详细规划单元划定等工作，分类型、分地域、分阶段推进详细规划优化，强化详细规划数据整合，规范和加强详细规划编制管理工作，加快促进城镇空间内涵式、集约式、绿色发展。</w:t>
            </w:r>
          </w:p>
          <w:p>
            <w:pPr>
              <w:ind w:firstLine="420"/>
              <w:jc w:val="both"/>
            </w:pPr>
            <w:r>
              <w:rPr>
                <w:sz w:val="21"/>
              </w:rPr>
              <w:t>项目根据《广东省城镇开发边界内已编控制性详细规划评估指南（试行）》要求，按照</w:t>
            </w:r>
            <w:r>
              <w:rPr>
                <w:sz w:val="21"/>
              </w:rPr>
              <w:t>“全面评估、分类判定、单元引导”的思路，在全市控规拼合图的基础上，以优化后的控制性详细规划单元为基本范围，进行符合性、支撑性、适应性和实施性评估工作，并对评估存在的问题进行归纳总结，形成指导后续详细规划编制计划及修改、调整工作的成果文件。</w:t>
            </w:r>
          </w:p>
          <w:p>
            <w:pPr>
              <w:ind w:firstLine="420"/>
              <w:jc w:val="both"/>
            </w:pPr>
            <w:r>
              <w:rPr>
                <w:b/>
                <w:sz w:val="21"/>
              </w:rPr>
              <w:t>2．</w:t>
            </w:r>
            <w:r>
              <w:rPr>
                <w:b/>
                <w:sz w:val="21"/>
              </w:rPr>
              <w:t>规范和加强我市详细规划编制管理工作，推动我市控规三级管理体系的落实</w:t>
            </w:r>
          </w:p>
          <w:p>
            <w:pPr>
              <w:ind w:firstLine="420"/>
              <w:jc w:val="both"/>
            </w:pPr>
            <w:r>
              <w:rPr>
                <w:sz w:val="21"/>
              </w:rPr>
              <w:t>控制性详细规划是城市内各类开发建设的法定依据，当前中山市已按照《关于加强和改进控制性详细规划管理若干指导意见（暂行）的通知》（粤自然资函</w:t>
            </w:r>
            <w:r>
              <w:rPr>
                <w:sz w:val="21"/>
              </w:rPr>
              <w:t>[2021]3号）要求，印发《中山市控制性详细规划管理实施细则(试行）》，要求在控制性详细规划编制过程中建立 “分层编制、分区引导”的“编制单元-街区-地块”三级管理体系。</w:t>
            </w:r>
          </w:p>
          <w:p>
            <w:pPr>
              <w:ind w:firstLine="420"/>
              <w:jc w:val="both"/>
            </w:pPr>
            <w:r>
              <w:rPr>
                <w:b/>
                <w:sz w:val="21"/>
              </w:rPr>
              <w:t>3．</w:t>
            </w:r>
            <w:r>
              <w:rPr>
                <w:b/>
                <w:sz w:val="21"/>
              </w:rPr>
              <w:t>系统梳理已编控制性详细规划，实施总规</w:t>
            </w:r>
            <w:r>
              <w:rPr>
                <w:b/>
                <w:sz w:val="21"/>
              </w:rPr>
              <w:t>-控规传导的需要</w:t>
            </w:r>
          </w:p>
          <w:p>
            <w:pPr>
              <w:ind w:firstLine="420"/>
              <w:jc w:val="both"/>
            </w:pPr>
            <w:r>
              <w:rPr>
                <w:sz w:val="21"/>
              </w:rPr>
              <w:t>本次已编控制性详细规划评估工作，是广东省人民政府、广东省自然资源厅为落实《中共中央</w:t>
            </w:r>
            <w:r>
              <w:rPr>
                <w:sz w:val="21"/>
              </w:rPr>
              <w:t>国务院关于建立国土空间规划体系并监督实施的若干意见》（中发</w:t>
            </w:r>
            <w:r>
              <w:rPr>
                <w:sz w:val="21"/>
              </w:rPr>
              <w:t>[2019]18号）要求，系统开展控制性详细规划体系构建工作的重要一环，是中山市构建控制性详细规划评价体系、全面系统梳理已编控制性详细规划情况的重要举措，编制成果为中山市进一步夯实控制性详细规划体系构建，指导和规范新时期控制性详细规划编制工作，支撑民生工程建设以及近期重点项目建设等方面情况起到指引作用。</w:t>
            </w:r>
          </w:p>
          <w:p>
            <w:pPr>
              <w:ind w:firstLine="420"/>
              <w:jc w:val="both"/>
            </w:pPr>
            <w:r>
              <w:rPr>
                <w:b/>
                <w:sz w:val="24"/>
              </w:rPr>
              <w:t>二、评估对象</w:t>
            </w:r>
          </w:p>
          <w:p>
            <w:pPr>
              <w:ind w:firstLine="420"/>
              <w:jc w:val="both"/>
            </w:pPr>
            <w:r>
              <w:rPr>
                <w:sz w:val="21"/>
              </w:rPr>
              <w:t>本次工作研究对象为全市域即</w:t>
            </w:r>
            <w:r>
              <w:rPr>
                <w:sz w:val="21"/>
              </w:rPr>
              <w:t>1</w:t>
            </w:r>
            <w:r>
              <w:rPr>
                <w:sz w:val="21"/>
              </w:rPr>
              <w:t>780.99</w:t>
            </w:r>
            <w:r>
              <w:rPr>
                <w:sz w:val="21"/>
              </w:rPr>
              <w:t>平方公里，其中评估对象为中山市全域范围内已经批复入库的控制性详细规划（含</w:t>
            </w:r>
            <w:r>
              <w:rPr>
                <w:sz w:val="21"/>
              </w:rPr>
              <w:t>“三旧”改造单元规划），并按照控规单元开展评估工作，总范围面积约</w:t>
            </w:r>
            <w:r>
              <w:rPr>
                <w:sz w:val="21"/>
              </w:rPr>
              <w:t>1022.91</w:t>
            </w:r>
            <w:r>
              <w:rPr>
                <w:sz w:val="21"/>
              </w:rPr>
              <w:t>平方公里。</w:t>
            </w:r>
          </w:p>
          <w:p>
            <w:pPr>
              <w:ind w:firstLine="420"/>
              <w:jc w:val="center"/>
            </w:pPr>
            <w:r>
              <w:drawing>
                <wp:inline distT="0" distR="0" distB="0" distL="0">
                  <wp:extent cx="3554729" cy="4209547"/>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3554729" cy="4209547"/>
                          </a:xfrm>
                          <a:prstGeom prst="rect">
                            <a:avLst/>
                          </a:prstGeom>
                        </pic:spPr>
                      </pic:pic>
                    </a:graphicData>
                  </a:graphic>
                </wp:inline>
              </w:drawing>
            </w:r>
          </w:p>
          <w:p>
            <w:pPr>
              <w:ind w:firstLine="420"/>
              <w:jc w:val="center"/>
            </w:pPr>
            <w:r>
              <w:rPr/>
              <w:t>图：工作范围图</w:t>
            </w:r>
          </w:p>
          <w:p>
            <w:pPr>
              <w:ind w:firstLine="420"/>
              <w:jc w:val="both"/>
            </w:pPr>
          </w:p>
          <w:p>
            <w:pPr>
              <w:ind w:firstLine="420"/>
              <w:jc w:val="both"/>
            </w:pPr>
            <w:r>
              <w:rPr>
                <w:b/>
                <w:sz w:val="24"/>
              </w:rPr>
              <w:t>三、工作内容</w:t>
            </w:r>
          </w:p>
          <w:p>
            <w:pPr>
              <w:ind w:firstLine="420"/>
              <w:jc w:val="both"/>
            </w:pPr>
            <w:r>
              <w:rPr>
                <w:sz w:val="21"/>
              </w:rPr>
              <w:t>按照《关于推进城镇开发边界内详细规划评估及编制工作的通知》（粤自然资函</w:t>
            </w:r>
            <w:r>
              <w:rPr>
                <w:sz w:val="21"/>
              </w:rPr>
              <w:t>[2023]207号）和《广东省城镇开发边界内已编控制性详细规划评估指南（试行）》《广东省城镇开发边界内详细规划单元划分指南（试行）》要求，项目主要开展详细规划评估工作以及详细规划单元划分优化工作，具体工作如下：</w:t>
            </w:r>
          </w:p>
          <w:p>
            <w:pPr>
              <w:ind w:firstLine="420"/>
              <w:jc w:val="both"/>
            </w:pPr>
            <w:r>
              <w:rPr>
                <w:b/>
                <w:sz w:val="21"/>
              </w:rPr>
              <w:t>1．</w:t>
            </w:r>
            <w:r>
              <w:rPr>
                <w:b/>
                <w:sz w:val="21"/>
              </w:rPr>
              <w:t>详细规划评估工作</w:t>
            </w:r>
          </w:p>
          <w:p>
            <w:pPr>
              <w:ind w:firstLine="420"/>
              <w:jc w:val="both"/>
            </w:pPr>
            <w:r>
              <w:rPr>
                <w:sz w:val="21"/>
              </w:rPr>
              <w:t>根据《广东省城镇开发边界内已编控制性详细规划评估指南（试行）》要求，按照</w:t>
            </w:r>
            <w:r>
              <w:rPr>
                <w:sz w:val="21"/>
              </w:rPr>
              <w:t>“全面评估、分类判定、单元引导”的思路，在全市控规拼合图的基础上，以优化后的控制性详细规划单元为基本范围，进行符合性、支撑性、适应性和实施性评估工作，并对评估存在的问题进行归纳总结，形成指导后续详细规划编制计划及修改、调整工作的成果文件。</w:t>
            </w:r>
          </w:p>
          <w:p>
            <w:pPr>
              <w:ind w:firstLine="420"/>
              <w:jc w:val="both"/>
            </w:pPr>
            <w:r>
              <w:rPr>
                <w:sz w:val="21"/>
              </w:rPr>
              <w:t>（</w:t>
            </w:r>
            <w:r>
              <w:rPr>
                <w:sz w:val="21"/>
              </w:rPr>
              <w:t>1）</w:t>
            </w:r>
            <w:r>
              <w:rPr>
                <w:sz w:val="21"/>
              </w:rPr>
              <w:t>符合性评估</w:t>
            </w:r>
          </w:p>
          <w:p>
            <w:pPr>
              <w:ind w:firstLine="420"/>
              <w:jc w:val="both"/>
            </w:pPr>
            <w:r>
              <w:rPr>
                <w:sz w:val="21"/>
              </w:rPr>
              <w:t>从底线管控、综合交通、公共服务与市政防灾、开敞空间、历史文化保护、开发强度分区等六个方面，对现行控规与国土空间总体规划的符合性进行评估。</w:t>
            </w:r>
          </w:p>
          <w:p>
            <w:pPr>
              <w:ind w:firstLine="420"/>
              <w:jc w:val="both"/>
            </w:pPr>
            <w:r>
              <w:rPr>
                <w:sz w:val="21"/>
              </w:rPr>
              <w:t>（</w:t>
            </w:r>
            <w:r>
              <w:rPr>
                <w:sz w:val="21"/>
              </w:rPr>
              <w:t>2）</w:t>
            </w:r>
            <w:r>
              <w:rPr>
                <w:sz w:val="21"/>
              </w:rPr>
              <w:t>支撑性评估</w:t>
            </w:r>
          </w:p>
          <w:p>
            <w:pPr>
              <w:ind w:firstLine="420"/>
              <w:jc w:val="both"/>
            </w:pPr>
            <w:r>
              <w:rPr>
                <w:sz w:val="21"/>
              </w:rPr>
              <w:t>基于中山市国土空间总体规划、省市十四五重点项目台账与数据库，衔接已纳入</w:t>
            </w:r>
            <w:r>
              <w:rPr>
                <w:sz w:val="21"/>
              </w:rPr>
              <w:t>“一张图”的近中远期重点建设项目，根据控规对近期、中远期重点建设项目的落实情况，进行支撑性评估。</w:t>
            </w:r>
          </w:p>
          <w:p>
            <w:pPr>
              <w:ind w:firstLine="420"/>
              <w:jc w:val="both"/>
            </w:pPr>
            <w:r>
              <w:rPr>
                <w:sz w:val="21"/>
              </w:rPr>
              <w:t>（</w:t>
            </w:r>
            <w:r>
              <w:rPr>
                <w:sz w:val="21"/>
              </w:rPr>
              <w:t>3）</w:t>
            </w:r>
            <w:r>
              <w:rPr>
                <w:sz w:val="21"/>
              </w:rPr>
              <w:t>适应性评估</w:t>
            </w:r>
          </w:p>
          <w:p>
            <w:pPr>
              <w:ind w:firstLine="420"/>
              <w:jc w:val="both"/>
            </w:pPr>
            <w:r>
              <w:rPr>
                <w:sz w:val="21"/>
              </w:rPr>
              <w:t>结合新时期城市发展建设的需要，对已编控规是否体现土地节约集约利用、安全韧性、城市更新及</w:t>
            </w:r>
            <w:r>
              <w:rPr>
                <w:sz w:val="21"/>
              </w:rPr>
              <w:t>“三旧”改造、城市设计等新理念和新要求进行评估。</w:t>
            </w:r>
          </w:p>
          <w:p>
            <w:pPr>
              <w:ind w:firstLine="420"/>
              <w:jc w:val="both"/>
            </w:pPr>
            <w:r>
              <w:rPr>
                <w:sz w:val="21"/>
              </w:rPr>
              <w:t>（</w:t>
            </w:r>
            <w:r>
              <w:rPr>
                <w:sz w:val="21"/>
              </w:rPr>
              <w:t>4）</w:t>
            </w:r>
            <w:r>
              <w:rPr>
                <w:sz w:val="21"/>
              </w:rPr>
              <w:t>实施性评估</w:t>
            </w:r>
          </w:p>
          <w:p>
            <w:pPr>
              <w:ind w:firstLine="420"/>
              <w:jc w:val="both"/>
            </w:pPr>
            <w:r>
              <w:rPr>
                <w:sz w:val="21"/>
              </w:rPr>
              <w:t>可从道路衔接、地块衔接、设施落地等方面对已编控规方案的实施性进行评估。本次评估需根据实际情况，明确各项评估结果的判定标准并开展评估工作，同时需根据中山控制性详细规划特点，增加相关评估内容。</w:t>
            </w:r>
          </w:p>
          <w:p>
            <w:pPr>
              <w:ind w:firstLine="420"/>
              <w:jc w:val="both"/>
            </w:pPr>
            <w:r>
              <w:rPr>
                <w:b/>
                <w:sz w:val="21"/>
              </w:rPr>
              <w:t>2．</w:t>
            </w:r>
            <w:r>
              <w:rPr>
                <w:b/>
                <w:sz w:val="21"/>
              </w:rPr>
              <w:t>详细规划单元划分优化工作</w:t>
            </w:r>
          </w:p>
          <w:p>
            <w:pPr>
              <w:ind w:firstLine="420"/>
              <w:jc w:val="both"/>
            </w:pPr>
            <w:r>
              <w:rPr>
                <w:sz w:val="21"/>
              </w:rPr>
              <w:t>在《中山市规划分区及编码体系研究》划定控制性详细规划单元成果的基础上，根据《广东省城镇开发边界内详细规划单元划分指南（试行）》要求，重点结合现有控制性详细规划单元范围实施实践经验和存在问题，开展单元划定优化工作。</w:t>
            </w:r>
          </w:p>
          <w:p>
            <w:pPr>
              <w:ind w:firstLine="420"/>
              <w:jc w:val="both"/>
            </w:pPr>
            <w:r>
              <w:rPr>
                <w:sz w:val="21"/>
              </w:rPr>
              <w:t>（</w:t>
            </w:r>
            <w:r>
              <w:rPr>
                <w:sz w:val="21"/>
              </w:rPr>
              <w:t>1）</w:t>
            </w:r>
            <w:r>
              <w:rPr>
                <w:sz w:val="21"/>
              </w:rPr>
              <w:t>单元边界与范围优化</w:t>
            </w:r>
          </w:p>
          <w:p>
            <w:pPr>
              <w:ind w:firstLine="420"/>
              <w:jc w:val="both"/>
            </w:pPr>
            <w:r>
              <w:rPr>
                <w:sz w:val="21"/>
              </w:rPr>
              <w:t>在指南要求下，重点收集、评估现有控制性详细规划单元范围实施中的实践经验和存在问题，结合最新国土空间总体规划和城镇开发边界划定成果内容，对单元边界进行优化。根据社区生活圈范围、各镇街相关规划布局调整、各级重点项目建设情况，结合控规评估需求、各层级指标管控与分解、底线要素落实与重大项目用地需求等情况，以构建科学合理的单元体系为目的，开展单元范围优化工作。</w:t>
            </w:r>
          </w:p>
          <w:p>
            <w:pPr>
              <w:ind w:firstLine="420"/>
              <w:jc w:val="both"/>
            </w:pPr>
            <w:r>
              <w:rPr>
                <w:sz w:val="21"/>
              </w:rPr>
              <w:t>（</w:t>
            </w:r>
            <w:r>
              <w:rPr>
                <w:sz w:val="21"/>
              </w:rPr>
              <w:t>2）</w:t>
            </w:r>
            <w:r>
              <w:rPr>
                <w:sz w:val="21"/>
              </w:rPr>
              <w:t>单元分类</w:t>
            </w:r>
          </w:p>
          <w:p>
            <w:pPr>
              <w:ind w:firstLine="420"/>
              <w:jc w:val="both"/>
            </w:pPr>
            <w:r>
              <w:rPr>
                <w:sz w:val="21"/>
              </w:rPr>
              <w:t>在上述工作的基础上，根据后续控制性详细规划分类管控的要求，对划定单元进行分类，明确一般单元以及重点开发、城市更新、历史保护、战略留白等特殊单元划分方法和划定结果。其中，重点开发单元划分应衔接重点平台布局和重大项目选址，并尽量整合周边政府储备用地；城市更新单元划分应衔接城市更新、</w:t>
            </w:r>
            <w:r>
              <w:rPr>
                <w:sz w:val="21"/>
              </w:rPr>
              <w:t>“三旧”改造重点区域，将已批城市更新、“三旧”改造范围完整纳入一个单元，尽量避免切割；历史保护单元划分原则上应将历史文化保护要素的核心保护范围、建筑控制地带全部纳入单元范围；战略留白单元应以总体规划确定的战略留白地区为基础，结合周边主干道路、山体河流等空间地物进行划分。</w:t>
            </w:r>
          </w:p>
          <w:p>
            <w:pPr>
              <w:ind w:firstLine="420"/>
              <w:jc w:val="both"/>
            </w:pPr>
            <w:r>
              <w:rPr>
                <w:b/>
                <w:sz w:val="24"/>
              </w:rPr>
              <w:t>四、成果要求</w:t>
            </w:r>
          </w:p>
          <w:p>
            <w:pPr>
              <w:ind w:firstLine="420"/>
              <w:jc w:val="both"/>
            </w:pPr>
            <w:r>
              <w:rPr>
                <w:b/>
                <w:sz w:val="21"/>
              </w:rPr>
              <w:t>1．</w:t>
            </w:r>
            <w:r>
              <w:rPr>
                <w:b/>
                <w:sz w:val="21"/>
              </w:rPr>
              <w:t>详细规划评估成果</w:t>
            </w:r>
          </w:p>
          <w:p>
            <w:pPr>
              <w:ind w:firstLine="420"/>
              <w:jc w:val="both"/>
            </w:pPr>
            <w:r>
              <w:rPr>
                <w:sz w:val="21"/>
              </w:rPr>
              <w:t>包括评估报告、图集和数据库，其中评估报告包括评估概述、控规编制总体情况说明、符合性评估、支撑性评估、适应性评估、实施性评估（选做）、评估结论与建议等内容。图集包括评估结果分类引导图、符合性评估结果示意图（表）、单元评估结果示意图（表）。数据库矢量数据采用</w:t>
            </w:r>
            <w:r>
              <w:rPr>
                <w:sz w:val="21"/>
              </w:rPr>
              <w:t>“2000国家</w:t>
            </w:r>
            <w:r>
              <w:rPr>
                <w:sz w:val="21"/>
              </w:rPr>
              <w:t>大地坐标系</w:t>
            </w:r>
            <w:r>
              <w:rPr>
                <w:sz w:val="21"/>
              </w:rPr>
              <w:t>”、“1985国家高程基准”、高斯克吕格投影系统（6°分带或者3°分带）作为空间定位基础。</w:t>
            </w:r>
          </w:p>
          <w:p>
            <w:pPr>
              <w:ind w:firstLine="420"/>
              <w:jc w:val="both"/>
            </w:pPr>
            <w:r>
              <w:rPr>
                <w:b/>
                <w:sz w:val="21"/>
              </w:rPr>
              <w:t>2．</w:t>
            </w:r>
            <w:r>
              <w:rPr>
                <w:b/>
                <w:sz w:val="21"/>
              </w:rPr>
              <w:t>详细规划单元划定成果</w:t>
            </w:r>
          </w:p>
          <w:p>
            <w:pPr>
              <w:ind w:firstLine="420"/>
              <w:jc w:val="both"/>
            </w:pPr>
            <w:r>
              <w:rPr>
                <w:sz w:val="21"/>
              </w:rPr>
              <w:t>划定中山市详细规划单元</w:t>
            </w:r>
            <w:r>
              <w:rPr>
                <w:b/>
                <w:sz w:val="21"/>
              </w:rPr>
              <w:t>，</w:t>
            </w:r>
            <w:r>
              <w:rPr>
                <w:sz w:val="21"/>
              </w:rPr>
              <w:t>明确一般单元以及重点开发、城市更新、历史保护、战略留白等特殊单元划分方式，按照全省统一规则，确定单元编码</w:t>
            </w:r>
            <w:r>
              <w:rPr>
                <w:sz w:val="21"/>
              </w:rPr>
              <w:t>;同步划分城镇开发边界外农业农村单元与生态单元，按照省厅文件要求形成中山市详细规划单元数据库成果。</w:t>
            </w:r>
          </w:p>
          <w:p>
            <w:pPr>
              <w:ind w:firstLine="420"/>
              <w:jc w:val="both"/>
            </w:pPr>
            <w:r>
              <w:rPr>
                <w:b/>
                <w:sz w:val="24"/>
              </w:rPr>
              <w:t>五、服务期限</w:t>
            </w:r>
          </w:p>
          <w:p>
            <w:pPr>
              <w:ind w:firstLine="420"/>
              <w:jc w:val="both"/>
            </w:pPr>
            <w:r>
              <w:rPr>
                <w:sz w:val="21"/>
              </w:rPr>
              <w:t>服务工作合作期限自合同签订之日起</w:t>
            </w:r>
            <w:r>
              <w:rPr>
                <w:sz w:val="21"/>
              </w:rPr>
              <w:t>150</w:t>
            </w:r>
            <w:r>
              <w:rPr>
                <w:sz w:val="21"/>
              </w:rPr>
              <w:t>天内（不含送审、公示等时间）完成并提交全部成果，具体进度如下：</w:t>
            </w:r>
          </w:p>
          <w:p>
            <w:pPr>
              <w:ind w:firstLine="420"/>
              <w:jc w:val="both"/>
            </w:pPr>
            <w:r>
              <w:rPr>
                <w:b/>
                <w:sz w:val="21"/>
              </w:rPr>
              <w:t>1．</w:t>
            </w:r>
            <w:r>
              <w:rPr>
                <w:b/>
                <w:sz w:val="21"/>
              </w:rPr>
              <w:t>前期工作准备阶段（签订合同后</w:t>
            </w:r>
            <w:r>
              <w:rPr>
                <w:b/>
                <w:sz w:val="21"/>
              </w:rPr>
              <w:t>30</w:t>
            </w:r>
            <w:r>
              <w:rPr>
                <w:b/>
                <w:sz w:val="21"/>
              </w:rPr>
              <w:t>天内）</w:t>
            </w:r>
          </w:p>
          <w:p>
            <w:pPr>
              <w:ind w:firstLine="420"/>
              <w:jc w:val="both"/>
            </w:pPr>
            <w:r>
              <w:rPr>
                <w:sz w:val="21"/>
              </w:rPr>
              <w:t>完成已编控规数据库拼合，完成资料收集、整理数据底图等前期工作；</w:t>
            </w:r>
          </w:p>
          <w:p>
            <w:pPr>
              <w:ind w:firstLine="420"/>
              <w:jc w:val="both"/>
            </w:pPr>
            <w:r>
              <w:rPr>
                <w:b/>
                <w:sz w:val="21"/>
              </w:rPr>
              <w:t>2．</w:t>
            </w:r>
            <w:r>
              <w:rPr>
                <w:b/>
                <w:sz w:val="21"/>
              </w:rPr>
              <w:t>开展数据整合、单元划定工作（签订合同后</w:t>
            </w:r>
            <w:r>
              <w:rPr>
                <w:b/>
                <w:sz w:val="21"/>
              </w:rPr>
              <w:t>60</w:t>
            </w:r>
            <w:r>
              <w:rPr>
                <w:b/>
                <w:sz w:val="21"/>
              </w:rPr>
              <w:t>天内）</w:t>
            </w:r>
          </w:p>
          <w:p>
            <w:pPr>
              <w:ind w:firstLine="420"/>
              <w:jc w:val="both"/>
            </w:pPr>
            <w:r>
              <w:rPr>
                <w:sz w:val="21"/>
              </w:rPr>
              <w:t>按照《广东省城镇开发边界内详细规划单元划分指南（试行）》相关要求，完成单元划定工作。</w:t>
            </w:r>
          </w:p>
          <w:p>
            <w:pPr>
              <w:ind w:firstLine="420"/>
              <w:jc w:val="both"/>
            </w:pPr>
            <w:r>
              <w:rPr>
                <w:b/>
                <w:sz w:val="21"/>
              </w:rPr>
              <w:t>3．</w:t>
            </w:r>
            <w:r>
              <w:rPr>
                <w:b/>
                <w:sz w:val="21"/>
              </w:rPr>
              <w:t>初步成果及征求意见阶段（签订合同后</w:t>
            </w:r>
            <w:r>
              <w:rPr>
                <w:b/>
                <w:sz w:val="21"/>
              </w:rPr>
              <w:t>90</w:t>
            </w:r>
            <w:r>
              <w:rPr>
                <w:b/>
                <w:sz w:val="21"/>
              </w:rPr>
              <w:t>天内）</w:t>
            </w:r>
          </w:p>
          <w:p>
            <w:pPr>
              <w:ind w:firstLine="420"/>
              <w:jc w:val="both"/>
            </w:pPr>
            <w:r>
              <w:rPr>
                <w:sz w:val="21"/>
              </w:rPr>
              <w:t>形成初步评估报告、图集和评估数据库，征求相关部门意见，编制单位修改完善初步成果。</w:t>
            </w:r>
          </w:p>
          <w:p>
            <w:pPr>
              <w:ind w:firstLine="420"/>
              <w:jc w:val="both"/>
            </w:pPr>
            <w:r>
              <w:rPr>
                <w:b/>
                <w:sz w:val="21"/>
              </w:rPr>
              <w:t>4．</w:t>
            </w:r>
            <w:r>
              <w:rPr>
                <w:b/>
                <w:sz w:val="21"/>
              </w:rPr>
              <w:t>专家评审及上报阶段（签订合同后</w:t>
            </w:r>
            <w:r>
              <w:rPr>
                <w:b/>
                <w:sz w:val="21"/>
              </w:rPr>
              <w:t>1</w:t>
            </w:r>
            <w:r>
              <w:rPr>
                <w:b/>
                <w:sz w:val="21"/>
              </w:rPr>
              <w:t>50</w:t>
            </w:r>
            <w:r>
              <w:rPr>
                <w:b/>
                <w:sz w:val="21"/>
              </w:rPr>
              <w:t>天内）</w:t>
            </w:r>
          </w:p>
          <w:p>
            <w:pPr>
              <w:ind w:firstLine="420"/>
              <w:jc w:val="both"/>
            </w:pPr>
            <w:r>
              <w:rPr>
                <w:sz w:val="21"/>
              </w:rPr>
              <w:t>开展专家评审，根据审评意见深化规划成果，按省自然资源厅要求进行成果上报。</w:t>
            </w:r>
          </w:p>
          <w:p>
            <w:pPr>
              <w:ind w:firstLine="420"/>
              <w:jc w:val="both"/>
            </w:pPr>
            <w:r>
              <w:rPr>
                <w:b/>
                <w:sz w:val="24"/>
              </w:rPr>
              <w:t>六、</w:t>
            </w:r>
            <w:r>
              <w:rPr>
                <w:b/>
                <w:sz w:val="24"/>
              </w:rPr>
              <w:t>知识产权</w:t>
            </w:r>
          </w:p>
          <w:p>
            <w:pPr>
              <w:ind w:firstLine="420"/>
              <w:jc w:val="both"/>
            </w:pPr>
            <w:r>
              <w:rPr>
                <w:sz w:val="21"/>
              </w:rPr>
              <w:t>1．</w:t>
            </w:r>
            <w:r>
              <w:rPr>
                <w:sz w:val="21"/>
              </w:rPr>
              <w:t>中标人应保证，采购人在中华人民共和国使用成果的任何一部分时，免受第三方提出的侵犯其专利权或其他知识产权的起诉。如发生此类纠纷，由中标人承担一切责任。</w:t>
            </w:r>
          </w:p>
          <w:p>
            <w:pPr>
              <w:ind w:firstLine="420"/>
              <w:jc w:val="both"/>
            </w:pPr>
            <w:r>
              <w:rPr>
                <w:sz w:val="21"/>
              </w:rPr>
              <w:t>2．</w:t>
            </w:r>
            <w:r>
              <w:rPr>
                <w:sz w:val="21"/>
              </w:rPr>
              <w:t>本次招标所涉及的中山市详细规划评估与详细规划单元划分优化所有成果的知识产权归采购人所有，采购人具有对本项目所有成果的完全处置权。</w:t>
            </w:r>
          </w:p>
          <w:p>
            <w:pPr>
              <w:ind w:firstLine="420"/>
              <w:jc w:val="both"/>
            </w:pPr>
            <w:r>
              <w:rPr>
                <w:sz w:val="21"/>
              </w:rPr>
              <w:t>3．</w:t>
            </w:r>
            <w:r>
              <w:rPr>
                <w:sz w:val="21"/>
              </w:rPr>
              <w:t>中标人应保证无论出于任何目的如在其他地方使用该成果，必须先经采购人同意方可使用。否则，采购人有权要求终止涉及该中标知识产权的任何使用活动并保留追究中标人相应的法律责任的权利。</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1.采购代理机构：本项目是指中山信诚招标有限公司，负责整个采购活动的组织，依法负责编制和发布招标文件，对招标文件拥有最终的解释权，不以任何身份出任评标委员会成员。</w:t>
      </w:r>
    </w:p>
    <w:p>
      <w:pPr>
        <w:ind w:firstLine="480"/>
      </w:pPr>
      <w:r>
        <w:rPr/>
        <w:t>2.采购人：本项目是指</w:t>
      </w:r>
      <w:r>
        <w:rPr/>
        <w:t>中山市自然资源局</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采购机构代理服务收费标准：收费标准参照粤价函〔2013〕1233号文规定，以采购项目成交价作为收费的计算依据采用差额定率累进法计算。</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中小微企业开展政府采购质押融资业务的相关规定，1.根据《中山市财政局 中山市金融工作局 中国人民银行中山市中心支行关于开展中山市 政府采购合同融资工作的通知》 （中财采购〔2021〕11号）规定，凡通过政府采购法定程序取得我市政府采购合同的中小微企业，均可向辖区内开展政府采购质押融资业务的银行机构申请办理融资业务。具体操作流程详见广东省政府采购网https://gdgpo.czt.gd.gov.cn/freecms/site/guangdong/tzggzlm/info/2021/5738699.html。截至当前，辖内开展政府采购质押融资业务的银行机构报备的联系方式如下： 政府采购质押融资业务的银行机构联系人名单 序号</w:t>
              <w:tab/>
              <w:t>银行机构</w:t>
              <w:tab/>
              <w:t>经办部门</w:t>
              <w:tab/>
              <w:t>联系人</w:t>
              <w:tab/>
              <w:t>联系方式 1</w:t>
              <w:tab/>
              <w:t>中国农业发展银行中山市分行</w:t>
              <w:tab/>
              <w:t>客户业务部</w:t>
              <w:tab/>
              <w:t>邹可仕</w:t>
              <w:tab/>
              <w:t>18802598981</w:t>
              <w:tab/>
              <w:tab/>
              <w:t xml:space="preserve"> 信贷与风险管理部</w:t>
              <w:tab/>
              <w:t>陈小龙</w:t>
              <w:tab/>
              <w:t>15889891688 2</w:t>
              <w:tab/>
              <w:t>中国工商银行中山分行</w:t>
              <w:tab/>
              <w:t>普惠金融事业部</w:t>
              <w:tab/>
              <w:t>陈炳菁</w:t>
              <w:tab/>
              <w:t>18928108782</w:t>
              <w:tab/>
              <w:tab/>
              <w:t xml:space="preserve"> 普惠金融事业部</w:t>
              <w:tab/>
              <w:t>杨培鹏</w:t>
              <w:tab/>
              <w:t>15900085352 3</w:t>
              <w:tab/>
              <w:t>中国农业银行中山分行</w:t>
              <w:tab/>
              <w:t>普惠金融事业部</w:t>
              <w:tab/>
              <w:t>赖思韵</w:t>
              <w:tab/>
              <w:t>22644682 4</w:t>
              <w:tab/>
              <w:t>广发银行中山分行</w:t>
              <w:tab/>
              <w:t>普惠金融部</w:t>
              <w:tab/>
              <w:t>林光宇</w:t>
              <w:tab/>
              <w:t>88862643 5</w:t>
              <w:tab/>
              <w:t>中国邮政储蓄银行中山市分行</w:t>
              <w:tab/>
              <w:t>小企业金融部</w:t>
              <w:tab/>
              <w:t>黄嘉霖</w:t>
              <w:tab/>
              <w:t>13824720741 6</w:t>
              <w:tab/>
              <w:t>中山农村商业银行</w:t>
              <w:tab/>
              <w:t>总行公司业务部</w:t>
              <w:tab/>
              <w:t>杜保森</w:t>
              <w:tab/>
              <w:t>88884181 7</w:t>
              <w:tab/>
              <w:t>平安银行中山分行</w:t>
              <w:tab/>
              <w:t>普惠金融部</w:t>
              <w:tab/>
              <w:t>林晓冰</w:t>
              <w:tab/>
              <w:t>13823931817 8</w:t>
              <w:tab/>
              <w:t>兴业银行中山分行</w:t>
              <w:tab/>
              <w:t>企业金融部</w:t>
              <w:tab/>
              <w:t>刘中芳</w:t>
              <w:tab/>
              <w:t>0760-88368666-203172 9</w:t>
              <w:tab/>
              <w:t>招商银行中山分行</w:t>
              <w:tab/>
              <w:t>公司金融事业部</w:t>
              <w:tab/>
              <w:t>唐庆颖</w:t>
              <w:tab/>
              <w:t>13924998608 10</w:t>
              <w:tab/>
              <w:t>中国光大银行中山分行</w:t>
              <w:tab/>
              <w:t>公司业务管理部</w:t>
              <w:tab/>
              <w:t>张梓颖</w:t>
              <w:tab/>
              <w:t>0760-88858067 11</w:t>
              <w:tab/>
              <w:t>广州银行中山分行</w:t>
              <w:tab/>
              <w:t>公司金融部</w:t>
              <w:tab/>
              <w:t>杨顺龙</w:t>
              <w:tab/>
              <w:t>88776919 12</w:t>
              <w:tab/>
              <w:t>中信银行中山分行</w:t>
              <w:tab/>
              <w:t>普惠金融部</w:t>
              <w:tab/>
              <w:t>陈廷忠</w:t>
              <w:tab/>
              <w:t>15113386853</w:t>
              <w:tab/>
              <w:tab/>
              <w:t xml:space="preserve"> 普惠金融部</w:t>
              <w:tab/>
              <w:t>余超贤</w:t>
              <w:tab/>
              <w:t>15918291829 13</w:t>
              <w:tab/>
              <w:t>渤海银行中山分行</w:t>
              <w:tab/>
              <w:t>公司金融部</w:t>
              <w:tab/>
              <w:t>李建夏</w:t>
              <w:tab/>
              <w:t>13631124024、0760-87911816</w:t>
              <w:tab/>
              <w:tab/>
              <w:t xml:space="preserve"> 分行营业部</w:t>
              <w:tab/>
              <w:t>徐艺</w:t>
              <w:tab/>
              <w:t>13928142042、0760-87911808 14</w:t>
              <w:tab/>
              <w:t>华夏银行中山分行</w:t>
              <w:tab/>
              <w:t>营销管理部</w:t>
              <w:tab/>
              <w:t>叶怡</w:t>
              <w:tab/>
              <w:t>28137855 15</w:t>
              <w:tab/>
              <w:t>东莞银行中山分行</w:t>
              <w:tab/>
              <w:t>业务部</w:t>
              <w:tab/>
              <w:t>赵荣耀</w:t>
              <w:tab/>
              <w:t>13042854636/86939959 16</w:t>
              <w:tab/>
              <w:t>东亚银行（中国）有限公司中山支行</w:t>
              <w:tab/>
              <w:t>中山支行</w:t>
              <w:tab/>
              <w:t>王涛</w:t>
              <w:tab/>
              <w:t>89986282/18926998881 17</w:t>
              <w:tab/>
              <w:t>浦发银行中山分行</w:t>
              <w:tab/>
              <w:t>交易银行部</w:t>
              <w:tab/>
              <w:t>付涛</w:t>
              <w:tab/>
              <w:t>0760-89982303 2.中小微企业有融资需求的，可通过应收账款融资服务平台（网址：www.crcrfsp.com）和中山市社会征信和金融服务一体化系统（网址：www.zsythxt.zs.gov.cn）向辖内特定或非特定银行机构咨询并提出融资申请。 3.采购人应当及时在应收账款融资服务平台（网址：www.crcrfsp.com）确认债权债务关系，支持中小微企业融资。 4.中小微企业与银行机构签订政府采购质押融资合同的，由采购人牵头与中小微企业和银行机构三方签署《政府采购合同项下政府采购资金唯一回款账户确认函》，确保合同款支付到中小微企业在融资银行机构开立的回款账号。 5.财政部门根据《政府采购法》等相关法规、规章规定，对参加政府采购活动的投标人的不良行为予以记录，并纳入中山市社会征信和金融服务一体化系统，供银行机构融资授信时审慎性参考</w:t>
            </w:r>
          </w:p>
        </w:tc>
      </w:tr>
      <w:tr>
        <w:tc>
          <w:tcPr>
            <w:tcW w:type="dxa" w:w="1051"/>
          </w:tcPr>
          <w:p>
            <w:r>
              <w:rPr/>
              <w:t>19</w:t>
            </w:r>
          </w:p>
        </w:tc>
        <w:tc>
          <w:tcPr>
            <w:tcW w:type="dxa" w:w="2252"/>
          </w:tcPr>
          <w:p>
            <w:r>
              <w:rPr/>
              <w:t>开标解密时长</w:t>
            </w:r>
          </w:p>
        </w:tc>
        <w:tc>
          <w:tcPr>
            <w:tcW w:type="dxa" w:w="5004"/>
          </w:tcPr>
          <w:p>
            <w:r>
              <w:rPr/>
              <w:t>30</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中山信诚招标有限公司</w:t>
      </w:r>
      <w:r>
        <w:rPr/>
        <w:t>代收。具体操作要求详见</w:t>
      </w:r>
      <w:r>
        <w:rPr/>
        <w:t>中山信诚招标有限公司</w:t>
      </w:r>
      <w:r>
        <w:rPr/>
        <w:t>有关指引，递交事宜请自行咨询</w:t>
      </w:r>
      <w:r>
        <w:rPr/>
        <w:t>中山信诚招标有限公司</w:t>
      </w:r>
      <w:r>
        <w:rPr/>
        <w:t>；请各投标人在投标文件递交截止时间前按须知前附表规定的金额递交至</w:t>
      </w:r>
      <w:r>
        <w:rPr/>
        <w:t>中山信诚招标有限公司</w:t>
      </w:r>
      <w:r>
        <w:rPr/>
        <w:t>，到账情况以开标时</w:t>
      </w:r>
      <w:r>
        <w:rPr/>
        <w:t>中山信诚招标有限公司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中山市公共资源交易中心网站（https://ggzyjy.zs.gov.cn），中山信诚招标有限公司官网（http://www.zsxct.com）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中山市公共资源交易中心网站（https://ggzyjy.zs.gov.cn），中山信诚招标有限公司官网（http://www.zsxct.com）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成明磊</w:t>
      </w:r>
    </w:p>
    <w:p>
      <w:pPr>
        <w:ind w:firstLine="480"/>
      </w:pPr>
      <w:r>
        <w:rPr/>
        <w:t>电话：</w:t>
      </w:r>
      <w:r>
        <w:rPr/>
        <w:t>0760-88855855</w:t>
      </w:r>
    </w:p>
    <w:p>
      <w:pPr>
        <w:ind w:firstLine="480"/>
      </w:pPr>
      <w:r>
        <w:rPr/>
        <w:t>传真：</w:t>
      </w:r>
      <w:r>
        <w:rPr/>
        <w:t>0760-88855733</w:t>
      </w:r>
    </w:p>
    <w:p>
      <w:pPr>
        <w:ind w:firstLine="480"/>
      </w:pPr>
      <w:r>
        <w:rPr/>
        <w:t>邮箱：</w:t>
      </w:r>
      <w:r>
        <w:rPr/>
        <w:t>423318110@qq.com</w:t>
      </w:r>
    </w:p>
    <w:p>
      <w:pPr>
        <w:ind w:firstLine="480"/>
      </w:pPr>
      <w:r>
        <w:rPr/>
        <w:t>地址：</w:t>
      </w:r>
      <w:r>
        <w:rPr/>
        <w:t>中山市东区东苑路119号（一、二层）</w:t>
      </w:r>
    </w:p>
    <w:p>
      <w:pPr>
        <w:ind w:firstLine="480"/>
      </w:pPr>
      <w:r>
        <w:rPr/>
        <w:t>邮编：</w:t>
      </w:r>
      <w:r>
        <w:rPr/>
        <w:t>528400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政府采购监督管理机构名称：中山市财政局政府采购监管科</w:t>
      </w:r>
    </w:p>
    <w:p>
      <w:r>
        <w:rPr/>
        <w:t>地  址：广东省中山市兴中道63号101室</w:t>
      </w:r>
    </w:p>
    <w:p>
      <w:r>
        <w:rPr/>
        <w:t>电  话：0760-88266297、88266299</w:t>
      </w:r>
    </w:p>
    <w:p>
      <w:r>
        <w:rPr/>
        <w:t>邮  编：528400</w:t>
      </w:r>
    </w:p>
    <w:p>
      <w:r>
        <w:rPr/>
        <w:t>传  真：0760-88266215</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中山市详细规划评估与详细规划单元划分优化)：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中山信诚招标有限公司</w:t>
      </w:r>
      <w:r>
        <w:rPr/>
        <w:t>统一对外发布。</w:t>
      </w:r>
    </w:p>
    <w:p>
      <w:pPr>
        <w:ind w:firstLine="480"/>
      </w:pPr>
      <w:r>
        <w:rPr/>
        <w:t>（2）对</w:t>
      </w:r>
      <w:r>
        <w:rPr/>
        <w:t>中山信诚招标有限公司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采购包1（中山市详细规划评估与详细规划单元划分优化）：</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小型、微型企业，监狱企业，残疾人福利性单位</w:t>
            </w:r>
          </w:p>
        </w:tc>
        <w:tc>
          <w:tcPr>
            <w:tcW w:type="dxa" w:w="2160"/>
          </w:tcPr>
          <w:p>
            <w:r>
              <w:rPr/>
              <w:t>投标（响应）供应商为大中型企业与小微企业组成联合体或者大中型企业向一家或者多家小微企业分包的，对于联合体协议或者分包意向协议约定小微企业的合同份额占到合同总金额30%以上</w:t>
            </w:r>
          </w:p>
        </w:tc>
        <w:tc>
          <w:tcPr>
            <w:tcW w:type="dxa" w:w="1246"/>
          </w:tcPr>
          <w:p>
            <w:r>
              <w:rPr/>
              <w:t>6%</w:t>
            </w:r>
          </w:p>
        </w:tc>
        <w:tc>
          <w:tcPr>
            <w:tcW w:type="dxa" w:w="2160"/>
          </w:tcPr>
          <w:p>
            <w:pPr>
              <w:jc w:val="left"/>
            </w:pPr>
            <w:r>
              <w:rPr/>
              <w:t>大中型企业与小微企业组成联合体或者允许大中型企业向一家或者多家小微企业分包的采购项目，对于联合协议或者分包意向协议约定小微企业的合同份额占到合同总金额 30%以上的，报价给予价格扣除C1，即：评标价=投标报价×（1-C1）;监狱企业与残疾人福利性单位视同小型、微型企业，享受同等价格扣除，当企业属性重复时，不重复价格扣除。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采购包1（中山市详细规划评估与详细规划单元划分优化）：</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单位法人登记证或身份证等相关证明）复印件/扫描件并加盖公章。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提供所属期限为2023年任意1个月依法缴纳①税收（其中险种不能为社会保险基金）和②社会保障资金的相关材料；如依法免税或不需要缴纳社会保障资金的，提供相应证明材料并加盖公章。</w:t>
            </w:r>
          </w:p>
        </w:tc>
      </w:tr>
      <w:tr>
        <w:tc>
          <w:tcPr>
            <w:tcW w:type="dxa" w:w="890"/>
          </w:tcPr>
          <w:p>
            <w:r>
              <w:rPr/>
              <w:t>3</w:t>
            </w:r>
          </w:p>
        </w:tc>
        <w:tc>
          <w:tcPr>
            <w:tcW w:type="dxa" w:w="3178"/>
          </w:tcPr>
          <w:p>
            <w:r>
              <w:rPr/>
              <w:t>具有良好的商业信誉和健全的财务会计制度</w:t>
            </w:r>
          </w:p>
        </w:tc>
        <w:tc>
          <w:tcPr>
            <w:tcW w:type="dxa" w:w="4238"/>
          </w:tcPr>
          <w:p>
            <w:r>
              <w:rPr/>
              <w:t>提供以下任一证明材料复印件并加盖公章：①2022年度财务报表或审计报告；②2023年任意1个月财务报表；③基本开户行出具的资信证明。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按投标文件格式九提供具有履行合同所必需的设备和专业技术能力情况表或相关承诺（格式自拟）。</w:t>
            </w:r>
          </w:p>
        </w:tc>
      </w:tr>
      <w:tr>
        <w:tc>
          <w:tcPr>
            <w:tcW w:type="dxa" w:w="890"/>
          </w:tcPr>
          <w:p>
            <w:r>
              <w:rPr/>
              <w:t>5</w:t>
            </w:r>
          </w:p>
        </w:tc>
        <w:tc>
          <w:tcPr>
            <w:tcW w:type="dxa" w:w="3178"/>
          </w:tcPr>
          <w:p>
            <w:r>
              <w:rPr/>
              <w:t>参加采购活动前3年内，在经营活动中没有重大违法记录</w:t>
            </w:r>
          </w:p>
        </w:tc>
        <w:tc>
          <w:tcPr>
            <w:tcW w:type="dxa" w:w="4238"/>
          </w:tcPr>
          <w:p>
            <w:r>
              <w:rPr/>
              <w:t>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参照投标函格式承诺相关内容。</w:t>
            </w:r>
          </w:p>
        </w:tc>
      </w:tr>
      <w:tr>
        <w:tc>
          <w:tcPr>
            <w:tcW w:type="dxa" w:w="890"/>
          </w:tcPr>
          <w:p>
            <w:r>
              <w:rPr/>
              <w:t>6</w:t>
            </w:r>
          </w:p>
        </w:tc>
        <w:tc>
          <w:tcPr>
            <w:tcW w:type="dxa" w:w="3178"/>
          </w:tcPr>
          <w:p>
            <w:r>
              <w:rPr/>
              <w:t>特定资格要求</w:t>
            </w:r>
          </w:p>
        </w:tc>
        <w:tc>
          <w:tcPr>
            <w:tcW w:type="dxa" w:w="4238"/>
          </w:tcPr>
          <w:p>
            <w:r>
              <w:rPr/>
              <w:t>投标人须具备城乡规划编制乙级或以上资质。（须提供资质证书复印件并加盖公章，根据《自然资源部办公厅关于国土空间规划编制资质有关问题的函》（自然资办函[2019]2375 号）由于机构改革导致城乡规划编制无法续期资质证书的此种情况暂不对城乡规划编制资质有效期限作出要求。）</w:t>
            </w:r>
          </w:p>
        </w:tc>
      </w:tr>
      <w:tr>
        <w:tc>
          <w:tcPr>
            <w:tcW w:type="dxa" w:w="890"/>
          </w:tcPr>
          <w:p>
            <w:r>
              <w:rPr/>
              <w:t>7</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8</w:t>
            </w:r>
          </w:p>
        </w:tc>
        <w:tc>
          <w:tcPr>
            <w:tcW w:type="dxa" w:w="3178"/>
          </w:tcPr>
          <w:p>
            <w:r>
              <w:rPr/>
              <w:t>供应商必须符合法律、行政法规规定的其他条件</w:t>
            </w:r>
          </w:p>
        </w:tc>
        <w:tc>
          <w:tcPr>
            <w:tcW w:type="dxa" w:w="4238"/>
          </w:tcPr>
          <w:p>
            <w:r>
              <w:rPr/>
              <w:t>单位负责人为同一人或者存在直接控股、管理关系的不同投标人，不得同时参加本采购项目投标。为本项目提供整体设计、规范编制或者项目管理、监理、检测等服务的投标人，不得再参与本项目投标。参照投标承诺函格式承诺相关内容。</w:t>
            </w:r>
          </w:p>
        </w:tc>
      </w:tr>
      <w:tr>
        <w:tc>
          <w:tcPr>
            <w:tcW w:type="dxa" w:w="890"/>
          </w:tcPr>
          <w:p>
            <w:r>
              <w:rPr/>
              <w:t>9</w:t>
            </w:r>
          </w:p>
        </w:tc>
        <w:tc>
          <w:tcPr>
            <w:tcW w:type="dxa" w:w="3178"/>
          </w:tcPr>
          <w:p>
            <w:r>
              <w:rPr/>
              <w:t>联合体投标</w:t>
            </w:r>
          </w:p>
        </w:tc>
        <w:tc>
          <w:tcPr>
            <w:tcW w:type="dxa" w:w="4238"/>
          </w:tcPr>
          <w:p>
            <w:r>
              <w:rPr/>
              <w:t>本次招标允许联合体投标，联合体投标的，应满足下列要求：提供联合体投标协议书，明确主体企业，且主体企业需具备城乡规划编制乙级或以上资质：联合体各方签订联合体投标协议后，不得再以自己名义单独或以其他联合体成员的名义参加同一项目的投标，组成联合体投标的成员不得超过2个。</w:t>
            </w:r>
          </w:p>
        </w:tc>
      </w:tr>
      <w:tr>
        <w:tc>
          <w:tcPr>
            <w:tcW w:type="dxa" w:w="890"/>
          </w:tcPr>
          <w:p>
            <w:r>
              <w:rPr/>
              <w:t>10</w:t>
            </w:r>
          </w:p>
        </w:tc>
        <w:tc>
          <w:tcPr>
            <w:tcW w:type="dxa" w:w="3178"/>
          </w:tcPr>
          <w:p>
            <w:r>
              <w:rPr/>
              <w:t>落实政府采购政策需满足的资格要求：</w:t>
            </w:r>
          </w:p>
        </w:tc>
        <w:tc>
          <w:tcPr>
            <w:tcW w:type="dxa" w:w="4238"/>
          </w:tcPr>
          <w:p>
            <w:r>
              <w:rPr/>
              <w:t>本项目不属于专门面向中小微企业采购的项目。</w:t>
            </w:r>
          </w:p>
        </w:tc>
      </w:tr>
    </w:tbl>
    <w:p/>
    <w:p>
      <w:pPr>
        <w:ind w:firstLine="480"/>
      </w:pPr>
      <w:r>
        <w:rPr/>
        <w:t>表二符合性审查表：</w:t>
      </w:r>
    </w:p>
    <w:p>
      <w:pPr>
        <w:ind w:firstLine="480"/>
      </w:pPr>
    </w:p>
    <w:p/>
    <w:p>
      <w:r>
        <w:rPr/>
        <w:t>采购包1（中山市详细规划评估与详细规划单元划分优化）：</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投标函及投标有效期</w:t>
            </w:r>
          </w:p>
        </w:tc>
        <w:tc>
          <w:tcPr>
            <w:tcW w:type="dxa" w:w="4238"/>
          </w:tcPr>
          <w:p>
            <w:r>
              <w:rPr/>
              <w:t>投标函已提交，且投标有效期符合招标文件规定。</w:t>
            </w:r>
          </w:p>
        </w:tc>
      </w:tr>
      <w:tr>
        <w:tc>
          <w:tcPr>
            <w:tcW w:type="dxa" w:w="890"/>
          </w:tcPr>
          <w:p>
            <w:r>
              <w:rPr/>
              <w:t>2</w:t>
            </w:r>
          </w:p>
        </w:tc>
        <w:tc>
          <w:tcPr>
            <w:tcW w:type="dxa" w:w="3178"/>
          </w:tcPr>
          <w:p>
            <w:r>
              <w:rPr/>
              <w:t>按招标文件规定签署、盖章</w:t>
            </w:r>
          </w:p>
        </w:tc>
        <w:tc>
          <w:tcPr>
            <w:tcW w:type="dxa" w:w="4238"/>
          </w:tcPr>
          <w:p>
            <w:r>
              <w:rPr/>
              <w:t>按招标文件规定签署、盖章。</w:t>
            </w:r>
          </w:p>
        </w:tc>
      </w:tr>
      <w:tr>
        <w:tc>
          <w:tcPr>
            <w:tcW w:type="dxa" w:w="890"/>
          </w:tcPr>
          <w:p>
            <w:r>
              <w:rPr/>
              <w:t>3</w:t>
            </w:r>
          </w:p>
        </w:tc>
        <w:tc>
          <w:tcPr>
            <w:tcW w:type="dxa" w:w="3178"/>
          </w:tcPr>
          <w:p>
            <w:r>
              <w:rPr/>
              <w:t>法定代表人/负责人资格证明书及授权委托书</w:t>
            </w:r>
          </w:p>
        </w:tc>
        <w:tc>
          <w:tcPr>
            <w:tcW w:type="dxa" w:w="4238"/>
          </w:tcPr>
          <w:p>
            <w:r>
              <w:rPr/>
              <w:t>投标文件具有有效的法定代表人/负责人资格证明书及授权委托书。</w:t>
            </w:r>
          </w:p>
        </w:tc>
      </w:tr>
      <w:tr>
        <w:tc>
          <w:tcPr>
            <w:tcW w:type="dxa" w:w="890"/>
          </w:tcPr>
          <w:p>
            <w:r>
              <w:rPr/>
              <w:t>4</w:t>
            </w:r>
          </w:p>
        </w:tc>
        <w:tc>
          <w:tcPr>
            <w:tcW w:type="dxa" w:w="3178"/>
          </w:tcPr>
          <w:p>
            <w:r>
              <w:rPr/>
              <w:t>投标报价是固定价且投标方案唯一</w:t>
            </w:r>
          </w:p>
        </w:tc>
        <w:tc>
          <w:tcPr>
            <w:tcW w:type="dxa" w:w="4238"/>
          </w:tcPr>
          <w:p>
            <w:r>
              <w:rPr/>
              <w:t>投标报价是固定价且投标方案唯一。</w:t>
            </w:r>
          </w:p>
        </w:tc>
      </w:tr>
      <w:tr>
        <w:tc>
          <w:tcPr>
            <w:tcW w:type="dxa" w:w="890"/>
          </w:tcPr>
          <w:p>
            <w:r>
              <w:rPr/>
              <w:t>5</w:t>
            </w:r>
          </w:p>
        </w:tc>
        <w:tc>
          <w:tcPr>
            <w:tcW w:type="dxa" w:w="3178"/>
          </w:tcPr>
          <w:p>
            <w:r>
              <w:rPr/>
              <w:t>投标报价符合招标文件要求</w:t>
            </w:r>
          </w:p>
        </w:tc>
        <w:tc>
          <w:tcPr>
            <w:tcW w:type="dxa" w:w="4238"/>
          </w:tcPr>
          <w:p>
            <w:r>
              <w:rPr/>
              <w:t>报价方式为总价，且未超过采购预算。</w:t>
            </w:r>
          </w:p>
        </w:tc>
      </w:tr>
      <w:tr>
        <w:tc>
          <w:tcPr>
            <w:tcW w:type="dxa" w:w="890"/>
          </w:tcPr>
          <w:p>
            <w:r>
              <w:rPr/>
              <w:t>6</w:t>
            </w:r>
          </w:p>
        </w:tc>
        <w:tc>
          <w:tcPr>
            <w:tcW w:type="dxa" w:w="3178"/>
          </w:tcPr>
          <w:p>
            <w:r>
              <w:rPr/>
              <w:t>满足招标文件的条款</w:t>
            </w:r>
          </w:p>
        </w:tc>
        <w:tc>
          <w:tcPr>
            <w:tcW w:type="dxa" w:w="4238"/>
          </w:tcPr>
          <w:p>
            <w:r>
              <w:rPr/>
              <w:t>投标文件满足招标文件用户需求。</w:t>
            </w:r>
          </w:p>
        </w:tc>
      </w:tr>
      <w:tr>
        <w:tc>
          <w:tcPr>
            <w:tcW w:type="dxa" w:w="890"/>
          </w:tcPr>
          <w:p>
            <w:r>
              <w:rPr/>
              <w:t>7</w:t>
            </w:r>
          </w:p>
        </w:tc>
        <w:tc>
          <w:tcPr>
            <w:tcW w:type="dxa" w:w="3178"/>
          </w:tcPr>
          <w:p>
            <w:r>
              <w:rPr/>
              <w:t>投标报价无重大漏项或重大不合理</w:t>
            </w:r>
          </w:p>
        </w:tc>
        <w:tc>
          <w:tcPr>
            <w:tcW w:type="dxa" w:w="4238"/>
          </w:tcPr>
          <w:p>
            <w:r>
              <w:rPr/>
              <w:t>投标报价无重大漏项或重大不合理。</w:t>
            </w:r>
          </w:p>
        </w:tc>
      </w:tr>
      <w:tr>
        <w:tc>
          <w:tcPr>
            <w:tcW w:type="dxa" w:w="890"/>
          </w:tcPr>
          <w:p>
            <w:r>
              <w:rPr/>
              <w:t>8</w:t>
            </w:r>
          </w:p>
        </w:tc>
        <w:tc>
          <w:tcPr>
            <w:tcW w:type="dxa" w:w="3178"/>
          </w:tcPr>
          <w:p>
            <w:r>
              <w:rPr/>
              <w:t>其他情形</w:t>
            </w:r>
          </w:p>
        </w:tc>
        <w:tc>
          <w:tcPr>
            <w:tcW w:type="dxa" w:w="4238"/>
          </w:tcPr>
          <w:p>
            <w:r>
              <w:rPr/>
              <w:t>无招标文件或法律、法规、规章规定属于无效投标的其他情形。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采购包1(中山市详细规划评估与详细规划单元划分优化):</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商务部分50.0分</w:t>
            </w:r>
          </w:p>
          <w:p>
            <w:r>
              <w:rPr/>
              <w:t>技术部分40.0分</w:t>
            </w:r>
          </w:p>
          <w:p>
            <w:r>
              <w:rPr/>
              <w:t>报价得分10.0分</w:t>
            </w:r>
          </w:p>
        </w:tc>
      </w:tr>
      <w:tr>
        <w:tc>
          <w:tcPr>
            <w:tcW w:type="dxa" w:w="922"/>
            <w:gridSpan w:val="2"/>
            <w:vMerge w:val="restart"/>
          </w:tcPr>
          <w:p>
            <w:pPr>
              <w:jc w:val="center"/>
            </w:pPr>
            <w:r>
              <w:rPr/>
              <w:t>技术部分</w:t>
            </w:r>
          </w:p>
        </w:tc>
        <w:tc>
          <w:tcPr>
            <w:tcW w:type="dxa" w:w="2307"/>
          </w:tcPr>
          <w:p>
            <w:pPr>
              <w:jc w:val="left"/>
            </w:pPr>
            <w:r>
              <w:rPr/>
              <w:t>项目理解 (5.0分)</w:t>
            </w:r>
            <w:r>
              <w:rPr/>
              <w:t>，（等次分值选择：</w:t>
            </w:r>
            <w:r>
              <w:rPr/>
              <w:t>0.0;</w:t>
            </w:r>
            <w:r>
              <w:rPr/>
              <w:t>1.0;</w:t>
            </w:r>
            <w:r>
              <w:rPr/>
              <w:t>3.0;</w:t>
            </w:r>
            <w:r>
              <w:rPr/>
              <w:t>5.0;</w:t>
            </w:r>
            <w:r>
              <w:rPr/>
              <w:t>）</w:t>
            </w:r>
          </w:p>
        </w:tc>
        <w:tc>
          <w:tcPr>
            <w:tcW w:type="dxa" w:w="5076"/>
          </w:tcPr>
          <w:p>
            <w:pPr>
              <w:jc w:val="left"/>
            </w:pPr>
            <w:r>
              <w:rPr/>
              <w:t>（1）对本项目控规评估工作理解深刻透彻、定位精准、理念先进科学，得5分； （2）对本项目控规评估工作理解贴切、定位准确、理念合理，得3分； （3）对本项目控规评估工作理解片面、定位模糊、理念词不达意，得1分； （4）未提供相关内容，得0分。</w:t>
            </w:r>
          </w:p>
        </w:tc>
      </w:tr>
      <w:tr>
        <w:tc>
          <w:tcPr>
            <w:tcW w:type="dxa" w:w="922"/>
            <w:gridSpan w:val="2"/>
            <w:vMerge/>
          </w:tcPr>
          <w:p/>
        </w:tc>
        <w:tc>
          <w:tcPr>
            <w:tcW w:type="dxa" w:w="2307"/>
          </w:tcPr>
          <w:p>
            <w:pPr>
              <w:jc w:val="left"/>
            </w:pPr>
            <w:r>
              <w:rPr/>
              <w:t>现状分析判断与现行规划情况 (5.0分)</w:t>
            </w:r>
            <w:r>
              <w:rPr/>
              <w:t>，（等次分值选择：</w:t>
            </w:r>
            <w:r>
              <w:rPr/>
              <w:t>0.0;</w:t>
            </w:r>
            <w:r>
              <w:rPr/>
              <w:t>1.0;</w:t>
            </w:r>
            <w:r>
              <w:rPr/>
              <w:t>3.0;</w:t>
            </w:r>
            <w:r>
              <w:rPr/>
              <w:t>5.0;</w:t>
            </w:r>
            <w:r>
              <w:rPr/>
              <w:t>）</w:t>
            </w:r>
          </w:p>
        </w:tc>
        <w:tc>
          <w:tcPr>
            <w:tcW w:type="dxa" w:w="5076"/>
          </w:tcPr>
          <w:p>
            <w:pPr>
              <w:jc w:val="left"/>
            </w:pPr>
            <w:r>
              <w:rPr/>
              <w:t>（1）对项目范围及其周边区域的用地、交通、文化、生态、风貌等现状情况分析透彻，对已编控规整体情况及主要问题把握深入、科学严谨，得5分； （2）对项目范围及其周边区域的用地、交通、文化、生态、风貌等现状情况分析全面，对已编控规整体情况及主要问题把握到位、较为客观，得3分； （3）对项目范围及其周边区域的用地、交通、文化、生态、风貌等现状情况不熟悉，对已编控规整体情况及主要问题把握片面，得1分； （4）无相关描述，得0分。</w:t>
            </w:r>
          </w:p>
        </w:tc>
      </w:tr>
      <w:tr>
        <w:tc>
          <w:tcPr>
            <w:tcW w:type="dxa" w:w="922"/>
            <w:gridSpan w:val="2"/>
            <w:vMerge/>
          </w:tcPr>
          <w:p/>
        </w:tc>
        <w:tc>
          <w:tcPr>
            <w:tcW w:type="dxa" w:w="2307"/>
          </w:tcPr>
          <w:p>
            <w:pPr>
              <w:jc w:val="left"/>
            </w:pPr>
            <w:r>
              <w:rPr/>
              <w:t>相关规划解读 (5.0分)</w:t>
            </w:r>
            <w:r>
              <w:rPr/>
              <w:t>，（等次分值选择：</w:t>
            </w:r>
            <w:r>
              <w:rPr/>
              <w:t>0.0;</w:t>
            </w:r>
            <w:r>
              <w:rPr/>
              <w:t>1.0;</w:t>
            </w:r>
            <w:r>
              <w:rPr/>
              <w:t>3.0;</w:t>
            </w:r>
            <w:r>
              <w:rPr/>
              <w:t>5.0;</w:t>
            </w:r>
            <w:r>
              <w:rPr/>
              <w:t>）</w:t>
            </w:r>
          </w:p>
        </w:tc>
        <w:tc>
          <w:tcPr>
            <w:tcW w:type="dxa" w:w="5076"/>
          </w:tcPr>
          <w:p>
            <w:pPr>
              <w:jc w:val="left"/>
            </w:pPr>
            <w:r>
              <w:rPr/>
              <w:t>（1）对本次评估工作涉及的国家、省域、市域层面政策文件、相关规划、专项规划分析解读深刻透彻的，得5分； （2）对本次评估工作涉及的国家、省域、市域层面政策文件、相关规划、专项规划分析解读全面的，得3分； （3）对本次评估工作涉及的国家、省域、市域层面政策文件、相关规划、专项规划分析解读含糊的，得1分； （4）无相关内容，得0分。</w:t>
            </w:r>
          </w:p>
        </w:tc>
      </w:tr>
      <w:tr>
        <w:tc>
          <w:tcPr>
            <w:tcW w:type="dxa" w:w="922"/>
            <w:gridSpan w:val="2"/>
            <w:vMerge/>
          </w:tcPr>
          <w:p/>
        </w:tc>
        <w:tc>
          <w:tcPr>
            <w:tcW w:type="dxa" w:w="2307"/>
          </w:tcPr>
          <w:p>
            <w:pPr>
              <w:jc w:val="left"/>
            </w:pPr>
            <w:r>
              <w:rPr/>
              <w:t>工作思路及技术路线 (10.0分)</w:t>
            </w:r>
            <w:r>
              <w:rPr/>
              <w:t>，（等次分值选择：</w:t>
            </w:r>
            <w:r>
              <w:rPr/>
              <w:t>0.0;</w:t>
            </w:r>
            <w:r>
              <w:rPr/>
              <w:t>4.0;</w:t>
            </w:r>
            <w:r>
              <w:rPr/>
              <w:t>7.0;</w:t>
            </w:r>
            <w:r>
              <w:rPr/>
              <w:t>10.0;</w:t>
            </w:r>
            <w:r>
              <w:rPr/>
              <w:t>）</w:t>
            </w:r>
          </w:p>
        </w:tc>
        <w:tc>
          <w:tcPr>
            <w:tcW w:type="dxa" w:w="5076"/>
          </w:tcPr>
          <w:p>
            <w:pPr>
              <w:jc w:val="left"/>
            </w:pPr>
            <w:r>
              <w:rPr/>
              <w:t>（1）工作思路贴合当地实际情况，技术路线先进、有前瞻性，得10分； （2）工作思路基本符合当地实际情况，技术路线明确、合理、针对性较强，具有一定可操作性，得7分； （3）工作思路与实际脱节、构思不合理，技术路线落后、可实施性差，得4分； （4）若无相关内容，得0分。</w:t>
            </w:r>
          </w:p>
        </w:tc>
      </w:tr>
      <w:tr>
        <w:tc>
          <w:tcPr>
            <w:tcW w:type="dxa" w:w="922"/>
            <w:gridSpan w:val="2"/>
            <w:vMerge/>
          </w:tcPr>
          <w:p/>
        </w:tc>
        <w:tc>
          <w:tcPr>
            <w:tcW w:type="dxa" w:w="2307"/>
          </w:tcPr>
          <w:p>
            <w:pPr>
              <w:jc w:val="left"/>
            </w:pPr>
            <w:r>
              <w:rPr/>
              <w:t>规划初步方案 (10.0分)</w:t>
            </w:r>
            <w:r>
              <w:rPr/>
              <w:t>，（等次分值选择：</w:t>
            </w:r>
            <w:r>
              <w:rPr/>
              <w:t>0.0;</w:t>
            </w:r>
            <w:r>
              <w:rPr/>
              <w:t>4.0;</w:t>
            </w:r>
            <w:r>
              <w:rPr/>
              <w:t>7.0;</w:t>
            </w:r>
            <w:r>
              <w:rPr/>
              <w:t>10.0;</w:t>
            </w:r>
            <w:r>
              <w:rPr/>
              <w:t>）</w:t>
            </w:r>
          </w:p>
        </w:tc>
        <w:tc>
          <w:tcPr>
            <w:tcW w:type="dxa" w:w="5076"/>
          </w:tcPr>
          <w:p>
            <w:pPr>
              <w:jc w:val="left"/>
            </w:pPr>
            <w:r>
              <w:rPr/>
              <w:t>（1）初步方案完善，底图整合、单元优化、各类控规评估要素等内容科学、精准，各类控规评估要素等内容方案专业、周详、新颖，得10分； （2）初步方案完善，底图整合、单元优化、各类控规评估要素等内容合理、完整，各类控规评估要素等内容方案较详细，得7分； （3）初步方案完善，底图整合、单元优化、各类控规评估要素等内容无序、有瑕疵，各类控规评估要素等内容方案粗糙，得4分； （4）若无相关内容，得0分。</w:t>
            </w:r>
          </w:p>
        </w:tc>
      </w:tr>
      <w:tr>
        <w:tc>
          <w:tcPr>
            <w:tcW w:type="dxa" w:w="922"/>
            <w:gridSpan w:val="2"/>
            <w:vMerge/>
          </w:tcPr>
          <w:p/>
        </w:tc>
        <w:tc>
          <w:tcPr>
            <w:tcW w:type="dxa" w:w="2307"/>
          </w:tcPr>
          <w:p>
            <w:pPr>
              <w:jc w:val="left"/>
            </w:pPr>
            <w:r>
              <w:rPr/>
              <w:t>工作进度与质量保障措施 (5.0分)</w:t>
            </w:r>
            <w:r>
              <w:rPr/>
              <w:t>，（等次分值选择：</w:t>
            </w:r>
            <w:r>
              <w:rPr/>
              <w:t>0.0;</w:t>
            </w:r>
            <w:r>
              <w:rPr/>
              <w:t>1.0;</w:t>
            </w:r>
            <w:r>
              <w:rPr/>
              <w:t>3.0;</w:t>
            </w:r>
            <w:r>
              <w:rPr/>
              <w:t>5.0;</w:t>
            </w:r>
            <w:r>
              <w:rPr/>
              <w:t>）</w:t>
            </w:r>
          </w:p>
        </w:tc>
        <w:tc>
          <w:tcPr>
            <w:tcW w:type="dxa" w:w="5076"/>
          </w:tcPr>
          <w:p>
            <w:pPr>
              <w:jc w:val="left"/>
            </w:pPr>
            <w:r>
              <w:rPr/>
              <w:t>（1）工作计划科学，工作阶段及任务划分、进度控制、关键时间节点把握科学，符合项目要求得5分； （2）工作计划合理，工作阶段及任务划分、进度控制较合理、关键时间节点把握准确，得3分； （3）工作计划粗糙，工作阶段及任务划分、进度控制、关键时间节点含糊，得1分； （4）无工作计划方案，得0分。</w:t>
            </w:r>
          </w:p>
        </w:tc>
      </w:tr>
      <w:tr>
        <w:tc>
          <w:tcPr>
            <w:tcW w:type="dxa" w:w="922"/>
            <w:gridSpan w:val="2"/>
            <w:vMerge w:val="restart"/>
          </w:tcPr>
          <w:p>
            <w:pPr>
              <w:jc w:val="center"/>
            </w:pPr>
            <w:r>
              <w:rPr/>
              <w:t>商务部分</w:t>
            </w:r>
          </w:p>
        </w:tc>
        <w:tc>
          <w:tcPr>
            <w:tcW w:type="dxa" w:w="2307"/>
          </w:tcPr>
          <w:p>
            <w:pPr>
              <w:jc w:val="left"/>
            </w:pPr>
            <w:r>
              <w:rPr/>
              <w:t>综合实力 (10.0分)</w:t>
            </w:r>
            <w:r>
              <w:rPr/>
              <w:t>，（等次分值选择：</w:t>
            </w:r>
            <w:r>
              <w:rPr/>
              <w:t>0.0;</w:t>
            </w:r>
            <w:r>
              <w:rPr/>
              <w:t>2.0;</w:t>
            </w:r>
            <w:r>
              <w:rPr/>
              <w:t>4.0;</w:t>
            </w:r>
            <w:r>
              <w:rPr/>
              <w:t>6.0;</w:t>
            </w:r>
            <w:r>
              <w:rPr/>
              <w:t>8.0;</w:t>
            </w:r>
            <w:r>
              <w:rPr/>
              <w:t>10.0;</w:t>
            </w:r>
            <w:r>
              <w:rPr/>
              <w:t>）</w:t>
            </w:r>
          </w:p>
        </w:tc>
        <w:tc>
          <w:tcPr>
            <w:tcW w:type="dxa" w:w="5076"/>
          </w:tcPr>
          <w:p>
            <w:pPr>
              <w:jc w:val="left"/>
            </w:pPr>
            <w:r>
              <w:rPr/>
              <w:t>供应商具有有效土地、规划、市政行业、道路工程或风景园林工程设计专项资质，每项得2分，最高得10分。（注：需提供相关证书复印件及全国建筑市场监管公共服务平台经查询截图并加盖投标人公章，未按要求提供资料不得分。资质证书有效期于2023年12月30日前期满的，统一延期至2023年12月31日）</w:t>
            </w:r>
          </w:p>
        </w:tc>
      </w:tr>
      <w:tr>
        <w:tc>
          <w:tcPr>
            <w:tcW w:type="dxa" w:w="922"/>
            <w:gridSpan w:val="2"/>
            <w:vMerge/>
          </w:tcPr>
          <w:p/>
        </w:tc>
        <w:tc>
          <w:tcPr>
            <w:tcW w:type="dxa" w:w="2307"/>
          </w:tcPr>
          <w:p>
            <w:pPr>
              <w:jc w:val="left"/>
            </w:pPr>
            <w:r>
              <w:rPr/>
              <w:t>奖项 (8.0分)</w:t>
            </w:r>
          </w:p>
        </w:tc>
        <w:tc>
          <w:tcPr>
            <w:tcW w:type="dxa" w:w="5076"/>
          </w:tcPr>
          <w:p>
            <w:pPr>
              <w:jc w:val="left"/>
            </w:pPr>
            <w:r>
              <w:rPr/>
              <w:t>2019年1月1日以来，供应商承接的规划评估类项目获得奖项：国家级奖项的每个得3分；省级奖项的每个得1分；市级奖项的每个得0.5分。本项目最高得8分。（注：①以获奖时间为准；②同一项目不同级别以最高奖项计分；③提供获奖证书及业绩合同复印件并加盖公章，否则不得分）。</w:t>
            </w:r>
          </w:p>
        </w:tc>
      </w:tr>
      <w:tr>
        <w:tc>
          <w:tcPr>
            <w:tcW w:type="dxa" w:w="922"/>
            <w:gridSpan w:val="2"/>
            <w:vMerge/>
          </w:tcPr>
          <w:p/>
        </w:tc>
        <w:tc>
          <w:tcPr>
            <w:tcW w:type="dxa" w:w="2307"/>
          </w:tcPr>
          <w:p>
            <w:pPr>
              <w:jc w:val="left"/>
            </w:pPr>
            <w:r>
              <w:rPr/>
              <w:t>信用报告 (3.0分)</w:t>
            </w:r>
            <w:r>
              <w:rPr/>
              <w:t>，（等次分值选择：</w:t>
            </w:r>
            <w:r>
              <w:rPr/>
              <w:t>0.0;</w:t>
            </w:r>
            <w:r>
              <w:rPr/>
              <w:t>3.0;</w:t>
            </w:r>
            <w:r>
              <w:rPr/>
              <w:t>）</w:t>
            </w:r>
          </w:p>
        </w:tc>
        <w:tc>
          <w:tcPr>
            <w:tcW w:type="dxa" w:w="5076"/>
          </w:tcPr>
          <w:p>
            <w:pPr>
              <w:jc w:val="left"/>
            </w:pPr>
            <w:r>
              <w:rPr/>
              <w:t>具有人民银行征信中心或合法第三方信用服务机构出具的企业信用报告或信用记录得3分。信用报告须在有效期内，若信用报告没有显示有效期的，信用报告为自开具之日起一年内有效。（注：须提供信用报告或信用记录复印件加盖投标人公章，第三方信用服务机构出具的企业信用报告还须提供机构人民银行的备案证明资料，否则不得分）。</w:t>
            </w:r>
          </w:p>
        </w:tc>
      </w:tr>
      <w:tr>
        <w:tc>
          <w:tcPr>
            <w:tcW w:type="dxa" w:w="922"/>
            <w:gridSpan w:val="2"/>
            <w:vMerge/>
          </w:tcPr>
          <w:p/>
        </w:tc>
        <w:tc>
          <w:tcPr>
            <w:tcW w:type="dxa" w:w="2307"/>
          </w:tcPr>
          <w:p>
            <w:pPr>
              <w:jc w:val="left"/>
            </w:pPr>
            <w:r>
              <w:rPr/>
              <w:t>项目负责人 (6.0分)</w:t>
            </w:r>
            <w:r>
              <w:rPr/>
              <w:t>，（等次分值选择：</w:t>
            </w:r>
            <w:r>
              <w:rPr/>
              <w:t>0.0;</w:t>
            </w:r>
            <w:r>
              <w:rPr/>
              <w:t>2.0;</w:t>
            </w:r>
            <w:r>
              <w:rPr/>
              <w:t>3.0;</w:t>
            </w:r>
            <w:r>
              <w:rPr/>
              <w:t>5.0;</w:t>
            </w:r>
            <w:r>
              <w:rPr/>
              <w:t>6.0;</w:t>
            </w:r>
            <w:r>
              <w:rPr/>
              <w:t>）</w:t>
            </w:r>
          </w:p>
        </w:tc>
        <w:tc>
          <w:tcPr>
            <w:tcW w:type="dxa" w:w="5076"/>
          </w:tcPr>
          <w:p>
            <w:pPr>
              <w:jc w:val="left"/>
            </w:pPr>
            <w:r>
              <w:rPr/>
              <w:t>（1）项目负责人具有注册城乡（市）规划师执业资格证书，得3分； （2）具有城乡（市）规划专业职称证：教授级（正高级）高级工程师职称得3分；高级工程师职称得2分，本项最高得3分。 （注：①项目负责人仅限一人；②投标文件中提供相关证书及投标人为其缴纳的2023年任意1个月的社保证明复印件并加盖投标人公章。若投标人未能提供该人员社保的，可以在投标文件中提供承诺书原件并加盖公章，格式自拟，承诺书内容包括但不限于以下内容：“若我单位中标，合同签订前保证按投标文件中所配备投入本项目的人员全部到位并提供该人员以我单位缴纳的社保证明，否则视为我单位放弃中标资格”，视为满足评审要求。）</w:t>
            </w:r>
          </w:p>
        </w:tc>
      </w:tr>
      <w:tr>
        <w:tc>
          <w:tcPr>
            <w:tcW w:type="dxa" w:w="922"/>
            <w:gridSpan w:val="2"/>
            <w:vMerge/>
          </w:tcPr>
          <w:p/>
        </w:tc>
        <w:tc>
          <w:tcPr>
            <w:tcW w:type="dxa" w:w="2307"/>
          </w:tcPr>
          <w:p>
            <w:pPr>
              <w:jc w:val="left"/>
            </w:pPr>
            <w:r>
              <w:rPr/>
              <w:t>项目团队 (8.0分)</w:t>
            </w:r>
          </w:p>
        </w:tc>
        <w:tc>
          <w:tcPr>
            <w:tcW w:type="dxa" w:w="5076"/>
          </w:tcPr>
          <w:p>
            <w:pPr>
              <w:jc w:val="left"/>
            </w:pPr>
            <w:r>
              <w:rPr/>
              <w:t>（1）团队成员一人同时具有城市（乡）规划专业高级或以上职称和注册城市（乡）规划师执业资格的，每人得1分；同一人仅具有城市（乡）规划专业高级技术职称或注册城市（乡）规划师执业资格的，每人得0.5分。最高得2分。 （2）团队成员中具有建筑、市政或风景园林等专业：教授级（正高级）高级工程师职称的每类专业得2分；高级工程师职称的每类专业每个得1分；中级工程师高级技术职称的，每类专业得0.5分。相同专业不重复计算，以最高级别计分，本项最高得6分。 （注：不含项目负责人，投标文件中提供相关证书及投标人为其缴纳的2023年任意1个月的社保证明复印件并加盖投标人公章。若投标人未能提供相关人员社保的，可以在投标文件中提供承诺书原件并加盖公章，格式自拟，承诺书内容包括但不限于以下内容：“若我单位中标，合同签订前保证按投标文件中所配备投入本项目的人员全部到位并提供所有人员以我单位缴纳的社保证明，否则视为我单位放弃中标资格”，视为满足评审要求。）</w:t>
            </w:r>
          </w:p>
        </w:tc>
      </w:tr>
      <w:tr>
        <w:tc>
          <w:tcPr>
            <w:tcW w:type="dxa" w:w="922"/>
            <w:gridSpan w:val="2"/>
            <w:vMerge/>
          </w:tcPr>
          <w:p/>
        </w:tc>
        <w:tc>
          <w:tcPr>
            <w:tcW w:type="dxa" w:w="2307"/>
          </w:tcPr>
          <w:p>
            <w:pPr>
              <w:jc w:val="left"/>
            </w:pPr>
            <w:r>
              <w:rPr/>
              <w:t>业绩 (15.0分)</w:t>
            </w:r>
          </w:p>
        </w:tc>
        <w:tc>
          <w:tcPr>
            <w:tcW w:type="dxa" w:w="5076"/>
          </w:tcPr>
          <w:p>
            <w:pPr>
              <w:jc w:val="left"/>
            </w:pPr>
            <w:r>
              <w:rPr/>
              <w:t>投标人2020年1月1日以来（以合同签订时间为准，需提供项目合同复印件加盖公章，否则不得分）： （1）承担过详细规划评估类专项规划、专题研究等项目业绩的，每个得2分，最高得12分。 （2）承担过市级或以上国土空间评估类项目的，每个得1分，最高得3分。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委员会各成员按照评标程序、评分标准以及分值分配的规定，就各个投标人的技术、商务及其对招标文件要求的响应情况进行评议和比较，评出其技术、商务评分，各评委技术、商务评分的算术平均值即为该投标人的技术、商务得分。然后，算出各投标人的价格得分。将各投标人的技术商务得分和价格得分相加得出其综合得分。评标委员会出具评审报告，并推荐中标候选人名单。本项目推荐3名中标候选人。将综合得分由高到低顺序排列。综合得分相同的，按下列顺序比较确定：（1）评审价格（由低到高）；（2）商务得分（由高到低）；（3）技术得分（由高到低）。如以上都相同的，由评标委员会抽签确定。第一中标候选人放弃中标或中标资格被依法确认无效的，采购人可以按照排序从其他中标候选人中确定中标人，没有其他中标候选人的，重新组织采购活动。</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rPr>
        <w:t xml:space="preserve"> </w:t>
      </w:r>
    </w:p>
    <w:p>
      <w:pPr>
        <w:jc w:val="center"/>
      </w:pPr>
      <w:r>
        <w:rPr>
          <w:b/>
        </w:rPr>
        <w:t xml:space="preserve"> </w:t>
      </w:r>
    </w:p>
    <w:p>
      <w:pPr>
        <w:jc w:val="center"/>
      </w:pPr>
      <w:r>
        <w:rPr>
          <w:b/>
        </w:rPr>
        <w:t xml:space="preserve"> </w:t>
      </w:r>
    </w:p>
    <w:p>
      <w:pPr>
        <w:jc w:val="center"/>
      </w:pPr>
      <w:r>
        <w:rPr>
          <w:b/>
        </w:rPr>
        <w:t xml:space="preserve"> </w:t>
      </w:r>
    </w:p>
    <w:p>
      <w:pPr>
        <w:jc w:val="center"/>
      </w:pPr>
      <w:r>
        <w:rPr>
          <w:b/>
          <w:sz w:val="54"/>
        </w:rPr>
        <w:t>广东省政府采购</w:t>
      </w:r>
    </w:p>
    <w:p>
      <w:pPr>
        <w:jc w:val="both"/>
      </w:pPr>
      <w:r>
        <w:rPr>
          <w:color w:val="222222"/>
          <w:sz w:val="54"/>
        </w:rPr>
        <w:t xml:space="preserve"> </w:t>
      </w:r>
    </w:p>
    <w:p>
      <w:pPr>
        <w:jc w:val="center"/>
      </w:pPr>
      <w:r>
        <w:rPr>
          <w:b/>
          <w:sz w:val="54"/>
        </w:rPr>
        <w:t>合　同　书</w:t>
      </w:r>
    </w:p>
    <w:p>
      <w:pPr>
        <w:jc w:val="center"/>
      </w:pPr>
      <w:r>
        <w:br/>
      </w:r>
      <w:r>
        <w:br/>
      </w:r>
      <w:r>
        <w:br/>
      </w:r>
      <w:r>
        <w:br/>
      </w:r>
      <w:r>
        <w:br/>
      </w:r>
      <w:r>
        <w:br/>
      </w:r>
      <w:r>
        <w:br/>
      </w:r>
      <w:r>
        <w:br/>
      </w:r>
      <w:r>
        <w:rPr>
          <w:color w:val="222222"/>
          <w:sz w:val="27"/>
        </w:rPr>
        <w:t xml:space="preserve"> </w:t>
      </w:r>
    </w:p>
    <w:p>
      <w:pPr>
        <w:jc w:val="center"/>
      </w:pPr>
      <w:r>
        <w:rPr>
          <w:color w:val="222222"/>
          <w:sz w:val="28"/>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pPr>
        <w:jc w:val="both"/>
      </w:pPr>
      <w:r>
        <w:br/>
      </w:r>
      <w:r>
        <w:rPr>
          <w:color w:val="222222"/>
          <w:sz w:val="27"/>
        </w:rPr>
        <w:t xml:space="preserve"> </w:t>
      </w:r>
    </w:p>
    <w:p>
      <w:pPr>
        <w:ind w:firstLine="422"/>
      </w:pPr>
      <w:r>
        <w:rPr>
          <w:b/>
          <w:sz w:val="21"/>
        </w:rPr>
        <w:t>甲方：</w:t>
      </w:r>
      <w:r>
        <w:rPr>
          <w:b/>
          <w:u w:val="single"/>
        </w:rPr>
        <w:t xml:space="preserve">                       </w:t>
      </w:r>
    </w:p>
    <w:p>
      <w:pPr>
        <w:ind w:firstLine="422"/>
        <w:jc w:val="both"/>
      </w:pPr>
      <w:r>
        <w:rPr>
          <w:b/>
          <w:sz w:val="21"/>
        </w:rPr>
        <w:t>乙方：</w:t>
      </w:r>
      <w:r>
        <w:rPr>
          <w:b/>
          <w:sz w:val="21"/>
          <w:u w:val="single"/>
        </w:rPr>
        <w:t xml:space="preserve">                     </w:t>
      </w:r>
    </w:p>
    <w:p>
      <w:pPr>
        <w:ind w:firstLine="420"/>
        <w:jc w:val="left"/>
      </w:pPr>
    </w:p>
    <w:p>
      <w:pPr>
        <w:ind w:firstLine="420"/>
        <w:jc w:val="left"/>
      </w:pPr>
      <w:r>
        <w:rPr>
          <w:sz w:val="21"/>
        </w:rPr>
        <w:t>根据中山市详细规划评估与详细规划单元划分优化（项目编号：</w:t>
      </w:r>
      <w:r>
        <w:rPr>
          <w:sz w:val="21"/>
          <w:u w:val="single"/>
        </w:rPr>
        <w:t>ZSXCTAZ2310082G）</w:t>
      </w:r>
      <w:r>
        <w:rPr>
          <w:sz w:val="21"/>
        </w:rPr>
        <w:t>的采购结果</w:t>
      </w:r>
      <w:r>
        <w:rPr>
          <w:sz w:val="21"/>
        </w:rPr>
        <w:t>，</w:t>
      </w:r>
      <w:r>
        <w:rPr>
          <w:sz w:val="21"/>
          <w:u w:val="single"/>
        </w:rPr>
        <w:t xml:space="preserve">            </w:t>
      </w:r>
      <w:r>
        <w:rPr>
          <w:sz w:val="21"/>
        </w:rPr>
        <w:t>（以下简称甲方）与</w:t>
      </w:r>
      <w:r>
        <w:rPr>
          <w:sz w:val="21"/>
          <w:u w:val="single"/>
        </w:rPr>
        <w:t xml:space="preserve">               </w:t>
      </w:r>
      <w:r>
        <w:rPr>
          <w:sz w:val="21"/>
        </w:rPr>
        <w:t>（以下简称乙方）为明确双方在项目编制过程中的权利、义务和经济责任，经双方协商同意签订本合同。</w:t>
      </w:r>
    </w:p>
    <w:p>
      <w:pPr>
        <w:ind w:firstLine="420"/>
        <w:jc w:val="both"/>
      </w:pPr>
      <w:r>
        <w:rPr>
          <w:b/>
          <w:sz w:val="24"/>
        </w:rPr>
        <w:t>一、</w:t>
      </w:r>
      <w:r>
        <w:rPr>
          <w:b/>
          <w:sz w:val="24"/>
        </w:rPr>
        <w:t>合同总价</w:t>
      </w:r>
    </w:p>
    <w:p>
      <w:pPr>
        <w:ind w:firstLine="420"/>
        <w:jc w:val="both"/>
      </w:pPr>
      <w:r>
        <w:rPr>
          <w:sz w:val="21"/>
        </w:rPr>
        <w:t>1．</w:t>
      </w:r>
      <w:r>
        <w:rPr>
          <w:sz w:val="21"/>
        </w:rPr>
        <w:t>本合同总价：</w:t>
      </w:r>
      <w:r>
        <w:rPr>
          <w:sz w:val="21"/>
        </w:rPr>
        <w:t>¥</w:t>
      </w:r>
      <w:r>
        <w:rPr>
          <w:sz w:val="21"/>
          <w:u w:val="single"/>
        </w:rPr>
        <w:t xml:space="preserve">           </w:t>
      </w:r>
      <w:r>
        <w:rPr>
          <w:sz w:val="21"/>
        </w:rPr>
        <w:t xml:space="preserve"> </w:t>
      </w:r>
      <w:r>
        <w:rPr>
          <w:sz w:val="21"/>
        </w:rPr>
        <w:t>元（人民币：大写</w:t>
      </w:r>
      <w:r>
        <w:rPr>
          <w:sz w:val="21"/>
          <w:u w:val="single"/>
        </w:rPr>
        <w:t xml:space="preserve">                  </w:t>
      </w:r>
      <w:r>
        <w:rPr>
          <w:sz w:val="21"/>
        </w:rPr>
        <w:t>）。</w:t>
      </w:r>
    </w:p>
    <w:p>
      <w:pPr>
        <w:ind w:firstLine="420"/>
        <w:jc w:val="left"/>
      </w:pPr>
      <w:r>
        <w:rPr>
          <w:sz w:val="21"/>
        </w:rPr>
        <w:t>2．</w:t>
      </w:r>
      <w:r>
        <w:rPr>
          <w:sz w:val="21"/>
        </w:rPr>
        <w:t>本合同总金额含完成本项目所涉及人工费、办公费、设备费、交通费、调查费、测绘费、方案编制费、评审费、税金等完成本项目所需的全部费用。除合同金额外，</w:t>
      </w:r>
      <w:r>
        <w:rPr>
          <w:sz w:val="21"/>
        </w:rPr>
        <w:t>乙方在工作中出现的任何非以上所列的费用，均由乙方自行承担，</w:t>
      </w:r>
      <w:r>
        <w:rPr>
          <w:sz w:val="21"/>
        </w:rPr>
        <w:t>甲方</w:t>
      </w:r>
      <w:r>
        <w:rPr>
          <w:sz w:val="21"/>
        </w:rPr>
        <w:t>将不再支付任何费用。</w:t>
      </w:r>
    </w:p>
    <w:p>
      <w:pPr>
        <w:ind w:firstLine="420"/>
        <w:jc w:val="both"/>
      </w:pPr>
      <w:r>
        <w:rPr>
          <w:b/>
          <w:sz w:val="24"/>
        </w:rPr>
        <w:t>二、</w:t>
      </w:r>
      <w:r>
        <w:rPr>
          <w:b/>
          <w:sz w:val="24"/>
        </w:rPr>
        <w:t>评估对象</w:t>
      </w:r>
    </w:p>
    <w:p>
      <w:pPr>
        <w:ind w:firstLine="420"/>
        <w:jc w:val="both"/>
      </w:pPr>
      <w:r>
        <w:rPr>
          <w:sz w:val="21"/>
        </w:rPr>
        <w:t>本次工作研究对象为全市域即</w:t>
      </w:r>
      <w:r>
        <w:rPr>
          <w:sz w:val="21"/>
        </w:rPr>
        <w:t>1</w:t>
      </w:r>
      <w:r>
        <w:rPr>
          <w:sz w:val="21"/>
        </w:rPr>
        <w:t>780.99</w:t>
      </w:r>
      <w:r>
        <w:rPr>
          <w:sz w:val="21"/>
        </w:rPr>
        <w:t>平方公里，其中评估对象为中山市全域范围内已经批复入库的控制性详细规划（含</w:t>
      </w:r>
      <w:r>
        <w:rPr>
          <w:sz w:val="21"/>
        </w:rPr>
        <w:t>“三旧”改造单元规划），并按照控规单元开展评估工作，总范围面积约</w:t>
      </w:r>
      <w:r>
        <w:rPr>
          <w:sz w:val="21"/>
        </w:rPr>
        <w:t>1022.91</w:t>
      </w:r>
      <w:r>
        <w:rPr>
          <w:sz w:val="21"/>
        </w:rPr>
        <w:t>平方公里。</w:t>
      </w:r>
    </w:p>
    <w:p>
      <w:pPr>
        <w:ind w:firstLine="420"/>
        <w:jc w:val="center"/>
      </w:pPr>
      <w:r>
        <w:drawing>
          <wp:inline distT="0" distR="0" distB="0" distL="0">
            <wp:extent cx="1809750" cy="2143125"/>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6"/>
                    <a:stretch>
                      <a:fillRect/>
                    </a:stretch>
                  </pic:blipFill>
                  <pic:spPr>
                    <a:xfrm>
                      <a:off x="0" y="0"/>
                      <a:ext cx="1809750" cy="2143125"/>
                    </a:xfrm>
                    <a:prstGeom prst="rect">
                      <a:avLst/>
                    </a:prstGeom>
                  </pic:spPr>
                </pic:pic>
              </a:graphicData>
            </a:graphic>
          </wp:inline>
        </w:drawing>
      </w:r>
    </w:p>
    <w:p>
      <w:pPr>
        <w:ind w:firstLine="420"/>
        <w:jc w:val="center"/>
      </w:pPr>
      <w:r>
        <w:rPr/>
        <w:t>图：工作范围图</w:t>
      </w:r>
    </w:p>
    <w:p>
      <w:pPr>
        <w:ind w:firstLine="420"/>
        <w:jc w:val="both"/>
      </w:pPr>
    </w:p>
    <w:p>
      <w:pPr>
        <w:ind w:firstLine="420"/>
        <w:jc w:val="both"/>
      </w:pPr>
      <w:r>
        <w:rPr>
          <w:b/>
          <w:sz w:val="24"/>
        </w:rPr>
        <w:t>三、</w:t>
      </w:r>
      <w:r>
        <w:rPr>
          <w:b/>
          <w:sz w:val="24"/>
        </w:rPr>
        <w:t>工作内容</w:t>
      </w:r>
    </w:p>
    <w:p>
      <w:pPr>
        <w:ind w:firstLine="420"/>
        <w:jc w:val="both"/>
      </w:pPr>
      <w:r>
        <w:rPr>
          <w:sz w:val="21"/>
        </w:rPr>
        <w:t>按照《关于推进城镇开发边界内详细规划评估及编制工作的通知》（粤自然资函</w:t>
      </w:r>
      <w:r>
        <w:rPr>
          <w:sz w:val="21"/>
        </w:rPr>
        <w:t>[2023]207号）和《广东省城镇开发边界内已编控制性详细规划评估指南（试行）》《广东省城镇开发边界内详细规划单元划分指南（试行）》要求，项目主要开展详细规划评估工作以及详细规划单元划分优化工作，具体工作如下：</w:t>
      </w:r>
    </w:p>
    <w:p>
      <w:pPr>
        <w:ind w:firstLine="422"/>
        <w:jc w:val="both"/>
      </w:pPr>
      <w:r>
        <w:rPr>
          <w:b/>
          <w:sz w:val="21"/>
        </w:rPr>
        <w:t>1．</w:t>
      </w:r>
      <w:r>
        <w:rPr>
          <w:b/>
          <w:sz w:val="21"/>
        </w:rPr>
        <w:t>详细规划评估工作</w:t>
      </w:r>
    </w:p>
    <w:p>
      <w:pPr>
        <w:ind w:firstLine="420"/>
        <w:jc w:val="both"/>
      </w:pPr>
      <w:r>
        <w:rPr>
          <w:sz w:val="21"/>
        </w:rPr>
        <w:t>根据《广东省城镇开发边界内已编控制性详细规划评估指南（试行）》要求，按照</w:t>
      </w:r>
      <w:r>
        <w:rPr>
          <w:sz w:val="21"/>
        </w:rPr>
        <w:t>“全面评估、分类判定、单元引导”的思路，在全市控规拼合图的基础上，以优化后的控制性详细规划单元为基本范围，进行符合性、支撑性、适应性和实施性评估工作，并对评估存在的问题进行归纳总结，形成指导后续详细规划编制计划及修改、调整工作的成果文件。</w:t>
      </w:r>
    </w:p>
    <w:p>
      <w:pPr>
        <w:ind w:firstLine="420"/>
        <w:jc w:val="both"/>
      </w:pPr>
      <w:r>
        <w:rPr>
          <w:sz w:val="21"/>
        </w:rPr>
        <w:t>（</w:t>
      </w:r>
      <w:r>
        <w:rPr>
          <w:sz w:val="21"/>
        </w:rPr>
        <w:t>1）</w:t>
      </w:r>
      <w:r>
        <w:rPr>
          <w:sz w:val="21"/>
        </w:rPr>
        <w:t>符合性评估</w:t>
      </w:r>
    </w:p>
    <w:p>
      <w:pPr>
        <w:ind w:firstLine="420"/>
        <w:jc w:val="both"/>
      </w:pPr>
      <w:r>
        <w:rPr>
          <w:sz w:val="21"/>
        </w:rPr>
        <w:t>从底线管控、综合交通、公共服务与市政防灾、开敞空间、历史文化保护、开发强度分区等六个方面，对现行控规与国土空间总体规划的符合性进行评估。</w:t>
      </w:r>
    </w:p>
    <w:p>
      <w:pPr>
        <w:ind w:firstLine="420"/>
        <w:jc w:val="both"/>
      </w:pPr>
      <w:r>
        <w:rPr>
          <w:sz w:val="21"/>
        </w:rPr>
        <w:t>（</w:t>
      </w:r>
      <w:r>
        <w:rPr>
          <w:sz w:val="21"/>
        </w:rPr>
        <w:t>2）</w:t>
      </w:r>
      <w:r>
        <w:rPr>
          <w:sz w:val="21"/>
        </w:rPr>
        <w:t>支撑性评估</w:t>
      </w:r>
    </w:p>
    <w:p>
      <w:pPr>
        <w:ind w:firstLine="420"/>
        <w:jc w:val="both"/>
      </w:pPr>
      <w:r>
        <w:rPr>
          <w:sz w:val="21"/>
        </w:rPr>
        <w:t>基于中山市国土空间总体规划、省市十四五重点项目台账与数据库，衔接已纳入</w:t>
      </w:r>
      <w:r>
        <w:rPr>
          <w:sz w:val="21"/>
        </w:rPr>
        <w:t>“一张图”的近中远期重点建设项目，根据控规对近期、中远期重点建设项目的落实情况，进行支撑性评估。</w:t>
      </w:r>
    </w:p>
    <w:p>
      <w:pPr>
        <w:ind w:firstLine="420"/>
        <w:jc w:val="both"/>
      </w:pPr>
      <w:r>
        <w:rPr>
          <w:sz w:val="21"/>
        </w:rPr>
        <w:t>（</w:t>
      </w:r>
      <w:r>
        <w:rPr>
          <w:sz w:val="21"/>
        </w:rPr>
        <w:t>3）</w:t>
      </w:r>
      <w:r>
        <w:rPr>
          <w:sz w:val="21"/>
        </w:rPr>
        <w:t>适应性评估</w:t>
      </w:r>
    </w:p>
    <w:p>
      <w:pPr>
        <w:ind w:firstLine="420"/>
        <w:jc w:val="both"/>
      </w:pPr>
      <w:r>
        <w:rPr>
          <w:sz w:val="21"/>
        </w:rPr>
        <w:t>结合新时期城市发展建设的需要，对已编控规是否体现土地节约集约利用、安全韧性、城市更新及</w:t>
      </w:r>
      <w:r>
        <w:rPr>
          <w:sz w:val="21"/>
        </w:rPr>
        <w:t>“三旧”改造、城市设计等新理念和新要求进行评估。</w:t>
      </w:r>
    </w:p>
    <w:p>
      <w:pPr>
        <w:ind w:firstLine="420"/>
        <w:jc w:val="both"/>
      </w:pPr>
      <w:r>
        <w:rPr>
          <w:sz w:val="21"/>
        </w:rPr>
        <w:t>（</w:t>
      </w:r>
      <w:r>
        <w:rPr>
          <w:sz w:val="21"/>
        </w:rPr>
        <w:t>4）</w:t>
      </w:r>
      <w:r>
        <w:rPr>
          <w:sz w:val="21"/>
        </w:rPr>
        <w:t>实施性评估</w:t>
      </w:r>
    </w:p>
    <w:p>
      <w:pPr>
        <w:ind w:firstLine="420"/>
        <w:jc w:val="both"/>
      </w:pPr>
      <w:r>
        <w:rPr>
          <w:sz w:val="21"/>
        </w:rPr>
        <w:t>可从道路衔接、地块衔接、设施落地等方面对已编控规方案的实施性进行评估。本次评估需根据实际情况，明确各项评估结果的判定标准并开展评估工作，同时需根据中山控制性详细规划特点，增加相关评估内容。</w:t>
      </w:r>
    </w:p>
    <w:p>
      <w:pPr>
        <w:ind w:firstLine="422"/>
        <w:jc w:val="both"/>
      </w:pPr>
      <w:r>
        <w:rPr>
          <w:b/>
          <w:sz w:val="21"/>
        </w:rPr>
        <w:t>2．</w:t>
      </w:r>
      <w:r>
        <w:rPr>
          <w:b/>
          <w:sz w:val="21"/>
        </w:rPr>
        <w:t>详细规划单元划分优化工作</w:t>
      </w:r>
    </w:p>
    <w:p>
      <w:pPr>
        <w:ind w:firstLine="420"/>
        <w:jc w:val="both"/>
      </w:pPr>
      <w:r>
        <w:rPr>
          <w:sz w:val="21"/>
        </w:rPr>
        <w:t>在《中山市规划分区及编码体系研究》划定控制性详细规划单元成果的基础上，根据《广东省城镇开发边界内详细规划单元划分指南（试行）》要求，重点结合现有控制性详细规划单元范围实施实践经验和存在问题，开展单元划定优化工作。</w:t>
      </w:r>
    </w:p>
    <w:p>
      <w:pPr>
        <w:ind w:firstLine="420"/>
        <w:jc w:val="both"/>
      </w:pPr>
      <w:r>
        <w:rPr>
          <w:sz w:val="21"/>
        </w:rPr>
        <w:t>（</w:t>
      </w:r>
      <w:r>
        <w:rPr>
          <w:sz w:val="21"/>
        </w:rPr>
        <w:t>1）</w:t>
      </w:r>
      <w:r>
        <w:rPr>
          <w:sz w:val="21"/>
        </w:rPr>
        <w:t>单元边界与范围优化</w:t>
      </w:r>
    </w:p>
    <w:p>
      <w:pPr>
        <w:ind w:firstLine="420"/>
        <w:jc w:val="both"/>
      </w:pPr>
      <w:r>
        <w:rPr>
          <w:sz w:val="21"/>
        </w:rPr>
        <w:t>在指南要求下，重点收集、评估现有控制性详细规划单元范围实施中的实践经验和存在问题，结合最新国土空间总体规划和城镇开发边界划定成果内容，对单元边界进行优化。根据社区生活圈范围、各镇街相关规划布局调整、各级重点项目建设情况，结合控规评估需求、各层级指标管控与分解、底线要素落实与重大项目用地需求等情况，以构建科学合理的单元体系为目的，开展单元范围优化工作。</w:t>
      </w:r>
    </w:p>
    <w:p>
      <w:pPr>
        <w:ind w:firstLine="420"/>
        <w:jc w:val="both"/>
      </w:pPr>
      <w:r>
        <w:rPr>
          <w:sz w:val="21"/>
        </w:rPr>
        <w:t>（</w:t>
      </w:r>
      <w:r>
        <w:rPr>
          <w:sz w:val="21"/>
        </w:rPr>
        <w:t>2）</w:t>
      </w:r>
      <w:r>
        <w:rPr>
          <w:sz w:val="21"/>
        </w:rPr>
        <w:t>单元分类</w:t>
      </w:r>
    </w:p>
    <w:p>
      <w:pPr>
        <w:ind w:firstLine="420"/>
        <w:jc w:val="both"/>
      </w:pPr>
      <w:r>
        <w:rPr>
          <w:sz w:val="21"/>
        </w:rPr>
        <w:t>在上述工作的基础上，根据后续控制性详细规划分类管控的要求，对划定单元进行分类，明确一般单元以及重点开发、城市更新、历史保护、战略留白等特殊单元划分方法和划定结果。其中，重点开发单元划分应衔接重点平台布局和重大项目选址，并尽量整合周边政府储备用地；城市更新单元划分应衔接城市更新、</w:t>
      </w:r>
      <w:r>
        <w:rPr>
          <w:sz w:val="21"/>
        </w:rPr>
        <w:t>“三旧”改造重点区域，将已批城市更新、“三旧”改造范围完整纳入一个单元，尽量避免切割；历史保护单元划分原则上应将历史文化保护要素的核心保护范围、建筑控制地带全部纳入单元范围；战略留白单元应以总体规划确定的战略留白地区为基础，结合周边主干道路、山体河流等空间地物进行划分。</w:t>
      </w:r>
    </w:p>
    <w:p>
      <w:pPr>
        <w:ind w:firstLine="420"/>
        <w:jc w:val="both"/>
      </w:pPr>
      <w:r>
        <w:rPr>
          <w:b/>
          <w:sz w:val="24"/>
        </w:rPr>
        <w:t>四、</w:t>
      </w:r>
      <w:r>
        <w:rPr>
          <w:b/>
          <w:sz w:val="24"/>
        </w:rPr>
        <w:t>成果要求</w:t>
      </w:r>
    </w:p>
    <w:p>
      <w:pPr>
        <w:ind w:firstLine="422"/>
        <w:jc w:val="both"/>
      </w:pPr>
      <w:r>
        <w:rPr>
          <w:b/>
          <w:sz w:val="21"/>
        </w:rPr>
        <w:t>1．</w:t>
      </w:r>
      <w:r>
        <w:rPr>
          <w:b/>
          <w:sz w:val="21"/>
        </w:rPr>
        <w:t>详细规划评估成果</w:t>
      </w:r>
    </w:p>
    <w:p>
      <w:pPr>
        <w:ind w:firstLine="420"/>
        <w:jc w:val="both"/>
      </w:pPr>
      <w:r>
        <w:rPr>
          <w:sz w:val="21"/>
        </w:rPr>
        <w:t>包括评估报告、图集和数据库，其中评估报告包括评估概述、控规编制总体情况说明、符合性评估、支撑性评估、适应性评估、实施性评估（选做）、评估结论与建议等内容。图集包括评估结果分类引导图、符合性评估结果示意图（表）、单元评估结果示意图（表）。数据库矢量数据采用</w:t>
      </w:r>
      <w:r>
        <w:rPr>
          <w:sz w:val="21"/>
        </w:rPr>
        <w:t>“2000国家大地坐标系”、“1985国家高程基准”、高斯克吕格投影系统（6°分带或者3°分带）</w:t>
      </w:r>
      <w:r>
        <w:rPr>
          <w:sz w:val="21"/>
        </w:rPr>
        <w:t>作为空间定位基础。</w:t>
      </w:r>
    </w:p>
    <w:p>
      <w:pPr>
        <w:ind w:firstLine="422"/>
        <w:jc w:val="both"/>
      </w:pPr>
      <w:r>
        <w:rPr>
          <w:b/>
          <w:sz w:val="21"/>
        </w:rPr>
        <w:t>2．</w:t>
      </w:r>
      <w:r>
        <w:rPr>
          <w:b/>
          <w:sz w:val="21"/>
        </w:rPr>
        <w:t>详细规划单元划定成果</w:t>
      </w:r>
    </w:p>
    <w:p>
      <w:pPr>
        <w:ind w:firstLine="420"/>
        <w:jc w:val="both"/>
      </w:pPr>
      <w:r>
        <w:rPr>
          <w:sz w:val="21"/>
        </w:rPr>
        <w:t>划定中山市详细规划单元</w:t>
      </w:r>
      <w:r>
        <w:rPr>
          <w:b/>
          <w:sz w:val="21"/>
        </w:rPr>
        <w:t>，</w:t>
      </w:r>
      <w:r>
        <w:rPr>
          <w:sz w:val="21"/>
        </w:rPr>
        <w:t>明确一般单元以及重点开发、城市更新、历史保护、战略留白等特殊单元划分方式，按照全省统一规则，确定单元编码</w:t>
      </w:r>
      <w:r>
        <w:rPr>
          <w:sz w:val="21"/>
        </w:rPr>
        <w:t>;同步划分城镇开发边界外农业农村单元与生态单元，按照省厅文件要求形成中山市详细规划单元数据库成果。</w:t>
      </w:r>
    </w:p>
    <w:p>
      <w:pPr>
        <w:ind w:firstLine="420"/>
        <w:jc w:val="both"/>
      </w:pPr>
      <w:r>
        <w:rPr>
          <w:b/>
          <w:sz w:val="24"/>
        </w:rPr>
        <w:t>五、</w:t>
      </w:r>
      <w:r>
        <w:rPr>
          <w:b/>
          <w:sz w:val="24"/>
        </w:rPr>
        <w:t>服务期限</w:t>
      </w:r>
    </w:p>
    <w:p>
      <w:pPr>
        <w:ind w:firstLine="420"/>
        <w:jc w:val="both"/>
      </w:pPr>
      <w:r>
        <w:rPr>
          <w:sz w:val="21"/>
        </w:rPr>
        <w:t>服务工作合作期限自合同签订之日起</w:t>
      </w:r>
      <w:r>
        <w:rPr>
          <w:sz w:val="21"/>
        </w:rPr>
        <w:t>150</w:t>
      </w:r>
      <w:r>
        <w:rPr>
          <w:sz w:val="21"/>
        </w:rPr>
        <w:t>天内（不含送审、公示等时间）完成并提交全部成果，具体进度如下：</w:t>
      </w:r>
    </w:p>
    <w:p>
      <w:pPr>
        <w:ind w:firstLine="422"/>
        <w:jc w:val="both"/>
      </w:pPr>
      <w:r>
        <w:rPr>
          <w:b/>
          <w:sz w:val="21"/>
        </w:rPr>
        <w:t>1．</w:t>
      </w:r>
      <w:r>
        <w:rPr>
          <w:b/>
          <w:sz w:val="21"/>
        </w:rPr>
        <w:t>前期工作准备阶段（签订合同后</w:t>
      </w:r>
      <w:r>
        <w:rPr>
          <w:b/>
          <w:sz w:val="21"/>
        </w:rPr>
        <w:t>30</w:t>
      </w:r>
      <w:r>
        <w:rPr>
          <w:b/>
          <w:sz w:val="21"/>
        </w:rPr>
        <w:t>天内）</w:t>
      </w:r>
    </w:p>
    <w:p>
      <w:pPr>
        <w:ind w:firstLine="420"/>
        <w:jc w:val="both"/>
      </w:pPr>
      <w:r>
        <w:rPr>
          <w:sz w:val="21"/>
        </w:rPr>
        <w:t>完成已编控规数据库拼合，完成资料收集、整理数据底图等前期工作；</w:t>
      </w:r>
    </w:p>
    <w:p>
      <w:pPr>
        <w:ind w:firstLine="422"/>
        <w:jc w:val="both"/>
      </w:pPr>
      <w:r>
        <w:rPr>
          <w:b/>
          <w:sz w:val="21"/>
        </w:rPr>
        <w:t>2．</w:t>
      </w:r>
      <w:r>
        <w:rPr>
          <w:b/>
          <w:sz w:val="21"/>
        </w:rPr>
        <w:t>开展数据整合、单元划定工作（签订合同后</w:t>
      </w:r>
      <w:r>
        <w:rPr>
          <w:b/>
          <w:sz w:val="21"/>
        </w:rPr>
        <w:t>60</w:t>
      </w:r>
      <w:r>
        <w:rPr>
          <w:b/>
          <w:sz w:val="21"/>
        </w:rPr>
        <w:t>天内）</w:t>
      </w:r>
    </w:p>
    <w:p>
      <w:pPr>
        <w:ind w:firstLine="420"/>
        <w:jc w:val="both"/>
      </w:pPr>
      <w:r>
        <w:rPr>
          <w:sz w:val="21"/>
        </w:rPr>
        <w:t>按照《广东省城镇开发边界内详细规划单元划分指南（试行）》相关要求，完成单元划定工作。</w:t>
      </w:r>
    </w:p>
    <w:p>
      <w:pPr>
        <w:ind w:firstLine="422"/>
        <w:jc w:val="both"/>
      </w:pPr>
      <w:r>
        <w:rPr>
          <w:b/>
          <w:sz w:val="21"/>
        </w:rPr>
        <w:t>3．</w:t>
      </w:r>
      <w:r>
        <w:rPr>
          <w:b/>
          <w:sz w:val="21"/>
        </w:rPr>
        <w:t>初步成果及征求意见阶段（签订合同后</w:t>
      </w:r>
      <w:r>
        <w:rPr>
          <w:b/>
          <w:sz w:val="21"/>
        </w:rPr>
        <w:t>90</w:t>
      </w:r>
      <w:r>
        <w:rPr>
          <w:b/>
          <w:sz w:val="21"/>
        </w:rPr>
        <w:t>天内）</w:t>
      </w:r>
    </w:p>
    <w:p>
      <w:pPr>
        <w:ind w:firstLine="420"/>
        <w:jc w:val="both"/>
      </w:pPr>
      <w:r>
        <w:rPr>
          <w:sz w:val="21"/>
        </w:rPr>
        <w:t>形成初步评估报告、图集和评估数据库，征求相关部门意见，编制单位修改完善初步成果。</w:t>
      </w:r>
    </w:p>
    <w:p>
      <w:pPr>
        <w:ind w:firstLine="422"/>
        <w:jc w:val="both"/>
      </w:pPr>
      <w:r>
        <w:rPr>
          <w:b/>
          <w:sz w:val="21"/>
        </w:rPr>
        <w:t>4．</w:t>
      </w:r>
      <w:r>
        <w:rPr>
          <w:b/>
          <w:sz w:val="21"/>
        </w:rPr>
        <w:t>专家评审及上报阶段（签订合同后</w:t>
      </w:r>
      <w:r>
        <w:rPr>
          <w:b/>
          <w:sz w:val="21"/>
        </w:rPr>
        <w:t>1</w:t>
      </w:r>
      <w:r>
        <w:rPr>
          <w:b/>
          <w:sz w:val="21"/>
        </w:rPr>
        <w:t>50</w:t>
      </w:r>
      <w:r>
        <w:rPr>
          <w:b/>
          <w:sz w:val="21"/>
        </w:rPr>
        <w:t>天内）</w:t>
      </w:r>
    </w:p>
    <w:p>
      <w:pPr>
        <w:ind w:firstLine="420"/>
        <w:jc w:val="both"/>
      </w:pPr>
      <w:r>
        <w:rPr>
          <w:sz w:val="21"/>
        </w:rPr>
        <w:t>开展专家评审，根据审评意见深化规划成果，按省自然资源厅要求进行成果上报。</w:t>
      </w:r>
    </w:p>
    <w:p>
      <w:pPr>
        <w:ind w:firstLine="420"/>
        <w:jc w:val="both"/>
      </w:pPr>
      <w:r>
        <w:rPr>
          <w:b/>
          <w:sz w:val="24"/>
        </w:rPr>
        <w:t>六、</w:t>
      </w:r>
      <w:r>
        <w:rPr>
          <w:b/>
          <w:sz w:val="24"/>
        </w:rPr>
        <w:t>付款方式</w:t>
      </w:r>
    </w:p>
    <w:p>
      <w:pPr>
        <w:ind w:firstLine="420"/>
        <w:jc w:val="both"/>
      </w:pPr>
      <w:r>
        <w:rPr>
          <w:sz w:val="21"/>
        </w:rPr>
        <w:t>为确保成本投入与产出的合理性，根据拟开展项目实际情况，制定了资金支出与产出质量</w:t>
      </w:r>
      <w:r>
        <w:rPr>
          <w:sz w:val="21"/>
        </w:rPr>
        <w:t>以及进度相挂钩的分阶段资金支出控制方案，确保项目编制进度与资金支出相对应。具体如下：</w:t>
      </w:r>
    </w:p>
    <w:p>
      <w:pPr>
        <w:ind w:firstLine="420"/>
        <w:jc w:val="both"/>
      </w:pPr>
      <w:r>
        <w:rPr>
          <w:sz w:val="21"/>
        </w:rPr>
        <w:t>第一阶段：合同签订并形成初步方案</w:t>
      </w:r>
      <w:r>
        <w:rPr>
          <w:sz w:val="21"/>
        </w:rPr>
        <w:t>10个工作日内，支付合同金额的20%；</w:t>
      </w:r>
    </w:p>
    <w:p>
      <w:pPr>
        <w:ind w:firstLine="420"/>
        <w:jc w:val="both"/>
      </w:pPr>
      <w:r>
        <w:rPr>
          <w:sz w:val="21"/>
        </w:rPr>
        <w:t>第二阶段：项目经甲方审核并形成征求意见稿后，支付合同金额的的</w:t>
      </w:r>
      <w:r>
        <w:rPr>
          <w:sz w:val="21"/>
        </w:rPr>
        <w:t>20%；</w:t>
      </w:r>
    </w:p>
    <w:p>
      <w:pPr>
        <w:ind w:firstLine="420"/>
        <w:jc w:val="both"/>
      </w:pPr>
      <w:r>
        <w:rPr>
          <w:sz w:val="21"/>
        </w:rPr>
        <w:t>第三阶段：项目按意见修改完善并通过专家评审后，支付合同金额的的</w:t>
      </w:r>
      <w:r>
        <w:rPr>
          <w:sz w:val="21"/>
        </w:rPr>
        <w:t>30%；</w:t>
      </w:r>
    </w:p>
    <w:p>
      <w:pPr>
        <w:ind w:firstLine="420"/>
        <w:jc w:val="both"/>
      </w:pPr>
      <w:r>
        <w:rPr>
          <w:sz w:val="21"/>
        </w:rPr>
        <w:t>第四阶段：成果修改完善上报省自然资源厅完成后，支付合同总额的</w:t>
      </w:r>
      <w:r>
        <w:rPr>
          <w:sz w:val="21"/>
        </w:rPr>
        <w:t>30%。</w:t>
      </w:r>
    </w:p>
    <w:p>
      <w:pPr>
        <w:ind w:firstLine="420"/>
        <w:jc w:val="both"/>
      </w:pPr>
      <w:r>
        <w:rPr>
          <w:sz w:val="21"/>
        </w:rPr>
        <w:t>说明：甲方每次办理支付项目款之前，乙方都应开具等额发票，若因乙方未及时开具发票以致甲方逾期支付款项的，责任由乙方承担。</w:t>
      </w:r>
    </w:p>
    <w:p>
      <w:pPr>
        <w:ind w:firstLine="420"/>
        <w:jc w:val="both"/>
      </w:pPr>
      <w:r>
        <w:rPr>
          <w:b/>
          <w:sz w:val="24"/>
        </w:rPr>
        <w:t>七、</w:t>
      </w:r>
      <w:r>
        <w:rPr>
          <w:b/>
          <w:sz w:val="24"/>
        </w:rPr>
        <w:t>验收标准</w:t>
      </w:r>
    </w:p>
    <w:p>
      <w:pPr>
        <w:ind w:firstLine="400"/>
        <w:jc w:val="both"/>
      </w:pPr>
      <w:r>
        <w:rPr>
          <w:sz w:val="21"/>
        </w:rPr>
        <w:t>1．</w:t>
      </w:r>
      <w:r>
        <w:rPr>
          <w:sz w:val="21"/>
        </w:rPr>
        <w:t>成果通过专家评审且上报省自然资源厅完成。</w:t>
      </w:r>
      <w:r>
        <w:rPr>
          <w:sz w:val="21"/>
        </w:rPr>
        <w:t xml:space="preserve"> </w:t>
      </w:r>
    </w:p>
    <w:p>
      <w:pPr>
        <w:ind w:firstLine="420"/>
        <w:jc w:val="both"/>
      </w:pPr>
      <w:r>
        <w:rPr>
          <w:sz w:val="21"/>
        </w:rPr>
        <w:t>2．</w:t>
      </w:r>
      <w:r>
        <w:rPr>
          <w:sz w:val="21"/>
        </w:rPr>
        <w:t>规划成果内容和数据格式需符合中山市规划管理电子数据标准化要求。</w:t>
      </w:r>
    </w:p>
    <w:p>
      <w:pPr>
        <w:ind w:firstLine="420"/>
        <w:jc w:val="both"/>
      </w:pPr>
      <w:r>
        <w:rPr>
          <w:b/>
          <w:sz w:val="24"/>
        </w:rPr>
        <w:t>八、</w:t>
      </w:r>
      <w:r>
        <w:rPr>
          <w:b/>
          <w:sz w:val="24"/>
        </w:rPr>
        <w:t>知识产权</w:t>
      </w:r>
    </w:p>
    <w:p>
      <w:pPr>
        <w:ind w:firstLine="420"/>
        <w:jc w:val="both"/>
      </w:pPr>
      <w:r>
        <w:rPr>
          <w:sz w:val="21"/>
        </w:rPr>
        <w:t>1．</w:t>
      </w:r>
      <w:r>
        <w:rPr>
          <w:sz w:val="21"/>
        </w:rPr>
        <w:t>乙方应保证，甲方在中华人民共和国使用成果的任何一部分时，免受第三方提出的侵犯其专利权或其他知识产权的起诉。如发生此类纠纷，由乙方承担一切责任。</w:t>
      </w:r>
    </w:p>
    <w:p>
      <w:pPr>
        <w:ind w:firstLine="420"/>
        <w:jc w:val="both"/>
      </w:pPr>
      <w:r>
        <w:rPr>
          <w:sz w:val="21"/>
        </w:rPr>
        <w:t>2．</w:t>
      </w:r>
      <w:r>
        <w:rPr>
          <w:sz w:val="21"/>
        </w:rPr>
        <w:t>本次招标所涉及的</w:t>
      </w:r>
      <w:r>
        <w:rPr>
          <w:sz w:val="21"/>
          <w:u w:val="single"/>
        </w:rPr>
        <w:t>中山市详细规划评估与详细规划单元划分优化</w:t>
      </w:r>
      <w:r>
        <w:rPr>
          <w:sz w:val="21"/>
        </w:rPr>
        <w:t>所有成果的知识产权归甲方所有，甲方具有对本项目所有成果的完全处置权。</w:t>
      </w:r>
    </w:p>
    <w:p>
      <w:pPr>
        <w:ind w:firstLine="420"/>
        <w:jc w:val="both"/>
      </w:pPr>
      <w:r>
        <w:rPr>
          <w:sz w:val="21"/>
        </w:rPr>
        <w:t>3．</w:t>
      </w:r>
      <w:r>
        <w:rPr>
          <w:sz w:val="21"/>
        </w:rPr>
        <w:t>乙方应保证无论出于任何目的如在其他地方使用该成果，必须先经甲方同意方可使用。否则，甲方有权要求终止涉及该中标知识产权的任何使用活动并保留追究乙方相应的法律责任的权利。</w:t>
      </w:r>
    </w:p>
    <w:p>
      <w:pPr>
        <w:ind w:firstLine="420"/>
        <w:jc w:val="both"/>
      </w:pPr>
      <w:r>
        <w:rPr>
          <w:b/>
          <w:sz w:val="24"/>
        </w:rPr>
        <w:t>九、</w:t>
      </w:r>
      <w:r>
        <w:rPr>
          <w:b/>
          <w:sz w:val="24"/>
        </w:rPr>
        <w:t>保密条款</w:t>
      </w:r>
    </w:p>
    <w:p>
      <w:pPr>
        <w:ind w:firstLine="420"/>
        <w:jc w:val="both"/>
      </w:pPr>
      <w:r>
        <w:rPr>
          <w:sz w:val="21"/>
        </w:rPr>
        <w:t>本项目的所有中间成果、最终成果以及甲方提供的资料，其所有权均属甲方，未经甲方同意，乙方不得外泄，否则甲方有权追究乙方的责任。</w:t>
      </w:r>
    </w:p>
    <w:p>
      <w:pPr>
        <w:ind w:firstLine="420"/>
        <w:jc w:val="both"/>
      </w:pPr>
      <w:r>
        <w:rPr>
          <w:b/>
          <w:sz w:val="24"/>
        </w:rPr>
        <w:t>十、</w:t>
      </w:r>
      <w:r>
        <w:rPr>
          <w:b/>
          <w:sz w:val="24"/>
        </w:rPr>
        <w:t>保险</w:t>
      </w:r>
    </w:p>
    <w:p>
      <w:pPr>
        <w:ind w:firstLine="420"/>
        <w:jc w:val="both"/>
      </w:pPr>
      <w:r>
        <w:rPr>
          <w:sz w:val="21"/>
        </w:rPr>
        <w:t>成果在验收合格前的保险由乙方负责，乙方负责其派出的现场服务人员人身意外保险。</w:t>
      </w:r>
    </w:p>
    <w:p>
      <w:pPr>
        <w:ind w:firstLine="420"/>
        <w:jc w:val="both"/>
      </w:pPr>
      <w:r>
        <w:rPr>
          <w:b/>
          <w:color w:val="000000"/>
          <w:sz w:val="24"/>
        </w:rPr>
        <w:t>十一、</w:t>
      </w:r>
      <w:r>
        <w:rPr>
          <w:b/>
          <w:color w:val="000000"/>
          <w:sz w:val="24"/>
        </w:rPr>
        <w:t>违约条款</w:t>
      </w:r>
    </w:p>
    <w:p>
      <w:pPr>
        <w:ind w:firstLine="420"/>
        <w:jc w:val="both"/>
      </w:pPr>
      <w:r>
        <w:rPr>
          <w:sz w:val="21"/>
        </w:rPr>
        <w:t>乙方提交的各阶段成果有下列情形之一的，甲方将有权终止合同（已支付的款项乙方应全额退还甲方）：</w:t>
      </w:r>
    </w:p>
    <w:p>
      <w:pPr>
        <w:ind w:firstLine="420"/>
        <w:jc w:val="both"/>
      </w:pPr>
      <w:r>
        <w:rPr>
          <w:sz w:val="21"/>
        </w:rPr>
        <w:t>1．</w:t>
      </w:r>
      <w:r>
        <w:rPr>
          <w:sz w:val="21"/>
        </w:rPr>
        <w:t>提交的成果不符合本项目规定或成果内容严重偏离甲方下达的任务要求的。</w:t>
      </w:r>
    </w:p>
    <w:p>
      <w:pPr>
        <w:ind w:firstLine="420"/>
        <w:jc w:val="both"/>
      </w:pPr>
      <w:r>
        <w:rPr>
          <w:sz w:val="21"/>
        </w:rPr>
        <w:t>2．</w:t>
      </w:r>
      <w:r>
        <w:rPr>
          <w:sz w:val="21"/>
        </w:rPr>
        <w:t>提交的成果图纸和文字辨认不清，内容不全或粗制滥造的。</w:t>
      </w:r>
    </w:p>
    <w:p>
      <w:pPr>
        <w:ind w:firstLine="420"/>
        <w:jc w:val="both"/>
      </w:pPr>
      <w:r>
        <w:rPr>
          <w:sz w:val="21"/>
        </w:rPr>
        <w:t>3．</w:t>
      </w:r>
      <w:r>
        <w:rPr>
          <w:sz w:val="21"/>
        </w:rPr>
        <w:t>未经甲方同意，逾期提交研究成果的。</w:t>
      </w:r>
    </w:p>
    <w:p>
      <w:pPr>
        <w:ind w:firstLine="420"/>
        <w:jc w:val="both"/>
      </w:pPr>
      <w:r>
        <w:rPr>
          <w:sz w:val="21"/>
        </w:rPr>
        <w:t>4．</w:t>
      </w:r>
      <w:r>
        <w:rPr>
          <w:sz w:val="21"/>
        </w:rPr>
        <w:t>乙方未经甲方同意，擅自修改研究成果。</w:t>
      </w:r>
    </w:p>
    <w:p>
      <w:pPr>
        <w:ind w:firstLine="420"/>
        <w:jc w:val="both"/>
      </w:pPr>
      <w:r>
        <w:rPr>
          <w:sz w:val="21"/>
        </w:rPr>
        <w:t>5．</w:t>
      </w:r>
      <w:r>
        <w:rPr>
          <w:sz w:val="21"/>
        </w:rPr>
        <w:t>乙方未经甲方同意，随意调整本项目组的主要成员和项目负责人。</w:t>
      </w:r>
    </w:p>
    <w:p>
      <w:pPr>
        <w:ind w:firstLine="420"/>
        <w:jc w:val="both"/>
      </w:pPr>
      <w:r>
        <w:rPr>
          <w:sz w:val="21"/>
        </w:rPr>
        <w:t>6．</w:t>
      </w:r>
      <w:r>
        <w:rPr>
          <w:sz w:val="21"/>
        </w:rPr>
        <w:t>乙方未经甲方同意，擅自邀请协编单位，或将项目分包或转包的。</w:t>
      </w:r>
    </w:p>
    <w:p>
      <w:pPr>
        <w:ind w:firstLine="420"/>
        <w:jc w:val="both"/>
      </w:pPr>
      <w:r>
        <w:rPr>
          <w:b/>
          <w:color w:val="000000"/>
          <w:sz w:val="24"/>
        </w:rPr>
        <w:t>十二、</w:t>
      </w:r>
      <w:r>
        <w:rPr>
          <w:b/>
          <w:color w:val="000000"/>
          <w:sz w:val="24"/>
        </w:rPr>
        <w:t>合同各方的权利与责任</w:t>
      </w:r>
    </w:p>
    <w:p>
      <w:pPr>
        <w:ind w:firstLine="422"/>
        <w:jc w:val="both"/>
      </w:pPr>
      <w:r>
        <w:rPr>
          <w:b/>
          <w:sz w:val="21"/>
        </w:rPr>
        <w:t>1．</w:t>
      </w:r>
      <w:r>
        <w:rPr>
          <w:b/>
          <w:sz w:val="21"/>
        </w:rPr>
        <w:t>甲方权利：</w:t>
      </w:r>
    </w:p>
    <w:p>
      <w:pPr>
        <w:ind w:firstLine="420"/>
        <w:jc w:val="both"/>
      </w:pPr>
      <w:r>
        <w:rPr>
          <w:sz w:val="21"/>
        </w:rPr>
        <w:t>（</w:t>
      </w:r>
      <w:r>
        <w:rPr>
          <w:sz w:val="21"/>
        </w:rPr>
        <w:t>1）</w:t>
      </w:r>
      <w:r>
        <w:rPr>
          <w:sz w:val="21"/>
        </w:rPr>
        <w:t>甲方有权要求乙方配置的人员数量和业务素质满足本合同项目工作需求。甲方认为乙方的参与人员数量、资质、工作能力欠缺或工作态度不积极的，有权要求乙方更换，并有权要求乙方增加人力、物力以加快本合同项目进度及完成临时汇报等事项。</w:t>
      </w:r>
    </w:p>
    <w:p>
      <w:pPr>
        <w:ind w:firstLine="420"/>
        <w:jc w:val="both"/>
      </w:pPr>
      <w:r>
        <w:rPr>
          <w:sz w:val="21"/>
        </w:rPr>
        <w:t>（</w:t>
      </w:r>
      <w:r>
        <w:rPr>
          <w:sz w:val="21"/>
        </w:rPr>
        <w:t>2）</w:t>
      </w:r>
      <w:r>
        <w:rPr>
          <w:sz w:val="21"/>
        </w:rPr>
        <w:t>当本合同项目成果需提前完成才能保证完成意义的（如项目成果需提前上报主管部门），甲方有权提前本合同项目验收时间。</w:t>
      </w:r>
    </w:p>
    <w:p>
      <w:pPr>
        <w:ind w:firstLine="420"/>
        <w:jc w:val="both"/>
      </w:pPr>
      <w:r>
        <w:rPr>
          <w:sz w:val="21"/>
        </w:rPr>
        <w:t>（</w:t>
      </w:r>
      <w:r>
        <w:rPr>
          <w:sz w:val="21"/>
        </w:rPr>
        <w:t>3）</w:t>
      </w:r>
      <w:r>
        <w:rPr>
          <w:sz w:val="21"/>
        </w:rPr>
        <w:t>本合同履行过程中，甲方有权要求乙方履行与本合同项目相关的合同附随义务，包括但不限于以下事项：</w:t>
      </w:r>
    </w:p>
    <w:p>
      <w:pPr>
        <w:ind w:firstLine="415"/>
        <w:jc w:val="both"/>
      </w:pPr>
      <w:r>
        <w:rPr>
          <w:sz w:val="21"/>
        </w:rPr>
        <w:t>a.</w:t>
      </w:r>
      <w:r>
        <w:rPr>
          <w:sz w:val="21"/>
        </w:rPr>
        <w:t>如遇与本合同项目有关的外地重大会议、展览等活动，甲方有权要求乙方按活动时间组织前往当地考察调研；</w:t>
      </w:r>
    </w:p>
    <w:p>
      <w:pPr>
        <w:ind w:firstLine="415"/>
        <w:jc w:val="both"/>
      </w:pPr>
      <w:r>
        <w:rPr>
          <w:sz w:val="21"/>
        </w:rPr>
        <w:t>b.</w:t>
      </w:r>
      <w:r>
        <w:rPr>
          <w:sz w:val="21"/>
        </w:rPr>
        <w:t>甲方对本合同项目编制成果（含中间成果与最终成果）有异议的，有权要求乙方修改，修改内容涉及重大调整的，修改时间原则上不超过</w:t>
      </w:r>
      <w:r>
        <w:rPr>
          <w:sz w:val="21"/>
        </w:rPr>
        <w:t>30天，修改内容非重大调整的，修改时间原则上不超过5天；</w:t>
      </w:r>
    </w:p>
    <w:p>
      <w:pPr>
        <w:ind w:firstLine="415"/>
        <w:jc w:val="both"/>
      </w:pPr>
      <w:r>
        <w:rPr>
          <w:sz w:val="21"/>
        </w:rPr>
        <w:t>c.</w:t>
      </w:r>
      <w:r>
        <w:rPr>
          <w:sz w:val="21"/>
        </w:rPr>
        <w:t>本合同项目与其他项目产生冲突的，甲方有权指定时间要求乙方与对方协商并提供协调解决方案；</w:t>
      </w:r>
    </w:p>
    <w:p>
      <w:pPr>
        <w:ind w:firstLine="415"/>
        <w:jc w:val="both"/>
      </w:pPr>
      <w:r>
        <w:rPr>
          <w:sz w:val="21"/>
        </w:rPr>
        <w:t>d.</w:t>
      </w:r>
      <w:r>
        <w:rPr>
          <w:sz w:val="21"/>
        </w:rPr>
        <w:t>甲方有权按需指定时间要求乙方组织汇报、咨询及评审会议；</w:t>
      </w:r>
    </w:p>
    <w:p>
      <w:pPr>
        <w:ind w:firstLine="415"/>
        <w:jc w:val="both"/>
      </w:pPr>
      <w:r>
        <w:rPr>
          <w:sz w:val="21"/>
        </w:rPr>
        <w:t>e.</w:t>
      </w:r>
      <w:r>
        <w:rPr>
          <w:sz w:val="21"/>
        </w:rPr>
        <w:t>甲方有权按需要求指定乙方工作人员在响应时间内前来甲方所在地执行临时工作（响应时间分</w:t>
      </w:r>
      <w:r>
        <w:rPr>
          <w:sz w:val="21"/>
        </w:rPr>
        <w:t>2小时内、12小时内、24小时内等，具体视甲方要求定），或前来甲方所在地长期驻地工作；</w:t>
      </w:r>
    </w:p>
    <w:p>
      <w:pPr>
        <w:ind w:firstLine="415"/>
        <w:jc w:val="both"/>
      </w:pPr>
      <w:r>
        <w:rPr>
          <w:sz w:val="21"/>
        </w:rPr>
        <w:t>f.</w:t>
      </w:r>
      <w:r>
        <w:rPr>
          <w:sz w:val="21"/>
        </w:rPr>
        <w:t>甲方有权按需指定时间要求乙方提供协调支持，积极配合甲方圆满完成本合同项目各个阶段的报批报建工作。</w:t>
      </w:r>
    </w:p>
    <w:p>
      <w:pPr>
        <w:ind w:firstLine="420"/>
        <w:jc w:val="both"/>
      </w:pPr>
      <w:r>
        <w:rPr>
          <w:sz w:val="21"/>
        </w:rPr>
        <w:t>（</w:t>
      </w:r>
      <w:r>
        <w:rPr>
          <w:sz w:val="21"/>
        </w:rPr>
        <w:t>4）</w:t>
      </w:r>
      <w:r>
        <w:rPr>
          <w:sz w:val="21"/>
        </w:rPr>
        <w:t>本合同项目全部成果资料除署名权外其他权益均归甲方所有。</w:t>
      </w:r>
    </w:p>
    <w:p>
      <w:pPr>
        <w:ind w:firstLine="422"/>
        <w:jc w:val="both"/>
      </w:pPr>
      <w:r>
        <w:rPr>
          <w:b/>
          <w:sz w:val="21"/>
        </w:rPr>
        <w:t>2．</w:t>
      </w:r>
      <w:r>
        <w:rPr>
          <w:b/>
          <w:sz w:val="21"/>
        </w:rPr>
        <w:t>甲方责任：</w:t>
      </w:r>
    </w:p>
    <w:p>
      <w:pPr>
        <w:ind w:firstLine="420"/>
        <w:jc w:val="both"/>
      </w:pPr>
      <w:r>
        <w:rPr>
          <w:sz w:val="21"/>
        </w:rPr>
        <w:t>（</w:t>
      </w:r>
      <w:r>
        <w:rPr>
          <w:sz w:val="21"/>
        </w:rPr>
        <w:t>1）</w:t>
      </w:r>
      <w:r>
        <w:rPr>
          <w:sz w:val="21"/>
        </w:rPr>
        <w:t>甲方全权委托乙方进行本合同项目全过程的工作，并及时为乙方提供必要的工作条件和准确有效的资料。</w:t>
      </w:r>
    </w:p>
    <w:p>
      <w:pPr>
        <w:ind w:firstLine="420"/>
        <w:jc w:val="both"/>
      </w:pPr>
      <w:r>
        <w:rPr>
          <w:sz w:val="21"/>
        </w:rPr>
        <w:t>（</w:t>
      </w:r>
      <w:r>
        <w:rPr>
          <w:sz w:val="21"/>
        </w:rPr>
        <w:t>2）</w:t>
      </w:r>
      <w:r>
        <w:rPr>
          <w:sz w:val="21"/>
        </w:rPr>
        <w:t>甲方应严格按照合同的规定，向乙方付款。</w:t>
      </w:r>
    </w:p>
    <w:p>
      <w:pPr>
        <w:ind w:firstLine="422"/>
        <w:jc w:val="both"/>
      </w:pPr>
      <w:r>
        <w:rPr>
          <w:b/>
          <w:sz w:val="21"/>
        </w:rPr>
        <w:t>3．</w:t>
      </w:r>
      <w:r>
        <w:rPr>
          <w:b/>
          <w:sz w:val="21"/>
        </w:rPr>
        <w:t>乙方权利：</w:t>
      </w:r>
    </w:p>
    <w:p>
      <w:pPr>
        <w:ind w:firstLine="420"/>
        <w:jc w:val="both"/>
      </w:pPr>
      <w:r>
        <w:rPr>
          <w:sz w:val="21"/>
        </w:rPr>
        <w:t>（</w:t>
      </w:r>
      <w:r>
        <w:rPr>
          <w:sz w:val="21"/>
        </w:rPr>
        <w:t>1）</w:t>
      </w:r>
      <w:r>
        <w:rPr>
          <w:sz w:val="21"/>
        </w:rPr>
        <w:t>乙方有权要求甲方提供必要的工作条件和准确有效的资料。相关必要资料如涉及其他部门，乙方有权要求甲方开具资料征集证明，必要时可请甲方协调提供。</w:t>
      </w:r>
    </w:p>
    <w:p>
      <w:pPr>
        <w:ind w:firstLine="420"/>
        <w:jc w:val="both"/>
      </w:pPr>
      <w:r>
        <w:rPr>
          <w:sz w:val="21"/>
        </w:rPr>
        <w:t>（</w:t>
      </w:r>
      <w:r>
        <w:rPr>
          <w:sz w:val="21"/>
        </w:rPr>
        <w:t>2）</w:t>
      </w:r>
      <w:r>
        <w:rPr>
          <w:sz w:val="21"/>
        </w:rPr>
        <w:t>在完全履行各项合同义务及合同附随义务的条件下，乙方有权按照合同约定请求甲方支付合同价款。</w:t>
      </w:r>
    </w:p>
    <w:p>
      <w:pPr>
        <w:ind w:firstLine="422"/>
        <w:jc w:val="both"/>
      </w:pPr>
      <w:r>
        <w:rPr>
          <w:b/>
          <w:sz w:val="21"/>
        </w:rPr>
        <w:t>4．</w:t>
      </w:r>
      <w:r>
        <w:rPr>
          <w:b/>
          <w:sz w:val="21"/>
        </w:rPr>
        <w:t>乙方责任：</w:t>
      </w:r>
    </w:p>
    <w:p>
      <w:pPr>
        <w:ind w:firstLine="420"/>
        <w:jc w:val="both"/>
      </w:pPr>
      <w:r>
        <w:rPr>
          <w:sz w:val="21"/>
        </w:rPr>
        <w:t>（</w:t>
      </w:r>
      <w:r>
        <w:rPr>
          <w:sz w:val="21"/>
        </w:rPr>
        <w:t>1）</w:t>
      </w:r>
      <w:r>
        <w:rPr>
          <w:sz w:val="21"/>
        </w:rPr>
        <w:t>乙方应充分了解本合同项目的要求，确保人力、物力的投入，认真组织高水平的技术人员完成本项目内容。</w:t>
      </w:r>
    </w:p>
    <w:p>
      <w:pPr>
        <w:ind w:firstLine="420"/>
        <w:jc w:val="both"/>
      </w:pPr>
      <w:r>
        <w:rPr>
          <w:sz w:val="21"/>
        </w:rPr>
        <w:t>（</w:t>
      </w:r>
      <w:r>
        <w:rPr>
          <w:sz w:val="21"/>
        </w:rPr>
        <w:t>2）</w:t>
      </w:r>
      <w:r>
        <w:rPr>
          <w:sz w:val="21"/>
        </w:rPr>
        <w:t>乙方应按甲方要求按时、按质、按量提交初稿、中期成果、最终成果及相应的汇报材料，最终成果应达到通过专家评审（或主管部门审批）要求。项目需提前验收的，乙方应在限定时间内完成。否则，乙方按照本合同第十四条第</w:t>
      </w:r>
      <w:r>
        <w:rPr>
          <w:sz w:val="21"/>
        </w:rPr>
        <w:t>1、2款的约定承担违约责任。</w:t>
      </w:r>
    </w:p>
    <w:p>
      <w:pPr>
        <w:ind w:firstLine="420"/>
        <w:jc w:val="both"/>
      </w:pPr>
      <w:r>
        <w:rPr>
          <w:sz w:val="21"/>
        </w:rPr>
        <w:t>（</w:t>
      </w:r>
      <w:r>
        <w:rPr>
          <w:sz w:val="21"/>
        </w:rPr>
        <w:t>3）</w:t>
      </w:r>
      <w:r>
        <w:rPr>
          <w:sz w:val="21"/>
        </w:rPr>
        <w:t>乙方不得推诿本合同项目附随义务，并以认真积极态度履行，响应时间、执行时间与执行质量按甲方规定要求。否则，乙方按照本合同第十三条第</w:t>
      </w:r>
      <w:r>
        <w:rPr>
          <w:sz w:val="21"/>
        </w:rPr>
        <w:t>4款的约定承担违约责任。</w:t>
      </w:r>
    </w:p>
    <w:p>
      <w:pPr>
        <w:ind w:firstLine="420"/>
        <w:jc w:val="both"/>
      </w:pPr>
      <w:r>
        <w:rPr>
          <w:sz w:val="21"/>
        </w:rPr>
        <w:t>（</w:t>
      </w:r>
      <w:r>
        <w:rPr>
          <w:sz w:val="21"/>
        </w:rPr>
        <w:t>4）</w:t>
      </w:r>
      <w:r>
        <w:rPr>
          <w:sz w:val="21"/>
        </w:rPr>
        <w:t>乙方应向甲方提交全部研究成果材料与过程材料，并按甲方需求提供纸质、电子文件材料（电子文件材料含固定格式与可编辑版本）。</w:t>
      </w:r>
    </w:p>
    <w:p>
      <w:pPr>
        <w:ind w:firstLine="422"/>
        <w:jc w:val="both"/>
      </w:pPr>
      <w:r>
        <w:rPr>
          <w:b/>
          <w:sz w:val="21"/>
        </w:rPr>
        <w:t>5．</w:t>
      </w:r>
      <w:r>
        <w:rPr>
          <w:b/>
          <w:sz w:val="21"/>
        </w:rPr>
        <w:t>其他招标文件涉及的内容。</w:t>
      </w:r>
    </w:p>
    <w:p>
      <w:pPr>
        <w:ind w:firstLine="420"/>
        <w:jc w:val="both"/>
      </w:pPr>
      <w:r>
        <w:rPr>
          <w:b/>
          <w:color w:val="000000"/>
          <w:sz w:val="24"/>
        </w:rPr>
        <w:t>十三、</w:t>
      </w:r>
      <w:r>
        <w:rPr>
          <w:b/>
          <w:color w:val="000000"/>
          <w:sz w:val="24"/>
        </w:rPr>
        <w:t>违约责任</w:t>
      </w:r>
    </w:p>
    <w:p>
      <w:pPr>
        <w:ind w:firstLine="420"/>
        <w:jc w:val="both"/>
      </w:pPr>
      <w:r>
        <w:rPr>
          <w:sz w:val="21"/>
        </w:rPr>
        <w:t>合同生效后，合同各方应严格遵守合同的条款，全面履行合同约定的义务，任何一方不得擅自变更或解除合同。甲、乙双方的任何一方不履行合同或履行合同义务不符合约定的条件，即属违约。</w:t>
      </w:r>
    </w:p>
    <w:p>
      <w:pPr>
        <w:ind w:firstLine="420"/>
        <w:jc w:val="both"/>
      </w:pPr>
      <w:r>
        <w:rPr>
          <w:sz w:val="21"/>
        </w:rPr>
        <w:t>1．</w:t>
      </w:r>
      <w:r>
        <w:rPr>
          <w:sz w:val="21"/>
        </w:rPr>
        <w:t>乙方未按照本合同的约定，拒不按照甲方的要求更换相关人员及增加人力物力加快项目进度、完成临时汇报等事项的，甲方有权解除本合同，乙方应按照合同总金额的</w:t>
      </w:r>
      <w:r>
        <w:rPr>
          <w:sz w:val="21"/>
        </w:rPr>
        <w:t>10%向甲方支付违约金，并赔偿因此而给甲方造成的一切损失。</w:t>
      </w:r>
    </w:p>
    <w:p>
      <w:pPr>
        <w:ind w:firstLine="420"/>
        <w:jc w:val="both"/>
      </w:pPr>
      <w:r>
        <w:rPr>
          <w:sz w:val="21"/>
        </w:rPr>
        <w:t>2．</w:t>
      </w:r>
      <w:r>
        <w:rPr>
          <w:sz w:val="21"/>
        </w:rPr>
        <w:t>如研究成果需报上级主管部门审批，乙方应按上级主管部门审查意见，在不超出本合同约定工作内容及深度的前提下，修改完善研究成果，直至满足上级主管部门审批要求。</w:t>
      </w:r>
    </w:p>
    <w:p>
      <w:pPr>
        <w:ind w:firstLine="420"/>
        <w:jc w:val="both"/>
      </w:pPr>
      <w:r>
        <w:rPr>
          <w:sz w:val="21"/>
        </w:rPr>
        <w:t>3．</w:t>
      </w:r>
      <w:r>
        <w:rPr>
          <w:sz w:val="21"/>
        </w:rPr>
        <w:t>乙方逾期提交研究成果资料的，应按照合同总金额的每日千分之一向甲方支付违约金。乙方逾期提交研究成果资料超过</w:t>
      </w:r>
      <w:r>
        <w:rPr>
          <w:sz w:val="21"/>
        </w:rPr>
        <w:t>30天时，甲方有权解除本合同，乙方应向另一方支付合同价款总额的10%作为违约金，并且负责赔偿因其违约给另一方造成相应损失，赔偿金额一般不超过合同价款总额的20%。</w:t>
      </w:r>
    </w:p>
    <w:p>
      <w:pPr>
        <w:ind w:firstLine="420"/>
        <w:jc w:val="both"/>
      </w:pPr>
      <w:r>
        <w:rPr>
          <w:sz w:val="21"/>
        </w:rPr>
        <w:t>4．</w:t>
      </w:r>
      <w:r>
        <w:rPr>
          <w:sz w:val="21"/>
        </w:rPr>
        <w:t>乙方违反本合同约定，不履行合同相关附随义务的，每逾期一天应按照合同总金额的千分之一向甲方支付违约金。逾期超过</w:t>
      </w:r>
      <w:r>
        <w:rPr>
          <w:sz w:val="21"/>
        </w:rPr>
        <w:t>30</w:t>
      </w:r>
      <w:r>
        <w:rPr>
          <w:sz w:val="21"/>
        </w:rPr>
        <w:t>天的，或者本合同履行过程中逾期履行合同附随义务超</w:t>
      </w:r>
      <w:r>
        <w:rPr>
          <w:sz w:val="21"/>
        </w:rPr>
        <w:t>1</w:t>
      </w:r>
      <w:r>
        <w:rPr>
          <w:sz w:val="21"/>
        </w:rPr>
        <w:t>0</w:t>
      </w:r>
      <w:r>
        <w:rPr>
          <w:sz w:val="21"/>
        </w:rPr>
        <w:t>天且累计达到三次的，甲方有权解除本合同，乙方应按照合同总金额的</w:t>
      </w:r>
      <w:r>
        <w:rPr>
          <w:sz w:val="21"/>
        </w:rPr>
        <w:t>10%向甲方支付违约金，并赔偿因此而给甲方造成的一切损失。</w:t>
      </w:r>
    </w:p>
    <w:p>
      <w:pPr>
        <w:ind w:firstLine="420"/>
        <w:jc w:val="both"/>
      </w:pPr>
      <w:r>
        <w:rPr>
          <w:sz w:val="21"/>
        </w:rPr>
        <w:t>5．</w:t>
      </w:r>
      <w:r>
        <w:rPr>
          <w:sz w:val="21"/>
        </w:rPr>
        <w:t>甲、乙双方的任何一方由于法定事由以及不可抗力的原因不能履行合同时，应及时向对方通报不能履行或不能完全履行的理由，在取得有关主管机关证明后，双方友好协商允许延期履行、部分履行或者不履行合同，并根据法律规定可部分或全部免除其责任。</w:t>
      </w:r>
    </w:p>
    <w:p>
      <w:pPr>
        <w:ind w:firstLine="420"/>
        <w:jc w:val="both"/>
      </w:pPr>
      <w:r>
        <w:rPr>
          <w:b/>
          <w:color w:val="000000"/>
          <w:sz w:val="24"/>
        </w:rPr>
        <w:t>十四、</w:t>
      </w:r>
      <w:r>
        <w:rPr>
          <w:b/>
          <w:color w:val="000000"/>
          <w:sz w:val="24"/>
        </w:rPr>
        <w:t>其他</w:t>
      </w:r>
    </w:p>
    <w:p>
      <w:pPr>
        <w:ind w:firstLine="420"/>
        <w:jc w:val="both"/>
      </w:pPr>
      <w:r>
        <w:rPr>
          <w:sz w:val="21"/>
        </w:rPr>
        <w:t>1．</w:t>
      </w:r>
      <w:r>
        <w:rPr>
          <w:sz w:val="21"/>
        </w:rPr>
        <w:t>本项目的所有中间成果、最终成果以及甲方提供的资料，其所有权均属甲方，未经甲方同意，应标方不得外泄，否则甲方有权追究应标方的责任。</w:t>
      </w:r>
    </w:p>
    <w:p>
      <w:pPr>
        <w:ind w:firstLine="420"/>
        <w:jc w:val="both"/>
      </w:pPr>
      <w:r>
        <w:rPr>
          <w:sz w:val="21"/>
        </w:rPr>
        <w:t>2．</w:t>
      </w:r>
      <w:r>
        <w:rPr>
          <w:sz w:val="21"/>
        </w:rPr>
        <w:t>乙方在本项目服务过程中获得的企业或个人的原始数据，不得直接或间接的透露或提供给除省甲方之外的第三方或将其使用在其他项目中，不得将其用于履行本合同之外的其他用途。经加工汇总后的数据在提供给第三方之前，需征得甲方同意。即使向与履行本合同有关的人员提供，也应注意保密并限于完成项目内容所必需的范围。</w:t>
      </w:r>
    </w:p>
    <w:p>
      <w:pPr>
        <w:ind w:firstLine="420"/>
        <w:jc w:val="both"/>
      </w:pPr>
      <w:r>
        <w:rPr>
          <w:b/>
          <w:color w:val="000000"/>
          <w:sz w:val="24"/>
        </w:rPr>
        <w:t>十五、</w:t>
      </w:r>
      <w:r>
        <w:rPr>
          <w:b/>
          <w:color w:val="000000"/>
          <w:sz w:val="24"/>
        </w:rPr>
        <w:t>争端的解决</w:t>
      </w:r>
    </w:p>
    <w:p>
      <w:pPr>
        <w:ind w:firstLine="420"/>
        <w:jc w:val="both"/>
      </w:pPr>
      <w:r>
        <w:rPr>
          <w:sz w:val="21"/>
        </w:rPr>
        <w:t>1．</w:t>
      </w:r>
      <w:r>
        <w:rPr>
          <w:sz w:val="21"/>
        </w:rPr>
        <w:t>凡与本合同有关而引起的一切争议，甲乙双方应首先通过友好协商解决；如经协商后仍不能达成协议时，任何一方可以向中山市有管辖权的法院提出诉讼。</w:t>
      </w:r>
    </w:p>
    <w:p>
      <w:pPr>
        <w:ind w:firstLine="420"/>
        <w:jc w:val="both"/>
      </w:pPr>
      <w:r>
        <w:rPr>
          <w:sz w:val="21"/>
        </w:rPr>
        <w:t>2．</w:t>
      </w:r>
      <w:r>
        <w:rPr>
          <w:sz w:val="21"/>
        </w:rPr>
        <w:t>在进行法院审理期间，除提交法院审理的事项外，本合同其他部分仍应继续履行。</w:t>
      </w:r>
    </w:p>
    <w:p>
      <w:pPr>
        <w:ind w:firstLine="420"/>
        <w:jc w:val="both"/>
      </w:pPr>
      <w:r>
        <w:rPr>
          <w:sz w:val="21"/>
        </w:rPr>
        <w:t>3．</w:t>
      </w:r>
      <w:r>
        <w:rPr>
          <w:sz w:val="21"/>
        </w:rPr>
        <w:t>本合同按照中华人民共和国的法律进行解释。</w:t>
      </w:r>
    </w:p>
    <w:p>
      <w:pPr>
        <w:ind w:firstLine="420"/>
        <w:jc w:val="both"/>
      </w:pPr>
      <w:r>
        <w:rPr>
          <w:b/>
          <w:color w:val="000000"/>
          <w:sz w:val="24"/>
        </w:rPr>
        <w:t>十六、</w:t>
      </w:r>
      <w:r>
        <w:rPr>
          <w:b/>
          <w:color w:val="000000"/>
          <w:sz w:val="24"/>
        </w:rPr>
        <w:t>不可抗力</w:t>
      </w:r>
    </w:p>
    <w:p>
      <w:pPr>
        <w:ind w:firstLine="420"/>
        <w:jc w:val="both"/>
      </w:pPr>
      <w:r>
        <w:rPr>
          <w:sz w:val="21"/>
        </w:rPr>
        <w:t>1．</w:t>
      </w:r>
      <w:r>
        <w:rPr>
          <w:sz w:val="21"/>
        </w:rPr>
        <w:t>不可抗力是本合同生效后发生的非有关方所能控制的、无法终止的、不可预防的社会和自然事件，包括但不限于：严重的自然灾害（如台风、洪水、地震、火灾、爆炸等）、战争（不论是否宣战）、叛乱、破坏、动乱、社会敌视行为、罢工等。</w:t>
      </w:r>
    </w:p>
    <w:p>
      <w:pPr>
        <w:ind w:firstLine="420"/>
        <w:jc w:val="both"/>
      </w:pPr>
      <w:r>
        <w:rPr>
          <w:sz w:val="21"/>
        </w:rPr>
        <w:t>2．</w:t>
      </w:r>
      <w:r>
        <w:rPr>
          <w:sz w:val="21"/>
        </w:rPr>
        <w:t>合同双方的任何一方，由于不可抗力而影响合同义务执行时，则延迟合同义务的期限相当于不可抗力时间持续的时间，但也不能因为不可抗力的延迟而调整价格。</w:t>
      </w:r>
    </w:p>
    <w:p>
      <w:pPr>
        <w:ind w:firstLine="420"/>
        <w:jc w:val="both"/>
      </w:pPr>
      <w:r>
        <w:rPr>
          <w:sz w:val="21"/>
        </w:rPr>
        <w:t>3．</w:t>
      </w:r>
      <w:r>
        <w:rPr>
          <w:sz w:val="21"/>
        </w:rPr>
        <w:t>如乙方逾期</w:t>
      </w:r>
      <w:r>
        <w:rPr>
          <w:sz w:val="21"/>
        </w:rPr>
        <w:t>交付</w:t>
      </w:r>
      <w:r>
        <w:rPr>
          <w:sz w:val="21"/>
        </w:rPr>
        <w:t>之后遭受不可抗力，不能享受本条规定的责任免除。</w:t>
      </w:r>
    </w:p>
    <w:p>
      <w:pPr>
        <w:ind w:firstLine="420"/>
        <w:jc w:val="both"/>
      </w:pPr>
      <w:r>
        <w:rPr>
          <w:sz w:val="21"/>
        </w:rPr>
        <w:t>4．</w:t>
      </w:r>
      <w:r>
        <w:rPr>
          <w:sz w:val="21"/>
        </w:rPr>
        <w:t>由于一般公认的人力不可抗拒的原因造成不可意料的事故而不能按本合同约定提交成果验收时，乙方应在</w:t>
      </w:r>
      <w:r>
        <w:rPr>
          <w:sz w:val="21"/>
          <w:u w:val="single"/>
        </w:rPr>
        <w:t xml:space="preserve"> </w:t>
      </w:r>
      <w:r>
        <w:rPr>
          <w:sz w:val="21"/>
          <w:u w:val="single"/>
        </w:rPr>
        <w:t>7</w:t>
      </w:r>
      <w:r>
        <w:rPr>
          <w:sz w:val="21"/>
        </w:rPr>
        <w:t>日内以书面形式通告甲方，并提供相关部门的证明以证明事故的存在。</w:t>
      </w:r>
    </w:p>
    <w:p>
      <w:pPr>
        <w:ind w:firstLine="420"/>
        <w:jc w:val="both"/>
      </w:pPr>
      <w:r>
        <w:rPr>
          <w:sz w:val="21"/>
        </w:rPr>
        <w:t>5．</w:t>
      </w:r>
      <w:r>
        <w:rPr>
          <w:sz w:val="21"/>
        </w:rPr>
        <w:t>在不可抗力事件发生后，双方应努力寻求采取合理的方案履行不受不可抗力影响的其他事项。如不可抗拒因素继续存在并持续影响达</w:t>
      </w:r>
      <w:r>
        <w:rPr>
          <w:sz w:val="21"/>
        </w:rPr>
        <w:t>60天以上，甲乙双方应通过友好协商方式在合理的时间内达成进一步履行合同或解除本合同。届时，甲乙双方均不互提出索赔，甲方不承担终止合同的责任，但不影响双方对非不可抗力造成的违约追究责任。</w:t>
      </w:r>
    </w:p>
    <w:p>
      <w:pPr>
        <w:ind w:firstLine="420"/>
        <w:jc w:val="both"/>
      </w:pPr>
      <w:r>
        <w:rPr>
          <w:b/>
          <w:color w:val="000000"/>
          <w:sz w:val="24"/>
        </w:rPr>
        <w:t>十七、</w:t>
      </w:r>
      <w:r>
        <w:rPr>
          <w:b/>
          <w:color w:val="000000"/>
          <w:sz w:val="24"/>
        </w:rPr>
        <w:t>税费</w:t>
      </w:r>
    </w:p>
    <w:p>
      <w:pPr>
        <w:jc w:val="both"/>
      </w:pPr>
      <w:r>
        <w:rPr>
          <w:sz w:val="21"/>
        </w:rPr>
        <w:t>发生的与本合同执行有关的一切税费均由乙方负担。</w:t>
      </w:r>
    </w:p>
    <w:p>
      <w:pPr>
        <w:ind w:firstLine="420"/>
        <w:jc w:val="both"/>
      </w:pPr>
      <w:r>
        <w:rPr>
          <w:b/>
          <w:color w:val="000000"/>
          <w:sz w:val="24"/>
        </w:rPr>
        <w:t>十八、</w:t>
      </w:r>
      <w:r>
        <w:rPr>
          <w:b/>
          <w:color w:val="000000"/>
          <w:sz w:val="24"/>
        </w:rPr>
        <w:t>合同生效</w:t>
      </w:r>
    </w:p>
    <w:p>
      <w:pPr>
        <w:jc w:val="both"/>
      </w:pPr>
      <w:r>
        <w:rPr>
          <w:sz w:val="21"/>
        </w:rPr>
        <w:t>本合同</w:t>
      </w:r>
      <w:r>
        <w:rPr>
          <w:sz w:val="21"/>
        </w:rPr>
        <w:t>经甲乙双方</w:t>
      </w:r>
      <w:r>
        <w:rPr>
          <w:sz w:val="21"/>
        </w:rPr>
        <w:t>授权代表</w:t>
      </w:r>
      <w:r>
        <w:rPr>
          <w:sz w:val="21"/>
        </w:rPr>
        <w:t>签字</w:t>
      </w:r>
      <w:r>
        <w:rPr>
          <w:sz w:val="21"/>
        </w:rPr>
        <w:t>并</w:t>
      </w:r>
      <w:r>
        <w:rPr>
          <w:sz w:val="21"/>
        </w:rPr>
        <w:t>加盖单位公章之日起生效。</w:t>
      </w:r>
    </w:p>
    <w:p>
      <w:pPr>
        <w:ind w:firstLine="420"/>
        <w:jc w:val="both"/>
      </w:pPr>
      <w:r>
        <w:rPr>
          <w:b/>
          <w:color w:val="000000"/>
          <w:sz w:val="24"/>
        </w:rPr>
        <w:t>十九、</w:t>
      </w:r>
      <w:r>
        <w:rPr>
          <w:b/>
          <w:color w:val="000000"/>
          <w:sz w:val="24"/>
        </w:rPr>
        <w:t>附则</w:t>
      </w:r>
    </w:p>
    <w:p>
      <w:pPr>
        <w:ind w:firstLine="420"/>
        <w:jc w:val="both"/>
      </w:pPr>
      <w:r>
        <w:rPr>
          <w:sz w:val="21"/>
        </w:rPr>
        <w:t>1．</w:t>
      </w:r>
      <w:r>
        <w:rPr>
          <w:sz w:val="21"/>
        </w:rPr>
        <w:t>本合同之所有附件均为本合同的有效组成部分，与本合同具有同等法律效力。本合同与附件之间内容应认为是互为补充和解释，但如有模棱两可或相互矛盾之处，以时间在后的文件为准。招标文件和投标文件亦为本合同的有效组成部分。本合同与投标文件互为补充，如本合同与投标文件不一致的，以本合同为准。</w:t>
      </w:r>
    </w:p>
    <w:p>
      <w:pPr>
        <w:ind w:firstLine="420"/>
        <w:jc w:val="both"/>
      </w:pPr>
      <w:r>
        <w:rPr>
          <w:sz w:val="21"/>
        </w:rPr>
        <w:t>2．</w:t>
      </w:r>
      <w:r>
        <w:rPr>
          <w:sz w:val="21"/>
        </w:rPr>
        <w:t>在执行本合同的过程中，乙方需遵守所有经甲乙双方签署确认的文件（包括会议纪要、补充协议、往来信函）即成为本合同的有效组成部分，其生效日期为甲乙双方签字盖章或确认之日期。</w:t>
      </w:r>
    </w:p>
    <w:p>
      <w:pPr>
        <w:ind w:firstLine="420"/>
        <w:jc w:val="both"/>
      </w:pPr>
      <w:r>
        <w:rPr>
          <w:sz w:val="21"/>
        </w:rPr>
        <w:t>3．</w:t>
      </w:r>
      <w:r>
        <w:rPr>
          <w:sz w:val="21"/>
        </w:rPr>
        <w:t>除甲方事先书面同意外，乙方不得部分或全部</w:t>
      </w:r>
      <w:r>
        <w:rPr>
          <w:sz w:val="21"/>
        </w:rPr>
        <w:t>转让</w:t>
      </w:r>
      <w:r>
        <w:rPr>
          <w:sz w:val="21"/>
        </w:rPr>
        <w:t>其应履行的合同项下的义务。</w:t>
      </w:r>
      <w:r>
        <w:rPr>
          <w:b/>
          <w:sz w:val="21"/>
        </w:rPr>
        <w:t>本合同正本一式</w:t>
      </w:r>
      <w:r>
        <w:rPr>
          <w:b/>
          <w:sz w:val="21"/>
          <w:u w:val="single"/>
        </w:rPr>
        <w:t xml:space="preserve">   </w:t>
      </w:r>
      <w:r>
        <w:rPr>
          <w:b/>
          <w:sz w:val="21"/>
        </w:rPr>
        <w:t>份，甲、乙双方各</w:t>
      </w:r>
      <w:r>
        <w:rPr>
          <w:b/>
          <w:sz w:val="21"/>
          <w:u w:val="single"/>
        </w:rPr>
        <w:t xml:space="preserve">   </w:t>
      </w:r>
      <w:r>
        <w:rPr>
          <w:b/>
          <w:sz w:val="21"/>
        </w:rPr>
        <w:t>份，招标代理壹份。</w:t>
      </w:r>
    </w:p>
    <w:p>
      <w:pPr>
        <w:ind w:firstLine="420"/>
        <w:jc w:val="both"/>
      </w:pPr>
      <w:r>
        <w:rPr>
          <w:sz w:val="21"/>
        </w:rPr>
        <w:t>4．</w:t>
      </w:r>
      <w:r>
        <w:rPr>
          <w:sz w:val="21"/>
        </w:rPr>
        <w:t>本合同</w:t>
      </w:r>
      <w:r>
        <w:rPr>
          <w:b/>
          <w:sz w:val="21"/>
        </w:rPr>
        <w:t>合计</w:t>
      </w:r>
      <w:r>
        <w:rPr>
          <w:sz w:val="21"/>
          <w:u w:val="single"/>
        </w:rPr>
        <w:t xml:space="preserve">    </w:t>
      </w:r>
      <w:r>
        <w:rPr>
          <w:sz w:val="21"/>
        </w:rPr>
        <w:t>页</w:t>
      </w:r>
      <w:r>
        <w:rPr>
          <w:sz w:val="21"/>
        </w:rPr>
        <w:t>A4纸张，缺页之合同为无效合同。</w:t>
      </w:r>
    </w:p>
    <w:p>
      <w:pPr>
        <w:ind w:firstLine="420"/>
        <w:jc w:val="both"/>
      </w:pPr>
    </w:p>
    <w:p>
      <w:pPr>
        <w:ind w:firstLine="420"/>
        <w:jc w:val="both"/>
      </w:pPr>
      <w:r>
        <w:rPr>
          <w:sz w:val="21"/>
        </w:rPr>
        <w:t>甲方（盖章）：</w:t>
      </w:r>
      <w:r>
        <w:rPr>
          <w:sz w:val="21"/>
        </w:rPr>
        <w:t xml:space="preserve">                   </w:t>
      </w:r>
      <w:r>
        <w:rPr>
          <w:sz w:val="21"/>
        </w:rPr>
        <w:t>乙方（盖章）：</w:t>
      </w:r>
    </w:p>
    <w:p>
      <w:pPr>
        <w:ind w:firstLine="420"/>
        <w:jc w:val="both"/>
      </w:pPr>
      <w:r>
        <w:rPr>
          <w:sz w:val="21"/>
        </w:rPr>
        <w:t>甲方代表（签字）：</w:t>
      </w:r>
      <w:r>
        <w:rPr>
          <w:sz w:val="21"/>
        </w:rPr>
        <w:t xml:space="preserve">                             </w:t>
      </w:r>
      <w:r>
        <w:rPr>
          <w:sz w:val="21"/>
        </w:rPr>
        <w:t>乙方代表（签字）：</w:t>
      </w:r>
    </w:p>
    <w:p>
      <w:pPr>
        <w:ind w:firstLine="420"/>
        <w:jc w:val="both"/>
      </w:pPr>
      <w:r>
        <w:rPr>
          <w:sz w:val="21"/>
        </w:rPr>
        <w:t>地</w:t>
      </w:r>
      <w:r>
        <w:rPr>
          <w:sz w:val="21"/>
        </w:rPr>
        <w:t xml:space="preserve">   </w:t>
      </w:r>
      <w:r>
        <w:rPr>
          <w:sz w:val="21"/>
        </w:rPr>
        <w:t>址：</w:t>
      </w:r>
      <w:r>
        <w:rPr>
          <w:sz w:val="21"/>
        </w:rPr>
        <w:t xml:space="preserve">                        </w:t>
      </w:r>
      <w:r>
        <w:rPr>
          <w:sz w:val="21"/>
        </w:rPr>
        <w:t>地</w:t>
      </w:r>
      <w:r>
        <w:rPr>
          <w:sz w:val="21"/>
        </w:rPr>
        <w:t xml:space="preserve">   </w:t>
      </w:r>
      <w:r>
        <w:rPr>
          <w:sz w:val="21"/>
        </w:rPr>
        <w:t>址：</w:t>
      </w:r>
    </w:p>
    <w:p>
      <w:pPr>
        <w:ind w:firstLine="420"/>
        <w:jc w:val="both"/>
      </w:pPr>
      <w:r>
        <w:rPr>
          <w:sz w:val="21"/>
        </w:rPr>
        <w:t>邮政编码：</w:t>
      </w:r>
      <w:r>
        <w:rPr>
          <w:sz w:val="21"/>
        </w:rPr>
        <w:t xml:space="preserve">                       </w:t>
      </w:r>
      <w:r>
        <w:rPr>
          <w:sz w:val="21"/>
        </w:rPr>
        <w:t>邮政编码：</w:t>
      </w:r>
    </w:p>
    <w:p>
      <w:pPr>
        <w:ind w:firstLine="420"/>
        <w:jc w:val="both"/>
      </w:pPr>
      <w:r>
        <w:rPr>
          <w:sz w:val="21"/>
        </w:rPr>
        <w:t>电</w:t>
      </w:r>
      <w:r>
        <w:rPr>
          <w:sz w:val="21"/>
        </w:rPr>
        <w:t xml:space="preserve">   </w:t>
      </w:r>
      <w:r>
        <w:rPr>
          <w:sz w:val="21"/>
        </w:rPr>
        <w:t>话：</w:t>
      </w:r>
      <w:r>
        <w:rPr>
          <w:sz w:val="21"/>
        </w:rPr>
        <w:t xml:space="preserve">                        </w:t>
      </w:r>
      <w:r>
        <w:rPr>
          <w:sz w:val="21"/>
        </w:rPr>
        <w:t>电</w:t>
      </w:r>
      <w:r>
        <w:rPr>
          <w:sz w:val="21"/>
        </w:rPr>
        <w:t xml:space="preserve">   </w:t>
      </w:r>
      <w:r>
        <w:rPr>
          <w:sz w:val="21"/>
        </w:rPr>
        <w:t>话：</w:t>
      </w:r>
    </w:p>
    <w:p>
      <w:pPr>
        <w:ind w:firstLine="420"/>
        <w:jc w:val="both"/>
      </w:pPr>
      <w:r>
        <w:rPr>
          <w:sz w:val="21"/>
        </w:rPr>
        <w:t>传</w:t>
      </w:r>
      <w:r>
        <w:rPr>
          <w:sz w:val="21"/>
        </w:rPr>
        <w:t xml:space="preserve">   </w:t>
      </w:r>
      <w:r>
        <w:rPr>
          <w:sz w:val="21"/>
        </w:rPr>
        <w:t>真：</w:t>
      </w:r>
      <w:r>
        <w:rPr>
          <w:sz w:val="21"/>
        </w:rPr>
        <w:t xml:space="preserve">                        </w:t>
      </w:r>
      <w:r>
        <w:rPr>
          <w:sz w:val="21"/>
        </w:rPr>
        <w:t>传</w:t>
      </w:r>
      <w:r>
        <w:rPr>
          <w:sz w:val="21"/>
        </w:rPr>
        <w:t xml:space="preserve">   </w:t>
      </w:r>
      <w:r>
        <w:rPr>
          <w:sz w:val="21"/>
        </w:rPr>
        <w:t>真：</w:t>
      </w:r>
    </w:p>
    <w:p>
      <w:pPr>
        <w:ind w:firstLine="420"/>
        <w:jc w:val="both"/>
      </w:pPr>
      <w:r>
        <w:rPr>
          <w:sz w:val="21"/>
        </w:rPr>
        <w:t>开户银行：</w:t>
      </w:r>
      <w:r>
        <w:rPr>
          <w:sz w:val="21"/>
        </w:rPr>
        <w:t xml:space="preserve">                      </w:t>
      </w:r>
      <w:r>
        <w:rPr>
          <w:sz w:val="21"/>
        </w:rPr>
        <w:t>开户银行：</w:t>
      </w:r>
    </w:p>
    <w:p>
      <w:pPr>
        <w:ind w:firstLine="420"/>
        <w:jc w:val="both"/>
      </w:pPr>
      <w:r>
        <w:rPr>
          <w:sz w:val="21"/>
        </w:rPr>
        <w:t>开户账号：</w:t>
      </w:r>
      <w:r>
        <w:rPr>
          <w:sz w:val="21"/>
        </w:rPr>
        <w:t xml:space="preserve">                      </w:t>
      </w:r>
      <w:r>
        <w:rPr>
          <w:sz w:val="21"/>
        </w:rPr>
        <w:t>开户账号：</w:t>
      </w:r>
    </w:p>
    <w:p>
      <w:pPr>
        <w:ind w:firstLine="420"/>
        <w:jc w:val="both"/>
      </w:pPr>
      <w:r>
        <w:rPr>
          <w:sz w:val="21"/>
        </w:rPr>
        <w:t>日</w:t>
      </w:r>
      <w:r>
        <w:rPr>
          <w:sz w:val="21"/>
        </w:rPr>
        <w:t xml:space="preserve">   </w:t>
      </w:r>
      <w:r>
        <w:rPr>
          <w:sz w:val="21"/>
        </w:rPr>
        <w:t>期：</w:t>
      </w:r>
      <w:r>
        <w:rPr>
          <w:sz w:val="21"/>
        </w:rPr>
        <w:t xml:space="preserve">                        </w:t>
      </w:r>
      <w:r>
        <w:rPr>
          <w:sz w:val="21"/>
        </w:rPr>
        <w:t>日</w:t>
      </w:r>
      <w:r>
        <w:rPr>
          <w:sz w:val="21"/>
        </w:rPr>
        <w:t xml:space="preserve">   </w:t>
      </w:r>
      <w:r>
        <w:rPr>
          <w:sz w:val="21"/>
        </w:rPr>
        <w:t>期：</w:t>
      </w:r>
    </w:p>
    <w:p>
      <w:pPr>
        <w:ind w:firstLine="4758"/>
        <w:jc w:val="both"/>
      </w:pPr>
    </w:p>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442000-2023-05101</w:t>
      </w:r>
    </w:p>
    <w:p>
      <w:pPr>
        <w:jc w:val="center"/>
      </w:pPr>
      <w:r>
        <w:rPr>
          <w:b/>
          <w:sz w:val="24"/>
        </w:rPr>
        <w:t>采购项目编号：</w:t>
      </w:r>
      <w:r>
        <w:rPr>
          <w:b/>
          <w:sz w:val="24"/>
        </w:rPr>
        <w:t>ZSXCTAZ2310082G</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中山信诚招标有限公司</w:t>
      </w:r>
    </w:p>
    <w:p>
      <w:pPr>
        <w:ind w:firstLine="480"/>
      </w:pPr>
      <w:r>
        <w:rPr/>
        <w:t>你方组织的</w:t>
      </w:r>
      <w:r>
        <w:rPr>
          <w:u w:val="single"/>
        </w:rPr>
        <w:t>“</w:t>
      </w:r>
      <w:r>
        <w:rPr>
          <w:u w:val="single"/>
        </w:rPr>
        <w:t>中山市详细规划评估与详细规划单元划分优化</w:t>
      </w:r>
      <w:r>
        <w:rPr>
          <w:u w:val="single"/>
        </w:rPr>
        <w:t>”</w:t>
      </w:r>
      <w:r>
        <w:rPr/>
        <w:t>项目的招标[采购项目编号为：</w:t>
      </w:r>
      <w:r>
        <w:rPr>
          <w:u w:val="single"/>
        </w:rPr>
        <w:t>ZSXCTAZ2310082G</w:t>
      </w:r>
      <w:r>
        <w:rPr/>
        <w:t>]，我方愿参与投标。</w:t>
      </w:r>
    </w:p>
    <w:p>
      <w:pPr>
        <w:ind w:firstLine="480"/>
      </w:pPr>
      <w:r>
        <w:rPr/>
        <w:t>我方确认收到贵方提供的</w:t>
      </w:r>
      <w:r>
        <w:rPr>
          <w:u w:val="single"/>
        </w:rPr>
        <w:t>“</w:t>
      </w:r>
      <w:r>
        <w:rPr>
          <w:u w:val="single"/>
        </w:rPr>
        <w:t>中山市详细规划评估与详细规划单元划分优化</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（十五）我方对在本函及投标文件中所作的所有承诺承担法律责任。</w:t>
      </w:r>
    </w:p>
    <w:p>
      <w:pPr>
        <w:ind w:firstLine="480"/>
      </w:pPr>
      <w:r>
        <w:rPr/>
        <w:t>（十六）所有与本招标有关的函件请发往下列地址：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中山信诚招标有限公司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中山市详细规划评估与详细规划单元划分优化</w:t>
      </w:r>
      <w:r>
        <w:rPr/>
        <w:t>”项目采购[采购项目编号为</w:t>
      </w:r>
      <w:r>
        <w:rPr/>
        <w:t>ZSXCTAZ2310082G</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中山市自然资源局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中山信诚招标有限公司</w:t>
      </w:r>
    </w:p>
    <w:p>
      <w:pPr>
        <w:ind w:firstLine="480"/>
      </w:pPr>
      <w:r>
        <w:rPr/>
        <w:t>如果我方在贵采购代理机构组织的</w:t>
      </w:r>
      <w:r>
        <w:rPr/>
        <w:t>中山市详细规划评估与详细规划单元划分优化</w:t>
      </w:r>
      <w:r>
        <w:rPr/>
        <w:t>招标中获中标（采购项目编号：</w:t>
      </w:r>
      <w:r>
        <w:rPr/>
        <w:t>ZSXCTAZ2310082G</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中山信诚招标有限公司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中山信诚招标有限公司</w:t>
      </w:r>
    </w:p>
    <w:p>
      <w:pPr>
        <w:ind w:firstLine="480"/>
      </w:pPr>
      <w:r>
        <w:rPr/>
        <w:t>我单位已登记并准备参与“</w:t>
      </w:r>
      <w:r>
        <w:rPr/>
        <w:t>中山市详细规划评估与详细规划单元划分优化</w:t>
      </w:r>
      <w:r>
        <w:rPr/>
        <w:t>”项目（采购项目编号：</w:t>
      </w:r>
      <w:r>
        <w:rPr/>
        <w:t>ZSXCTAZ2310082G</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jpe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