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竞 争 性 磋 商 文 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442000-2023-05078</w:t>
      </w:r>
    </w:p>
    <w:p>
      <w:pPr>
        <w:jc w:val="center"/>
      </w:pPr>
      <w:r>
        <w:rPr>
          <w:b/>
          <w:sz w:val="24"/>
        </w:rPr>
        <w:t>采购项目编号：</w:t>
      </w:r>
      <w:r>
        <w:rPr>
          <w:b/>
          <w:sz w:val="24"/>
        </w:rPr>
        <w:t>ZZ22317538</w:t>
      </w:r>
    </w:p>
    <w:p>
      <w:pPr>
        <w:jc w:val="center"/>
      </w:pPr>
      <w:r>
        <w:rPr>
          <w:b/>
          <w:sz w:val="24"/>
        </w:rPr>
        <w:t>项目名称：</w:t>
      </w:r>
      <w:r>
        <w:rPr>
          <w:b/>
          <w:sz w:val="24"/>
        </w:rPr>
        <w:t>中山市自然资源局自然资源政务信息平台运维项目</w:t>
      </w:r>
    </w:p>
    <w:p>
      <w:pPr>
        <w:jc w:val="center"/>
      </w:pPr>
      <w:r>
        <w:rPr>
          <w:b/>
          <w:sz w:val="24"/>
        </w:rPr>
        <w:t>采购人：</w:t>
      </w:r>
      <w:r>
        <w:rPr>
          <w:b/>
          <w:sz w:val="24"/>
        </w:rPr>
        <w:t>中山市自然资源局</w:t>
      </w:r>
    </w:p>
    <w:p>
      <w:pPr>
        <w:jc w:val="center"/>
      </w:pPr>
      <w:r>
        <w:rPr>
          <w:b/>
          <w:sz w:val="24"/>
        </w:rPr>
        <w:t>采购代理机构：</w:t>
      </w:r>
      <w:r>
        <w:rPr>
          <w:b/>
          <w:sz w:val="24"/>
        </w:rPr>
        <w:t>广东志正招标有限公司中山分公司</w:t>
      </w:r>
    </w:p>
    <w:p>
      <w:pPr>
        <w:ind w:firstLine="480"/>
      </w:pPr>
    </w:p>
    <w:p>
      <w:r>
        <w:rPr/>
        <w:t xml:space="preserve"> </w:t>
      </w:r>
    </w:p>
    <w:p/>
    <w:p>
      <w:pPr>
        <w:jc w:val="center"/>
      </w:pPr>
      <w:r>
        <w:rPr>
          <w:b/>
          <w:sz w:val="36"/>
        </w:rPr>
        <w:t>第一章 磋商邀请</w:t>
      </w:r>
    </w:p>
    <w:p>
      <w:pPr>
        <w:ind w:firstLine="480"/>
      </w:pPr>
      <w:r>
        <w:rPr/>
        <w:t>广东志正招标有限公司中山分公司</w:t>
      </w:r>
      <w:r>
        <w:rPr/>
        <w:t>受</w:t>
      </w:r>
      <w:r>
        <w:rPr/>
        <w:t>中山市自然资源局</w:t>
      </w:r>
      <w:r>
        <w:rPr/>
        <w:t>的委托，采用</w:t>
      </w:r>
      <w:r>
        <w:rPr/>
        <w:t>竞争性磋商</w:t>
      </w:r>
      <w:r>
        <w:rPr/>
        <w:t>方式组织采购</w:t>
      </w:r>
      <w:r>
        <w:rPr/>
        <w:t>中山市自然资源局自然资源政务信息平台运维项目</w:t>
      </w:r>
      <w:r>
        <w:rPr/>
        <w:t>。欢迎符合资格条件的供应商参加。</w:t>
      </w:r>
    </w:p>
    <w:p>
      <w:r>
        <w:rPr>
          <w:b/>
          <w:sz w:val="28"/>
        </w:rPr>
        <w:t>一.项目概述</w:t>
      </w:r>
    </w:p>
    <w:p>
      <w:r>
        <w:rPr>
          <w:b/>
          <w:sz w:val="24"/>
        </w:rPr>
        <w:t>1.名称与编号</w:t>
      </w:r>
    </w:p>
    <w:p>
      <w:pPr>
        <w:ind w:firstLine="480"/>
      </w:pPr>
      <w:r>
        <w:rPr/>
        <w:t>采购项目名称：</w:t>
      </w:r>
      <w:r>
        <w:rPr/>
        <w:t>中山市自然资源局自然资源政务信息平台运维项目</w:t>
      </w:r>
    </w:p>
    <w:p>
      <w:pPr>
        <w:ind w:firstLine="480"/>
      </w:pPr>
      <w:r>
        <w:rPr/>
        <w:t>采购计划编号：</w:t>
      </w:r>
      <w:r>
        <w:rPr/>
        <w:t>442000-2023-05078</w:t>
      </w:r>
    </w:p>
    <w:p>
      <w:pPr>
        <w:ind w:firstLine="480"/>
      </w:pPr>
      <w:r>
        <w:rPr/>
        <w:t>采购项目编号：</w:t>
      </w:r>
      <w:r>
        <w:rPr/>
        <w:t>ZZ22317538</w:t>
      </w:r>
    </w:p>
    <w:p>
      <w:pPr>
        <w:ind w:firstLine="480"/>
      </w:pPr>
      <w:r>
        <w:rPr/>
        <w:t>采购方式：</w:t>
      </w:r>
      <w:r>
        <w:rPr/>
        <w:t>竞争性磋商</w:t>
      </w:r>
    </w:p>
    <w:p>
      <w:pPr>
        <w:ind w:firstLine="480"/>
      </w:pPr>
      <w:r>
        <w:rPr/>
        <w:t>预算金额：</w:t>
      </w:r>
      <w:r>
        <w:rPr/>
        <w:t>1,798,400.00</w:t>
      </w:r>
      <w:r>
        <w:rPr/>
        <w:t>元</w:t>
      </w:r>
    </w:p>
    <w:p>
      <w:r>
        <w:rPr>
          <w:b/>
          <w:sz w:val="24"/>
        </w:rPr>
        <w:t>2.项目内容及需求情况（采购项目技术规格、参数及要求）</w:t>
      </w:r>
    </w:p>
    <w:p>
      <w:pPr>
        <w:ind w:firstLine="480"/>
      </w:pPr>
    </w:p>
    <w:p/>
    <w:p>
      <w:r>
        <w:rPr/>
        <w:t>采购包1(中山市自然资源大数据中心维护):</w:t>
      </w:r>
    </w:p>
    <w:p>
      <w:r>
        <w:rPr/>
        <w:t>采购包预算金额：1,249,100.00元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软件运维服务</w:t>
            </w:r>
          </w:p>
        </w:tc>
        <w:tc>
          <w:tcPr>
            <w:tcW w:type="dxa" w:w="2136"/>
          </w:tcPr>
          <w:p>
            <w:r>
              <w:rPr/>
              <w:t>中山市自然资源大数据中心维护</w:t>
            </w:r>
          </w:p>
        </w:tc>
        <w:tc>
          <w:tcPr>
            <w:tcW w:type="dxa" w:w="1187"/>
          </w:tcPr>
          <w:p>
            <w:r>
              <w:rPr/>
              <w:t>1.00(宗)</w:t>
            </w:r>
          </w:p>
        </w:tc>
        <w:tc>
          <w:tcPr>
            <w:tcW w:type="dxa" w:w="1187"/>
          </w:tcPr>
          <w:p>
            <w:r>
              <w:rPr/>
              <w:t>详见第二章</w:t>
            </w:r>
          </w:p>
        </w:tc>
        <w:tc>
          <w:tcPr>
            <w:tcW w:type="dxa" w:w="1187"/>
          </w:tcPr>
          <w:p>
            <w:r>
              <w:rPr/>
              <w:t>否</w:t>
            </w:r>
          </w:p>
        </w:tc>
      </w:tr>
    </w:tbl>
    <w:p/>
    <w:p>
      <w:r>
        <w:rPr/>
        <w:t>本采购包不接受联合体响应</w:t>
      </w:r>
    </w:p>
    <w:p/>
    <w:p>
      <w:r>
        <w:rPr/>
        <w:t>合同履行期限：2023年11月6日至2024年6月30日。</w:t>
      </w:r>
    </w:p>
    <w:p/>
    <w:p>
      <w:r>
        <w:rPr/>
        <w:t>采购包2(中山市自然资源综合业务平台及自然资源决策支持平台维护):</w:t>
      </w:r>
    </w:p>
    <w:p>
      <w:r>
        <w:rPr/>
        <w:t>采购包预算金额：549,300.00元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2-1</w:t>
            </w:r>
          </w:p>
        </w:tc>
        <w:tc>
          <w:tcPr>
            <w:tcW w:type="dxa" w:w="1424"/>
          </w:tcPr>
          <w:p>
            <w:r>
              <w:rPr/>
              <w:t>软件运维服务</w:t>
            </w:r>
          </w:p>
        </w:tc>
        <w:tc>
          <w:tcPr>
            <w:tcW w:type="dxa" w:w="2136"/>
          </w:tcPr>
          <w:p>
            <w:r>
              <w:rPr/>
              <w:t>中山市自然资源综合业务平台及自然资源决策支持平台维护</w:t>
            </w:r>
          </w:p>
        </w:tc>
        <w:tc>
          <w:tcPr>
            <w:tcW w:type="dxa" w:w="1187"/>
          </w:tcPr>
          <w:p>
            <w:r>
              <w:rPr/>
              <w:t>1.00(宗)</w:t>
            </w:r>
          </w:p>
        </w:tc>
        <w:tc>
          <w:tcPr>
            <w:tcW w:type="dxa" w:w="1187"/>
          </w:tcPr>
          <w:p>
            <w:r>
              <w:rPr/>
              <w:t>详见第二章</w:t>
            </w:r>
          </w:p>
        </w:tc>
        <w:tc>
          <w:tcPr>
            <w:tcW w:type="dxa" w:w="1187"/>
          </w:tcPr>
          <w:p>
            <w:r>
              <w:rPr/>
              <w:t>否</w:t>
            </w:r>
          </w:p>
        </w:tc>
      </w:tr>
    </w:tbl>
    <w:p/>
    <w:p>
      <w:r>
        <w:rPr/>
        <w:t>本采购包不接受联合体响应</w:t>
      </w:r>
    </w:p>
    <w:p/>
    <w:p>
      <w:r>
        <w:rPr/>
        <w:t>合同履行期限：2023年11月6日至2024年6月30日。</w:t>
      </w:r>
    </w:p>
    <w:p/>
    <w:p>
      <w:r>
        <w:rPr>
          <w:b/>
          <w:sz w:val="28"/>
        </w:rPr>
        <w:t>二.供应商的资格要求</w:t>
      </w:r>
    </w:p>
    <w:p>
      <w:r>
        <w:rPr>
          <w:b/>
          <w:sz w:val="24"/>
        </w:rPr>
        <w:t>1.供应商应具备《中华人民共和国政府采购法》第二十二条规定的条件，提供下列材料：</w:t>
      </w:r>
    </w:p>
    <w:p>
      <w:pPr>
        <w:ind w:firstLine="480"/>
      </w:pPr>
    </w:p>
    <w:p/>
    <w:p>
      <w:r>
        <w:rPr/>
        <w:t>1）具有独立承担民事责任的能力：(采购包1）在中华人民共和国境内注册的法人或其他组织或自然人，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采购包2）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 如依法免税或不需要缴纳社会保障资金的， 提供相应证明材料。</w:t>
      </w:r>
    </w:p>
    <w:p/>
    <w:p>
      <w:r>
        <w:rPr/>
        <w:t>3）具有良好的商业信誉和健全的财务会计制度：供应商必须具有良好的商业信誉和健全的财务会计制度（提供2022年度财务状况报告关键页或基本开户行出具的资信证明） 。</w:t>
      </w:r>
    </w:p>
    <w:p/>
    <w:p>
      <w:r>
        <w:rPr/>
        <w:t>4）履行合同所必需的设备和专业技术能力：提供承诺函（格式自拟，承诺内容包括但不限于：“我方具有履行本项目合同所必需的设备及专业技术能力”）或提供《设备和专业技术能力情况表》（格式自拟，需同时提供设备和专业技术能力（人员）两类信息）。</w:t>
      </w:r>
    </w:p>
    <w:p/>
    <w:p>
      <w:r>
        <w:rPr/>
        <w:t>5）参加采购活动前3年内，在经营活动中没有重大违法记录：参照投标（报价）函相关承诺格式内容。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采购包1（中山市自然资源大数据中心维护）：</w:t>
      </w:r>
      <w:r>
        <w:rPr/>
        <w:t>本项目不属于专门面向中小企业采购的项目。</w:t>
      </w:r>
    </w:p>
    <w:p>
      <w:pPr>
        <w:jc w:val="left"/>
      </w:pPr>
    </w:p>
    <w:p>
      <w:r>
        <w:rPr/>
        <w:t>采购包2（中山市自然资源综合业务平台及自然资源决策支持平台维护）：</w:t>
      </w:r>
      <w:r>
        <w:rPr/>
        <w:t>本项目不属于专门面向中小企业采购的项目。</w:t>
      </w:r>
    </w:p>
    <w:p/>
    <w:p>
      <w:r>
        <w:rPr>
          <w:b/>
          <w:sz w:val="24"/>
        </w:rPr>
        <w:t>3.本项目特定的资格要求：</w:t>
      </w:r>
    </w:p>
    <w:p>
      <w:pPr>
        <w:ind w:firstLine="480"/>
      </w:pPr>
    </w:p>
    <w:p/>
    <w:p>
      <w:r>
        <w:rPr/>
        <w:t>采购包1（中山市自然资源大数据中心维护）：</w:t>
      </w:r>
    </w:p>
    <w:p/>
    <w:p>
      <w:r>
        <w:rPr/>
        <w:t>1)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2)单位负责人为同一人或者存在直接控股、管理关系的不同供应商，不得同时参加本采购项目（或采购包）投标（响应）。为本项目提供整体设计、规范编制或者项目管理、监理、 检测等服务的供应商，不得再参与本项目投标（响应）。投标（报价）函相关承诺要求内容。</w:t>
      </w:r>
    </w:p>
    <w:p/>
    <w:p>
      <w:r>
        <w:rPr/>
        <w:t>3)供应商必须具有测绘行政主管部门颁发的乙级或以上测绘资质证书，且资质专业范围包括地理信息系统工程。</w:t>
      </w:r>
    </w:p>
    <w:p/>
    <w:p>
      <w:r>
        <w:rPr/>
        <w:t>采购包2（中山市自然资源综合业务平台及自然资源决策支持平台维护）：</w:t>
      </w:r>
    </w:p>
    <w:p/>
    <w:p>
      <w:r>
        <w:rPr/>
        <w:t>1)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2)单位负责人为同一人或者存在直接控股、管理关系的不同供应商，不得同时参加本采购项目（或采购包）投标（响应）。为本项目提供整体设计、规范编制或者项目管理、监理、 检测等服务的供应商，不得再参与本项目投标（响应）。投标（报价）函相关承诺要求内容。</w:t>
      </w:r>
    </w:p>
    <w:p/>
    <w:p>
      <w:r>
        <w:rPr/>
        <w:t>3)供应商必须具有测绘行政主管部门颁发的乙级或以上测绘资质证书，且资质专业范围包括地理信息系统工程。</w:t>
      </w:r>
    </w:p>
    <w:p/>
    <w:p>
      <w:r>
        <w:rPr>
          <w:b/>
          <w:sz w:val="28"/>
        </w:rPr>
        <w:t>三.获取磋商文件</w:t>
      </w:r>
    </w:p>
    <w:p>
      <w:pPr>
        <w:ind w:firstLine="480"/>
      </w:pPr>
      <w:r>
        <w:rPr/>
        <w:t>时间：详见磋商公告及其变更公告（如有）</w:t>
      </w:r>
    </w:p>
    <w:p>
      <w:pPr>
        <w:ind w:firstLine="480"/>
      </w:pPr>
      <w:r>
        <w:rPr/>
        <w:t>地点：详见磋商公告及其变更公告（如有）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ind w:firstLine="480"/>
      </w:pPr>
      <w:r>
        <w:rPr/>
        <w:t>售价：免费</w:t>
      </w:r>
    </w:p>
    <w:p>
      <w:r>
        <w:rPr>
          <w:b/>
          <w:sz w:val="28"/>
        </w:rPr>
        <w:t>四.提交响应文件截止时间、开启时间和地点：</w:t>
      </w:r>
    </w:p>
    <w:p>
      <w:pPr>
        <w:ind w:firstLine="480"/>
      </w:pPr>
      <w:r>
        <w:rPr/>
        <w:t>提交响应文件截止时间和开启时间：详见磋商公告及其变更公告（如有）（自响应文件开始发出之日起至响应供应商提交响应文件截止之日止，不得少于10个日历日）</w:t>
      </w:r>
    </w:p>
    <w:p>
      <w:pPr>
        <w:ind w:firstLine="480"/>
      </w:pPr>
      <w:r>
        <w:rPr/>
        <w:t>地点：详见磋商公告及其变更公告（如有）</w:t>
      </w:r>
    </w:p>
    <w:p>
      <w:r>
        <w:rPr>
          <w:b/>
          <w:sz w:val="28"/>
        </w:rPr>
        <w:t>五.公告期限、发布公告的媒介：</w:t>
      </w:r>
    </w:p>
    <w:p>
      <w:pPr>
        <w:ind w:firstLine="480"/>
      </w:pPr>
      <w:r>
        <w:rPr/>
        <w:t>1、公告期限：自本公告发布之日起不得少于3个工作日。</w:t>
      </w:r>
    </w:p>
    <w:p>
      <w:pPr>
        <w:ind w:firstLine="480"/>
      </w:pPr>
      <w:r>
        <w:rPr/>
        <w:t>2、发布公告的媒介：中国政府采购网(www.ccgp.gov.cn)，广东省政府采购网(https://gdgpo.czt.gd.gov.cn/)；</w:t>
      </w:r>
    </w:p>
    <w:p>
      <w:r>
        <w:rPr>
          <w:b/>
          <w:sz w:val="28"/>
        </w:rPr>
        <w:t>六.本项目联系方式：</w:t>
      </w:r>
    </w:p>
    <w:p>
      <w:r>
        <w:rPr>
          <w:b/>
          <w:sz w:val="24"/>
        </w:rPr>
        <w:t>1.采购人信息</w:t>
      </w:r>
    </w:p>
    <w:p>
      <w:pPr>
        <w:ind w:firstLine="480"/>
      </w:pPr>
      <w:r>
        <w:rPr/>
        <w:t>名称：</w:t>
      </w:r>
      <w:r>
        <w:rPr/>
        <w:t>中山市自然资源局</w:t>
      </w:r>
    </w:p>
    <w:p>
      <w:pPr>
        <w:ind w:firstLine="480"/>
      </w:pPr>
      <w:r>
        <w:rPr/>
        <w:t>地址：</w:t>
      </w:r>
      <w:r>
        <w:rPr/>
        <w:t>中山市石岐区兴中道二号</w:t>
      </w:r>
    </w:p>
    <w:p>
      <w:pPr>
        <w:ind w:firstLine="480"/>
      </w:pPr>
      <w:r>
        <w:rPr/>
        <w:t>联系方式：</w:t>
      </w:r>
      <w:r>
        <w:rPr/>
        <w:t>0760-88303617</w:t>
      </w:r>
    </w:p>
    <w:p>
      <w:r>
        <w:rPr>
          <w:b/>
          <w:sz w:val="24"/>
        </w:rPr>
        <w:t>2.采购代理机构信息</w:t>
      </w:r>
    </w:p>
    <w:p>
      <w:pPr>
        <w:ind w:firstLine="480"/>
      </w:pPr>
      <w:r>
        <w:rPr/>
        <w:t>名称：</w:t>
      </w:r>
      <w:r>
        <w:rPr/>
        <w:t>广东志正招标有限公司中山分公司</w:t>
      </w:r>
    </w:p>
    <w:p>
      <w:pPr>
        <w:ind w:firstLine="480"/>
      </w:pPr>
      <w:r>
        <w:rPr/>
        <w:t>地址：</w:t>
      </w:r>
      <w:r>
        <w:rPr/>
        <w:t>中山市东区中山四路亨尾大街3号软件园东园区2楼22室</w:t>
      </w:r>
    </w:p>
    <w:p>
      <w:pPr>
        <w:ind w:firstLine="480"/>
      </w:pPr>
      <w:r>
        <w:rPr/>
        <w:t>联系方式：</w:t>
      </w:r>
      <w:r>
        <w:rPr/>
        <w:t>0760-88808187</w:t>
      </w:r>
    </w:p>
    <w:p>
      <w:r>
        <w:rPr>
          <w:b/>
          <w:sz w:val="24"/>
        </w:rPr>
        <w:t>3.项目联系方式</w:t>
      </w:r>
    </w:p>
    <w:p>
      <w:pPr>
        <w:ind w:firstLine="480"/>
      </w:pPr>
      <w:r>
        <w:rPr/>
        <w:t>项目联系人：</w:t>
      </w:r>
      <w:r>
        <w:rPr/>
        <w:t>凌小姐</w:t>
      </w:r>
    </w:p>
    <w:p>
      <w:pPr>
        <w:ind w:firstLine="480"/>
      </w:pPr>
      <w:r>
        <w:rPr/>
        <w:t>电话：</w:t>
      </w:r>
      <w:r>
        <w:rPr/>
        <w:t>0760-88808187</w:t>
      </w:r>
    </w:p>
    <w:p>
      <w:r>
        <w:rPr>
          <w:b/>
          <w:sz w:val="24"/>
        </w:rPr>
        <w:t>4.技术支持联系方式</w:t>
      </w:r>
    </w:p>
    <w:p>
      <w:pPr>
        <w:ind w:firstLine="480"/>
      </w:pPr>
      <w:r>
        <w:rPr/>
        <w:t>云平台联系方式：020-88696588</w:t>
      </w:r>
    </w:p>
    <w:p>
      <w:r>
        <w:rPr/>
        <w:t>采购代理机构：</w:t>
      </w:r>
      <w:r>
        <w:rPr/>
        <w:t>广东志正招标有限公司中山分公司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both"/>
      </w:pPr>
      <w:r>
        <w:rPr>
          <w:b/>
          <w:sz w:val="21"/>
        </w:rPr>
        <w:t>1.1.</w:t>
      </w:r>
      <w:r>
        <w:rPr>
          <w:b/>
          <w:sz w:val="21"/>
        </w:rPr>
        <w:t>项目背景</w:t>
      </w:r>
    </w:p>
    <w:p>
      <w:pPr>
        <w:jc w:val="both"/>
      </w:pPr>
      <w:r>
        <w:rPr>
          <w:sz w:val="21"/>
        </w:rPr>
        <w:t>中山市自然资源信息化建设借助市政务云平台的网络环境，以政务云平台为基础和依托，建立自然资源数据库，结合未来多源异构数据整合趋势构建国土空间基础信息平台，形成自然资源大数据中心。完成了对自然资源全领域、全要素数据进行治理，形成完整的数据管理体系。并通过建设国土空间基础信息平台，实现自然资源数据统一管理、统一服务和统一共享，辅助用好数据。为自然资源行业管理提供高效、智能化的数据供给。针对自然资源业务体系，对总体业务流程进行标准化梳理及信息化优化提升设计，梳理各业务办理模型，实现业务办理标准化，提高自然资源局运作效率。并在此基础上以全业务覆盖、全流程贯通、多部门协同为基本目标，建立覆盖项目审批、政务管理、监督监察、移动办公、便民服务的自然资源一体化管理系统，即中山市自然资源综合业务平台及自然资源决策支持平台。</w:t>
      </w:r>
      <w:r>
        <w:br/>
      </w:r>
      <w:r>
        <w:rPr>
          <w:sz w:val="21"/>
        </w:rPr>
        <w:t xml:space="preserve">   为进一步实现与数字政府全面对接，推进政府数字化转型成为国家实现政府治理现代化，深化政府行业部门和社会经济活动数据的开发利用，加大自然资源和空间地理数据的共享应用，助力我市经济社会高质量发展。自然资源数据赋能水平得到持续提升，提高统一数据服务能力，持续为数字政府提供自然资源和空间地理数据服务。全面保障和提升自然资源管理水平以适应新时代要求，通过对中山市自然资源信息化发展的现状分析，结合国家、省、市对自然资源信息化建设的要求，全面提升自然资源数据服务能力，落实专项数据工作支撑，持续提高中山市自然资源大数据中心、中山市自然资源综合业务平台及自然资源决策支持平台的运维保障能力，开展以上系统的运维工作。</w:t>
      </w:r>
    </w:p>
    <w:p/>
    <w:p/>
    <w:p>
      <w:pPr>
        <w:ind w:firstLine="480"/>
      </w:pPr>
    </w:p>
    <w:p/>
    <w:p>
      <w:r>
        <w:rPr/>
        <w:t>采购包1（中山市自然资源大数据中心维护）</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2023年11月6日至2024年6月30日。</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25%,完成合同签订及必要的运维准备工作，在中山市财政局安排落实项目进度对应经费后，中山市自然资源局收到运维单位完税发票之日起30个工作日内，中山市自然资源局向运维单位支付合同总额的25%；</w:t>
            </w:r>
          </w:p>
          <w:p/>
          <w:p>
            <w:r>
              <w:rPr/>
              <w:t>2期：支付比例50%,2024年4月底之前，在中山市财政局安排落实项目进度对应经费后，中山市自然资源局收到运维单位完税发票之日起30个工作日内，且对处于运维服务期系统的运维服务季度（2023年11月至2024年3月）考核合格，中山市自然资源局向运维单位支付合同总金额的50％；</w:t>
            </w:r>
          </w:p>
          <w:p/>
          <w:p>
            <w:r>
              <w:rPr/>
              <w:t>3期：支付比例25%,项目运维服务期满且全部成果提交后，在中山市财政局安排落实项目进度对应经费后，且项目整个服务期（2023年11月6日-2024年6月30日）考核合格，中山市自然资源局收到运维单位完税发票之日起30个工作日内，中山市自然资源局向运维单位支付合同总金额的25％。</w:t>
            </w:r>
          </w:p>
        </w:tc>
      </w:tr>
      <w:tr>
        <w:tc>
          <w:tcPr>
            <w:tcW w:type="dxa" w:w="4153"/>
          </w:tcPr>
          <w:p>
            <w:r>
              <w:rPr/>
              <w:t>验收要求</w:t>
            </w:r>
          </w:p>
        </w:tc>
        <w:tc>
          <w:tcPr>
            <w:tcW w:type="dxa" w:w="4153"/>
          </w:tcPr>
          <w:p/>
          <w:p/>
          <w:p/>
          <w:p>
            <w:r>
              <w:rPr/>
              <w:t>1期：项目验收是核查项目计划规定范围内各项工作或活动是否已经全部完成，可交付成果是否达到交付质量标准，并将核查结果记录在验收文件中的一系列活动。应当采取有效措施，切实做好项目的验收工作。 （1）验收范围为本项目涉及的运维内容； （2）验收应在运维单位和中山市自然资源局的共同参与下进行，按照项目成果要求进行验收； （4）过渡支持期：运维单位需从项目运维期满之日起，在新运维单位到位前继续提供不少于两个月的系统基础运维支持服务，同时提供与新运维单位的交接工作服务，期限不少于两个月。（费用已包含在报价中）     验收以项目合同、国家相应的标准、规范等为依据，系统维护期满后由中山市自然资源局负责组织验收；通过验收的填写项目验收报告单，并交接全部项目资料。 （一）文档验收标准 文档交付物的验收必须满足以下标准： （1）内容：确保实现交付物的业务目标。 （2）布局和格式：确保文档的风格一致，便于阅读和易于管理。 （3）语言：确保清晰的传达各项内容。 审查人员将被要求对交付物进行签收，以确保所有的审查人员都理解和同意交付物中的每项内容。 （二）软件验收标准 软件的验收必须满足以下标准： （1）确保其功能满足用户需求。 （2）确保它们是采用如下方式进行建设的。 它们都遵循开发标准，并且是按照标准进行程序设计的。 可以方便地进行持续的维护。 （3）确保其文档符合相应的文档标准。 （4）确保这些软件组件均根据它们在系统中的类型和功能通过相应的测试。 （5）确保它们满足技术设计文档中提出的要求。 （三）验收流程 验收工作将按照以下步骤进行： 成交供应商按照项目成果要求进行系统交付工作，并按照合同要求提供项目相关文档。 成交供应商向采购人提出验收申请与相关材料，采购人认可后组织验收。 采购人对成交供应商提交的所有材料进行审查，确保项目提交成果真实和完整。 对项目成果不符合要求的部分，成交供应商应在采购人规定时间内及时整改完善直至验收合格。 采购人根据项目成果审查结果和系统维护考核评分出具正式验收报告。</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关于付款方式的补充说明，1、以上2、3期付款中若当期运维考核不合格，中山市自然资源局有权根据考核结果扣减当期付款金额，扣减比例根据当期运维工作完成情况决定，最低扣减额为当期应付款金额的30%。每期扣减金额将从合同总金额中累计扣减，中山市自然资源局将不再支付给运维单位。2、因本项目使用的是市财政资金，前款规定的付款时间为中山市自然资源局向政府采购支付部门办理财政支付手续的时间（不含政府财政支付部门审核的时间），在规定的时间内提交支付申请即视为中山市自然资源局已经按期支付。3、中山市自然资源局按照付款约定支付给运维单位的所有合同款只能用于本项目，运维单位不得转移用于其他用途。运维单位不得拖欠本项目运维人员（包括驻点和非驻点人员）工资。如发现有违反上述约定的，中山市自然资源局有权延迟或减少当期合同款支付。</w:t>
            </w:r>
          </w:p>
        </w:tc>
      </w:tr>
    </w:tbl>
    <w:p>
      <w:r>
        <w:rPr>
          <w:b/>
        </w:rPr>
        <w:t>2.技术标准与要求</w:t>
      </w:r>
    </w:p>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软件运维服务</w:t>
            </w:r>
          </w:p>
        </w:tc>
        <w:tc>
          <w:tcPr>
            <w:tcW w:type="dxa" w:w="933"/>
          </w:tcPr>
          <w:p>
            <w:pPr>
              <w:jc w:val="left"/>
            </w:pPr>
            <w:r>
              <w:rPr/>
              <w:t>中山市自然资源大数据中心维护</w:t>
            </w:r>
          </w:p>
        </w:tc>
        <w:tc>
          <w:tcPr>
            <w:tcW w:type="dxa" w:w="933"/>
          </w:tcPr>
          <w:p>
            <w:pPr>
              <w:jc w:val="left"/>
            </w:pPr>
            <w:r>
              <w:rPr/>
              <w:t>宗</w:t>
            </w:r>
          </w:p>
        </w:tc>
        <w:tc>
          <w:tcPr>
            <w:tcW w:type="dxa" w:w="933"/>
          </w:tcPr>
          <w:p>
            <w:pPr>
              <w:jc w:val="right"/>
            </w:pPr>
            <w:r>
              <w:rPr/>
              <w:t>1.00</w:t>
            </w:r>
          </w:p>
        </w:tc>
        <w:tc>
          <w:tcPr>
            <w:tcW w:type="dxa" w:w="933"/>
          </w:tcPr>
          <w:p>
            <w:pPr>
              <w:jc w:val="right"/>
            </w:pPr>
            <w:r>
              <w:rPr/>
              <w:t>1,249,100.00</w:t>
            </w:r>
          </w:p>
        </w:tc>
        <w:tc>
          <w:tcPr>
            <w:tcW w:type="dxa" w:w="933"/>
          </w:tcPr>
          <w:p>
            <w:pPr>
              <w:jc w:val="right"/>
            </w:pPr>
            <w:r>
              <w:rPr/>
              <w:t>1,249,100.00</w:t>
            </w:r>
          </w:p>
        </w:tc>
        <w:tc>
          <w:tcPr>
            <w:tcW w:type="dxa" w:w="840"/>
          </w:tcPr>
          <w:p>
            <w:r>
              <w:rPr/>
              <w:t>软件和信息技术服务业</w:t>
            </w:r>
          </w:p>
        </w:tc>
        <w:tc>
          <w:tcPr>
            <w:tcW w:type="dxa" w:w="933"/>
          </w:tcPr>
          <w:p>
            <w:r>
              <w:rPr/>
              <w:t>详见附表一</w:t>
            </w:r>
          </w:p>
        </w:tc>
      </w:tr>
    </w:tbl>
    <w:p/>
    <w:p>
      <w:r>
        <w:rPr>
          <w:b/>
        </w:rPr>
        <w:t>附表</w:t>
      </w:r>
      <w:r>
        <w:rPr>
          <w:b/>
        </w:rPr>
        <w:t>一</w:t>
      </w:r>
      <w:r>
        <w:rPr>
          <w:b/>
        </w:rPr>
        <w:t>：</w:t>
      </w:r>
      <w:r>
        <w:rPr>
          <w:b/>
        </w:rPr>
        <w:t>中山市自然资源大数据中心维护</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b/>
                <w:sz w:val="21"/>
              </w:rPr>
              <w:t>一、概述</w:t>
            </w:r>
          </w:p>
          <w:p>
            <w:pPr>
              <w:jc w:val="both"/>
            </w:pPr>
            <w:r>
              <w:rPr>
                <w:b/>
                <w:sz w:val="21"/>
              </w:rPr>
              <w:t>1.1.</w:t>
            </w:r>
            <w:r>
              <w:rPr>
                <w:b/>
                <w:sz w:val="21"/>
              </w:rPr>
              <w:t>项目目标</w:t>
            </w:r>
          </w:p>
          <w:p>
            <w:pPr>
              <w:jc w:val="both"/>
            </w:pPr>
            <w:r>
              <w:rPr>
                <w:sz w:val="21"/>
              </w:rPr>
              <w:t>保障项目范围内所有信息系统在维护期限内整体、稳定、协同、持续、高效地运行，全面及时掌握平台建设和运行情况，根据自然资源服务提升需求进行系统配置和功能调整，主要实现以下目标：</w:t>
            </w:r>
          </w:p>
          <w:p>
            <w:pPr>
              <w:jc w:val="both"/>
            </w:pPr>
            <w:r>
              <w:rPr>
                <w:b/>
                <w:sz w:val="21"/>
              </w:rPr>
              <w:t>1)</w:t>
            </w:r>
            <w:r>
              <w:rPr>
                <w:b/>
                <w:sz w:val="21"/>
              </w:rPr>
              <w:t>完善自然资源大数据中心的数据服务能力</w:t>
            </w:r>
          </w:p>
          <w:p>
            <w:pPr>
              <w:jc w:val="both"/>
            </w:pPr>
            <w:r>
              <w:rPr>
                <w:sz w:val="21"/>
              </w:rPr>
              <w:t>通过进一步优化自然资源大数据中心数据管理与服务能力，完善中山市自然资源大数据中心的技术服务能力。在运维期间以落实以下运维工作为目标。</w:t>
            </w:r>
          </w:p>
          <w:p>
            <w:pPr>
              <w:jc w:val="both"/>
            </w:pPr>
            <w:r>
              <w:rPr>
                <w:sz w:val="21"/>
              </w:rPr>
              <w:t>实现自然资源服务质量提升。根据自然资源业务需求，落实大数据中心数据管理体系优化；包括底图数据服务运维、存量数据运维、增量数据加工入库等数据中心服务运维工作；包括空间数据管理、数据共享与对外服务等政务数据普查管理工作；包括林业专题数据服务、工业用地专项数据服务、“标准地”数据规整及发布、“三规”数据更新及入库、其他用地专项统计技术服务等专项数据技术服务工作；包括安全值班值守、技术培训等内容。全面落实大数据中心安全运维保障工作。提升最大化资源利用率和整体工作效率，落实大数据中心安全运维保障工作，保障大数据中心安全、平稳运行。</w:t>
            </w:r>
          </w:p>
          <w:p>
            <w:pPr>
              <w:jc w:val="both"/>
            </w:pPr>
            <w:r>
              <w:rPr>
                <w:b/>
                <w:sz w:val="21"/>
              </w:rPr>
              <w:t>2)</w:t>
            </w:r>
            <w:r>
              <w:rPr>
                <w:b/>
                <w:sz w:val="21"/>
              </w:rPr>
              <w:t>保障系统基础运行支撑服务，保障平台安全稳定运行</w:t>
            </w:r>
          </w:p>
          <w:p>
            <w:pPr>
              <w:jc w:val="both"/>
            </w:pPr>
            <w:r>
              <w:rPr>
                <w:sz w:val="21"/>
              </w:rPr>
              <w:t>通过强化国土空间基础信息平台等系统运维，提高安全保障能力及数据服务支撑能力，为自然资源管理与服务提供坚强保障，落实系统软件日常运维服务及技术支持等工作，保障项目范围内系统平台在维护期限内的稳定、高效、安全运行。</w:t>
            </w:r>
          </w:p>
          <w:p>
            <w:pPr>
              <w:jc w:val="both"/>
            </w:pPr>
            <w:r>
              <w:rPr>
                <w:b/>
                <w:sz w:val="21"/>
              </w:rPr>
              <w:t>3)</w:t>
            </w:r>
            <w:r>
              <w:rPr>
                <w:b/>
                <w:sz w:val="21"/>
              </w:rPr>
              <w:t>加强网络与信息安全运维保障服务</w:t>
            </w:r>
          </w:p>
          <w:p>
            <w:pPr>
              <w:jc w:val="both"/>
            </w:pPr>
            <w:r>
              <w:rPr>
                <w:sz w:val="21"/>
              </w:rPr>
              <w:t>为深度融入数字政府网络安全体系，以“实战化，体系化，常态化”为新理念，以“动态防御，主动防御，纵深防御，精准防护，整体防护，联防联控”为新举措，整体上利用数字政府公共安全服务组件对中山市自然资源数据和应用进行护航。提供数据加密、数据脱敏、数据备份等数据安全管理手段，提供漏洞扫描、系统安全配置、病毒检测、主机系统渗透测试、软件测试、故障排查、日志检查、账号维护等软件、系统安全防护措施，制定安全应急预案、网络攻防演练等安全防护手段，对平台系统安全的状态进行实时监控评估，全方位提升网络安全、数据安全、系统安全、软件安全防护能力，推进自然资源网络安全治理能力现代化。最大程度地解决平台所面临的应用安全问题，从根本上提升安全防护能力。</w:t>
            </w:r>
          </w:p>
          <w:p>
            <w:pPr>
              <w:jc w:val="both"/>
            </w:pPr>
            <w:r>
              <w:rPr>
                <w:b/>
                <w:sz w:val="21"/>
              </w:rPr>
              <w:t>1.2.</w:t>
            </w:r>
            <w:r>
              <w:rPr>
                <w:b/>
                <w:sz w:val="21"/>
              </w:rPr>
              <w:t>主要服务内容</w:t>
            </w:r>
          </w:p>
          <w:p>
            <w:r>
              <w:rPr>
                <w:sz w:val="21"/>
              </w:rPr>
              <w:t>自然资源大数据中心服务内容包括大数据中心运维、系统运维、网络与信息安全运维，包括纳入本项目范围的国土空间基础信息平台的系统运维服务。</w:t>
            </w:r>
          </w:p>
        </w:tc>
      </w:tr>
      <w:tr>
        <w:tc>
          <w:tcPr>
            <w:tcW w:type="dxa" w:w="2076"/>
          </w:tcPr>
          <w:p/>
        </w:tc>
        <w:tc>
          <w:tcPr>
            <w:tcW w:type="dxa" w:w="415"/>
          </w:tcPr>
          <w:p>
            <w:r>
              <w:rPr/>
              <w:t>2</w:t>
            </w:r>
          </w:p>
        </w:tc>
        <w:tc>
          <w:tcPr>
            <w:tcW w:type="dxa" w:w="5814"/>
          </w:tcPr>
          <w:p>
            <w:pPr>
              <w:jc w:val="both"/>
            </w:pPr>
            <w:r>
              <w:rPr>
                <w:b/>
                <w:sz w:val="21"/>
              </w:rPr>
              <w:t>二、项目总体要求</w:t>
            </w:r>
          </w:p>
          <w:p>
            <w:pPr>
              <w:jc w:val="both"/>
            </w:pPr>
            <w:r>
              <w:rPr>
                <w:b/>
                <w:sz w:val="21"/>
              </w:rPr>
              <w:t>2.1.</w:t>
            </w:r>
            <w:r>
              <w:rPr>
                <w:b/>
                <w:sz w:val="21"/>
              </w:rPr>
              <w:t>服务方式</w:t>
            </w:r>
          </w:p>
          <w:p>
            <w:pPr>
              <w:jc w:val="both"/>
            </w:pPr>
            <w:r>
              <w:rPr>
                <w:sz w:val="21"/>
              </w:rPr>
              <w:t xml:space="preserve">1)  </w:t>
            </w:r>
            <w:r>
              <w:rPr>
                <w:sz w:val="21"/>
              </w:rPr>
              <w:t>驻场服务</w:t>
            </w:r>
          </w:p>
          <w:p>
            <w:pPr>
              <w:jc w:val="both"/>
            </w:pPr>
            <w:r>
              <w:rPr>
                <w:sz w:val="21"/>
              </w:rPr>
              <w:t>按照各信息系统实际运维需求为系统用户、局信息化部门、业务科室提供驻场服务，包括技术支持、日常运维、故障处理、系统巡检、性能优化、纠错性修改、安全加固、部分功能点优化升级及调整完善、数据整理与勘误、系统监控、数据资源维护、接口调试及其他相关服务。</w:t>
            </w:r>
          </w:p>
          <w:p>
            <w:pPr>
              <w:jc w:val="both"/>
            </w:pPr>
            <w:r>
              <w:rPr>
                <w:sz w:val="21"/>
              </w:rPr>
              <w:t xml:space="preserve">2)  </w:t>
            </w:r>
            <w:r>
              <w:rPr>
                <w:sz w:val="21"/>
              </w:rPr>
              <w:t>远程支持</w:t>
            </w:r>
          </w:p>
          <w:p>
            <w:pPr>
              <w:jc w:val="both"/>
            </w:pPr>
            <w:r>
              <w:rPr>
                <w:sz w:val="21"/>
              </w:rPr>
              <w:t>按照各信息系统运维需求为系统用户、局信息化部门、业务科室通过电话、远程协助等方式，提供问题咨询、故障定位、故障排除及其他相关服务。</w:t>
            </w:r>
          </w:p>
          <w:p>
            <w:pPr>
              <w:jc w:val="both"/>
            </w:pPr>
            <w:r>
              <w:rPr>
                <w:sz w:val="21"/>
              </w:rPr>
              <w:t xml:space="preserve">3)  </w:t>
            </w:r>
            <w:r>
              <w:rPr>
                <w:sz w:val="21"/>
              </w:rPr>
              <w:t>紧急现场服务</w:t>
            </w:r>
          </w:p>
          <w:p>
            <w:pPr>
              <w:jc w:val="both"/>
            </w:pPr>
            <w:r>
              <w:rPr>
                <w:sz w:val="21"/>
              </w:rPr>
              <w:t>在服务期内系统出现重大故障或需现场解决的重大运维需求时，增派具有快速解决问题能力的高层次技术专家，在紧急现场服务需求提出后</w:t>
            </w:r>
            <w:r>
              <w:rPr>
                <w:sz w:val="21"/>
              </w:rPr>
              <w:t>24</w:t>
            </w:r>
            <w:r>
              <w:rPr>
                <w:sz w:val="21"/>
              </w:rPr>
              <w:t>小时内，到达中山市自然资源局开展紧急现场服务，直至故障修复、问题完全解决。</w:t>
            </w:r>
          </w:p>
          <w:p>
            <w:pPr>
              <w:jc w:val="both"/>
            </w:pPr>
          </w:p>
          <w:p>
            <w:pPr>
              <w:jc w:val="both"/>
            </w:pPr>
            <w:r>
              <w:rPr>
                <w:b/>
                <w:sz w:val="21"/>
              </w:rPr>
              <w:t>2.2.</w:t>
            </w:r>
            <w:r>
              <w:rPr>
                <w:b/>
                <w:sz w:val="21"/>
              </w:rPr>
              <w:t>人员要求</w:t>
            </w:r>
          </w:p>
          <w:p>
            <w:pPr>
              <w:jc w:val="both"/>
            </w:pPr>
            <w:r>
              <w:rPr>
                <w:sz w:val="21"/>
              </w:rPr>
              <w:t>运维单位应根据运维需要安排足够数量的维护人员，包括驻场人员和二线支持人员。</w:t>
            </w:r>
          </w:p>
          <w:p>
            <w:pPr>
              <w:jc w:val="both"/>
            </w:pPr>
            <w:r>
              <w:rPr>
                <w:sz w:val="21"/>
              </w:rPr>
              <w:t>★建立相对独立的管理技术团队，并指定一名高管作为网络安全负责人。</w:t>
            </w:r>
          </w:p>
          <w:p>
            <w:pPr>
              <w:jc w:val="both"/>
            </w:pPr>
            <w:r>
              <w:rPr>
                <w:sz w:val="21"/>
              </w:rPr>
              <w:t>运维单位要明确组织结构、岗位设置和岗位职责和人员安排的方案，项目实施前提交中山市自然资源局备案。驻场人员应长期驻场，遵守市自然资源局有关工作纪律要求。除法律法规规定的假期或事假外，应在中山市自然资源局上班。驻场负责人休假需经管理部门书面审批同意，其他人员休假应提前报备。非特殊情况，全年事假不得每人不得超过</w:t>
            </w:r>
            <w:r>
              <w:rPr>
                <w:sz w:val="21"/>
              </w:rPr>
              <w:t>15</w:t>
            </w:r>
            <w:r>
              <w:rPr>
                <w:sz w:val="21"/>
              </w:rPr>
              <w:t>天，否则视作旷工。休假应合理安排，不得影响正常运维工作。</w:t>
            </w:r>
          </w:p>
          <w:p>
            <w:pPr>
              <w:jc w:val="both"/>
            </w:pPr>
            <w:r>
              <w:rPr>
                <w:sz w:val="21"/>
              </w:rPr>
              <w:t>当驻场人员不足或发生紧急故障等时，应立即协调二线人员介入支持。运维单位须保证维护实施人员充足、队伍稳定。全部维护人员（括驻场人员和二线支持人员）的相关专业、资格证书复印和扫描件需在核查原件后交中山市自然资源局备案。</w:t>
            </w:r>
          </w:p>
          <w:p>
            <w:pPr>
              <w:jc w:val="both"/>
            </w:pPr>
            <w:r>
              <w:rPr>
                <w:sz w:val="21"/>
              </w:rPr>
              <w:t>未经中山市自然资源局同意，不得更换驻场技术人员。更换后人员经验、学历、能力不得低于被更换人员，所学专业应符合对应岗位的要求。项目启动后不得随意更换人员。更换人员与被更换人员应有不少于</w:t>
            </w:r>
            <w:r>
              <w:rPr>
                <w:sz w:val="21"/>
              </w:rPr>
              <w:t>1</w:t>
            </w:r>
            <w:r>
              <w:rPr>
                <w:sz w:val="21"/>
              </w:rPr>
              <w:t>月的交接过渡期。项目实施期间，更换驻场人员的累计比例不得超过驻场人员总数的</w:t>
            </w:r>
            <w:r>
              <w:rPr>
                <w:sz w:val="21"/>
              </w:rPr>
              <w:t>45%</w:t>
            </w:r>
            <w:r>
              <w:rPr>
                <w:sz w:val="21"/>
              </w:rPr>
              <w:t>。</w:t>
            </w:r>
          </w:p>
          <w:p>
            <w:pPr>
              <w:jc w:val="both"/>
            </w:pPr>
            <w:r>
              <w:rPr>
                <w:sz w:val="21"/>
              </w:rPr>
              <w:t>运维单位投标时需列明各系统投入驻场人员的姓名、学历、职称和工作经验，明确何人担任现场负责人，承诺项目实际投入人员与投标时承诺的保持一致（要求是同一人）。</w:t>
            </w:r>
          </w:p>
          <w:p>
            <w:r>
              <w:rPr>
                <w:sz w:val="21"/>
              </w:rPr>
              <w:t>以下为各系统需要的维护人员及驻场人员人数要求（驻场人员计入维护人员数量内）：</w:t>
            </w:r>
          </w:p>
          <w:tbl>
            <w:tblPr>
              <w:tblBorders>
                <w:top w:val="none" w:color="000000" w:sz="4"/>
                <w:left w:val="none" w:color="000000" w:sz="4"/>
                <w:bottom w:val="none" w:color="000000" w:sz="4"/>
                <w:right w:val="none" w:color="000000" w:sz="4"/>
                <w:insideH w:val="none"/>
                <w:insideV w:val="none"/>
              </w:tblBorders>
            </w:tblPr>
            <w:tblGrid>
              <w:gridCol w:w="2260"/>
              <w:gridCol w:w="1806"/>
              <w:gridCol w:w="1531"/>
            </w:tblGrid>
            <w:tr>
              <w:tc>
                <w:tcPr>
                  <w:tcW w:type="dxa" w:w="2260"/>
                  <w:tcBorders>
                    <w:top w:val="single" w:color="000000" w:sz="4"/>
                    <w:left w:val="single" w:color="000000" w:sz="4"/>
                    <w:bottom w:val="single" w:color="000000" w:sz="4"/>
                    <w:right w:val="single" w:color="000000" w:sz="4"/>
                  </w:tcBorders>
                </w:tcPr>
                <w:p>
                  <w:pPr>
                    <w:jc w:val="center"/>
                  </w:pPr>
                  <w:r>
                    <w:rPr>
                      <w:b/>
                    </w:rPr>
                    <w:t>系统名称</w:t>
                  </w:r>
                </w:p>
              </w:tc>
              <w:tc>
                <w:tcPr>
                  <w:tcW w:type="dxa" w:w="1806"/>
                  <w:tcBorders>
                    <w:top w:val="single" w:color="000000" w:sz="4"/>
                    <w:left w:val="none" w:color="000000" w:sz="4"/>
                    <w:bottom w:val="single" w:color="000000" w:sz="4"/>
                    <w:right w:val="single" w:color="000000" w:sz="4"/>
                  </w:tcBorders>
                  <w:vAlign w:val="top"/>
                </w:tcPr>
                <w:p>
                  <w:pPr>
                    <w:jc w:val="center"/>
                  </w:pPr>
                  <w:r>
                    <w:rPr/>
                    <w:t>★</w:t>
                  </w:r>
                  <w:r>
                    <w:rPr>
                      <w:b/>
                    </w:rPr>
                    <w:t>维护人员数量</w:t>
                  </w:r>
                </w:p>
                <w:p>
                  <w:pPr>
                    <w:jc w:val="center"/>
                  </w:pPr>
                  <w:r>
                    <w:rPr>
                      <w:b/>
                    </w:rPr>
                    <w:t>（不少于）</w:t>
                  </w:r>
                </w:p>
              </w:tc>
              <w:tc>
                <w:tcPr>
                  <w:tcW w:type="dxa" w:w="1531"/>
                  <w:tcBorders>
                    <w:top w:val="single" w:color="000000" w:sz="4"/>
                    <w:left w:val="none" w:color="000000" w:sz="4"/>
                    <w:bottom w:val="single" w:color="000000" w:sz="4"/>
                    <w:right w:val="single" w:color="000000" w:sz="4"/>
                  </w:tcBorders>
                  <w:vAlign w:val="top"/>
                </w:tcPr>
                <w:p>
                  <w:pPr>
                    <w:jc w:val="center"/>
                  </w:pPr>
                  <w:r>
                    <w:rPr/>
                    <w:t>★</w:t>
                  </w:r>
                  <w:r>
                    <w:rPr>
                      <w:b/>
                    </w:rPr>
                    <w:t>其中驻场人员数量</w:t>
                  </w:r>
                </w:p>
                <w:p>
                  <w:pPr>
                    <w:jc w:val="center"/>
                  </w:pPr>
                  <w:r>
                    <w:rPr>
                      <w:b/>
                    </w:rPr>
                    <w:t>（不少于）</w:t>
                  </w:r>
                </w:p>
              </w:tc>
            </w:tr>
            <w:tr>
              <w:tc>
                <w:tcPr>
                  <w:tcW w:type="dxa" w:w="2260"/>
                  <w:tcBorders>
                    <w:top w:val="none" w:color="000000" w:sz="4"/>
                    <w:left w:val="single" w:color="000000" w:sz="4"/>
                    <w:bottom w:val="single" w:color="000000" w:sz="4"/>
                    <w:right w:val="single" w:color="000000" w:sz="4"/>
                  </w:tcBorders>
                  <w:vAlign w:val="top"/>
                </w:tcPr>
                <w:p>
                  <w:pPr>
                    <w:jc w:val="both"/>
                  </w:pPr>
                  <w:r>
                    <w:rPr>
                      <w:sz w:val="21"/>
                    </w:rPr>
                    <w:t>中山市自然资源大数据中心</w:t>
                  </w:r>
                </w:p>
              </w:tc>
              <w:tc>
                <w:tcPr>
                  <w:tcW w:type="dxa" w:w="1806"/>
                  <w:tcBorders>
                    <w:top w:val="none" w:color="000000" w:sz="4"/>
                    <w:left w:val="none" w:color="000000" w:sz="4"/>
                    <w:bottom w:val="single" w:color="000000" w:sz="4"/>
                    <w:right w:val="single" w:color="000000" w:sz="4"/>
                  </w:tcBorders>
                  <w:vAlign w:val="top"/>
                </w:tcPr>
                <w:p>
                  <w:pPr>
                    <w:jc w:val="center"/>
                  </w:pPr>
                  <w:r>
                    <w:rPr/>
                    <w:t>6</w:t>
                  </w:r>
                  <w:r>
                    <w:rPr/>
                    <w:t>人</w:t>
                  </w:r>
                </w:p>
              </w:tc>
              <w:tc>
                <w:tcPr>
                  <w:tcW w:type="dxa" w:w="1531"/>
                  <w:tcBorders>
                    <w:top w:val="none" w:color="000000" w:sz="4"/>
                    <w:left w:val="none" w:color="000000" w:sz="4"/>
                    <w:bottom w:val="single" w:color="000000" w:sz="4"/>
                    <w:right w:val="single" w:color="000000" w:sz="4"/>
                  </w:tcBorders>
                  <w:vAlign w:val="top"/>
                </w:tcPr>
                <w:p>
                  <w:pPr>
                    <w:jc w:val="center"/>
                  </w:pPr>
                  <w:r>
                    <w:rPr/>
                    <w:t>4</w:t>
                  </w:r>
                  <w:r>
                    <w:rPr/>
                    <w:t>人</w:t>
                  </w:r>
                </w:p>
              </w:tc>
            </w:tr>
          </w:tbl>
          <w:p>
            <w:pPr>
              <w:jc w:val="both"/>
            </w:pPr>
            <w:r>
              <w:rPr>
                <w:sz w:val="21"/>
              </w:rPr>
              <w:t>注：承担运维工作的驻场人员中：具有全日制本科学历的人员不少于</w:t>
            </w:r>
            <w:r>
              <w:rPr>
                <w:sz w:val="21"/>
              </w:rPr>
              <w:t>1</w:t>
            </w:r>
            <w:r>
              <w:rPr>
                <w:sz w:val="21"/>
              </w:rPr>
              <w:t>人，具有与岗位相适应的中级技术职称的人员不少于</w:t>
            </w:r>
            <w:r>
              <w:rPr>
                <w:sz w:val="21"/>
              </w:rPr>
              <w:t>1</w:t>
            </w:r>
            <w:r>
              <w:rPr>
                <w:sz w:val="21"/>
              </w:rPr>
              <w:t>人，具有</w:t>
            </w:r>
            <w:r>
              <w:rPr>
                <w:sz w:val="21"/>
              </w:rPr>
              <w:t>3</w:t>
            </w:r>
            <w:r>
              <w:rPr>
                <w:sz w:val="21"/>
              </w:rPr>
              <w:t>年以上地理信息系统维护或开发经验的人员占比不少于</w:t>
            </w:r>
            <w:r>
              <w:rPr>
                <w:sz w:val="21"/>
              </w:rPr>
              <w:t>2</w:t>
            </w:r>
            <w:r>
              <w:rPr>
                <w:sz w:val="21"/>
              </w:rPr>
              <w:t>人。</w:t>
            </w:r>
          </w:p>
          <w:p>
            <w:r>
              <w:rPr>
                <w:sz w:val="21"/>
              </w:rPr>
              <w:t>承担运维工作的人员岗位设置要求：驻场人员包括（不少于）：驻场负责人</w:t>
            </w:r>
            <w:r>
              <w:rPr>
                <w:sz w:val="21"/>
              </w:rPr>
              <w:t>1</w:t>
            </w:r>
            <w:r>
              <w:rPr>
                <w:sz w:val="21"/>
              </w:rPr>
              <w:t>人，日常运维工程师</w:t>
            </w:r>
            <w:r>
              <w:rPr>
                <w:sz w:val="21"/>
              </w:rPr>
              <w:t>1</w:t>
            </w:r>
            <w:r>
              <w:rPr>
                <w:sz w:val="21"/>
              </w:rPr>
              <w:t>人，系统优化工程师</w:t>
            </w:r>
            <w:r>
              <w:rPr>
                <w:sz w:val="21"/>
              </w:rPr>
              <w:t>1</w:t>
            </w:r>
            <w:r>
              <w:rPr>
                <w:sz w:val="21"/>
              </w:rPr>
              <w:t>人，安全运维工程师</w:t>
            </w:r>
            <w:r>
              <w:rPr>
                <w:sz w:val="21"/>
              </w:rPr>
              <w:t>1</w:t>
            </w:r>
            <w:r>
              <w:rPr>
                <w:sz w:val="21"/>
              </w:rPr>
              <w:t>人。非驻场人员包括（不少于）：系统程序开发人员</w:t>
            </w:r>
            <w:r>
              <w:rPr>
                <w:sz w:val="21"/>
              </w:rPr>
              <w:t>2</w:t>
            </w:r>
            <w:r>
              <w:rPr>
                <w:sz w:val="21"/>
              </w:rPr>
              <w:t>人。</w:t>
            </w:r>
          </w:p>
          <w:p>
            <w:pPr>
              <w:jc w:val="both"/>
            </w:pPr>
            <w:r>
              <w:rPr>
                <w:b/>
                <w:sz w:val="21"/>
              </w:rPr>
              <w:t>2.3.</w:t>
            </w:r>
            <w:r>
              <w:rPr>
                <w:b/>
                <w:sz w:val="21"/>
              </w:rPr>
              <w:t>运维响应要求</w:t>
            </w:r>
          </w:p>
          <w:p>
            <w:pPr>
              <w:jc w:val="both"/>
            </w:pPr>
            <w:r>
              <w:rPr>
                <w:sz w:val="21"/>
              </w:rPr>
              <w:t>运维公司应按中山市自然资源局的要求编制、完善运维方案，制定应急响应预案，建立详细的系统维护响应机制。</w:t>
            </w:r>
          </w:p>
          <w:p>
            <w:pPr>
              <w:jc w:val="both"/>
            </w:pPr>
            <w:r>
              <w:rPr>
                <w:sz w:val="21"/>
              </w:rPr>
              <w:t>运维公司应建立运维</w:t>
            </w:r>
            <w:r>
              <w:rPr>
                <w:sz w:val="21"/>
              </w:rPr>
              <w:t>AB</w:t>
            </w:r>
            <w:r>
              <w:rPr>
                <w:sz w:val="21"/>
              </w:rPr>
              <w:t>角制度，确保紧急情况备角能有效应对运维工作。</w:t>
            </w:r>
          </w:p>
          <w:p>
            <w:pPr>
              <w:jc w:val="both"/>
            </w:pPr>
            <w:r>
              <w:rPr>
                <w:sz w:val="21"/>
              </w:rPr>
              <w:t>在发现系统发生异常时和紧急运维需求提出后，运维单位需组织驻场人员或远程技术支持人员，给予立即响应。运维公司需提供</w:t>
            </w:r>
            <w:r>
              <w:rPr>
                <w:sz w:val="21"/>
              </w:rPr>
              <w:t>7</w:t>
            </w:r>
            <w:r>
              <w:rPr>
                <w:sz w:val="21"/>
              </w:rPr>
              <w:t>×</w:t>
            </w:r>
            <w:r>
              <w:rPr>
                <w:sz w:val="21"/>
              </w:rPr>
              <w:t>24</w:t>
            </w:r>
            <w:r>
              <w:rPr>
                <w:sz w:val="21"/>
              </w:rPr>
              <w:t>小时的应急服务，驻点维护人员需</w:t>
            </w:r>
            <w:r>
              <w:rPr>
                <w:sz w:val="21"/>
              </w:rPr>
              <w:t>2</w:t>
            </w:r>
            <w:r>
              <w:rPr>
                <w:sz w:val="21"/>
              </w:rPr>
              <w:t>小时以内到达现场。运维单位应根据下表的故障事件等级及系统修复时限开展应急响应。不能按时解决的，运维单位必须协调一切资源，采取对应措施，在</w:t>
            </w:r>
            <w:r>
              <w:rPr>
                <w:sz w:val="21"/>
              </w:rPr>
              <w:t>24</w:t>
            </w:r>
            <w:r>
              <w:rPr>
                <w:sz w:val="21"/>
              </w:rPr>
              <w:t>小时内保证系统恢复正常运行。</w:t>
            </w:r>
          </w:p>
          <w:p>
            <w:r>
              <w:rPr>
                <w:sz w:val="21"/>
              </w:rPr>
              <w:t>对于一般运维工作，运维公司需按照中山市自然资源局运维管理有关制度的要求及时响应。不能按时完成的，应提前向中山市自然资源信息中心报告。</w:t>
            </w:r>
          </w:p>
          <w:tbl>
            <w:tblPr>
              <w:tblBorders>
                <w:top w:val="none" w:color="000000" w:sz="4"/>
                <w:left w:val="none" w:color="000000" w:sz="4"/>
                <w:bottom w:val="none" w:color="000000" w:sz="4"/>
                <w:right w:val="none" w:color="000000" w:sz="4"/>
                <w:insideH w:val="none"/>
                <w:insideV w:val="none"/>
              </w:tblBorders>
            </w:tblPr>
            <w:tblGrid>
              <w:gridCol w:w="457"/>
              <w:gridCol w:w="1828"/>
              <w:gridCol w:w="1428"/>
              <w:gridCol w:w="1885"/>
            </w:tblGrid>
            <w:tr>
              <w:tc>
                <w:tcPr>
                  <w:tcW w:type="dxa" w:w="457"/>
                  <w:tcBorders>
                    <w:top w:val="single" w:color="000000" w:sz="4"/>
                    <w:left w:val="single" w:color="000000" w:sz="4"/>
                    <w:bottom w:val="single" w:color="000000" w:sz="4"/>
                    <w:right w:val="single" w:color="000000" w:sz="4"/>
                  </w:tcBorders>
                </w:tcPr>
                <w:p>
                  <w:pPr>
                    <w:jc w:val="center"/>
                  </w:pPr>
                  <w:r>
                    <w:rPr>
                      <w:b/>
                    </w:rPr>
                    <w:t>事件等级</w:t>
                  </w:r>
                </w:p>
              </w:tc>
              <w:tc>
                <w:tcPr>
                  <w:tcW w:type="dxa" w:w="1828"/>
                  <w:tcBorders>
                    <w:top w:val="single" w:color="000000" w:sz="4"/>
                    <w:left w:val="none" w:color="000000" w:sz="4"/>
                    <w:bottom w:val="single" w:color="000000" w:sz="4"/>
                    <w:right w:val="single" w:color="000000" w:sz="4"/>
                  </w:tcBorders>
                </w:tcPr>
                <w:p>
                  <w:pPr>
                    <w:jc w:val="center"/>
                  </w:pPr>
                  <w:r>
                    <w:rPr>
                      <w:b/>
                    </w:rPr>
                    <w:t>事件定义</w:t>
                  </w:r>
                </w:p>
              </w:tc>
              <w:tc>
                <w:tcPr>
                  <w:tcW w:type="dxa" w:w="1428"/>
                  <w:tcBorders>
                    <w:top w:val="single" w:color="000000" w:sz="4"/>
                    <w:left w:val="none" w:color="000000" w:sz="4"/>
                    <w:bottom w:val="single" w:color="000000" w:sz="4"/>
                    <w:right w:val="single" w:color="000000" w:sz="4"/>
                  </w:tcBorders>
                </w:tcPr>
                <w:p>
                  <w:pPr>
                    <w:jc w:val="center"/>
                  </w:pPr>
                  <w:r>
                    <w:rPr>
                      <w:b/>
                    </w:rPr>
                    <w:t>系统修复时间</w:t>
                  </w:r>
                </w:p>
              </w:tc>
              <w:tc>
                <w:tcPr>
                  <w:tcW w:type="dxa" w:w="1885"/>
                  <w:tcBorders>
                    <w:top w:val="single" w:color="000000" w:sz="4"/>
                    <w:left w:val="none" w:color="000000" w:sz="4"/>
                    <w:bottom w:val="single" w:color="000000" w:sz="4"/>
                    <w:right w:val="single" w:color="000000" w:sz="4"/>
                  </w:tcBorders>
                </w:tcPr>
                <w:p>
                  <w:pPr>
                    <w:jc w:val="center"/>
                  </w:pPr>
                  <w:r>
                    <w:rPr>
                      <w:b/>
                    </w:rPr>
                    <w:t>解决时间</w:t>
                  </w:r>
                </w:p>
              </w:tc>
            </w:tr>
            <w:tr>
              <w:tc>
                <w:tcPr>
                  <w:tcW w:type="dxa" w:w="457"/>
                  <w:tcBorders>
                    <w:top w:val="none" w:color="000000" w:sz="4"/>
                    <w:left w:val="single" w:color="000000" w:sz="4"/>
                    <w:bottom w:val="single" w:color="000000" w:sz="4"/>
                    <w:right w:val="single" w:color="000000" w:sz="4"/>
                  </w:tcBorders>
                </w:tcPr>
                <w:p>
                  <w:pPr>
                    <w:jc w:val="center"/>
                  </w:pPr>
                  <w:r>
                    <w:rPr/>
                    <w:t>1</w:t>
                  </w:r>
                  <w:r>
                    <w:rPr/>
                    <w:t>级事件</w:t>
                  </w:r>
                </w:p>
              </w:tc>
              <w:tc>
                <w:tcPr>
                  <w:tcW w:type="dxa" w:w="1828"/>
                  <w:tcBorders>
                    <w:top w:val="none" w:color="000000" w:sz="4"/>
                    <w:left w:val="none" w:color="000000" w:sz="4"/>
                    <w:bottom w:val="single" w:color="000000" w:sz="4"/>
                    <w:right w:val="single" w:color="000000" w:sz="4"/>
                  </w:tcBorders>
                </w:tcPr>
                <w:p>
                  <w:r>
                    <w:rPr/>
                    <w:t>发生安全事故或系统数据泄露，造成严重影响</w:t>
                  </w:r>
                </w:p>
              </w:tc>
              <w:tc>
                <w:tcPr>
                  <w:tcW w:type="dxa" w:w="1428"/>
                  <w:tcBorders>
                    <w:top w:val="none" w:color="000000" w:sz="4"/>
                    <w:left w:val="none" w:color="000000" w:sz="4"/>
                    <w:bottom w:val="single" w:color="000000" w:sz="4"/>
                    <w:right w:val="single" w:color="000000" w:sz="4"/>
                  </w:tcBorders>
                </w:tcPr>
                <w:p>
                  <w:r>
                    <w:rPr/>
                    <w:t>30</w:t>
                  </w:r>
                  <w:r>
                    <w:rPr/>
                    <w:t>分钟恢复系统正常</w:t>
                  </w:r>
                </w:p>
              </w:tc>
              <w:tc>
                <w:tcPr>
                  <w:tcW w:type="dxa" w:w="1885"/>
                  <w:tcBorders>
                    <w:top w:val="none" w:color="000000" w:sz="4"/>
                    <w:left w:val="none" w:color="000000" w:sz="4"/>
                    <w:bottom w:val="single" w:color="000000" w:sz="4"/>
                    <w:right w:val="single" w:color="000000" w:sz="4"/>
                  </w:tcBorders>
                </w:tcPr>
                <w:p>
                  <w:r>
                    <w:rPr/>
                    <w:t>8</w:t>
                  </w:r>
                  <w:r>
                    <w:rPr/>
                    <w:t>小时内分析故障原因，提出问题分析报告和整改方案</w:t>
                  </w:r>
                </w:p>
              </w:tc>
            </w:tr>
            <w:tr>
              <w:tc>
                <w:tcPr>
                  <w:tcW w:type="dxa" w:w="457"/>
                  <w:tcBorders>
                    <w:top w:val="none" w:color="000000" w:sz="4"/>
                    <w:left w:val="single" w:color="000000" w:sz="4"/>
                    <w:bottom w:val="single" w:color="000000" w:sz="4"/>
                    <w:right w:val="single" w:color="000000" w:sz="4"/>
                  </w:tcBorders>
                </w:tcPr>
                <w:p>
                  <w:pPr>
                    <w:jc w:val="center"/>
                  </w:pPr>
                  <w:r>
                    <w:rPr/>
                    <w:t>2</w:t>
                  </w:r>
                  <w:r>
                    <w:rPr/>
                    <w:t>级事件</w:t>
                  </w:r>
                </w:p>
              </w:tc>
              <w:tc>
                <w:tcPr>
                  <w:tcW w:type="dxa" w:w="1828"/>
                  <w:tcBorders>
                    <w:top w:val="none" w:color="000000" w:sz="4"/>
                    <w:left w:val="none" w:color="000000" w:sz="4"/>
                    <w:bottom w:val="single" w:color="000000" w:sz="4"/>
                    <w:right w:val="single" w:color="000000" w:sz="4"/>
                  </w:tcBorders>
                </w:tcPr>
                <w:p>
                  <w:r>
                    <w:rPr/>
                    <w:t>信息系统崩溃，系统所有业务无法进行，造成较大影响</w:t>
                  </w:r>
                </w:p>
              </w:tc>
              <w:tc>
                <w:tcPr>
                  <w:tcW w:type="dxa" w:w="1428"/>
                  <w:tcBorders>
                    <w:top w:val="none" w:color="000000" w:sz="4"/>
                    <w:left w:val="none" w:color="000000" w:sz="4"/>
                    <w:bottom w:val="single" w:color="000000" w:sz="4"/>
                    <w:right w:val="single" w:color="000000" w:sz="4"/>
                  </w:tcBorders>
                </w:tcPr>
                <w:p>
                  <w:r>
                    <w:rPr/>
                    <w:t>1</w:t>
                  </w:r>
                  <w:r>
                    <w:rPr/>
                    <w:t>小时内恢复系统正常</w:t>
                  </w:r>
                </w:p>
              </w:tc>
              <w:tc>
                <w:tcPr>
                  <w:tcW w:type="dxa" w:w="1885"/>
                  <w:tcBorders>
                    <w:top w:val="none" w:color="000000" w:sz="4"/>
                    <w:left w:val="none" w:color="000000" w:sz="4"/>
                    <w:bottom w:val="single" w:color="000000" w:sz="4"/>
                    <w:right w:val="single" w:color="000000" w:sz="4"/>
                  </w:tcBorders>
                </w:tcPr>
                <w:p>
                  <w:r>
                    <w:rPr/>
                    <w:t>24</w:t>
                  </w:r>
                  <w:r>
                    <w:rPr/>
                    <w:t>小时内分析故障原因，提出问题分析报告和整改方案</w:t>
                  </w:r>
                </w:p>
              </w:tc>
            </w:tr>
            <w:tr>
              <w:tc>
                <w:tcPr>
                  <w:tcW w:type="dxa" w:w="457"/>
                  <w:tcBorders>
                    <w:top w:val="none" w:color="000000" w:sz="4"/>
                    <w:left w:val="single" w:color="000000" w:sz="4"/>
                    <w:bottom w:val="single" w:color="000000" w:sz="4"/>
                    <w:right w:val="single" w:color="000000" w:sz="4"/>
                  </w:tcBorders>
                </w:tcPr>
                <w:p>
                  <w:pPr>
                    <w:jc w:val="center"/>
                  </w:pPr>
                  <w:r>
                    <w:rPr/>
                    <w:t>3</w:t>
                  </w:r>
                  <w:r>
                    <w:rPr/>
                    <w:t>级事件</w:t>
                  </w:r>
                </w:p>
              </w:tc>
              <w:tc>
                <w:tcPr>
                  <w:tcW w:type="dxa" w:w="1828"/>
                  <w:tcBorders>
                    <w:top w:val="none" w:color="000000" w:sz="4"/>
                    <w:left w:val="none" w:color="000000" w:sz="4"/>
                    <w:bottom w:val="single" w:color="000000" w:sz="4"/>
                    <w:right w:val="single" w:color="000000" w:sz="4"/>
                  </w:tcBorders>
                </w:tcPr>
                <w:p>
                  <w:r>
                    <w:rPr/>
                    <w:t>发生故障，部分业务无法开展，影响外单位业务开展</w:t>
                  </w:r>
                </w:p>
              </w:tc>
              <w:tc>
                <w:tcPr>
                  <w:tcW w:type="dxa" w:w="1428"/>
                  <w:tcBorders>
                    <w:top w:val="none" w:color="000000" w:sz="4"/>
                    <w:left w:val="none" w:color="000000" w:sz="4"/>
                    <w:bottom w:val="single" w:color="000000" w:sz="4"/>
                    <w:right w:val="single" w:color="000000" w:sz="4"/>
                  </w:tcBorders>
                </w:tcPr>
                <w:p>
                  <w:r>
                    <w:rPr/>
                    <w:t>2</w:t>
                  </w:r>
                  <w:r>
                    <w:rPr/>
                    <w:t>小时内恢复系统正常或给出应急处理办法</w:t>
                  </w:r>
                </w:p>
              </w:tc>
              <w:tc>
                <w:tcPr>
                  <w:tcW w:type="dxa" w:w="1885"/>
                  <w:tcBorders>
                    <w:top w:val="none" w:color="000000" w:sz="4"/>
                    <w:left w:val="none" w:color="000000" w:sz="4"/>
                    <w:bottom w:val="single" w:color="000000" w:sz="4"/>
                    <w:right w:val="single" w:color="000000" w:sz="4"/>
                  </w:tcBorders>
                </w:tcPr>
                <w:p>
                  <w:r>
                    <w:rPr/>
                    <w:t>24</w:t>
                  </w:r>
                  <w:r>
                    <w:rPr/>
                    <w:t>小时内分析故障原因，提出问题分析报告和整改方案</w:t>
                  </w:r>
                </w:p>
              </w:tc>
            </w:tr>
            <w:tr>
              <w:tc>
                <w:tcPr>
                  <w:tcW w:type="dxa" w:w="457"/>
                  <w:tcBorders>
                    <w:top w:val="none" w:color="000000" w:sz="4"/>
                    <w:left w:val="single" w:color="000000" w:sz="4"/>
                    <w:bottom w:val="single" w:color="000000" w:sz="4"/>
                    <w:right w:val="single" w:color="000000" w:sz="4"/>
                  </w:tcBorders>
                </w:tcPr>
                <w:p>
                  <w:pPr>
                    <w:jc w:val="center"/>
                  </w:pPr>
                  <w:r>
                    <w:rPr/>
                    <w:t>4</w:t>
                  </w:r>
                  <w:r>
                    <w:rPr/>
                    <w:t>级事件</w:t>
                  </w:r>
                </w:p>
              </w:tc>
              <w:tc>
                <w:tcPr>
                  <w:tcW w:type="dxa" w:w="1828"/>
                  <w:tcBorders>
                    <w:top w:val="none" w:color="000000" w:sz="4"/>
                    <w:left w:val="none" w:color="000000" w:sz="4"/>
                    <w:bottom w:val="single" w:color="000000" w:sz="4"/>
                    <w:right w:val="single" w:color="000000" w:sz="4"/>
                  </w:tcBorders>
                </w:tcPr>
                <w:p>
                  <w:r>
                    <w:rPr/>
                    <w:t>性能下降或故障影响本局业务开展</w:t>
                  </w:r>
                </w:p>
              </w:tc>
              <w:tc>
                <w:tcPr>
                  <w:tcW w:type="dxa" w:w="1428"/>
                  <w:tcBorders>
                    <w:top w:val="none" w:color="000000" w:sz="4"/>
                    <w:left w:val="none" w:color="000000" w:sz="4"/>
                    <w:bottom w:val="single" w:color="000000" w:sz="4"/>
                    <w:right w:val="single" w:color="000000" w:sz="4"/>
                  </w:tcBorders>
                </w:tcPr>
                <w:p>
                  <w:r>
                    <w:rPr/>
                    <w:t>2</w:t>
                  </w:r>
                  <w:r>
                    <w:rPr/>
                    <w:t>小时内恢复系统正常或给出应急处理办法</w:t>
                  </w:r>
                </w:p>
              </w:tc>
              <w:tc>
                <w:tcPr>
                  <w:tcW w:type="dxa" w:w="1885"/>
                  <w:tcBorders>
                    <w:top w:val="none" w:color="000000" w:sz="4"/>
                    <w:left w:val="none" w:color="000000" w:sz="4"/>
                    <w:bottom w:val="single" w:color="000000" w:sz="4"/>
                    <w:right w:val="single" w:color="000000" w:sz="4"/>
                  </w:tcBorders>
                </w:tcPr>
                <w:p>
                  <w:r>
                    <w:rPr/>
                    <w:t>48</w:t>
                  </w:r>
                  <w:r>
                    <w:rPr/>
                    <w:t>小时内分析故障原因，提出问题分析报告和整改方案</w:t>
                  </w:r>
                </w:p>
              </w:tc>
            </w:tr>
          </w:tbl>
          <w:p>
            <w:pPr>
              <w:jc w:val="both"/>
            </w:pPr>
            <w:r>
              <w:rPr>
                <w:sz w:val="21"/>
              </w:rPr>
              <w:t>运维单位应严格按照中山市自然资源局要求进行需求调研、并根据相关业务实际情况设计实施方案，编制好功能优化升级进度计划，根据运维人员数量和工作量科学评估各个阶段的实施时间并严格按照计划进行功能优化升级。如有调整整体功能优化升级进度计划，需取得局方信息化部门同意。对于局方有明确时间限制的运维需求，且运维工作内容非遭遇不可抗因素，运维单位不得拒绝或延期实施。</w:t>
            </w:r>
          </w:p>
          <w:p>
            <w:pPr>
              <w:jc w:val="both"/>
            </w:pPr>
          </w:p>
          <w:p>
            <w:pPr>
              <w:jc w:val="both"/>
            </w:pPr>
            <w:r>
              <w:rPr>
                <w:b/>
                <w:sz w:val="21"/>
              </w:rPr>
              <w:t>2.4.</w:t>
            </w:r>
            <w:r>
              <w:rPr>
                <w:b/>
                <w:sz w:val="21"/>
              </w:rPr>
              <w:t>培训要求</w:t>
            </w:r>
          </w:p>
          <w:p>
            <w:pPr>
              <w:jc w:val="both"/>
            </w:pPr>
            <w:r>
              <w:rPr>
                <w:sz w:val="21"/>
              </w:rPr>
              <w:t>每年度运维工作开始前，运维公司应制定年度技术培训方案，组织相关培训，并提供培训讲义、签到表、照片等佐证材料。</w:t>
            </w:r>
          </w:p>
          <w:p>
            <w:pPr>
              <w:jc w:val="both"/>
            </w:pPr>
            <w:r>
              <w:rPr>
                <w:sz w:val="21"/>
              </w:rPr>
              <w:t>运维公司应组织运维团队驻场和远程技术人员开展与运维项目相关的继续教育、业务或技术学习及内部交流，按要求参加局方安排的相关培训，重点从技术、业务、管理、安全意识等方面提高团队运维服务能力，每年每位运维技术人员参加的技术、业务、管理和安全意识培训各不少于</w:t>
            </w:r>
            <w:r>
              <w:rPr>
                <w:sz w:val="21"/>
              </w:rPr>
              <w:t>1</w:t>
            </w:r>
            <w:r>
              <w:rPr>
                <w:sz w:val="21"/>
              </w:rPr>
              <w:t>次。公司内部应加强培训，确保每位运维人员对系统有全面、充分、整体的了解，对于业务有清晰、准确的理解。对于运维团队新来的人员，应开展专门、集中培训，并保留相关记录，对培训和学习效果进行必要考核，待掌握系统情况和相关知识后方可正式开始运维工作。</w:t>
            </w:r>
          </w:p>
          <w:p>
            <w:pPr>
              <w:jc w:val="both"/>
            </w:pPr>
            <w:r>
              <w:rPr>
                <w:sz w:val="21"/>
              </w:rPr>
              <w:t>运维</w:t>
            </w:r>
            <w:r>
              <w:rPr>
                <w:sz w:val="21"/>
              </w:rPr>
              <w:t>服务公司须根据需要为用户提供高质量的技术培训、业务辅导。运维期内，每个系统重点部门的综合性培训不少于</w:t>
            </w:r>
            <w:r>
              <w:rPr>
                <w:sz w:val="21"/>
              </w:rPr>
              <w:t>1</w:t>
            </w:r>
            <w:r>
              <w:rPr>
                <w:sz w:val="21"/>
              </w:rPr>
              <w:t>次</w:t>
            </w:r>
            <w:r>
              <w:rPr>
                <w:sz w:val="21"/>
              </w:rPr>
              <w:t>/</w:t>
            </w:r>
            <w:r>
              <w:rPr>
                <w:sz w:val="21"/>
              </w:rPr>
              <w:t>年。对于新增、优化调整的功能，在上线前需为用户开展上线前培训，并编写操作手册及时告知系统用户。</w:t>
            </w:r>
          </w:p>
          <w:p>
            <w:pPr>
              <w:jc w:val="both"/>
            </w:pPr>
            <w:r>
              <w:rPr>
                <w:sz w:val="21"/>
              </w:rPr>
              <w:t>培训的各项安排在培训前应经中山市自然资源局同意后方可开展培训，确保培训内容、时间、人数、地点以及师资安排等方面满足要求。培训对象包括系统用户及局方技术人员，培训内容包括信息系统的使用、系统部署、配置管理、日常监控、数据备份和恢复、应急处置及系统业务操作。培训时，运维公司应不局限于驻场人员，派出专业的、经验丰富的教员，充分准备，提前为用户提供详细的培训讲义，使用户能够熟练掌握被运维信息系统的使用和运维技能，确保培训能达到预期成效。</w:t>
            </w:r>
          </w:p>
          <w:p>
            <w:pPr>
              <w:jc w:val="both"/>
            </w:pPr>
          </w:p>
          <w:p>
            <w:pPr>
              <w:jc w:val="both"/>
            </w:pPr>
            <w:r>
              <w:rPr>
                <w:b/>
                <w:sz w:val="21"/>
              </w:rPr>
              <w:t>2.5.</w:t>
            </w:r>
            <w:r>
              <w:rPr>
                <w:b/>
                <w:sz w:val="21"/>
              </w:rPr>
              <w:t>网络信息安全要求</w:t>
            </w:r>
          </w:p>
          <w:p>
            <w:pPr>
              <w:jc w:val="both"/>
            </w:pPr>
            <w:r>
              <w:rPr>
                <w:sz w:val="21"/>
              </w:rPr>
              <w:t>运维单位应建立网络信息安全的有关制度，严格落实各级网络信息安全管理的有关制度、规范，要将网络信息安全意识落实到运维全过程，编制运维相关方案应对网络信息安全予以专项讨论。要加强网络安全意识和技术培训，提高网络信息安全技术水平。落实网络安全责任制，安排专人负责系统的网络信息安全工作。网络信息安全实行一票否决制。运维公司需承担运维工作中的网络信息安全责任，由于运维不及时、不恰当处理造成的网络安全责任由运维单位承担。</w:t>
            </w:r>
          </w:p>
          <w:p>
            <w:pPr>
              <w:jc w:val="both"/>
            </w:pPr>
          </w:p>
          <w:p>
            <w:pPr>
              <w:jc w:val="both"/>
            </w:pPr>
            <w:r>
              <w:rPr>
                <w:b/>
                <w:sz w:val="21"/>
              </w:rPr>
              <w:t>2.6.</w:t>
            </w:r>
            <w:r>
              <w:rPr>
                <w:b/>
                <w:sz w:val="21"/>
              </w:rPr>
              <w:t>风险防控要求</w:t>
            </w:r>
          </w:p>
          <w:p>
            <w:pPr>
              <w:jc w:val="both"/>
            </w:pPr>
            <w:r>
              <w:rPr>
                <w:sz w:val="21"/>
              </w:rPr>
              <w:t>运维单位要将风险防控贯穿到运维工作的始终和每个运维工作中，要定期开展风险评估，形成风险防控报告，提出风险防控措施与建议并予以落实。</w:t>
            </w:r>
          </w:p>
          <w:p>
            <w:pPr>
              <w:jc w:val="both"/>
            </w:pPr>
            <w:r>
              <w:rPr>
                <w:sz w:val="21"/>
              </w:rPr>
              <w:t>要落实风险防控责任制，及时开展风险防控的有关培训，将风险防控意识及风险防控要求落实到每个运维工作人员。</w:t>
            </w:r>
          </w:p>
          <w:p>
            <w:pPr>
              <w:jc w:val="both"/>
            </w:pPr>
            <w:r>
              <w:rPr>
                <w:sz w:val="21"/>
              </w:rPr>
              <w:t>重大运行保障期和重大功能上线要提前开展专项评估，制定应急方案，防范潜在风险。</w:t>
            </w:r>
          </w:p>
          <w:p>
            <w:pPr>
              <w:jc w:val="both"/>
            </w:pPr>
            <w:r>
              <w:rPr>
                <w:sz w:val="21"/>
              </w:rPr>
              <w:t>要着重加强网络信息安全风险、数据保密、非法攻击、病毒入侵及管理漏洞风险防控。</w:t>
            </w:r>
          </w:p>
          <w:p>
            <w:pPr>
              <w:jc w:val="both"/>
            </w:pPr>
            <w:r>
              <w:rPr>
                <w:sz w:val="21"/>
              </w:rPr>
              <w:t>在各类技术方案的编制中，要落实风险防控的总体意识，系统优化改造和解决运维困难时，应从有总体意识、大局意识，全面、客观分析，避免只见局部不见整体，避免解决旧问题带来新问题。</w:t>
            </w:r>
          </w:p>
          <w:p>
            <w:pPr>
              <w:jc w:val="both"/>
            </w:pPr>
          </w:p>
          <w:p>
            <w:pPr>
              <w:jc w:val="both"/>
            </w:pPr>
            <w:r>
              <w:rPr>
                <w:b/>
                <w:sz w:val="21"/>
              </w:rPr>
              <w:t>2.7.</w:t>
            </w:r>
            <w:r>
              <w:rPr>
                <w:b/>
                <w:sz w:val="21"/>
              </w:rPr>
              <w:t>规范性要求</w:t>
            </w:r>
          </w:p>
          <w:p>
            <w:pPr>
              <w:jc w:val="both"/>
            </w:pPr>
            <w:r>
              <w:rPr>
                <w:sz w:val="21"/>
              </w:rPr>
              <w:t>运维单位应按照本方案所列的标准规范和政策性文件的要求，明确各运维岗位工作职责和要求，确保各项运维工作文档齐全、操作安全、记录清晰、沟通顺畅，规范开展运维工作，确保运维有记录、可追溯。</w:t>
            </w:r>
          </w:p>
          <w:p>
            <w:pPr>
              <w:jc w:val="both"/>
            </w:pPr>
            <w:r>
              <w:rPr>
                <w:sz w:val="21"/>
              </w:rPr>
              <w:t>按要求及时更新相关技术报告、测试报告、系统设计、数据库设计等各类文档，并按时汇交有关成果到中山市自然资源信息中心。</w:t>
            </w:r>
          </w:p>
          <w:p>
            <w:pPr>
              <w:jc w:val="both"/>
            </w:pPr>
            <w:r>
              <w:rPr>
                <w:sz w:val="21"/>
              </w:rPr>
              <w:t>运维公司应完善系统运维工具或运维模块，按照中山市自然资源局的要求全面应用中山市自然资源政务信息平台智能运维模块或云平台云纳管等相关运维软件，借助各种工具，通过可视化、流程化、工具化运维，降低运维难度，提高运维效率。</w:t>
            </w:r>
          </w:p>
          <w:p>
            <w:pPr>
              <w:jc w:val="both"/>
            </w:pPr>
            <w:r>
              <w:rPr>
                <w:sz w:val="21"/>
              </w:rPr>
              <w:t>对于新增或优化调整的功能模块，应按国标或行业标准规范相关文档编写和代码编写，代码应有全面注释，文档应与实际运行系统保持一致，数据库设计书或数据库说明文档应详细且与实际一致，形成相应的系统更新说明和操作手册。对于接口的开发，方案应由接口双方确认，接口设计和说明应详细、条理清楚。</w:t>
            </w:r>
          </w:p>
          <w:p>
            <w:pPr>
              <w:jc w:val="both"/>
            </w:pPr>
            <w:r>
              <w:rPr>
                <w:sz w:val="21"/>
              </w:rPr>
              <w:t>应对系统建设阶段的需求分析、设计、编码、测试、上线及运维阶段的文档进行更新和版本管理，对代码和程序进行规范化版本管理。运维工作应记录完备、详细，且有专人负责。所有系统日志保留时间不得少于半年。</w:t>
            </w:r>
          </w:p>
          <w:p>
            <w:pPr>
              <w:jc w:val="both"/>
            </w:pPr>
          </w:p>
          <w:p>
            <w:pPr>
              <w:jc w:val="both"/>
            </w:pPr>
            <w:r>
              <w:rPr>
                <w:b/>
                <w:sz w:val="21"/>
              </w:rPr>
              <w:t>2.8.</w:t>
            </w:r>
            <w:r>
              <w:rPr>
                <w:b/>
                <w:sz w:val="21"/>
              </w:rPr>
              <w:t>运维团队内部管理要求</w:t>
            </w:r>
          </w:p>
          <w:p>
            <w:pPr>
              <w:jc w:val="both"/>
            </w:pPr>
            <w:r>
              <w:rPr>
                <w:sz w:val="21"/>
              </w:rPr>
              <w:t>运维单位应加强内部管理，完善相关管理制度，合理设置岗位，明确人员责任，优化考核与奖惩机制，加强运维队伍建设，确保运维队伍专业性和稳定性，持续提升运维保障能力。</w:t>
            </w:r>
          </w:p>
          <w:p>
            <w:pPr>
              <w:jc w:val="both"/>
            </w:pPr>
            <w:r>
              <w:rPr>
                <w:sz w:val="21"/>
              </w:rPr>
              <w:t>运维单位应服从中山市自然资源信息化部门的管理。对列入运维工作内容的事项，该系统的具体运维工作是否开展、如何开展、何时完成均由市自然资源局信息化部门决定，承担该系统运维的单位不得拒绝。</w:t>
            </w:r>
          </w:p>
          <w:p>
            <w:pPr>
              <w:jc w:val="both"/>
            </w:pPr>
          </w:p>
          <w:p>
            <w:pPr>
              <w:jc w:val="both"/>
            </w:pPr>
            <w:r>
              <w:rPr>
                <w:b/>
                <w:sz w:val="21"/>
              </w:rPr>
              <w:t>2.9.</w:t>
            </w:r>
            <w:r>
              <w:rPr>
                <w:b/>
                <w:sz w:val="21"/>
              </w:rPr>
              <w:t>项目成果及提交方式</w:t>
            </w:r>
          </w:p>
          <w:p>
            <w:pPr>
              <w:jc w:val="both"/>
            </w:pPr>
            <w:r>
              <w:rPr>
                <w:sz w:val="21"/>
              </w:rPr>
              <w:t>项目成果包括必要成果和条件性成果，均应按本章的要求提交。其中必要成果必须提交，条件性成果在一定条件下需要提交。</w:t>
            </w:r>
          </w:p>
          <w:p>
            <w:pPr>
              <w:jc w:val="both"/>
            </w:pPr>
            <w:r>
              <w:rPr>
                <w:sz w:val="21"/>
              </w:rPr>
              <w:t>成果移交时应填写交接单，办理交接手续。以系统为单位提交。</w:t>
            </w:r>
          </w:p>
          <w:p>
            <w:r>
              <w:rPr>
                <w:sz w:val="21"/>
              </w:rPr>
              <w:t>纸质形式的成果，需经盖运维单位公章，同时提供扫描件。成果提交工作的完成以该成果通过中山市自然资源局的审核为标准。</w:t>
            </w:r>
          </w:p>
          <w:p>
            <w:pPr>
              <w:jc w:val="both"/>
            </w:pPr>
            <w:r>
              <w:rPr>
                <w:b/>
                <w:sz w:val="21"/>
              </w:rPr>
              <w:t xml:space="preserve">1)     </w:t>
            </w:r>
            <w:r>
              <w:rPr>
                <w:b/>
                <w:sz w:val="21"/>
              </w:rPr>
              <w:t>必要成果</w:t>
            </w:r>
          </w:p>
          <w:tbl>
            <w:tblPr>
              <w:tblBorders>
                <w:top w:val="none" w:color="000000" w:sz="4"/>
                <w:left w:val="none" w:color="000000" w:sz="4"/>
                <w:bottom w:val="none" w:color="000000" w:sz="4"/>
                <w:right w:val="none" w:color="000000" w:sz="4"/>
                <w:insideH w:val="none"/>
                <w:insideV w:val="none"/>
              </w:tblBorders>
            </w:tblPr>
            <w:tblGrid>
              <w:gridCol w:w="635"/>
              <w:gridCol w:w="1385"/>
              <w:gridCol w:w="750"/>
              <w:gridCol w:w="1212"/>
              <w:gridCol w:w="1616"/>
            </w:tblGrid>
            <w:tr>
              <w:tc>
                <w:tcPr>
                  <w:tcW w:type="dxa" w:w="635"/>
                  <w:tcBorders>
                    <w:top w:val="single" w:color="000000" w:sz="4"/>
                    <w:left w:val="single" w:color="000000" w:sz="4"/>
                    <w:bottom w:val="single" w:color="000000" w:sz="4"/>
                    <w:right w:val="single" w:color="000000" w:sz="4"/>
                  </w:tcBorders>
                </w:tcPr>
                <w:p>
                  <w:pPr>
                    <w:jc w:val="center"/>
                  </w:pPr>
                  <w:r>
                    <w:rPr>
                      <w:b/>
                    </w:rPr>
                    <w:t>序号</w:t>
                  </w:r>
                </w:p>
              </w:tc>
              <w:tc>
                <w:tcPr>
                  <w:tcW w:type="dxa" w:w="1385"/>
                  <w:tcBorders>
                    <w:top w:val="single" w:color="000000" w:sz="4"/>
                    <w:left w:val="none" w:color="000000" w:sz="4"/>
                    <w:bottom w:val="single" w:color="000000" w:sz="4"/>
                    <w:right w:val="single" w:color="000000" w:sz="4"/>
                  </w:tcBorders>
                </w:tcPr>
                <w:p>
                  <w:pPr>
                    <w:jc w:val="center"/>
                  </w:pPr>
                  <w:r>
                    <w:rPr>
                      <w:b/>
                    </w:rPr>
                    <w:t>成果名称</w:t>
                  </w:r>
                </w:p>
              </w:tc>
              <w:tc>
                <w:tcPr>
                  <w:tcW w:type="dxa" w:w="750"/>
                  <w:tcBorders>
                    <w:top w:val="single" w:color="000000" w:sz="4"/>
                    <w:left w:val="none" w:color="000000" w:sz="4"/>
                    <w:bottom w:val="single" w:color="000000" w:sz="4"/>
                    <w:right w:val="single" w:color="000000" w:sz="4"/>
                  </w:tcBorders>
                </w:tcPr>
                <w:p>
                  <w:pPr>
                    <w:jc w:val="center"/>
                  </w:pPr>
                  <w:r>
                    <w:rPr>
                      <w:b/>
                    </w:rPr>
                    <w:t>数量</w:t>
                  </w:r>
                </w:p>
              </w:tc>
              <w:tc>
                <w:tcPr>
                  <w:tcW w:type="dxa" w:w="1212"/>
                  <w:tcBorders>
                    <w:top w:val="single" w:color="000000" w:sz="4"/>
                    <w:left w:val="none" w:color="000000" w:sz="4"/>
                    <w:bottom w:val="single" w:color="000000" w:sz="4"/>
                    <w:right w:val="single" w:color="000000" w:sz="4"/>
                  </w:tcBorders>
                </w:tcPr>
                <w:p>
                  <w:pPr>
                    <w:jc w:val="center"/>
                  </w:pPr>
                  <w:r>
                    <w:rPr>
                      <w:b/>
                    </w:rPr>
                    <w:t>形 式</w:t>
                  </w:r>
                </w:p>
              </w:tc>
              <w:tc>
                <w:tcPr>
                  <w:tcW w:type="dxa" w:w="1616"/>
                  <w:tcBorders>
                    <w:top w:val="single" w:color="000000" w:sz="4"/>
                    <w:left w:val="none" w:color="000000" w:sz="4"/>
                    <w:bottom w:val="single" w:color="000000" w:sz="4"/>
                    <w:right w:val="single" w:color="000000" w:sz="4"/>
                  </w:tcBorders>
                </w:tcPr>
                <w:p>
                  <w:pPr>
                    <w:jc w:val="center"/>
                  </w:pPr>
                  <w:r>
                    <w:rPr>
                      <w:b/>
                    </w:rPr>
                    <w:t>要 求</w:t>
                  </w:r>
                </w:p>
              </w:tc>
            </w:tr>
            <w:tr>
              <w:tc>
                <w:tcPr>
                  <w:tcW w:type="dxa" w:w="635"/>
                  <w:tcBorders>
                    <w:top w:val="none" w:color="000000" w:sz="4"/>
                    <w:left w:val="single" w:color="000000" w:sz="4"/>
                    <w:bottom w:val="single" w:color="000000" w:sz="4"/>
                    <w:right w:val="single" w:color="000000" w:sz="4"/>
                  </w:tcBorders>
                </w:tcPr>
                <w:p>
                  <w:pPr>
                    <w:jc w:val="center"/>
                  </w:pPr>
                  <w:r>
                    <w:rPr/>
                    <w:t>1</w:t>
                  </w:r>
                </w:p>
              </w:tc>
              <w:tc>
                <w:tcPr>
                  <w:tcW w:type="dxa" w:w="1385"/>
                  <w:tcBorders>
                    <w:top w:val="none" w:color="000000" w:sz="4"/>
                    <w:left w:val="none" w:color="000000" w:sz="4"/>
                    <w:bottom w:val="single" w:color="000000" w:sz="4"/>
                    <w:right w:val="single" w:color="000000" w:sz="4"/>
                  </w:tcBorders>
                </w:tcPr>
                <w:p>
                  <w:pPr>
                    <w:jc w:val="center"/>
                  </w:pPr>
                  <w:r>
                    <w:rPr>
                      <w:sz w:val="21"/>
                    </w:rPr>
                    <w:t>项目工作方案</w:t>
                  </w:r>
                </w:p>
              </w:tc>
              <w:tc>
                <w:tcPr>
                  <w:tcW w:type="dxa" w:w="750"/>
                  <w:tcBorders>
                    <w:top w:val="none" w:color="000000" w:sz="4"/>
                    <w:left w:val="none" w:color="000000" w:sz="4"/>
                    <w:bottom w:val="single" w:color="000000" w:sz="4"/>
                    <w:right w:val="single" w:color="000000" w:sz="4"/>
                  </w:tcBorders>
                </w:tcPr>
                <w:p>
                  <w:pPr>
                    <w:jc w:val="center"/>
                  </w:pPr>
                  <w:r>
                    <w:rPr/>
                    <w:t>1</w:t>
                  </w:r>
                  <w:r>
                    <w:rPr/>
                    <w:t>套</w:t>
                  </w:r>
                </w:p>
              </w:tc>
              <w:tc>
                <w:tcPr>
                  <w:tcW w:type="dxa" w:w="1212"/>
                  <w:tcBorders>
                    <w:top w:val="none" w:color="000000" w:sz="4"/>
                    <w:left w:val="none" w:color="000000" w:sz="4"/>
                    <w:bottom w:val="single" w:color="000000" w:sz="4"/>
                    <w:right w:val="single" w:color="000000" w:sz="4"/>
                  </w:tcBorders>
                </w:tcPr>
                <w:p>
                  <w:pPr>
                    <w:jc w:val="center"/>
                  </w:pPr>
                  <w:r>
                    <w:rPr/>
                    <w:t>电子文档和纸质</w:t>
                  </w:r>
                </w:p>
              </w:tc>
              <w:tc>
                <w:tcPr>
                  <w:tcW w:type="dxa" w:w="1616"/>
                  <w:tcBorders>
                    <w:top w:val="none" w:color="000000" w:sz="4"/>
                    <w:left w:val="none" w:color="000000" w:sz="4"/>
                    <w:bottom w:val="single" w:color="000000" w:sz="4"/>
                    <w:right w:val="single" w:color="000000" w:sz="4"/>
                  </w:tcBorders>
                </w:tcPr>
                <w:p>
                  <w:pPr>
                    <w:jc w:val="center"/>
                  </w:pPr>
                  <w:r>
                    <w:rPr/>
                    <w:t>签订合同后15个工作日内，支付首期款前，共提交1次</w:t>
                  </w:r>
                </w:p>
              </w:tc>
            </w:tr>
            <w:tr>
              <w:tc>
                <w:tcPr>
                  <w:tcW w:type="dxa" w:w="635"/>
                  <w:tcBorders>
                    <w:top w:val="none" w:color="000000" w:sz="4"/>
                    <w:left w:val="single" w:color="000000" w:sz="4"/>
                    <w:bottom w:val="single" w:color="000000" w:sz="4"/>
                    <w:right w:val="single" w:color="000000" w:sz="4"/>
                  </w:tcBorders>
                </w:tcPr>
                <w:p>
                  <w:pPr>
                    <w:jc w:val="center"/>
                  </w:pPr>
                  <w:r>
                    <w:rPr/>
                    <w:t>2</w:t>
                  </w:r>
                </w:p>
              </w:tc>
              <w:tc>
                <w:tcPr>
                  <w:tcW w:type="dxa" w:w="1385"/>
                  <w:tcBorders>
                    <w:top w:val="none" w:color="000000" w:sz="4"/>
                    <w:left w:val="none" w:color="000000" w:sz="4"/>
                    <w:bottom w:val="single" w:color="000000" w:sz="4"/>
                    <w:right w:val="single" w:color="000000" w:sz="4"/>
                  </w:tcBorders>
                </w:tcPr>
                <w:p>
                  <w:pPr>
                    <w:jc w:val="center"/>
                  </w:pPr>
                  <w:r>
                    <w:rPr>
                      <w:sz w:val="21"/>
                    </w:rPr>
                    <w:t>项目总结报告</w:t>
                  </w:r>
                </w:p>
              </w:tc>
              <w:tc>
                <w:tcPr>
                  <w:tcW w:type="dxa" w:w="750"/>
                  <w:tcBorders>
                    <w:top w:val="none" w:color="000000" w:sz="4"/>
                    <w:left w:val="none" w:color="000000" w:sz="4"/>
                    <w:bottom w:val="single" w:color="000000" w:sz="4"/>
                    <w:right w:val="single" w:color="000000" w:sz="4"/>
                  </w:tcBorders>
                </w:tcPr>
                <w:p>
                  <w:pPr>
                    <w:jc w:val="center"/>
                  </w:pPr>
                  <w:r>
                    <w:rPr/>
                    <w:t>1</w:t>
                  </w:r>
                  <w:r>
                    <w:rPr/>
                    <w:t>套</w:t>
                  </w:r>
                </w:p>
              </w:tc>
              <w:tc>
                <w:tcPr>
                  <w:tcW w:type="dxa" w:w="1212"/>
                  <w:tcBorders>
                    <w:top w:val="none" w:color="000000" w:sz="4"/>
                    <w:left w:val="none" w:color="000000" w:sz="4"/>
                    <w:bottom w:val="single" w:color="000000" w:sz="4"/>
                    <w:right w:val="single" w:color="000000" w:sz="4"/>
                  </w:tcBorders>
                </w:tcPr>
                <w:p>
                  <w:pPr>
                    <w:jc w:val="center"/>
                  </w:pPr>
                  <w:r>
                    <w:rPr/>
                    <w:t>电子文档和纸质</w:t>
                  </w:r>
                </w:p>
              </w:tc>
              <w:tc>
                <w:tcPr>
                  <w:tcW w:type="dxa" w:w="1616"/>
                  <w:tcBorders>
                    <w:top w:val="none" w:color="000000" w:sz="4"/>
                    <w:left w:val="none" w:color="000000" w:sz="4"/>
                    <w:bottom w:val="single" w:color="000000" w:sz="4"/>
                    <w:right w:val="single" w:color="000000" w:sz="4"/>
                  </w:tcBorders>
                </w:tcPr>
                <w:p>
                  <w:pPr>
                    <w:jc w:val="center"/>
                  </w:pPr>
                  <w:r>
                    <w:rPr/>
                    <w:t>项目运维期结束支付尾款前，共提交1次</w:t>
                  </w:r>
                </w:p>
              </w:tc>
            </w:tr>
            <w:tr>
              <w:tc>
                <w:tcPr>
                  <w:tcW w:type="dxa" w:w="635"/>
                  <w:tcBorders>
                    <w:top w:val="none" w:color="000000" w:sz="4"/>
                    <w:left w:val="single" w:color="000000" w:sz="4"/>
                    <w:bottom w:val="single" w:color="000000" w:sz="4"/>
                    <w:right w:val="single" w:color="000000" w:sz="4"/>
                  </w:tcBorders>
                </w:tcPr>
                <w:p>
                  <w:pPr>
                    <w:jc w:val="center"/>
                  </w:pPr>
                  <w:r>
                    <w:rPr/>
                    <w:t>3</w:t>
                  </w:r>
                </w:p>
              </w:tc>
              <w:tc>
                <w:tcPr>
                  <w:tcW w:type="dxa" w:w="1385"/>
                  <w:tcBorders>
                    <w:top w:val="none" w:color="000000" w:sz="4"/>
                    <w:left w:val="none" w:color="000000" w:sz="4"/>
                    <w:bottom w:val="single" w:color="000000" w:sz="4"/>
                    <w:right w:val="single" w:color="000000" w:sz="4"/>
                  </w:tcBorders>
                </w:tcPr>
                <w:p>
                  <w:pPr>
                    <w:jc w:val="center"/>
                  </w:pPr>
                  <w:r>
                    <w:rPr/>
                    <w:t>系统运维方案（运维指南）</w:t>
                  </w:r>
                </w:p>
              </w:tc>
              <w:tc>
                <w:tcPr>
                  <w:tcW w:type="dxa" w:w="750"/>
                  <w:tcBorders>
                    <w:top w:val="none" w:color="000000" w:sz="4"/>
                    <w:left w:val="none" w:color="000000" w:sz="4"/>
                    <w:bottom w:val="single" w:color="000000" w:sz="4"/>
                    <w:right w:val="single" w:color="000000" w:sz="4"/>
                  </w:tcBorders>
                </w:tcPr>
                <w:p>
                  <w:pPr>
                    <w:jc w:val="center"/>
                  </w:pPr>
                  <w:r>
                    <w:rPr/>
                    <w:t>1</w:t>
                  </w:r>
                  <w:r>
                    <w:rPr/>
                    <w:t>套</w:t>
                  </w:r>
                </w:p>
              </w:tc>
              <w:tc>
                <w:tcPr>
                  <w:tcW w:type="dxa" w:w="1212"/>
                  <w:tcBorders>
                    <w:top w:val="none" w:color="000000" w:sz="4"/>
                    <w:left w:val="none" w:color="000000" w:sz="4"/>
                    <w:bottom w:val="single" w:color="000000" w:sz="4"/>
                    <w:right w:val="single" w:color="000000" w:sz="4"/>
                  </w:tcBorders>
                </w:tcPr>
                <w:p>
                  <w:pPr>
                    <w:jc w:val="center"/>
                  </w:pPr>
                  <w:r>
                    <w:rPr/>
                    <w:t>电子文档和纸质</w:t>
                  </w:r>
                </w:p>
              </w:tc>
              <w:tc>
                <w:tcPr>
                  <w:tcW w:type="dxa" w:w="1616"/>
                  <w:tcBorders>
                    <w:top w:val="none" w:color="000000" w:sz="4"/>
                    <w:left w:val="none" w:color="000000" w:sz="4"/>
                    <w:bottom w:val="single" w:color="000000" w:sz="4"/>
                    <w:right w:val="single" w:color="000000" w:sz="4"/>
                  </w:tcBorders>
                </w:tcPr>
                <w:p>
                  <w:pPr>
                    <w:jc w:val="center"/>
                  </w:pPr>
                  <w:r>
                    <w:rPr/>
                    <w:t>应在运维开始之前的15个工作日提交；应包含风险评估和应对措施。</w:t>
                  </w:r>
                </w:p>
              </w:tc>
            </w:tr>
            <w:tr>
              <w:tc>
                <w:tcPr>
                  <w:tcW w:type="dxa" w:w="635"/>
                  <w:tcBorders>
                    <w:top w:val="none" w:color="000000" w:sz="4"/>
                    <w:left w:val="single" w:color="000000" w:sz="4"/>
                    <w:bottom w:val="single" w:color="000000" w:sz="4"/>
                    <w:right w:val="single" w:color="000000" w:sz="4"/>
                  </w:tcBorders>
                </w:tcPr>
                <w:p>
                  <w:pPr>
                    <w:jc w:val="center"/>
                  </w:pPr>
                  <w:r>
                    <w:rPr/>
                    <w:t>4</w:t>
                  </w:r>
                </w:p>
              </w:tc>
              <w:tc>
                <w:tcPr>
                  <w:tcW w:type="dxa" w:w="1385"/>
                  <w:tcBorders>
                    <w:top w:val="none" w:color="000000" w:sz="4"/>
                    <w:left w:val="none" w:color="000000" w:sz="4"/>
                    <w:bottom w:val="single" w:color="000000" w:sz="4"/>
                    <w:right w:val="single" w:color="000000" w:sz="4"/>
                  </w:tcBorders>
                </w:tcPr>
                <w:p>
                  <w:pPr>
                    <w:jc w:val="center"/>
                  </w:pPr>
                  <w:r>
                    <w:rPr/>
                    <w:t>系统故障排查指南</w:t>
                  </w:r>
                </w:p>
              </w:tc>
              <w:tc>
                <w:tcPr>
                  <w:tcW w:type="dxa" w:w="750"/>
                  <w:tcBorders>
                    <w:top w:val="none" w:color="000000" w:sz="4"/>
                    <w:left w:val="none" w:color="000000" w:sz="4"/>
                    <w:bottom w:val="single" w:color="000000" w:sz="4"/>
                    <w:right w:val="single" w:color="000000" w:sz="4"/>
                  </w:tcBorders>
                </w:tcPr>
                <w:p>
                  <w:pPr>
                    <w:jc w:val="center"/>
                  </w:pPr>
                  <w:r>
                    <w:rPr/>
                    <w:t>1</w:t>
                  </w:r>
                  <w:r>
                    <w:rPr/>
                    <w:t>套</w:t>
                  </w:r>
                </w:p>
              </w:tc>
              <w:tc>
                <w:tcPr>
                  <w:tcW w:type="dxa" w:w="1212"/>
                  <w:tcBorders>
                    <w:top w:val="none" w:color="000000" w:sz="4"/>
                    <w:left w:val="none" w:color="000000" w:sz="4"/>
                    <w:bottom w:val="single" w:color="000000" w:sz="4"/>
                    <w:right w:val="single" w:color="000000" w:sz="4"/>
                  </w:tcBorders>
                </w:tcPr>
                <w:p>
                  <w:pPr>
                    <w:jc w:val="center"/>
                  </w:pPr>
                  <w:r>
                    <w:rPr/>
                    <w:t>电子文档</w:t>
                  </w:r>
                </w:p>
              </w:tc>
              <w:tc>
                <w:tcPr>
                  <w:tcW w:type="dxa" w:w="1616"/>
                  <w:tcBorders>
                    <w:top w:val="none" w:color="000000" w:sz="4"/>
                    <w:left w:val="none" w:color="000000" w:sz="4"/>
                    <w:bottom w:val="single" w:color="000000" w:sz="4"/>
                    <w:right w:val="single" w:color="000000" w:sz="4"/>
                  </w:tcBorders>
                </w:tcPr>
                <w:p>
                  <w:pPr>
                    <w:jc w:val="center"/>
                  </w:pPr>
                  <w:r>
                    <w:rPr/>
                    <w:t>实时更新</w:t>
                  </w:r>
                </w:p>
              </w:tc>
            </w:tr>
            <w:tr>
              <w:tc>
                <w:tcPr>
                  <w:tcW w:type="dxa" w:w="635"/>
                  <w:tcBorders>
                    <w:top w:val="none" w:color="000000" w:sz="4"/>
                    <w:left w:val="single" w:color="000000" w:sz="4"/>
                    <w:bottom w:val="single" w:color="000000" w:sz="4"/>
                    <w:right w:val="single" w:color="000000" w:sz="4"/>
                  </w:tcBorders>
                </w:tcPr>
                <w:p>
                  <w:pPr>
                    <w:jc w:val="center"/>
                  </w:pPr>
                  <w:r>
                    <w:rPr/>
                    <w:t>5</w:t>
                  </w:r>
                </w:p>
              </w:tc>
              <w:tc>
                <w:tcPr>
                  <w:tcW w:type="dxa" w:w="1385"/>
                  <w:tcBorders>
                    <w:top w:val="none" w:color="000000" w:sz="4"/>
                    <w:left w:val="none" w:color="000000" w:sz="4"/>
                    <w:bottom w:val="single" w:color="000000" w:sz="4"/>
                    <w:right w:val="single" w:color="000000" w:sz="4"/>
                  </w:tcBorders>
                </w:tcPr>
                <w:p>
                  <w:pPr>
                    <w:jc w:val="center"/>
                  </w:pPr>
                  <w:r>
                    <w:rPr/>
                    <w:t>系统应急响应预案</w:t>
                  </w:r>
                </w:p>
              </w:tc>
              <w:tc>
                <w:tcPr>
                  <w:tcW w:type="dxa" w:w="750"/>
                  <w:tcBorders>
                    <w:top w:val="none" w:color="000000" w:sz="4"/>
                    <w:left w:val="none" w:color="000000" w:sz="4"/>
                    <w:bottom w:val="single" w:color="000000" w:sz="4"/>
                    <w:right w:val="single" w:color="000000" w:sz="4"/>
                  </w:tcBorders>
                </w:tcPr>
                <w:p>
                  <w:pPr>
                    <w:jc w:val="center"/>
                  </w:pPr>
                  <w:r>
                    <w:rPr/>
                    <w:t>1</w:t>
                  </w:r>
                  <w:r>
                    <w:rPr/>
                    <w:t>套</w:t>
                  </w:r>
                </w:p>
              </w:tc>
              <w:tc>
                <w:tcPr>
                  <w:tcW w:type="dxa" w:w="1212"/>
                  <w:tcBorders>
                    <w:top w:val="none" w:color="000000" w:sz="4"/>
                    <w:left w:val="none" w:color="000000" w:sz="4"/>
                    <w:bottom w:val="single" w:color="000000" w:sz="4"/>
                    <w:right w:val="single" w:color="000000" w:sz="4"/>
                  </w:tcBorders>
                </w:tcPr>
                <w:p>
                  <w:pPr>
                    <w:jc w:val="center"/>
                  </w:pPr>
                  <w:r>
                    <w:rPr/>
                    <w:t>电子文档</w:t>
                  </w:r>
                </w:p>
              </w:tc>
              <w:tc>
                <w:tcPr>
                  <w:tcW w:type="dxa" w:w="1616"/>
                  <w:tcBorders>
                    <w:top w:val="none" w:color="000000" w:sz="4"/>
                    <w:left w:val="none" w:color="000000" w:sz="4"/>
                    <w:bottom w:val="single" w:color="000000" w:sz="4"/>
                    <w:right w:val="single" w:color="000000" w:sz="4"/>
                  </w:tcBorders>
                </w:tcPr>
                <w:p>
                  <w:pPr>
                    <w:jc w:val="center"/>
                  </w:pPr>
                  <w:r>
                    <w:rPr/>
                    <w:t>实时更新</w:t>
                  </w:r>
                </w:p>
              </w:tc>
            </w:tr>
            <w:tr>
              <w:tc>
                <w:tcPr>
                  <w:tcW w:type="dxa" w:w="635"/>
                  <w:tcBorders>
                    <w:top w:val="none" w:color="000000" w:sz="4"/>
                    <w:left w:val="single" w:color="000000" w:sz="4"/>
                    <w:bottom w:val="single" w:color="000000" w:sz="4"/>
                    <w:right w:val="single" w:color="000000" w:sz="4"/>
                  </w:tcBorders>
                </w:tcPr>
                <w:p>
                  <w:pPr>
                    <w:jc w:val="center"/>
                  </w:pPr>
                  <w:r>
                    <w:rPr/>
                    <w:t>6</w:t>
                  </w:r>
                </w:p>
              </w:tc>
              <w:tc>
                <w:tcPr>
                  <w:tcW w:type="dxa" w:w="1385"/>
                  <w:tcBorders>
                    <w:top w:val="none" w:color="000000" w:sz="4"/>
                    <w:left w:val="none" w:color="000000" w:sz="4"/>
                    <w:bottom w:val="single" w:color="000000" w:sz="4"/>
                    <w:right w:val="single" w:color="000000" w:sz="4"/>
                  </w:tcBorders>
                </w:tcPr>
                <w:p>
                  <w:pPr>
                    <w:jc w:val="center"/>
                  </w:pPr>
                  <w:r>
                    <w:rPr/>
                    <w:t>系统数据备份与恢复方案</w:t>
                  </w:r>
                </w:p>
              </w:tc>
              <w:tc>
                <w:tcPr>
                  <w:tcW w:type="dxa" w:w="750"/>
                  <w:tcBorders>
                    <w:top w:val="none" w:color="000000" w:sz="4"/>
                    <w:left w:val="none" w:color="000000" w:sz="4"/>
                    <w:bottom w:val="single" w:color="000000" w:sz="4"/>
                    <w:right w:val="single" w:color="000000" w:sz="4"/>
                  </w:tcBorders>
                </w:tcPr>
                <w:p>
                  <w:pPr>
                    <w:jc w:val="center"/>
                  </w:pPr>
                  <w:r>
                    <w:rPr/>
                    <w:t>1</w:t>
                  </w:r>
                  <w:r>
                    <w:rPr/>
                    <w:t>套</w:t>
                  </w:r>
                </w:p>
              </w:tc>
              <w:tc>
                <w:tcPr>
                  <w:tcW w:type="dxa" w:w="1212"/>
                  <w:tcBorders>
                    <w:top w:val="none" w:color="000000" w:sz="4"/>
                    <w:left w:val="none" w:color="000000" w:sz="4"/>
                    <w:bottom w:val="single" w:color="000000" w:sz="4"/>
                    <w:right w:val="single" w:color="000000" w:sz="4"/>
                  </w:tcBorders>
                </w:tcPr>
                <w:p>
                  <w:pPr>
                    <w:jc w:val="center"/>
                  </w:pPr>
                  <w:r>
                    <w:rPr/>
                    <w:t>电子文档</w:t>
                  </w:r>
                </w:p>
              </w:tc>
              <w:tc>
                <w:tcPr>
                  <w:tcW w:type="dxa" w:w="1616"/>
                  <w:tcBorders>
                    <w:top w:val="none" w:color="000000" w:sz="4"/>
                    <w:left w:val="none" w:color="000000" w:sz="4"/>
                    <w:bottom w:val="single" w:color="000000" w:sz="4"/>
                    <w:right w:val="single" w:color="000000" w:sz="4"/>
                  </w:tcBorders>
                </w:tcPr>
                <w:p>
                  <w:pPr>
                    <w:jc w:val="center"/>
                  </w:pPr>
                  <w:r>
                    <w:rPr/>
                    <w:t>实时更新</w:t>
                  </w:r>
                </w:p>
              </w:tc>
            </w:tr>
            <w:tr>
              <w:tc>
                <w:tcPr>
                  <w:tcW w:type="dxa" w:w="635"/>
                  <w:tcBorders>
                    <w:top w:val="none" w:color="000000" w:sz="4"/>
                    <w:left w:val="single" w:color="000000" w:sz="4"/>
                    <w:bottom w:val="single" w:color="000000" w:sz="4"/>
                    <w:right w:val="single" w:color="000000" w:sz="4"/>
                  </w:tcBorders>
                </w:tcPr>
                <w:p>
                  <w:pPr>
                    <w:jc w:val="center"/>
                  </w:pPr>
                  <w:r>
                    <w:rPr/>
                    <w:t>8</w:t>
                  </w:r>
                </w:p>
              </w:tc>
              <w:tc>
                <w:tcPr>
                  <w:tcW w:type="dxa" w:w="1385"/>
                  <w:tcBorders>
                    <w:top w:val="none" w:color="000000" w:sz="4"/>
                    <w:left w:val="none" w:color="000000" w:sz="4"/>
                    <w:bottom w:val="single" w:color="000000" w:sz="4"/>
                    <w:right w:val="single" w:color="000000" w:sz="4"/>
                  </w:tcBorders>
                </w:tcPr>
                <w:p>
                  <w:pPr>
                    <w:jc w:val="center"/>
                  </w:pPr>
                  <w:r>
                    <w:rPr>
                      <w:sz w:val="21"/>
                    </w:rPr>
                    <w:t>系统运维台帐及维护月报</w:t>
                  </w:r>
                </w:p>
              </w:tc>
              <w:tc>
                <w:tcPr>
                  <w:tcW w:type="dxa" w:w="750"/>
                  <w:tcBorders>
                    <w:top w:val="none" w:color="000000" w:sz="4"/>
                    <w:left w:val="none" w:color="000000" w:sz="4"/>
                    <w:bottom w:val="single" w:color="000000" w:sz="4"/>
                    <w:right w:val="single" w:color="000000" w:sz="4"/>
                  </w:tcBorders>
                </w:tcPr>
                <w:p>
                  <w:pPr>
                    <w:jc w:val="center"/>
                  </w:pPr>
                  <w:r>
                    <w:rPr/>
                    <w:t>1</w:t>
                  </w:r>
                  <w:r>
                    <w:rPr/>
                    <w:t>套</w:t>
                  </w:r>
                </w:p>
              </w:tc>
              <w:tc>
                <w:tcPr>
                  <w:tcW w:type="dxa" w:w="1212"/>
                  <w:tcBorders>
                    <w:top w:val="none" w:color="000000" w:sz="4"/>
                    <w:left w:val="none" w:color="000000" w:sz="4"/>
                    <w:bottom w:val="single" w:color="000000" w:sz="4"/>
                    <w:right w:val="single" w:color="000000" w:sz="4"/>
                  </w:tcBorders>
                </w:tcPr>
                <w:p>
                  <w:pPr>
                    <w:jc w:val="center"/>
                  </w:pPr>
                  <w:r>
                    <w:rPr/>
                    <w:t>电子文档</w:t>
                  </w:r>
                </w:p>
              </w:tc>
              <w:tc>
                <w:tcPr>
                  <w:tcW w:type="dxa" w:w="1616"/>
                  <w:tcBorders>
                    <w:top w:val="none" w:color="000000" w:sz="4"/>
                    <w:left w:val="none" w:color="000000" w:sz="4"/>
                    <w:bottom w:val="single" w:color="000000" w:sz="4"/>
                    <w:right w:val="single" w:color="000000" w:sz="4"/>
                  </w:tcBorders>
                </w:tcPr>
                <w:p>
                  <w:pPr>
                    <w:jc w:val="center"/>
                  </w:pPr>
                  <w:r>
                    <w:rPr/>
                    <w:t>每月5日前提交上一月</w:t>
                  </w:r>
                </w:p>
              </w:tc>
            </w:tr>
            <w:tr>
              <w:tc>
                <w:tcPr>
                  <w:tcW w:type="dxa" w:w="635"/>
                  <w:tcBorders>
                    <w:top w:val="none" w:color="000000" w:sz="4"/>
                    <w:left w:val="single" w:color="000000" w:sz="4"/>
                    <w:bottom w:val="single" w:color="000000" w:sz="4"/>
                    <w:right w:val="single" w:color="000000" w:sz="4"/>
                  </w:tcBorders>
                </w:tcPr>
                <w:p>
                  <w:pPr>
                    <w:jc w:val="center"/>
                  </w:pPr>
                  <w:r>
                    <w:rPr/>
                    <w:t>9</w:t>
                  </w:r>
                </w:p>
              </w:tc>
              <w:tc>
                <w:tcPr>
                  <w:tcW w:type="dxa" w:w="1385"/>
                  <w:tcBorders>
                    <w:top w:val="none" w:color="000000" w:sz="4"/>
                    <w:left w:val="none" w:color="000000" w:sz="4"/>
                    <w:bottom w:val="single" w:color="000000" w:sz="4"/>
                    <w:right w:val="single" w:color="000000" w:sz="4"/>
                  </w:tcBorders>
                </w:tcPr>
                <w:p>
                  <w:pPr>
                    <w:jc w:val="center"/>
                  </w:pPr>
                  <w:r>
                    <w:rPr>
                      <w:sz w:val="21"/>
                    </w:rPr>
                    <w:t>系统源代码（含全面注释）</w:t>
                  </w:r>
                </w:p>
              </w:tc>
              <w:tc>
                <w:tcPr>
                  <w:tcW w:type="dxa" w:w="750"/>
                  <w:tcBorders>
                    <w:top w:val="none" w:color="000000" w:sz="4"/>
                    <w:left w:val="none" w:color="000000" w:sz="4"/>
                    <w:bottom w:val="single" w:color="000000" w:sz="4"/>
                    <w:right w:val="single" w:color="000000" w:sz="4"/>
                  </w:tcBorders>
                </w:tcPr>
                <w:p>
                  <w:pPr>
                    <w:jc w:val="center"/>
                  </w:pPr>
                  <w:r>
                    <w:rPr/>
                    <w:t>1</w:t>
                  </w:r>
                  <w:r>
                    <w:rPr/>
                    <w:t>套</w:t>
                  </w:r>
                </w:p>
              </w:tc>
              <w:tc>
                <w:tcPr>
                  <w:tcW w:type="dxa" w:w="1212"/>
                  <w:tcBorders>
                    <w:top w:val="none" w:color="000000" w:sz="4"/>
                    <w:left w:val="none" w:color="000000" w:sz="4"/>
                    <w:bottom w:val="single" w:color="000000" w:sz="4"/>
                    <w:right w:val="single" w:color="000000" w:sz="4"/>
                  </w:tcBorders>
                </w:tcPr>
                <w:p>
                  <w:pPr>
                    <w:jc w:val="center"/>
                  </w:pPr>
                  <w:r>
                    <w:rPr/>
                    <w:t>光盘或拷贝</w:t>
                  </w:r>
                </w:p>
              </w:tc>
              <w:tc>
                <w:tcPr>
                  <w:tcW w:type="dxa" w:w="1616"/>
                  <w:tcBorders>
                    <w:top w:val="none" w:color="000000" w:sz="4"/>
                    <w:left w:val="none" w:color="000000" w:sz="4"/>
                    <w:bottom w:val="single" w:color="000000" w:sz="4"/>
                    <w:right w:val="single" w:color="000000" w:sz="4"/>
                  </w:tcBorders>
                </w:tcPr>
                <w:p>
                  <w:pPr>
                    <w:jc w:val="center"/>
                  </w:pPr>
                  <w:r>
                    <w:rPr/>
                    <w:t>年末或项目运维结束时提交1次当前版本系统的全部代码（含系统建设阶段的代码）。源代码的含义，运维公司有解释清楚的义务。对于为本系统开发的源代码，若经过了封装，应提供封装前的源代码。运维期间，运维公司需根据中山市自然资源局的要求随时提供源代码</w:t>
                  </w:r>
                </w:p>
              </w:tc>
            </w:tr>
            <w:tr>
              <w:tc>
                <w:tcPr>
                  <w:tcW w:type="dxa" w:w="635"/>
                  <w:tcBorders>
                    <w:top w:val="none" w:color="000000" w:sz="4"/>
                    <w:left w:val="single" w:color="000000" w:sz="4"/>
                    <w:bottom w:val="single" w:color="000000" w:sz="4"/>
                    <w:right w:val="single" w:color="000000" w:sz="4"/>
                  </w:tcBorders>
                </w:tcPr>
                <w:p>
                  <w:pPr>
                    <w:jc w:val="center"/>
                  </w:pPr>
                  <w:r>
                    <w:rPr/>
                    <w:t>10</w:t>
                  </w:r>
                </w:p>
              </w:tc>
              <w:tc>
                <w:tcPr>
                  <w:tcW w:type="dxa" w:w="1385"/>
                  <w:tcBorders>
                    <w:top w:val="none" w:color="000000" w:sz="4"/>
                    <w:left w:val="none" w:color="000000" w:sz="4"/>
                    <w:bottom w:val="single" w:color="000000" w:sz="4"/>
                    <w:right w:val="single" w:color="000000" w:sz="4"/>
                  </w:tcBorders>
                </w:tcPr>
                <w:p>
                  <w:pPr>
                    <w:jc w:val="center"/>
                  </w:pPr>
                  <w:r>
                    <w:rPr>
                      <w:sz w:val="21"/>
                    </w:rPr>
                    <w:t>数据库设计文档</w:t>
                  </w:r>
                </w:p>
              </w:tc>
              <w:tc>
                <w:tcPr>
                  <w:tcW w:type="dxa" w:w="750"/>
                  <w:tcBorders>
                    <w:top w:val="none" w:color="000000" w:sz="4"/>
                    <w:left w:val="none" w:color="000000" w:sz="4"/>
                    <w:bottom w:val="single" w:color="000000" w:sz="4"/>
                    <w:right w:val="single" w:color="000000" w:sz="4"/>
                  </w:tcBorders>
                </w:tcPr>
                <w:p>
                  <w:pPr>
                    <w:jc w:val="center"/>
                  </w:pPr>
                  <w:r>
                    <w:rPr/>
                    <w:t>1</w:t>
                  </w:r>
                  <w:r>
                    <w:rPr/>
                    <w:t>套</w:t>
                  </w:r>
                </w:p>
              </w:tc>
              <w:tc>
                <w:tcPr>
                  <w:tcW w:type="dxa" w:w="1212"/>
                  <w:tcBorders>
                    <w:top w:val="none" w:color="000000" w:sz="4"/>
                    <w:left w:val="none" w:color="000000" w:sz="4"/>
                    <w:bottom w:val="single" w:color="000000" w:sz="4"/>
                    <w:right w:val="single" w:color="000000" w:sz="4"/>
                  </w:tcBorders>
                </w:tcPr>
                <w:p>
                  <w:pPr>
                    <w:jc w:val="center"/>
                  </w:pPr>
                  <w:r>
                    <w:rPr/>
                    <w:t>电子文档</w:t>
                  </w:r>
                </w:p>
              </w:tc>
              <w:tc>
                <w:tcPr>
                  <w:tcW w:type="dxa" w:w="1616"/>
                  <w:tcBorders>
                    <w:top w:val="none" w:color="000000" w:sz="4"/>
                    <w:left w:val="none" w:color="000000" w:sz="4"/>
                    <w:bottom w:val="single" w:color="000000" w:sz="4"/>
                    <w:right w:val="single" w:color="000000" w:sz="4"/>
                  </w:tcBorders>
                </w:tcPr>
                <w:p>
                  <w:pPr>
                    <w:jc w:val="center"/>
                  </w:pPr>
                  <w:r>
                    <w:rPr/>
                    <w:t>项目完成交付后提交一次</w:t>
                  </w:r>
                </w:p>
              </w:tc>
            </w:tr>
            <w:tr>
              <w:tc>
                <w:tcPr>
                  <w:tcW w:type="dxa" w:w="635"/>
                  <w:tcBorders>
                    <w:top w:val="none" w:color="000000" w:sz="4"/>
                    <w:left w:val="single" w:color="000000" w:sz="4"/>
                    <w:bottom w:val="single" w:color="000000" w:sz="4"/>
                    <w:right w:val="single" w:color="000000" w:sz="4"/>
                  </w:tcBorders>
                </w:tcPr>
                <w:p>
                  <w:pPr>
                    <w:jc w:val="center"/>
                  </w:pPr>
                  <w:r>
                    <w:rPr/>
                    <w:t>11</w:t>
                  </w:r>
                </w:p>
              </w:tc>
              <w:tc>
                <w:tcPr>
                  <w:tcW w:type="dxa" w:w="1385"/>
                  <w:tcBorders>
                    <w:top w:val="none" w:color="000000" w:sz="4"/>
                    <w:left w:val="none" w:color="000000" w:sz="4"/>
                    <w:bottom w:val="single" w:color="000000" w:sz="4"/>
                    <w:right w:val="single" w:color="000000" w:sz="4"/>
                  </w:tcBorders>
                </w:tcPr>
                <w:p>
                  <w:pPr>
                    <w:jc w:val="center"/>
                  </w:pPr>
                  <w:r>
                    <w:rPr>
                      <w:sz w:val="21"/>
                    </w:rPr>
                    <w:t>系统部署手册（含服务器部署和客户端安装）</w:t>
                  </w:r>
                </w:p>
              </w:tc>
              <w:tc>
                <w:tcPr>
                  <w:tcW w:type="dxa" w:w="750"/>
                  <w:tcBorders>
                    <w:top w:val="none" w:color="000000" w:sz="4"/>
                    <w:left w:val="none" w:color="000000" w:sz="4"/>
                    <w:bottom w:val="single" w:color="000000" w:sz="4"/>
                    <w:right w:val="single" w:color="000000" w:sz="4"/>
                  </w:tcBorders>
                </w:tcPr>
                <w:p>
                  <w:pPr>
                    <w:jc w:val="center"/>
                  </w:pPr>
                  <w:r>
                    <w:rPr/>
                    <w:t>1</w:t>
                  </w:r>
                  <w:r>
                    <w:rPr/>
                    <w:t>套</w:t>
                  </w:r>
                </w:p>
              </w:tc>
              <w:tc>
                <w:tcPr>
                  <w:tcW w:type="dxa" w:w="1212"/>
                  <w:tcBorders>
                    <w:top w:val="none" w:color="000000" w:sz="4"/>
                    <w:left w:val="none" w:color="000000" w:sz="4"/>
                    <w:bottom w:val="single" w:color="000000" w:sz="4"/>
                    <w:right w:val="single" w:color="000000" w:sz="4"/>
                  </w:tcBorders>
                </w:tcPr>
                <w:p>
                  <w:pPr>
                    <w:jc w:val="center"/>
                  </w:pPr>
                  <w:r>
                    <w:rPr/>
                    <w:t>电子文档</w:t>
                  </w:r>
                </w:p>
              </w:tc>
              <w:tc>
                <w:tcPr>
                  <w:tcW w:type="dxa" w:w="1616"/>
                  <w:tcBorders>
                    <w:top w:val="none" w:color="000000" w:sz="4"/>
                    <w:left w:val="none" w:color="000000" w:sz="4"/>
                    <w:bottom w:val="single" w:color="000000" w:sz="4"/>
                    <w:right w:val="single" w:color="000000" w:sz="4"/>
                  </w:tcBorders>
                </w:tcPr>
                <w:p>
                  <w:pPr>
                    <w:jc w:val="center"/>
                  </w:pPr>
                  <w:r>
                    <w:rPr/>
                    <w:t>项目完成交付后提交一次</w:t>
                  </w:r>
                </w:p>
              </w:tc>
            </w:tr>
            <w:tr>
              <w:tc>
                <w:tcPr>
                  <w:tcW w:type="dxa" w:w="635"/>
                  <w:tcBorders>
                    <w:top w:val="none" w:color="000000" w:sz="4"/>
                    <w:left w:val="single" w:color="000000" w:sz="4"/>
                    <w:bottom w:val="single" w:color="000000" w:sz="4"/>
                    <w:right w:val="single" w:color="000000" w:sz="4"/>
                  </w:tcBorders>
                </w:tcPr>
                <w:p>
                  <w:pPr>
                    <w:jc w:val="center"/>
                  </w:pPr>
                  <w:r>
                    <w:rPr/>
                    <w:t>12</w:t>
                  </w:r>
                </w:p>
              </w:tc>
              <w:tc>
                <w:tcPr>
                  <w:tcW w:type="dxa" w:w="1385"/>
                  <w:tcBorders>
                    <w:top w:val="none" w:color="000000" w:sz="4"/>
                    <w:left w:val="none" w:color="000000" w:sz="4"/>
                    <w:bottom w:val="single" w:color="000000" w:sz="4"/>
                    <w:right w:val="single" w:color="000000" w:sz="4"/>
                  </w:tcBorders>
                </w:tcPr>
                <w:p>
                  <w:pPr>
                    <w:jc w:val="center"/>
                  </w:pPr>
                  <w:r>
                    <w:rPr>
                      <w:sz w:val="21"/>
                    </w:rPr>
                    <w:t>系统用户操作手册</w:t>
                  </w:r>
                </w:p>
              </w:tc>
              <w:tc>
                <w:tcPr>
                  <w:tcW w:type="dxa" w:w="750"/>
                  <w:tcBorders>
                    <w:top w:val="none" w:color="000000" w:sz="4"/>
                    <w:left w:val="none" w:color="000000" w:sz="4"/>
                    <w:bottom w:val="single" w:color="000000" w:sz="4"/>
                    <w:right w:val="single" w:color="000000" w:sz="4"/>
                  </w:tcBorders>
                </w:tcPr>
                <w:p>
                  <w:pPr>
                    <w:jc w:val="center"/>
                  </w:pPr>
                  <w:r>
                    <w:rPr/>
                    <w:t>1</w:t>
                  </w:r>
                  <w:r>
                    <w:rPr/>
                    <w:t>套</w:t>
                  </w:r>
                </w:p>
              </w:tc>
              <w:tc>
                <w:tcPr>
                  <w:tcW w:type="dxa" w:w="1212"/>
                  <w:tcBorders>
                    <w:top w:val="none" w:color="000000" w:sz="4"/>
                    <w:left w:val="none" w:color="000000" w:sz="4"/>
                    <w:bottom w:val="single" w:color="000000" w:sz="4"/>
                    <w:right w:val="single" w:color="000000" w:sz="4"/>
                  </w:tcBorders>
                </w:tcPr>
                <w:p>
                  <w:pPr>
                    <w:jc w:val="center"/>
                  </w:pPr>
                  <w:r>
                    <w:rPr/>
                    <w:t>电子文档</w:t>
                  </w:r>
                </w:p>
              </w:tc>
              <w:tc>
                <w:tcPr>
                  <w:tcW w:type="dxa" w:w="1616"/>
                  <w:tcBorders>
                    <w:top w:val="none" w:color="000000" w:sz="4"/>
                    <w:left w:val="none" w:color="000000" w:sz="4"/>
                    <w:bottom w:val="single" w:color="000000" w:sz="4"/>
                    <w:right w:val="single" w:color="000000" w:sz="4"/>
                  </w:tcBorders>
                </w:tcPr>
                <w:p>
                  <w:pPr>
                    <w:jc w:val="center"/>
                  </w:pPr>
                  <w:r>
                    <w:rPr/>
                    <w:t>项目完成交付后提交一次</w:t>
                  </w:r>
                </w:p>
              </w:tc>
            </w:tr>
            <w:tr>
              <w:tc>
                <w:tcPr>
                  <w:tcW w:type="dxa" w:w="635"/>
                  <w:tcBorders>
                    <w:top w:val="none" w:color="000000" w:sz="4"/>
                    <w:left w:val="single" w:color="000000" w:sz="4"/>
                    <w:bottom w:val="single" w:color="000000" w:sz="4"/>
                    <w:right w:val="single" w:color="000000" w:sz="4"/>
                  </w:tcBorders>
                </w:tcPr>
                <w:p>
                  <w:pPr>
                    <w:jc w:val="center"/>
                  </w:pPr>
                  <w:r>
                    <w:rPr/>
                    <w:t>13</w:t>
                  </w:r>
                </w:p>
              </w:tc>
              <w:tc>
                <w:tcPr>
                  <w:tcW w:type="dxa" w:w="1385"/>
                  <w:tcBorders>
                    <w:top w:val="none" w:color="000000" w:sz="4"/>
                    <w:left w:val="none" w:color="000000" w:sz="4"/>
                    <w:bottom w:val="single" w:color="000000" w:sz="4"/>
                    <w:right w:val="single" w:color="000000" w:sz="4"/>
                  </w:tcBorders>
                </w:tcPr>
                <w:p>
                  <w:pPr>
                    <w:jc w:val="center"/>
                  </w:pPr>
                  <w:r>
                    <w:rPr>
                      <w:sz w:val="21"/>
                    </w:rPr>
                    <w:t>系统服务器端及客户端的全套软件安装包</w:t>
                  </w:r>
                </w:p>
              </w:tc>
              <w:tc>
                <w:tcPr>
                  <w:tcW w:type="dxa" w:w="750"/>
                  <w:tcBorders>
                    <w:top w:val="none" w:color="000000" w:sz="4"/>
                    <w:left w:val="none" w:color="000000" w:sz="4"/>
                    <w:bottom w:val="single" w:color="000000" w:sz="4"/>
                    <w:right w:val="single" w:color="000000" w:sz="4"/>
                  </w:tcBorders>
                </w:tcPr>
                <w:p>
                  <w:pPr>
                    <w:jc w:val="center"/>
                  </w:pPr>
                  <w:r>
                    <w:rPr/>
                    <w:t>1</w:t>
                  </w:r>
                  <w:r>
                    <w:rPr/>
                    <w:t>套</w:t>
                  </w:r>
                </w:p>
              </w:tc>
              <w:tc>
                <w:tcPr>
                  <w:tcW w:type="dxa" w:w="1212"/>
                  <w:tcBorders>
                    <w:top w:val="none" w:color="000000" w:sz="4"/>
                    <w:left w:val="none" w:color="000000" w:sz="4"/>
                    <w:bottom w:val="single" w:color="000000" w:sz="4"/>
                    <w:right w:val="single" w:color="000000" w:sz="4"/>
                  </w:tcBorders>
                </w:tcPr>
                <w:p>
                  <w:pPr>
                    <w:jc w:val="center"/>
                  </w:pPr>
                  <w:r>
                    <w:rPr/>
                    <w:t>光盘或拷贝</w:t>
                  </w:r>
                </w:p>
              </w:tc>
              <w:tc>
                <w:tcPr>
                  <w:tcW w:type="dxa" w:w="1616"/>
                  <w:tcBorders>
                    <w:top w:val="none" w:color="000000" w:sz="4"/>
                    <w:left w:val="none" w:color="000000" w:sz="4"/>
                    <w:bottom w:val="single" w:color="000000" w:sz="4"/>
                    <w:right w:val="single" w:color="000000" w:sz="4"/>
                  </w:tcBorders>
                </w:tcPr>
                <w:p>
                  <w:pPr>
                    <w:jc w:val="center"/>
                  </w:pPr>
                  <w:r>
                    <w:rPr/>
                    <w:t>项目结束时提交1次。运维期间，运维公司需根据中山市自然资源局的要求随时提交</w:t>
                  </w:r>
                </w:p>
              </w:tc>
            </w:tr>
            <w:tr>
              <w:tc>
                <w:tcPr>
                  <w:tcW w:type="dxa" w:w="635"/>
                  <w:tcBorders>
                    <w:top w:val="none" w:color="000000" w:sz="4"/>
                    <w:left w:val="single" w:color="000000" w:sz="4"/>
                    <w:bottom w:val="single" w:color="000000" w:sz="4"/>
                    <w:right w:val="single" w:color="000000" w:sz="4"/>
                  </w:tcBorders>
                </w:tcPr>
                <w:p>
                  <w:pPr>
                    <w:jc w:val="center"/>
                  </w:pPr>
                  <w:r>
                    <w:rPr/>
                    <w:t>14</w:t>
                  </w:r>
                </w:p>
              </w:tc>
              <w:tc>
                <w:tcPr>
                  <w:tcW w:type="dxa" w:w="1385"/>
                  <w:tcBorders>
                    <w:top w:val="none" w:color="000000" w:sz="4"/>
                    <w:left w:val="none" w:color="000000" w:sz="4"/>
                    <w:bottom w:val="single" w:color="000000" w:sz="4"/>
                    <w:right w:val="single" w:color="000000" w:sz="4"/>
                  </w:tcBorders>
                </w:tcPr>
                <w:p>
                  <w:pPr>
                    <w:jc w:val="center"/>
                  </w:pPr>
                  <w:r>
                    <w:rPr>
                      <w:sz w:val="21"/>
                    </w:rPr>
                    <w:t>网络安全报告</w:t>
                  </w:r>
                </w:p>
              </w:tc>
              <w:tc>
                <w:tcPr>
                  <w:tcW w:type="dxa" w:w="750"/>
                  <w:tcBorders>
                    <w:top w:val="none" w:color="000000" w:sz="4"/>
                    <w:left w:val="none" w:color="000000" w:sz="4"/>
                    <w:bottom w:val="single" w:color="000000" w:sz="4"/>
                    <w:right w:val="single" w:color="000000" w:sz="4"/>
                  </w:tcBorders>
                </w:tcPr>
                <w:p>
                  <w:pPr>
                    <w:jc w:val="center"/>
                  </w:pPr>
                  <w:r>
                    <w:rPr/>
                    <w:t>1</w:t>
                  </w:r>
                  <w:r>
                    <w:rPr/>
                    <w:t>套</w:t>
                  </w:r>
                </w:p>
              </w:tc>
              <w:tc>
                <w:tcPr>
                  <w:tcW w:type="dxa" w:w="1212"/>
                  <w:tcBorders>
                    <w:top w:val="none" w:color="000000" w:sz="4"/>
                    <w:left w:val="none" w:color="000000" w:sz="4"/>
                    <w:bottom w:val="single" w:color="000000" w:sz="4"/>
                    <w:right w:val="single" w:color="000000" w:sz="4"/>
                  </w:tcBorders>
                </w:tcPr>
                <w:p>
                  <w:pPr>
                    <w:jc w:val="center"/>
                  </w:pPr>
                  <w:r>
                    <w:rPr/>
                    <w:t>电子文档</w:t>
                  </w:r>
                </w:p>
              </w:tc>
              <w:tc>
                <w:tcPr>
                  <w:tcW w:type="dxa" w:w="1616"/>
                  <w:tcBorders>
                    <w:top w:val="none" w:color="000000" w:sz="4"/>
                    <w:left w:val="none" w:color="000000" w:sz="4"/>
                    <w:bottom w:val="single" w:color="000000" w:sz="4"/>
                    <w:right w:val="single" w:color="000000" w:sz="4"/>
                  </w:tcBorders>
                </w:tcPr>
                <w:p>
                  <w:pPr>
                    <w:jc w:val="center"/>
                  </w:pPr>
                  <w:r>
                    <w:rPr/>
                    <w:t>包括数据安全管理措施、关键软件供应链安全情况、管理技术团队变化情况等，项目结束时提交1次。</w:t>
                  </w:r>
                </w:p>
              </w:tc>
            </w:tr>
          </w:tbl>
          <w:p>
            <w:pPr>
              <w:jc w:val="both"/>
            </w:pPr>
            <w:r>
              <w:rPr>
                <w:b/>
                <w:sz w:val="21"/>
              </w:rPr>
              <w:t xml:space="preserve">2)     </w:t>
            </w:r>
            <w:r>
              <w:rPr>
                <w:b/>
                <w:sz w:val="21"/>
              </w:rPr>
              <w:t>条件性成果</w:t>
            </w:r>
          </w:p>
          <w:p>
            <w:pPr>
              <w:jc w:val="both"/>
            </w:pPr>
            <w:r>
              <w:rPr>
                <w:b/>
                <w:sz w:val="21"/>
              </w:rPr>
              <w:t>2.9.2.1.</w:t>
            </w:r>
            <w:r>
              <w:rPr>
                <w:b/>
                <w:sz w:val="21"/>
              </w:rPr>
              <w:t>有新增功能优化及服务</w:t>
            </w:r>
          </w:p>
          <w:p>
            <w:pPr>
              <w:jc w:val="both"/>
            </w:pPr>
            <w:r>
              <w:rPr>
                <w:sz w:val="21"/>
              </w:rPr>
              <w:t>如果系统有新增功能优化及服务，已新增运维服务表单形式提交，相应更新。如下表：</w:t>
            </w:r>
          </w:p>
          <w:tbl>
            <w:tblPr>
              <w:tblBorders>
                <w:top w:val="none" w:color="000000" w:sz="4"/>
                <w:left w:val="none" w:color="000000" w:sz="4"/>
                <w:bottom w:val="none" w:color="000000" w:sz="4"/>
                <w:right w:val="none" w:color="000000" w:sz="4"/>
                <w:insideH w:val="none"/>
                <w:insideV w:val="none"/>
              </w:tblBorders>
            </w:tblPr>
            <w:tblGrid>
              <w:gridCol w:w="635"/>
              <w:gridCol w:w="1847"/>
              <w:gridCol w:w="577"/>
              <w:gridCol w:w="1270"/>
              <w:gridCol w:w="1270"/>
            </w:tblGrid>
            <w:tr>
              <w:tc>
                <w:tcPr>
                  <w:tcW w:type="dxa" w:w="635"/>
                  <w:tcBorders>
                    <w:top w:val="single" w:color="000000" w:sz="4"/>
                    <w:left w:val="single" w:color="000000" w:sz="4"/>
                    <w:bottom w:val="single" w:color="000000" w:sz="4"/>
                    <w:right w:val="single" w:color="000000" w:sz="4"/>
                  </w:tcBorders>
                </w:tcPr>
                <w:p>
                  <w:pPr>
                    <w:jc w:val="center"/>
                  </w:pPr>
                  <w:r>
                    <w:rPr>
                      <w:b/>
                      <w:sz w:val="21"/>
                    </w:rPr>
                    <w:t>序号</w:t>
                  </w:r>
                </w:p>
              </w:tc>
              <w:tc>
                <w:tcPr>
                  <w:tcW w:type="dxa" w:w="1847"/>
                  <w:tcBorders>
                    <w:top w:val="single" w:color="000000" w:sz="4"/>
                    <w:left w:val="none" w:color="000000" w:sz="4"/>
                    <w:bottom w:val="single" w:color="000000" w:sz="4"/>
                    <w:right w:val="single" w:color="000000" w:sz="4"/>
                  </w:tcBorders>
                </w:tcPr>
                <w:p>
                  <w:pPr>
                    <w:jc w:val="center"/>
                  </w:pPr>
                  <w:r>
                    <w:rPr>
                      <w:b/>
                      <w:sz w:val="21"/>
                    </w:rPr>
                    <w:t>成果名称</w:t>
                  </w:r>
                </w:p>
              </w:tc>
              <w:tc>
                <w:tcPr>
                  <w:tcW w:type="dxa" w:w="577"/>
                  <w:tcBorders>
                    <w:top w:val="single" w:color="000000" w:sz="4"/>
                    <w:left w:val="none" w:color="000000" w:sz="4"/>
                    <w:bottom w:val="single" w:color="000000" w:sz="4"/>
                    <w:right w:val="single" w:color="000000" w:sz="4"/>
                  </w:tcBorders>
                </w:tcPr>
                <w:p>
                  <w:pPr>
                    <w:jc w:val="center"/>
                  </w:pPr>
                  <w:r>
                    <w:rPr>
                      <w:b/>
                      <w:sz w:val="21"/>
                    </w:rPr>
                    <w:t>数量</w:t>
                  </w:r>
                </w:p>
              </w:tc>
              <w:tc>
                <w:tcPr>
                  <w:tcW w:type="dxa" w:w="1270"/>
                  <w:tcBorders>
                    <w:top w:val="single" w:color="000000" w:sz="4"/>
                    <w:left w:val="none" w:color="000000" w:sz="4"/>
                    <w:bottom w:val="single" w:color="000000" w:sz="4"/>
                    <w:right w:val="single" w:color="000000" w:sz="4"/>
                  </w:tcBorders>
                </w:tcPr>
                <w:p>
                  <w:pPr>
                    <w:jc w:val="center"/>
                  </w:pPr>
                  <w:r>
                    <w:rPr>
                      <w:b/>
                      <w:sz w:val="21"/>
                    </w:rPr>
                    <w:t>形</w:t>
                  </w:r>
                  <w:r>
                    <w:rPr>
                      <w:b/>
                      <w:sz w:val="21"/>
                    </w:rPr>
                    <w:t>式</w:t>
                  </w:r>
                </w:p>
              </w:tc>
              <w:tc>
                <w:tcPr>
                  <w:tcW w:type="dxa" w:w="1270"/>
                  <w:tcBorders>
                    <w:top w:val="single" w:color="000000" w:sz="4"/>
                    <w:left w:val="none" w:color="000000" w:sz="4"/>
                    <w:bottom w:val="single" w:color="000000" w:sz="4"/>
                    <w:right w:val="single" w:color="000000" w:sz="4"/>
                  </w:tcBorders>
                </w:tcPr>
                <w:p>
                  <w:pPr>
                    <w:jc w:val="center"/>
                  </w:pPr>
                  <w:r>
                    <w:rPr>
                      <w:b/>
                      <w:sz w:val="21"/>
                    </w:rPr>
                    <w:t>要</w:t>
                  </w:r>
                  <w:r>
                    <w:rPr>
                      <w:b/>
                      <w:sz w:val="21"/>
                    </w:rPr>
                    <w:t>求</w:t>
                  </w:r>
                </w:p>
              </w:tc>
            </w:tr>
            <w:tr>
              <w:tc>
                <w:tcPr>
                  <w:tcW w:type="dxa" w:w="635"/>
                  <w:tcBorders>
                    <w:top w:val="none" w:color="000000" w:sz="4"/>
                    <w:left w:val="single" w:color="000000" w:sz="4"/>
                    <w:bottom w:val="single" w:color="000000" w:sz="4"/>
                    <w:right w:val="single" w:color="000000" w:sz="4"/>
                  </w:tcBorders>
                </w:tcPr>
                <w:p>
                  <w:pPr>
                    <w:jc w:val="center"/>
                  </w:pPr>
                  <w:r>
                    <w:rPr>
                      <w:sz w:val="21"/>
                    </w:rPr>
                    <w:t>1</w:t>
                  </w:r>
                </w:p>
              </w:tc>
              <w:tc>
                <w:tcPr>
                  <w:tcW w:type="dxa" w:w="1847"/>
                  <w:tcBorders>
                    <w:top w:val="none" w:color="000000" w:sz="4"/>
                    <w:left w:val="none" w:color="000000" w:sz="4"/>
                    <w:bottom w:val="single" w:color="000000" w:sz="4"/>
                    <w:right w:val="single" w:color="000000" w:sz="4"/>
                  </w:tcBorders>
                </w:tcPr>
                <w:p>
                  <w:pPr>
                    <w:jc w:val="center"/>
                  </w:pPr>
                  <w:r>
                    <w:rPr>
                      <w:sz w:val="21"/>
                    </w:rPr>
                    <w:t>运维分析及设计</w:t>
                  </w:r>
                </w:p>
              </w:tc>
              <w:tc>
                <w:tcPr>
                  <w:tcW w:type="dxa" w:w="577"/>
                  <w:tcBorders>
                    <w:top w:val="none" w:color="000000" w:sz="4"/>
                    <w:left w:val="none" w:color="000000" w:sz="4"/>
                    <w:bottom w:val="single" w:color="000000" w:sz="4"/>
                    <w:right w:val="single" w:color="000000" w:sz="4"/>
                  </w:tcBorders>
                </w:tcPr>
                <w:p>
                  <w:pPr>
                    <w:jc w:val="center"/>
                  </w:pPr>
                  <w:r>
                    <w:rPr>
                      <w:sz w:val="21"/>
                    </w:rPr>
                    <w:t>1</w:t>
                  </w:r>
                  <w:r>
                    <w:rPr>
                      <w:sz w:val="21"/>
                    </w:rPr>
                    <w:t>套</w:t>
                  </w:r>
                </w:p>
              </w:tc>
              <w:tc>
                <w:tcPr>
                  <w:tcW w:type="dxa" w:w="1270"/>
                  <w:tcBorders>
                    <w:top w:val="none" w:color="000000" w:sz="4"/>
                    <w:left w:val="none" w:color="000000" w:sz="4"/>
                    <w:bottom w:val="single" w:color="000000" w:sz="4"/>
                    <w:right w:val="single" w:color="000000" w:sz="4"/>
                  </w:tcBorders>
                </w:tcPr>
                <w:p>
                  <w:pPr>
                    <w:jc w:val="center"/>
                  </w:pPr>
                  <w:r>
                    <w:rPr>
                      <w:sz w:val="21"/>
                    </w:rPr>
                    <w:t>电子文档（含扫描件）</w:t>
                  </w:r>
                </w:p>
              </w:tc>
              <w:tc>
                <w:tcPr>
                  <w:tcW w:type="dxa" w:w="1270"/>
                  <w:tcBorders>
                    <w:top w:val="none" w:color="000000" w:sz="4"/>
                    <w:left w:val="none" w:color="000000" w:sz="4"/>
                    <w:bottom w:val="single" w:color="000000" w:sz="4"/>
                    <w:right w:val="single" w:color="000000" w:sz="4"/>
                  </w:tcBorders>
                </w:tcPr>
                <w:p>
                  <w:pPr>
                    <w:jc w:val="center"/>
                  </w:pPr>
                  <w:r>
                    <w:rPr>
                      <w:sz w:val="21"/>
                    </w:rPr>
                    <w:t>新增功能完成后</w:t>
                  </w:r>
                  <w:r>
                    <w:rPr>
                      <w:sz w:val="21"/>
                    </w:rPr>
                    <w:t>10</w:t>
                  </w:r>
                  <w:r>
                    <w:rPr>
                      <w:sz w:val="21"/>
                    </w:rPr>
                    <w:t>天内。</w:t>
                  </w:r>
                </w:p>
              </w:tc>
            </w:tr>
            <w:tr>
              <w:tc>
                <w:tcPr>
                  <w:tcW w:type="dxa" w:w="635"/>
                  <w:tcBorders>
                    <w:top w:val="none" w:color="000000" w:sz="4"/>
                    <w:left w:val="single" w:color="000000" w:sz="4"/>
                    <w:bottom w:val="single" w:color="000000" w:sz="4"/>
                    <w:right w:val="single" w:color="000000" w:sz="4"/>
                  </w:tcBorders>
                </w:tcPr>
                <w:p>
                  <w:pPr>
                    <w:jc w:val="center"/>
                  </w:pPr>
                  <w:r>
                    <w:rPr>
                      <w:sz w:val="21"/>
                    </w:rPr>
                    <w:t>2</w:t>
                  </w:r>
                </w:p>
              </w:tc>
              <w:tc>
                <w:tcPr>
                  <w:tcW w:type="dxa" w:w="1847"/>
                  <w:tcBorders>
                    <w:top w:val="none" w:color="000000" w:sz="4"/>
                    <w:left w:val="none" w:color="000000" w:sz="4"/>
                    <w:bottom w:val="single" w:color="000000" w:sz="4"/>
                    <w:right w:val="single" w:color="000000" w:sz="4"/>
                  </w:tcBorders>
                </w:tcPr>
                <w:p>
                  <w:pPr>
                    <w:jc w:val="center"/>
                  </w:pPr>
                  <w:r>
                    <w:rPr>
                      <w:sz w:val="21"/>
                    </w:rPr>
                    <w:t>新增功能技术方案</w:t>
                  </w:r>
                </w:p>
              </w:tc>
              <w:tc>
                <w:tcPr>
                  <w:tcW w:type="dxa" w:w="577"/>
                  <w:tcBorders>
                    <w:top w:val="none" w:color="000000" w:sz="4"/>
                    <w:left w:val="none" w:color="000000" w:sz="4"/>
                    <w:bottom w:val="single" w:color="000000" w:sz="4"/>
                    <w:right w:val="single" w:color="000000" w:sz="4"/>
                  </w:tcBorders>
                </w:tcPr>
                <w:p>
                  <w:pPr>
                    <w:jc w:val="center"/>
                  </w:pPr>
                  <w:r>
                    <w:rPr>
                      <w:sz w:val="21"/>
                    </w:rPr>
                    <w:t>1</w:t>
                  </w:r>
                  <w:r>
                    <w:rPr>
                      <w:sz w:val="21"/>
                    </w:rPr>
                    <w:t>套</w:t>
                  </w:r>
                </w:p>
              </w:tc>
              <w:tc>
                <w:tcPr>
                  <w:tcW w:type="dxa" w:w="1270"/>
                  <w:tcBorders>
                    <w:top w:val="none" w:color="000000" w:sz="4"/>
                    <w:left w:val="none" w:color="000000" w:sz="4"/>
                    <w:bottom w:val="single" w:color="000000" w:sz="4"/>
                    <w:right w:val="single" w:color="000000" w:sz="4"/>
                  </w:tcBorders>
                </w:tcPr>
                <w:p>
                  <w:pPr>
                    <w:jc w:val="center"/>
                  </w:pPr>
                  <w:r>
                    <w:rPr>
                      <w:sz w:val="21"/>
                    </w:rPr>
                    <w:t>电子文档（含扫描件）</w:t>
                  </w:r>
                </w:p>
              </w:tc>
              <w:tc>
                <w:tcPr>
                  <w:tcW w:type="dxa" w:w="1270"/>
                  <w:tcBorders>
                    <w:top w:val="none" w:color="000000" w:sz="4"/>
                    <w:left w:val="none" w:color="000000" w:sz="4"/>
                    <w:bottom w:val="single" w:color="000000" w:sz="4"/>
                    <w:right w:val="single" w:color="000000" w:sz="4"/>
                  </w:tcBorders>
                </w:tcPr>
                <w:p>
                  <w:pPr>
                    <w:jc w:val="center"/>
                  </w:pPr>
                  <w:r>
                    <w:rPr>
                      <w:sz w:val="21"/>
                    </w:rPr>
                    <w:t>新增功能完成后</w:t>
                  </w:r>
                  <w:r>
                    <w:rPr>
                      <w:sz w:val="21"/>
                    </w:rPr>
                    <w:t>10</w:t>
                  </w:r>
                  <w:r>
                    <w:rPr>
                      <w:sz w:val="21"/>
                    </w:rPr>
                    <w:t>天内。应包含风险预测和应对措施。</w:t>
                  </w:r>
                </w:p>
              </w:tc>
            </w:tr>
            <w:tr>
              <w:tc>
                <w:tcPr>
                  <w:tcW w:type="dxa" w:w="635"/>
                  <w:tcBorders>
                    <w:top w:val="none" w:color="000000" w:sz="4"/>
                    <w:left w:val="single" w:color="000000" w:sz="4"/>
                    <w:bottom w:val="single" w:color="000000" w:sz="4"/>
                    <w:right w:val="single" w:color="000000" w:sz="4"/>
                  </w:tcBorders>
                </w:tcPr>
                <w:p>
                  <w:pPr>
                    <w:jc w:val="center"/>
                  </w:pPr>
                  <w:r>
                    <w:rPr>
                      <w:sz w:val="21"/>
                    </w:rPr>
                    <w:t>3</w:t>
                  </w:r>
                </w:p>
              </w:tc>
              <w:tc>
                <w:tcPr>
                  <w:tcW w:type="dxa" w:w="1847"/>
                  <w:tcBorders>
                    <w:top w:val="none" w:color="000000" w:sz="4"/>
                    <w:left w:val="none" w:color="000000" w:sz="4"/>
                    <w:bottom w:val="single" w:color="000000" w:sz="4"/>
                    <w:right w:val="single" w:color="000000" w:sz="4"/>
                  </w:tcBorders>
                </w:tcPr>
                <w:p>
                  <w:pPr>
                    <w:jc w:val="center"/>
                  </w:pPr>
                  <w:r>
                    <w:rPr>
                      <w:sz w:val="21"/>
                    </w:rPr>
                    <w:t>用户需求确认表</w:t>
                  </w:r>
                </w:p>
              </w:tc>
              <w:tc>
                <w:tcPr>
                  <w:tcW w:type="dxa" w:w="577"/>
                  <w:tcBorders>
                    <w:top w:val="none" w:color="000000" w:sz="4"/>
                    <w:left w:val="none" w:color="000000" w:sz="4"/>
                    <w:bottom w:val="single" w:color="000000" w:sz="4"/>
                    <w:right w:val="single" w:color="000000" w:sz="4"/>
                  </w:tcBorders>
                </w:tcPr>
                <w:p>
                  <w:pPr>
                    <w:jc w:val="center"/>
                  </w:pPr>
                  <w:r>
                    <w:rPr>
                      <w:sz w:val="21"/>
                    </w:rPr>
                    <w:t>1</w:t>
                  </w:r>
                  <w:r>
                    <w:rPr>
                      <w:sz w:val="21"/>
                    </w:rPr>
                    <w:t>套</w:t>
                  </w:r>
                </w:p>
              </w:tc>
              <w:tc>
                <w:tcPr>
                  <w:tcW w:type="dxa" w:w="1270"/>
                  <w:tcBorders>
                    <w:top w:val="none" w:color="000000" w:sz="4"/>
                    <w:left w:val="none" w:color="000000" w:sz="4"/>
                    <w:bottom w:val="single" w:color="000000" w:sz="4"/>
                    <w:right w:val="single" w:color="000000" w:sz="4"/>
                  </w:tcBorders>
                </w:tcPr>
                <w:p>
                  <w:pPr>
                    <w:jc w:val="center"/>
                  </w:pPr>
                  <w:r>
                    <w:rPr>
                      <w:sz w:val="21"/>
                    </w:rPr>
                    <w:t>电子文档（含扫描件）</w:t>
                  </w:r>
                </w:p>
              </w:tc>
              <w:tc>
                <w:tcPr>
                  <w:tcW w:type="dxa" w:w="1270"/>
                  <w:tcBorders>
                    <w:top w:val="none" w:color="000000" w:sz="4"/>
                    <w:left w:val="none" w:color="000000" w:sz="4"/>
                    <w:bottom w:val="single" w:color="000000" w:sz="4"/>
                    <w:right w:val="single" w:color="000000" w:sz="4"/>
                  </w:tcBorders>
                </w:tcPr>
                <w:p>
                  <w:pPr>
                    <w:jc w:val="center"/>
                  </w:pPr>
                  <w:r>
                    <w:rPr>
                      <w:sz w:val="21"/>
                    </w:rPr>
                    <w:t>新增功能完成后</w:t>
                  </w:r>
                  <w:r>
                    <w:rPr>
                      <w:sz w:val="21"/>
                    </w:rPr>
                    <w:t>10</w:t>
                  </w:r>
                  <w:r>
                    <w:rPr>
                      <w:sz w:val="21"/>
                    </w:rPr>
                    <w:t>天内。</w:t>
                  </w:r>
                </w:p>
              </w:tc>
            </w:tr>
            <w:tr>
              <w:tc>
                <w:tcPr>
                  <w:tcW w:type="dxa" w:w="635"/>
                  <w:tcBorders>
                    <w:top w:val="none" w:color="000000" w:sz="4"/>
                    <w:left w:val="single" w:color="000000" w:sz="4"/>
                    <w:bottom w:val="single" w:color="000000" w:sz="4"/>
                    <w:right w:val="single" w:color="000000" w:sz="4"/>
                  </w:tcBorders>
                </w:tcPr>
                <w:p>
                  <w:pPr>
                    <w:jc w:val="center"/>
                  </w:pPr>
                  <w:r>
                    <w:rPr>
                      <w:sz w:val="21"/>
                    </w:rPr>
                    <w:t>4</w:t>
                  </w:r>
                </w:p>
              </w:tc>
              <w:tc>
                <w:tcPr>
                  <w:tcW w:type="dxa" w:w="1847"/>
                  <w:tcBorders>
                    <w:top w:val="none" w:color="000000" w:sz="4"/>
                    <w:left w:val="none" w:color="000000" w:sz="4"/>
                    <w:bottom w:val="single" w:color="000000" w:sz="4"/>
                    <w:right w:val="single" w:color="000000" w:sz="4"/>
                  </w:tcBorders>
                </w:tcPr>
                <w:p>
                  <w:pPr>
                    <w:jc w:val="center"/>
                  </w:pPr>
                  <w:r>
                    <w:rPr>
                      <w:sz w:val="21"/>
                    </w:rPr>
                    <w:t>系统测试报告</w:t>
                  </w:r>
                </w:p>
              </w:tc>
              <w:tc>
                <w:tcPr>
                  <w:tcW w:type="dxa" w:w="577"/>
                  <w:tcBorders>
                    <w:top w:val="none" w:color="000000" w:sz="4"/>
                    <w:left w:val="none" w:color="000000" w:sz="4"/>
                    <w:bottom w:val="single" w:color="000000" w:sz="4"/>
                    <w:right w:val="single" w:color="000000" w:sz="4"/>
                  </w:tcBorders>
                </w:tcPr>
                <w:p>
                  <w:pPr>
                    <w:jc w:val="center"/>
                  </w:pPr>
                  <w:r>
                    <w:rPr>
                      <w:sz w:val="21"/>
                    </w:rPr>
                    <w:t>1</w:t>
                  </w:r>
                  <w:r>
                    <w:rPr>
                      <w:sz w:val="21"/>
                    </w:rPr>
                    <w:t>套</w:t>
                  </w:r>
                </w:p>
              </w:tc>
              <w:tc>
                <w:tcPr>
                  <w:tcW w:type="dxa" w:w="1270"/>
                  <w:tcBorders>
                    <w:top w:val="none" w:color="000000" w:sz="4"/>
                    <w:left w:val="none" w:color="000000" w:sz="4"/>
                    <w:bottom w:val="single" w:color="000000" w:sz="4"/>
                    <w:right w:val="single" w:color="000000" w:sz="4"/>
                  </w:tcBorders>
                </w:tcPr>
                <w:p>
                  <w:pPr>
                    <w:jc w:val="center"/>
                  </w:pPr>
                  <w:r>
                    <w:rPr>
                      <w:sz w:val="21"/>
                    </w:rPr>
                    <w:t>电子文档（含扫描件）</w:t>
                  </w:r>
                </w:p>
              </w:tc>
              <w:tc>
                <w:tcPr>
                  <w:tcW w:type="dxa" w:w="1270"/>
                  <w:tcBorders>
                    <w:top w:val="none" w:color="000000" w:sz="4"/>
                    <w:left w:val="none" w:color="000000" w:sz="4"/>
                    <w:bottom w:val="single" w:color="000000" w:sz="4"/>
                    <w:right w:val="single" w:color="000000" w:sz="4"/>
                  </w:tcBorders>
                </w:tcPr>
                <w:p>
                  <w:pPr>
                    <w:jc w:val="center"/>
                  </w:pPr>
                  <w:r>
                    <w:rPr>
                      <w:sz w:val="21"/>
                    </w:rPr>
                    <w:t>新增功能完成后</w:t>
                  </w:r>
                  <w:r>
                    <w:rPr>
                      <w:sz w:val="21"/>
                    </w:rPr>
                    <w:t>10</w:t>
                  </w:r>
                  <w:r>
                    <w:rPr>
                      <w:sz w:val="21"/>
                    </w:rPr>
                    <w:t>天内。</w:t>
                  </w:r>
                </w:p>
              </w:tc>
            </w:tr>
            <w:tr>
              <w:tc>
                <w:tcPr>
                  <w:tcW w:type="dxa" w:w="635"/>
                  <w:tcBorders>
                    <w:top w:val="none" w:color="000000" w:sz="4"/>
                    <w:left w:val="single" w:color="000000" w:sz="4"/>
                    <w:bottom w:val="single" w:color="000000" w:sz="4"/>
                    <w:right w:val="single" w:color="000000" w:sz="4"/>
                  </w:tcBorders>
                </w:tcPr>
                <w:p>
                  <w:pPr>
                    <w:jc w:val="center"/>
                  </w:pPr>
                  <w:r>
                    <w:rPr>
                      <w:sz w:val="21"/>
                    </w:rPr>
                    <w:t>5</w:t>
                  </w:r>
                </w:p>
              </w:tc>
              <w:tc>
                <w:tcPr>
                  <w:tcW w:type="dxa" w:w="1847"/>
                  <w:tcBorders>
                    <w:top w:val="none" w:color="000000" w:sz="4"/>
                    <w:left w:val="none" w:color="000000" w:sz="4"/>
                    <w:bottom w:val="single" w:color="000000" w:sz="4"/>
                    <w:right w:val="single" w:color="000000" w:sz="4"/>
                  </w:tcBorders>
                </w:tcPr>
                <w:p>
                  <w:pPr>
                    <w:jc w:val="center"/>
                  </w:pPr>
                  <w:r>
                    <w:rPr>
                      <w:sz w:val="21"/>
                    </w:rPr>
                    <w:t>用户试运行确认单</w:t>
                  </w:r>
                </w:p>
              </w:tc>
              <w:tc>
                <w:tcPr>
                  <w:tcW w:type="dxa" w:w="577"/>
                  <w:tcBorders>
                    <w:top w:val="none" w:color="000000" w:sz="4"/>
                    <w:left w:val="none" w:color="000000" w:sz="4"/>
                    <w:bottom w:val="single" w:color="000000" w:sz="4"/>
                    <w:right w:val="single" w:color="000000" w:sz="4"/>
                  </w:tcBorders>
                </w:tcPr>
                <w:p>
                  <w:pPr>
                    <w:jc w:val="center"/>
                  </w:pPr>
                  <w:r>
                    <w:rPr>
                      <w:sz w:val="21"/>
                    </w:rPr>
                    <w:t>1</w:t>
                  </w:r>
                  <w:r>
                    <w:rPr>
                      <w:sz w:val="21"/>
                    </w:rPr>
                    <w:t>套</w:t>
                  </w:r>
                </w:p>
              </w:tc>
              <w:tc>
                <w:tcPr>
                  <w:tcW w:type="dxa" w:w="1270"/>
                  <w:tcBorders>
                    <w:top w:val="none" w:color="000000" w:sz="4"/>
                    <w:left w:val="none" w:color="000000" w:sz="4"/>
                    <w:bottom w:val="single" w:color="000000" w:sz="4"/>
                    <w:right w:val="single" w:color="000000" w:sz="4"/>
                  </w:tcBorders>
                </w:tcPr>
                <w:p>
                  <w:pPr>
                    <w:jc w:val="center"/>
                  </w:pPr>
                  <w:r>
                    <w:rPr>
                      <w:sz w:val="21"/>
                    </w:rPr>
                    <w:t>电子文档（含扫描件）</w:t>
                  </w:r>
                </w:p>
              </w:tc>
              <w:tc>
                <w:tcPr>
                  <w:tcW w:type="dxa" w:w="1270"/>
                  <w:tcBorders>
                    <w:top w:val="none" w:color="000000" w:sz="4"/>
                    <w:left w:val="none" w:color="000000" w:sz="4"/>
                    <w:bottom w:val="single" w:color="000000" w:sz="4"/>
                    <w:right w:val="single" w:color="000000" w:sz="4"/>
                  </w:tcBorders>
                </w:tcPr>
                <w:p>
                  <w:pPr>
                    <w:jc w:val="center"/>
                  </w:pPr>
                  <w:r>
                    <w:rPr>
                      <w:sz w:val="21"/>
                    </w:rPr>
                    <w:t>新增功能完成后</w:t>
                  </w:r>
                  <w:r>
                    <w:rPr>
                      <w:sz w:val="21"/>
                    </w:rPr>
                    <w:t>10</w:t>
                  </w:r>
                  <w:r>
                    <w:rPr>
                      <w:sz w:val="21"/>
                    </w:rPr>
                    <w:t>天内。</w:t>
                  </w:r>
                </w:p>
              </w:tc>
            </w:tr>
            <w:tr>
              <w:tc>
                <w:tcPr>
                  <w:tcW w:type="dxa" w:w="635"/>
                  <w:tcBorders>
                    <w:top w:val="none" w:color="000000" w:sz="4"/>
                    <w:left w:val="single" w:color="000000" w:sz="4"/>
                    <w:bottom w:val="single" w:color="000000" w:sz="4"/>
                    <w:right w:val="single" w:color="000000" w:sz="4"/>
                  </w:tcBorders>
                </w:tcPr>
                <w:p>
                  <w:pPr>
                    <w:jc w:val="center"/>
                  </w:pPr>
                  <w:r>
                    <w:rPr>
                      <w:sz w:val="21"/>
                    </w:rPr>
                    <w:t>6</w:t>
                  </w:r>
                </w:p>
              </w:tc>
              <w:tc>
                <w:tcPr>
                  <w:tcW w:type="dxa" w:w="1847"/>
                  <w:tcBorders>
                    <w:top w:val="none" w:color="000000" w:sz="4"/>
                    <w:left w:val="none" w:color="000000" w:sz="4"/>
                    <w:bottom w:val="single" w:color="000000" w:sz="4"/>
                    <w:right w:val="single" w:color="000000" w:sz="4"/>
                  </w:tcBorders>
                </w:tcPr>
                <w:p>
                  <w:pPr>
                    <w:jc w:val="center"/>
                  </w:pPr>
                  <w:r>
                    <w:rPr>
                      <w:sz w:val="21"/>
                    </w:rPr>
                    <w:t>用户培训记录</w:t>
                  </w:r>
                </w:p>
              </w:tc>
              <w:tc>
                <w:tcPr>
                  <w:tcW w:type="dxa" w:w="577"/>
                  <w:tcBorders>
                    <w:top w:val="none" w:color="000000" w:sz="4"/>
                    <w:left w:val="none" w:color="000000" w:sz="4"/>
                    <w:bottom w:val="single" w:color="000000" w:sz="4"/>
                    <w:right w:val="single" w:color="000000" w:sz="4"/>
                  </w:tcBorders>
                </w:tcPr>
                <w:p>
                  <w:pPr>
                    <w:jc w:val="center"/>
                  </w:pPr>
                  <w:r>
                    <w:rPr>
                      <w:sz w:val="21"/>
                    </w:rPr>
                    <w:t>1</w:t>
                  </w:r>
                  <w:r>
                    <w:rPr>
                      <w:sz w:val="21"/>
                    </w:rPr>
                    <w:t>套</w:t>
                  </w:r>
                </w:p>
              </w:tc>
              <w:tc>
                <w:tcPr>
                  <w:tcW w:type="dxa" w:w="1270"/>
                  <w:tcBorders>
                    <w:top w:val="none" w:color="000000" w:sz="4"/>
                    <w:left w:val="none" w:color="000000" w:sz="4"/>
                    <w:bottom w:val="single" w:color="000000" w:sz="4"/>
                    <w:right w:val="single" w:color="000000" w:sz="4"/>
                  </w:tcBorders>
                </w:tcPr>
                <w:p>
                  <w:pPr>
                    <w:jc w:val="center"/>
                  </w:pPr>
                  <w:r>
                    <w:rPr>
                      <w:sz w:val="21"/>
                    </w:rPr>
                    <w:t>电子文档（含扫描件）</w:t>
                  </w:r>
                </w:p>
              </w:tc>
              <w:tc>
                <w:tcPr>
                  <w:tcW w:type="dxa" w:w="1270"/>
                  <w:tcBorders>
                    <w:top w:val="none" w:color="000000" w:sz="4"/>
                    <w:left w:val="none" w:color="000000" w:sz="4"/>
                    <w:bottom w:val="single" w:color="000000" w:sz="4"/>
                    <w:right w:val="single" w:color="000000" w:sz="4"/>
                  </w:tcBorders>
                </w:tcPr>
                <w:p>
                  <w:pPr>
                    <w:jc w:val="center"/>
                  </w:pPr>
                  <w:r>
                    <w:rPr>
                      <w:sz w:val="21"/>
                    </w:rPr>
                    <w:t>新增功能完成后</w:t>
                  </w:r>
                  <w:r>
                    <w:rPr>
                      <w:sz w:val="21"/>
                    </w:rPr>
                    <w:t>10</w:t>
                  </w:r>
                  <w:r>
                    <w:rPr>
                      <w:sz w:val="21"/>
                    </w:rPr>
                    <w:t>天内。</w:t>
                  </w:r>
                </w:p>
              </w:tc>
            </w:tr>
          </w:tbl>
          <w:p>
            <w:pPr>
              <w:jc w:val="both"/>
            </w:pPr>
            <w:r>
              <w:rPr>
                <w:b/>
                <w:sz w:val="21"/>
              </w:rPr>
              <w:t>2.9.2.2.</w:t>
            </w:r>
            <w:r>
              <w:rPr>
                <w:b/>
                <w:sz w:val="21"/>
              </w:rPr>
              <w:t>出现重大运行故障</w:t>
            </w:r>
          </w:p>
          <w:p>
            <w:pPr>
              <w:jc w:val="both"/>
            </w:pPr>
            <w:r>
              <w:rPr>
                <w:sz w:val="21"/>
              </w:rPr>
              <w:t>如果系统维护期间出现重大故障，还应提交以下成果。</w:t>
            </w:r>
          </w:p>
          <w:tbl>
            <w:tblPr>
              <w:tblBorders>
                <w:top w:val="none" w:color="000000" w:sz="4"/>
                <w:left w:val="none" w:color="000000" w:sz="4"/>
                <w:bottom w:val="none" w:color="000000" w:sz="4"/>
                <w:right w:val="none" w:color="000000" w:sz="4"/>
                <w:insideH w:val="none"/>
                <w:insideV w:val="none"/>
              </w:tblBorders>
            </w:tblPr>
            <w:tblGrid>
              <w:gridCol w:w="635"/>
              <w:gridCol w:w="1847"/>
              <w:gridCol w:w="577"/>
              <w:gridCol w:w="1270"/>
              <w:gridCol w:w="1270"/>
            </w:tblGrid>
            <w:tr>
              <w:tc>
                <w:tcPr>
                  <w:tcW w:type="dxa" w:w="635"/>
                  <w:tcBorders>
                    <w:top w:val="single" w:color="000000" w:sz="4"/>
                    <w:left w:val="single" w:color="000000" w:sz="4"/>
                    <w:bottom w:val="single" w:color="000000" w:sz="4"/>
                    <w:right w:val="single" w:color="000000" w:sz="4"/>
                  </w:tcBorders>
                </w:tcPr>
                <w:p>
                  <w:pPr>
                    <w:jc w:val="center"/>
                  </w:pPr>
                  <w:r>
                    <w:rPr>
                      <w:b/>
                    </w:rPr>
                    <w:t>序号</w:t>
                  </w:r>
                </w:p>
              </w:tc>
              <w:tc>
                <w:tcPr>
                  <w:tcW w:type="dxa" w:w="1847"/>
                  <w:tcBorders>
                    <w:top w:val="single" w:color="000000" w:sz="4"/>
                    <w:left w:val="none" w:color="000000" w:sz="4"/>
                    <w:bottom w:val="single" w:color="000000" w:sz="4"/>
                    <w:right w:val="single" w:color="000000" w:sz="4"/>
                  </w:tcBorders>
                </w:tcPr>
                <w:p>
                  <w:pPr>
                    <w:jc w:val="center"/>
                  </w:pPr>
                  <w:r>
                    <w:rPr>
                      <w:b/>
                    </w:rPr>
                    <w:t>成果名称</w:t>
                  </w:r>
                </w:p>
              </w:tc>
              <w:tc>
                <w:tcPr>
                  <w:tcW w:type="dxa" w:w="577"/>
                  <w:tcBorders>
                    <w:top w:val="single" w:color="000000" w:sz="4"/>
                    <w:left w:val="none" w:color="000000" w:sz="4"/>
                    <w:bottom w:val="single" w:color="000000" w:sz="4"/>
                    <w:right w:val="single" w:color="000000" w:sz="4"/>
                  </w:tcBorders>
                </w:tcPr>
                <w:p>
                  <w:pPr>
                    <w:jc w:val="center"/>
                  </w:pPr>
                  <w:r>
                    <w:rPr>
                      <w:b/>
                    </w:rPr>
                    <w:t>数量</w:t>
                  </w:r>
                </w:p>
              </w:tc>
              <w:tc>
                <w:tcPr>
                  <w:tcW w:type="dxa" w:w="1270"/>
                  <w:tcBorders>
                    <w:top w:val="single" w:color="000000" w:sz="4"/>
                    <w:left w:val="none" w:color="000000" w:sz="4"/>
                    <w:bottom w:val="single" w:color="000000" w:sz="4"/>
                    <w:right w:val="single" w:color="000000" w:sz="4"/>
                  </w:tcBorders>
                </w:tcPr>
                <w:p>
                  <w:pPr>
                    <w:jc w:val="center"/>
                  </w:pPr>
                  <w:r>
                    <w:rPr>
                      <w:b/>
                    </w:rPr>
                    <w:t>形 式</w:t>
                  </w:r>
                </w:p>
              </w:tc>
              <w:tc>
                <w:tcPr>
                  <w:tcW w:type="dxa" w:w="1270"/>
                  <w:tcBorders>
                    <w:top w:val="single" w:color="000000" w:sz="4"/>
                    <w:left w:val="none" w:color="000000" w:sz="4"/>
                    <w:bottom w:val="single" w:color="000000" w:sz="4"/>
                    <w:right w:val="single" w:color="000000" w:sz="4"/>
                  </w:tcBorders>
                  <w:vAlign w:val="top"/>
                </w:tcPr>
                <w:p>
                  <w:pPr>
                    <w:jc w:val="center"/>
                  </w:pPr>
                  <w:r>
                    <w:rPr>
                      <w:b/>
                    </w:rPr>
                    <w:t>要 求</w:t>
                  </w:r>
                </w:p>
              </w:tc>
            </w:tr>
            <w:tr>
              <w:tc>
                <w:tcPr>
                  <w:tcW w:type="dxa" w:w="635"/>
                  <w:tcBorders>
                    <w:top w:val="none" w:color="000000" w:sz="4"/>
                    <w:left w:val="single" w:color="000000" w:sz="4"/>
                    <w:bottom w:val="single" w:color="000000" w:sz="4"/>
                    <w:right w:val="single" w:color="000000" w:sz="4"/>
                  </w:tcBorders>
                </w:tcPr>
                <w:p>
                  <w:pPr>
                    <w:jc w:val="center"/>
                  </w:pPr>
                  <w:r>
                    <w:rPr/>
                    <w:t>1</w:t>
                  </w:r>
                </w:p>
              </w:tc>
              <w:tc>
                <w:tcPr>
                  <w:tcW w:type="dxa" w:w="1847"/>
                  <w:tcBorders>
                    <w:top w:val="none" w:color="000000" w:sz="4"/>
                    <w:left w:val="none" w:color="000000" w:sz="4"/>
                    <w:bottom w:val="single" w:color="000000" w:sz="4"/>
                    <w:right w:val="single" w:color="000000" w:sz="4"/>
                  </w:tcBorders>
                </w:tcPr>
                <w:p>
                  <w:pPr>
                    <w:jc w:val="left"/>
                  </w:pPr>
                  <w:r>
                    <w:rPr>
                      <w:sz w:val="21"/>
                    </w:rPr>
                    <w:t>故障处理记录</w:t>
                  </w:r>
                </w:p>
              </w:tc>
              <w:tc>
                <w:tcPr>
                  <w:tcW w:type="dxa" w:w="577"/>
                  <w:tcBorders>
                    <w:top w:val="none" w:color="000000" w:sz="4"/>
                    <w:left w:val="none" w:color="000000" w:sz="4"/>
                    <w:bottom w:val="single" w:color="000000" w:sz="4"/>
                    <w:right w:val="single" w:color="000000" w:sz="4"/>
                  </w:tcBorders>
                </w:tcPr>
                <w:p>
                  <w:pPr>
                    <w:jc w:val="center"/>
                  </w:pPr>
                  <w:r>
                    <w:rPr/>
                    <w:t>1</w:t>
                  </w:r>
                  <w:r>
                    <w:rPr/>
                    <w:t>套</w:t>
                  </w:r>
                </w:p>
              </w:tc>
              <w:tc>
                <w:tcPr>
                  <w:tcW w:type="dxa" w:w="1270"/>
                  <w:tcBorders>
                    <w:top w:val="none" w:color="000000" w:sz="4"/>
                    <w:left w:val="none" w:color="000000" w:sz="4"/>
                    <w:bottom w:val="single" w:color="000000" w:sz="4"/>
                    <w:right w:val="single" w:color="000000" w:sz="4"/>
                  </w:tcBorders>
                </w:tcPr>
                <w:p>
                  <w:pPr>
                    <w:jc w:val="center"/>
                  </w:pPr>
                  <w:r>
                    <w:rPr/>
                    <w:t>电子文档</w:t>
                  </w:r>
                </w:p>
              </w:tc>
              <w:tc>
                <w:tcPr>
                  <w:tcW w:type="dxa" w:w="1270"/>
                  <w:tcBorders>
                    <w:top w:val="none" w:color="000000" w:sz="4"/>
                    <w:left w:val="none" w:color="000000" w:sz="4"/>
                    <w:bottom w:val="single" w:color="000000" w:sz="4"/>
                    <w:right w:val="single" w:color="000000" w:sz="4"/>
                  </w:tcBorders>
                  <w:vAlign w:val="top"/>
                </w:tcPr>
                <w:p>
                  <w:pPr>
                    <w:jc w:val="center"/>
                  </w:pPr>
                  <w:r>
                    <w:rPr/>
                    <w:t>故障解决后5天内</w:t>
                  </w:r>
                </w:p>
              </w:tc>
            </w:tr>
            <w:tr>
              <w:tc>
                <w:tcPr>
                  <w:tcW w:type="dxa" w:w="635"/>
                  <w:tcBorders>
                    <w:top w:val="none" w:color="000000" w:sz="4"/>
                    <w:left w:val="single" w:color="000000" w:sz="4"/>
                    <w:bottom w:val="single" w:color="000000" w:sz="4"/>
                    <w:right w:val="single" w:color="000000" w:sz="4"/>
                  </w:tcBorders>
                </w:tcPr>
                <w:p>
                  <w:pPr>
                    <w:jc w:val="center"/>
                  </w:pPr>
                  <w:r>
                    <w:rPr/>
                    <w:t>2</w:t>
                  </w:r>
                </w:p>
              </w:tc>
              <w:tc>
                <w:tcPr>
                  <w:tcW w:type="dxa" w:w="1847"/>
                  <w:tcBorders>
                    <w:top w:val="none" w:color="000000" w:sz="4"/>
                    <w:left w:val="none" w:color="000000" w:sz="4"/>
                    <w:bottom w:val="single" w:color="000000" w:sz="4"/>
                    <w:right w:val="single" w:color="000000" w:sz="4"/>
                  </w:tcBorders>
                </w:tcPr>
                <w:p>
                  <w:pPr>
                    <w:jc w:val="left"/>
                  </w:pPr>
                  <w:r>
                    <w:rPr>
                      <w:sz w:val="21"/>
                    </w:rPr>
                    <w:t>故障分析报告</w:t>
                  </w:r>
                </w:p>
              </w:tc>
              <w:tc>
                <w:tcPr>
                  <w:tcW w:type="dxa" w:w="577"/>
                  <w:tcBorders>
                    <w:top w:val="none" w:color="000000" w:sz="4"/>
                    <w:left w:val="none" w:color="000000" w:sz="4"/>
                    <w:bottom w:val="single" w:color="000000" w:sz="4"/>
                    <w:right w:val="single" w:color="000000" w:sz="4"/>
                  </w:tcBorders>
                </w:tcPr>
                <w:p>
                  <w:pPr>
                    <w:jc w:val="center"/>
                  </w:pPr>
                  <w:r>
                    <w:rPr/>
                    <w:t>1</w:t>
                  </w:r>
                  <w:r>
                    <w:rPr/>
                    <w:t>套</w:t>
                  </w:r>
                </w:p>
              </w:tc>
              <w:tc>
                <w:tcPr>
                  <w:tcW w:type="dxa" w:w="1270"/>
                  <w:tcBorders>
                    <w:top w:val="none" w:color="000000" w:sz="4"/>
                    <w:left w:val="none" w:color="000000" w:sz="4"/>
                    <w:bottom w:val="single" w:color="000000" w:sz="4"/>
                    <w:right w:val="single" w:color="000000" w:sz="4"/>
                  </w:tcBorders>
                </w:tcPr>
                <w:p>
                  <w:pPr>
                    <w:jc w:val="center"/>
                  </w:pPr>
                  <w:r>
                    <w:rPr/>
                    <w:t>电子文档</w:t>
                  </w:r>
                </w:p>
              </w:tc>
              <w:tc>
                <w:tcPr>
                  <w:tcW w:type="dxa" w:w="1270"/>
                  <w:tcBorders>
                    <w:top w:val="none" w:color="000000" w:sz="4"/>
                    <w:left w:val="none" w:color="000000" w:sz="4"/>
                    <w:bottom w:val="single" w:color="000000" w:sz="4"/>
                    <w:right w:val="single" w:color="000000" w:sz="4"/>
                  </w:tcBorders>
                  <w:vAlign w:val="top"/>
                </w:tcPr>
                <w:p>
                  <w:pPr>
                    <w:jc w:val="center"/>
                  </w:pPr>
                  <w:r>
                    <w:rPr/>
                    <w:t>故障解决后5天内</w:t>
                  </w:r>
                </w:p>
              </w:tc>
            </w:tr>
          </w:tbl>
          <w:p>
            <w:pPr>
              <w:jc w:val="both"/>
            </w:pPr>
            <w:r>
              <w:rPr>
                <w:b/>
                <w:sz w:val="21"/>
              </w:rPr>
              <w:t>2.10.</w:t>
            </w:r>
            <w:r>
              <w:rPr>
                <w:b/>
                <w:sz w:val="21"/>
              </w:rPr>
              <w:t>系统性能要求</w:t>
            </w:r>
          </w:p>
          <w:p>
            <w:pPr>
              <w:jc w:val="both"/>
            </w:pPr>
            <w:r>
              <w:rPr>
                <w:sz w:val="21"/>
              </w:rPr>
              <w:t>对于本项目的运维系统，需要达到以下性能要求：</w:t>
            </w:r>
          </w:p>
          <w:p>
            <w:pPr>
              <w:jc w:val="both"/>
            </w:pPr>
            <w:r>
              <w:rPr>
                <w:sz w:val="21"/>
              </w:rPr>
              <w:t>（</w:t>
            </w:r>
            <w:r>
              <w:rPr>
                <w:sz w:val="21"/>
              </w:rPr>
              <w:t>1</w:t>
            </w:r>
            <w:r>
              <w:rPr>
                <w:sz w:val="21"/>
              </w:rPr>
              <w:t>）高效性：在</w:t>
            </w:r>
            <w:r>
              <w:rPr>
                <w:sz w:val="21"/>
              </w:rPr>
              <w:t>200</w:t>
            </w:r>
            <w:r>
              <w:rPr>
                <w:sz w:val="21"/>
              </w:rPr>
              <w:t>个用户并发的情况下，浏览漫游单次操作的页面响应时间小于</w:t>
            </w:r>
            <w:r>
              <w:rPr>
                <w:sz w:val="21"/>
              </w:rPr>
              <w:t>5</w:t>
            </w:r>
            <w:r>
              <w:rPr>
                <w:sz w:val="21"/>
              </w:rPr>
              <w:t>秒。支持同时在线的用户数量不少于</w:t>
            </w:r>
            <w:r>
              <w:rPr>
                <w:sz w:val="21"/>
              </w:rPr>
              <w:t>400</w:t>
            </w:r>
            <w:r>
              <w:rPr>
                <w:sz w:val="21"/>
              </w:rPr>
              <w:t>个。使用数据服务接口查询操作的响应时间不超过</w:t>
            </w:r>
            <w:r>
              <w:rPr>
                <w:sz w:val="21"/>
              </w:rPr>
              <w:t>10</w:t>
            </w:r>
            <w:r>
              <w:rPr>
                <w:sz w:val="21"/>
              </w:rPr>
              <w:t>秒</w:t>
            </w:r>
          </w:p>
          <w:p>
            <w:pPr>
              <w:jc w:val="both"/>
            </w:pPr>
            <w:r>
              <w:rPr>
                <w:sz w:val="21"/>
              </w:rPr>
              <w:t>（</w:t>
            </w:r>
            <w:r>
              <w:rPr>
                <w:sz w:val="21"/>
              </w:rPr>
              <w:t>2</w:t>
            </w:r>
            <w:r>
              <w:rPr>
                <w:sz w:val="21"/>
              </w:rPr>
              <w:t>）可靠性：对外提供互联网政务服务或自助终端服务的系统，应具备</w:t>
            </w:r>
            <w:r>
              <w:rPr>
                <w:sz w:val="21"/>
              </w:rPr>
              <w:t>7X24</w:t>
            </w:r>
            <w:r>
              <w:rPr>
                <w:sz w:val="21"/>
              </w:rPr>
              <w:t>小时不间断稳定运行能力。其他系统需保证在自然资源局工作时间稳定运行。</w:t>
            </w:r>
          </w:p>
          <w:p>
            <w:pPr>
              <w:jc w:val="both"/>
            </w:pPr>
            <w:r>
              <w:rPr>
                <w:sz w:val="21"/>
              </w:rPr>
              <w:t>（</w:t>
            </w:r>
            <w:r>
              <w:rPr>
                <w:sz w:val="21"/>
              </w:rPr>
              <w:t>3</w:t>
            </w:r>
            <w:r>
              <w:rPr>
                <w:sz w:val="21"/>
              </w:rPr>
              <w:t>）并发性：可支持</w:t>
            </w:r>
            <w:r>
              <w:rPr>
                <w:sz w:val="21"/>
              </w:rPr>
              <w:t>200</w:t>
            </w:r>
            <w:r>
              <w:rPr>
                <w:sz w:val="21"/>
              </w:rPr>
              <w:t>以上并发用户使用。</w:t>
            </w:r>
          </w:p>
          <w:p>
            <w:pPr>
              <w:jc w:val="both"/>
            </w:pPr>
            <w:r>
              <w:rPr>
                <w:sz w:val="21"/>
              </w:rPr>
              <w:t>（</w:t>
            </w:r>
            <w:r>
              <w:rPr>
                <w:sz w:val="21"/>
              </w:rPr>
              <w:t>4</w:t>
            </w:r>
            <w:r>
              <w:rPr>
                <w:sz w:val="21"/>
              </w:rPr>
              <w:t>）响应时间：数据的查询、申请的提交等事务响应没有明显的用户感觉得到滞慢现象。</w:t>
            </w:r>
          </w:p>
          <w:p>
            <w:pPr>
              <w:jc w:val="both"/>
            </w:pPr>
          </w:p>
          <w:p>
            <w:pPr>
              <w:jc w:val="both"/>
            </w:pPr>
            <w:r>
              <w:rPr>
                <w:b/>
                <w:sz w:val="21"/>
              </w:rPr>
              <w:t>2.11.</w:t>
            </w:r>
            <w:r>
              <w:rPr>
                <w:b/>
                <w:sz w:val="21"/>
              </w:rPr>
              <w:t>其他有关要求</w:t>
            </w:r>
          </w:p>
          <w:p>
            <w:pPr>
              <w:jc w:val="both"/>
            </w:pPr>
            <w:r>
              <w:rPr>
                <w:sz w:val="21"/>
              </w:rPr>
              <w:t>运维单位应根据系统运维需要自备必要的软硬件设备，包括计算机、打印机、扫描仪等办公设备；包括高性能图形图像工作站、大屏显示器等有关专业设备；包括软件开发环境、维护工具软件、平台软件、数据库软件等有关软件。如使用盗版软件或非法使用有知识产权争议的软件，相关责任由运维单位承担。</w:t>
            </w:r>
          </w:p>
          <w:p>
            <w:pPr>
              <w:jc w:val="both"/>
            </w:pPr>
            <w:r>
              <w:rPr/>
              <w:t xml:space="preserve"> </w:t>
            </w:r>
          </w:p>
          <w:p>
            <w:pPr>
              <w:jc w:val="both"/>
            </w:pPr>
            <w:r>
              <w:rPr/>
              <w:t xml:space="preserve"> </w:t>
            </w:r>
          </w:p>
          <w:p>
            <w:pPr>
              <w:jc w:val="both"/>
            </w:pPr>
            <w:r>
              <w:rPr/>
              <w:t xml:space="preserve"> </w:t>
            </w:r>
          </w:p>
          <w:p>
            <w:pPr>
              <w:jc w:val="both"/>
            </w:pPr>
            <w:r>
              <w:rPr/>
              <w:t xml:space="preserve"> </w:t>
            </w:r>
          </w:p>
        </w:tc>
      </w:tr>
      <w:tr>
        <w:tc>
          <w:tcPr>
            <w:tcW w:type="dxa" w:w="2076"/>
          </w:tcPr>
          <w:p/>
        </w:tc>
        <w:tc>
          <w:tcPr>
            <w:tcW w:type="dxa" w:w="415"/>
          </w:tcPr>
          <w:p>
            <w:r>
              <w:rPr/>
              <w:t>3</w:t>
            </w:r>
          </w:p>
        </w:tc>
        <w:tc>
          <w:tcPr>
            <w:tcW w:type="dxa" w:w="5814"/>
          </w:tcPr>
          <w:p>
            <w:pPr>
              <w:jc w:val="both"/>
            </w:pPr>
            <w:r>
              <w:rPr>
                <w:b/>
                <w:sz w:val="21"/>
              </w:rPr>
              <w:t>3.</w:t>
            </w:r>
            <w:r>
              <w:rPr>
                <w:b/>
                <w:sz w:val="21"/>
              </w:rPr>
              <w:t>运维工作内容</w:t>
            </w:r>
          </w:p>
          <w:p>
            <w:pPr>
              <w:jc w:val="both"/>
            </w:pPr>
            <w:r>
              <w:rPr>
                <w:b/>
                <w:sz w:val="21"/>
              </w:rPr>
              <w:t>3.1.</w:t>
            </w:r>
            <w:r>
              <w:rPr>
                <w:b/>
                <w:sz w:val="21"/>
              </w:rPr>
              <w:t>运维工作概要</w:t>
            </w:r>
          </w:p>
          <w:p>
            <w:pPr>
              <w:jc w:val="both"/>
            </w:pPr>
            <w:r>
              <w:rPr>
                <w:sz w:val="21"/>
              </w:rPr>
              <w:t>本项目运维工作主要包括对纳入本项目范围的国土空间基础信息平台及大数据中心，从功能、性能、稳定性、安全性、可靠性、可扩展性、系统对接、数据更新、数据规整处理及数据统计分析等多方面综合开展运行、维护、管理等信息化相关工作。运维工作包括以下全部内容：开展日常监控，定期巡查并报告，及时发现、解决问题；提高系统运行速度，保障应用系统安全；开展数据备份、恢复工作，防范业务数据等信息丢失，开展数据勘误修改工作；根据需要开展系统在不同服务器（含云平台）的迁移、部署、测试及运维管理，确保应用系统的变更与发布要经过严格的评估与测试，有序实施；保障数据维护等工作的高效与安全；确保业务系统的可用性和不间断性；保障终端用户的应用系统使用问题能够及时解决；根据中山市自然资源局各科室、分局及下属事业单位的需要开展数据统计分析、数据规整等数据处理工作，负责系统中需在局内外在线或离线共享数据的加工、处理和导入导出；配合开展系统安全等保测评、第三方功能测评、密码应用安全性评估、安全检查及其整改和安全加固工作；配合开展应急演练和攻防演练，按要求负责重大活动、节假日等重点保障期间的运维保障；配合开展局重大项目、重大工作及需紧急配合的各项应急工作；做好系统和数据的保密和网络信息安全工作；保障应用系统的配置管理工作能够全面、准确的实施，全面提升应用系统的可靠性和安全性；开展系统运行维护的风险评估，切实采取有效措施降低系统运行带来的各类风险；按时编制和更新系统运维总体方案、系统应急响应预案和具体运维任务的技术方案，更新系统部署文档、数据库设计文档和故障排查指南；负责系统运维阶段主要技术文档的更新和管理；根据省、市和局信息化部门的统一要求和需要，做好电子证照签发改造、调用等功能，做好电子印章、电子签名管理、应用的相关功能改造与优化调整，做好政务侧和公众侧统一身份认证和改造功能；按要求全面应用、规范使用市政数局和局方提供的运维管理系统或模块，提高运维效率和系统服务能力；组织开展公司运维团队建设，组织开展运维服务团队内部技术、业务、安全意识及管理培训，按要求参加局方安排的相关培训，组织开展系统用户及局方技术人员技术培训，以及配合局信息化主管部门和技术部门安排的其他有关工作。</w:t>
            </w:r>
          </w:p>
          <w:p>
            <w:pPr>
              <w:jc w:val="both"/>
            </w:pPr>
            <w:r>
              <w:rPr/>
              <w:t xml:space="preserve"> </w:t>
            </w:r>
          </w:p>
          <w:p>
            <w:pPr>
              <w:jc w:val="both"/>
            </w:pPr>
            <w:r>
              <w:rPr>
                <w:b/>
                <w:sz w:val="21"/>
              </w:rPr>
              <w:t>3.2.</w:t>
            </w:r>
            <w:r>
              <w:rPr>
                <w:b/>
                <w:sz w:val="21"/>
              </w:rPr>
              <w:t>详细内容</w:t>
            </w:r>
          </w:p>
          <w:p>
            <w:pPr>
              <w:jc w:val="both"/>
            </w:pPr>
            <w:r>
              <w:rPr>
                <w:sz w:val="21"/>
              </w:rPr>
              <w:t>为方便运维工作开展，根据运维工作概要，将运维内容细分为共性内容和个性化内容。各系统运维工作的共性内容如下：</w:t>
            </w:r>
          </w:p>
          <w:p>
            <w:pPr>
              <w:jc w:val="both"/>
            </w:pPr>
            <w:r>
              <w:rPr>
                <w:sz w:val="21"/>
              </w:rPr>
              <w:t xml:space="preserve">(1)   </w:t>
            </w:r>
            <w:r>
              <w:rPr>
                <w:sz w:val="21"/>
              </w:rPr>
              <w:t>信息系统日常运行过程中各类业务咨询、操作指导、故障处理、配置变更、权限调整、数据修改、需求变更等运维问题的跟进及处理</w:t>
            </w:r>
          </w:p>
          <w:p>
            <w:pPr>
              <w:jc w:val="both"/>
            </w:pPr>
            <w:r>
              <w:rPr>
                <w:sz w:val="21"/>
              </w:rPr>
              <w:t xml:space="preserve">(2)   </w:t>
            </w:r>
            <w:r>
              <w:rPr>
                <w:sz w:val="21"/>
              </w:rPr>
              <w:t>信息系统发生故障，需在快速恢复使用的基础上，分析原因并尽快解决根本问题，填写故障报告，报告内容应含有：故障现象、处理过程、影响情况、原因分析、分析说明、应急方案、处理方法等。</w:t>
            </w:r>
          </w:p>
          <w:p>
            <w:pPr>
              <w:jc w:val="both"/>
            </w:pPr>
            <w:r>
              <w:rPr>
                <w:sz w:val="21"/>
              </w:rPr>
              <w:t xml:space="preserve">(3)   </w:t>
            </w:r>
            <w:r>
              <w:rPr>
                <w:sz w:val="21"/>
              </w:rPr>
              <w:t>主动、及时地发现、分析系统存在的设计、研发、运维缺陷、漏洞，对系统进行纠错性修复和优化完善，保证业务系统的可用性和不间断性。</w:t>
            </w:r>
          </w:p>
          <w:p>
            <w:pPr>
              <w:jc w:val="both"/>
            </w:pPr>
            <w:r>
              <w:rPr>
                <w:sz w:val="21"/>
              </w:rPr>
              <w:t xml:space="preserve">(4)   </w:t>
            </w:r>
            <w:r>
              <w:rPr>
                <w:sz w:val="21"/>
              </w:rPr>
              <w:t>对信息系统所涉及的已有模块或功能进行的适应性修改完善，必须按照用户要求的时间内完成。对适应性维护所涉及的所有费用均已包含在本项目费用中，用户方不再另行支付费用。对适应性维护，需要经测试通过，按照运维要求准备文档。在项目实施过程，如对适应性维护或适应性修改完善范围的界定、服务完成时间存在分歧，由用户方和服务方视具体情况再行协商。</w:t>
            </w:r>
          </w:p>
          <w:p>
            <w:pPr>
              <w:jc w:val="both"/>
            </w:pPr>
            <w:r>
              <w:rPr>
                <w:sz w:val="21"/>
              </w:rPr>
              <w:t xml:space="preserve">(5)   </w:t>
            </w:r>
            <w:r>
              <w:rPr>
                <w:sz w:val="21"/>
              </w:rPr>
              <w:t>提供系统对外接口联调环境，提供测试用例，配合完成与其他系统的接口联调测试。</w:t>
            </w:r>
          </w:p>
          <w:p>
            <w:pPr>
              <w:jc w:val="both"/>
            </w:pPr>
            <w:r>
              <w:rPr>
                <w:sz w:val="21"/>
              </w:rPr>
              <w:t xml:space="preserve">(6)   </w:t>
            </w:r>
            <w:r>
              <w:rPr>
                <w:sz w:val="21"/>
              </w:rPr>
              <w:t>根据中山市自然资源局的检查要求，每月对系统运行情况（包括系统数据库运行情况和系统服务器支撑环境情况）进行定期检查，根据检查情况提交维护月报，维护期末提交维护年报。</w:t>
            </w:r>
          </w:p>
          <w:p>
            <w:pPr>
              <w:jc w:val="both"/>
            </w:pPr>
            <w:r>
              <w:rPr>
                <w:sz w:val="21"/>
              </w:rPr>
              <w:t xml:space="preserve">(7)   </w:t>
            </w:r>
            <w:r>
              <w:rPr>
                <w:sz w:val="21"/>
              </w:rPr>
              <w:t>对软件系统按照相应的安全等级保护级别进行日常安全检查与维护。</w:t>
            </w:r>
          </w:p>
          <w:p>
            <w:pPr>
              <w:jc w:val="both"/>
            </w:pPr>
            <w:r>
              <w:rPr>
                <w:sz w:val="21"/>
              </w:rPr>
              <w:t xml:space="preserve">(8)   </w:t>
            </w:r>
            <w:r>
              <w:rPr>
                <w:sz w:val="21"/>
              </w:rPr>
              <w:t>对软件系统按照密码应用安全性评估要求进行日常安全检查与维护。</w:t>
            </w:r>
          </w:p>
          <w:p>
            <w:pPr>
              <w:jc w:val="both"/>
            </w:pPr>
            <w:r>
              <w:rPr>
                <w:sz w:val="21"/>
              </w:rPr>
              <w:t xml:space="preserve">(9)   </w:t>
            </w:r>
            <w:r>
              <w:rPr>
                <w:sz w:val="21"/>
              </w:rPr>
              <w:t>制定系统应急处置预案，配合自然资源局进行系统应急演练。</w:t>
            </w:r>
          </w:p>
          <w:p>
            <w:pPr>
              <w:jc w:val="both"/>
            </w:pPr>
            <w:r>
              <w:rPr>
                <w:sz w:val="21"/>
              </w:rPr>
              <w:t xml:space="preserve">(10) </w:t>
            </w:r>
            <w:r>
              <w:rPr>
                <w:sz w:val="21"/>
              </w:rPr>
              <w:t>软件系统数据日常备份和恢复。制定数据管理制度，对数据实施严格的安全与保密管理，防止系统数据的非法生成、变更、泄露、丢失及破坏。</w:t>
            </w:r>
          </w:p>
          <w:p>
            <w:pPr>
              <w:jc w:val="both"/>
            </w:pPr>
            <w:r>
              <w:rPr>
                <w:sz w:val="21"/>
              </w:rPr>
              <w:t xml:space="preserve">(11) </w:t>
            </w:r>
            <w:r>
              <w:rPr>
                <w:sz w:val="21"/>
              </w:rPr>
              <w:t>软件系统服务器端数据库维护。</w:t>
            </w:r>
          </w:p>
          <w:p>
            <w:pPr>
              <w:jc w:val="both"/>
            </w:pPr>
            <w:r>
              <w:rPr>
                <w:sz w:val="21"/>
              </w:rPr>
              <w:t xml:space="preserve">(12) </w:t>
            </w:r>
            <w:r>
              <w:rPr>
                <w:sz w:val="21"/>
              </w:rPr>
              <w:t>按照安全要求，进行应用系统、数据库和操作系统漏洞修复。</w:t>
            </w:r>
          </w:p>
          <w:p>
            <w:pPr>
              <w:jc w:val="both"/>
            </w:pPr>
            <w:r>
              <w:rPr>
                <w:sz w:val="21"/>
              </w:rPr>
              <w:t xml:space="preserve">(13) </w:t>
            </w:r>
            <w:r>
              <w:rPr>
                <w:sz w:val="21"/>
              </w:rPr>
              <w:t>国家法定节假日前要有专人检查系统运行情况，如发现问题及时解决，并做好记录处理，解决不了的及时报告。</w:t>
            </w:r>
          </w:p>
          <w:p>
            <w:pPr>
              <w:jc w:val="both"/>
            </w:pPr>
            <w:r>
              <w:rPr>
                <w:sz w:val="21"/>
              </w:rPr>
              <w:t xml:space="preserve">(14) </w:t>
            </w:r>
            <w:r>
              <w:rPr>
                <w:sz w:val="21"/>
              </w:rPr>
              <w:t>按照工作要求，根据上级下发的相关文件，配合开展相关的网络或软件系统安全检查及相关升级改造工作，做好运维系统的网络信息安全工作。</w:t>
            </w:r>
          </w:p>
          <w:p>
            <w:pPr>
              <w:jc w:val="both"/>
            </w:pPr>
            <w:r>
              <w:rPr>
                <w:sz w:val="21"/>
              </w:rPr>
              <w:t xml:space="preserve">(15) </w:t>
            </w:r>
            <w:r>
              <w:rPr>
                <w:sz w:val="21"/>
              </w:rPr>
              <w:t>对系统涉及到的数据资产进行盘点更新，包括数据量、接口、服务器部署图、网络拓扑图等。</w:t>
            </w:r>
          </w:p>
          <w:p>
            <w:pPr>
              <w:jc w:val="both"/>
            </w:pPr>
            <w:r>
              <w:rPr>
                <w:sz w:val="21"/>
              </w:rPr>
              <w:t xml:space="preserve">(16) </w:t>
            </w:r>
            <w:r>
              <w:rPr>
                <w:sz w:val="21"/>
              </w:rPr>
              <w:t>对系统业务体系图和系统关系图进行更新，包括业务流程、业务关系、与外部系统的关系等信息。</w:t>
            </w:r>
          </w:p>
          <w:p>
            <w:pPr>
              <w:jc w:val="both"/>
            </w:pPr>
            <w:r>
              <w:rPr>
                <w:sz w:val="21"/>
              </w:rPr>
              <w:t xml:space="preserve">(17) </w:t>
            </w:r>
            <w:r>
              <w:rPr>
                <w:sz w:val="21"/>
              </w:rPr>
              <w:t>按照国家、省、市政务信息化部门、省自然资源厅和局有关标准规范、政策文件要求开展的各项运维工作。</w:t>
            </w:r>
          </w:p>
          <w:p>
            <w:pPr>
              <w:jc w:val="both"/>
            </w:pPr>
            <w:r>
              <w:rPr>
                <w:sz w:val="21"/>
              </w:rPr>
              <w:t xml:space="preserve">(18) </w:t>
            </w:r>
            <w:r>
              <w:rPr>
                <w:sz w:val="21"/>
              </w:rPr>
              <w:t>运维工作总体内容中的，其他共性工作内容。</w:t>
            </w:r>
          </w:p>
          <w:p>
            <w:pPr>
              <w:jc w:val="both"/>
            </w:pPr>
            <w:r>
              <w:rPr>
                <w:sz w:val="21"/>
              </w:rPr>
              <w:t xml:space="preserve">(19) </w:t>
            </w:r>
            <w:r>
              <w:rPr>
                <w:sz w:val="21"/>
              </w:rPr>
              <w:t>根据运维工作总体内容，市自然资源局信息化主管部门和技术部门安排的其他有关工作。</w:t>
            </w:r>
          </w:p>
          <w:p>
            <w:pPr>
              <w:jc w:val="both"/>
            </w:pPr>
            <w:r>
              <w:rPr>
                <w:sz w:val="21"/>
              </w:rPr>
              <w:t>系统运维详细工作内容详见下表。若由于新的相关政策文件、新标准、新规范出台而运维需求或要求有变化或有新增内容的，运维单位应参照相关文件及时开展工作，避免工作超期或不达标。新运维需求未纳入以上运维工作内容的，中山市自然资源局可在不增加原系统大功能模块的基础上，每季度集中调整一次，以明确运维内容、运维要求和完成期限。</w:t>
            </w:r>
          </w:p>
          <w:p>
            <w:pPr>
              <w:jc w:val="both"/>
            </w:pPr>
          </w:p>
          <w:p>
            <w:pPr>
              <w:jc w:val="both"/>
            </w:pPr>
            <w:r>
              <w:rPr/>
              <w:t xml:space="preserve"> </w:t>
            </w:r>
          </w:p>
          <w:p>
            <w:pPr>
              <w:jc w:val="both"/>
            </w:pPr>
            <w:r>
              <w:rPr>
                <w:b/>
                <w:sz w:val="21"/>
              </w:rPr>
              <w:t>3.2.1.</w:t>
            </w:r>
            <w:r>
              <w:rPr>
                <w:b/>
                <w:sz w:val="21"/>
              </w:rPr>
              <w:t>中山市自然资源大数据中心运维</w:t>
            </w:r>
          </w:p>
          <w:p>
            <w:pPr>
              <w:jc w:val="both"/>
            </w:pPr>
            <w:r>
              <w:rPr>
                <w:sz w:val="21"/>
              </w:rPr>
              <w:t>本项目运维工作主要对纳入本项目范围的中山自然资源大数据中心，从数据管理体系优化、电子底图优化及更新、三维模型校核与技术服务、政务数据共享与对外服务等方面开展运行、维护、管理工作。</w:t>
            </w:r>
          </w:p>
          <w:p>
            <w:r>
              <w:rPr>
                <w:b/>
                <w:sz w:val="21"/>
              </w:rPr>
              <w:t>3.2.1.1.</w:t>
            </w:r>
            <w:r>
              <w:rPr>
                <w:b/>
                <w:sz w:val="21"/>
              </w:rPr>
              <w:t>数据运维</w:t>
            </w:r>
          </w:p>
          <w:tbl>
            <w:tblPr>
              <w:tblBorders>
                <w:top w:val="none" w:color="000000" w:sz="4"/>
                <w:left w:val="none" w:color="000000" w:sz="4"/>
                <w:bottom w:val="none" w:color="000000" w:sz="4"/>
                <w:right w:val="none" w:color="000000" w:sz="4"/>
                <w:insideH w:val="none"/>
                <w:insideV w:val="none"/>
              </w:tblBorders>
            </w:tblPr>
            <w:tblGrid>
              <w:gridCol w:w="531"/>
              <w:gridCol w:w="374"/>
              <w:gridCol w:w="561"/>
              <w:gridCol w:w="3070"/>
              <w:gridCol w:w="561"/>
              <w:gridCol w:w="502"/>
            </w:tblGrid>
            <w:tr>
              <w:tc>
                <w:tcPr>
                  <w:tcW w:type="dxa" w:w="531"/>
                  <w:tcBorders>
                    <w:top w:val="single" w:color="000000" w:sz="4"/>
                    <w:left w:val="single" w:color="000000" w:sz="4"/>
                    <w:bottom w:val="single" w:color="000000" w:sz="4"/>
                    <w:right w:val="single" w:color="000000" w:sz="4"/>
                  </w:tcBorders>
                </w:tcPr>
                <w:p>
                  <w:pPr>
                    <w:jc w:val="center"/>
                  </w:pPr>
                  <w:r>
                    <w:rPr>
                      <w:b/>
                      <w:sz w:val="21"/>
                    </w:rPr>
                    <w:t>序号</w:t>
                  </w:r>
                </w:p>
              </w:tc>
              <w:tc>
                <w:tcPr>
                  <w:tcW w:type="dxa" w:w="935"/>
                  <w:gridSpan w:val="2"/>
                  <w:tcBorders>
                    <w:top w:val="single" w:color="000000" w:sz="4"/>
                    <w:left w:val="none" w:color="000000" w:sz="4"/>
                    <w:bottom w:val="single" w:color="000000" w:sz="4"/>
                    <w:right w:val="single" w:color="000000" w:sz="4"/>
                  </w:tcBorders>
                </w:tcPr>
                <w:p>
                  <w:pPr>
                    <w:jc w:val="center"/>
                  </w:pPr>
                  <w:r>
                    <w:rPr>
                      <w:b/>
                      <w:sz w:val="21"/>
                    </w:rPr>
                    <w:t>服务事项</w:t>
                  </w:r>
                </w:p>
              </w:tc>
              <w:tc>
                <w:tcPr>
                  <w:tcW w:type="dxa" w:w="3070"/>
                  <w:tcBorders>
                    <w:top w:val="single" w:color="000000" w:sz="4"/>
                    <w:left w:val="none" w:color="000000" w:sz="4"/>
                    <w:bottom w:val="single" w:color="000000" w:sz="4"/>
                    <w:right w:val="single" w:color="000000" w:sz="4"/>
                  </w:tcBorders>
                </w:tcPr>
                <w:p>
                  <w:pPr>
                    <w:jc w:val="center"/>
                  </w:pPr>
                  <w:r>
                    <w:rPr>
                      <w:b/>
                      <w:sz w:val="21"/>
                    </w:rPr>
                    <w:t>服务内容</w:t>
                  </w:r>
                </w:p>
              </w:tc>
              <w:tc>
                <w:tcPr>
                  <w:tcW w:type="dxa" w:w="561"/>
                  <w:tcBorders>
                    <w:top w:val="single" w:color="000000" w:sz="4"/>
                    <w:left w:val="none" w:color="000000" w:sz="4"/>
                    <w:bottom w:val="single" w:color="000000" w:sz="4"/>
                    <w:right w:val="single" w:color="000000" w:sz="4"/>
                  </w:tcBorders>
                  <w:vAlign w:val="top"/>
                </w:tcPr>
                <w:p>
                  <w:pPr>
                    <w:jc w:val="left"/>
                  </w:pPr>
                  <w:r>
                    <w:rPr>
                      <w:b/>
                      <w:sz w:val="21"/>
                    </w:rPr>
                    <w:t>运维性质</w:t>
                  </w:r>
                </w:p>
              </w:tc>
              <w:tc>
                <w:tcPr>
                  <w:tcW w:type="dxa" w:w="502"/>
                  <w:tcBorders>
                    <w:top w:val="single" w:color="000000" w:sz="4"/>
                    <w:left w:val="none" w:color="000000" w:sz="4"/>
                    <w:bottom w:val="single" w:color="000000" w:sz="4"/>
                    <w:right w:val="single" w:color="000000" w:sz="4"/>
                  </w:tcBorders>
                  <w:vAlign w:val="top"/>
                </w:tcPr>
                <w:p>
                  <w:pPr>
                    <w:jc w:val="left"/>
                  </w:pPr>
                  <w:r>
                    <w:rPr>
                      <w:b/>
                      <w:sz w:val="21"/>
                    </w:rPr>
                    <w:t>运维备注</w:t>
                  </w:r>
                </w:p>
              </w:tc>
            </w:tr>
            <w:tr>
              <w:tc>
                <w:tcPr>
                  <w:tcW w:type="dxa" w:w="531"/>
                  <w:tcBorders>
                    <w:top w:val="none" w:color="000000" w:sz="4"/>
                    <w:left w:val="single" w:color="000000" w:sz="4"/>
                    <w:bottom w:val="single" w:color="000000" w:sz="4"/>
                    <w:right w:val="single" w:color="000000" w:sz="4"/>
                  </w:tcBorders>
                </w:tcPr>
                <w:p>
                  <w:pPr>
                    <w:jc w:val="center"/>
                  </w:pPr>
                  <w:r>
                    <w:rPr>
                      <w:sz w:val="21"/>
                    </w:rPr>
                    <w:t>1</w:t>
                  </w:r>
                </w:p>
              </w:tc>
              <w:tc>
                <w:tcPr>
                  <w:tcW w:type="dxa" w:w="374"/>
                  <w:vMerge w:val="restart"/>
                  <w:tcBorders>
                    <w:top w:val="none" w:color="000000" w:sz="4"/>
                    <w:left w:val="none" w:color="000000" w:sz="4"/>
                    <w:bottom w:val="single" w:color="000000" w:sz="4"/>
                    <w:right w:val="single" w:color="000000" w:sz="4"/>
                  </w:tcBorders>
                </w:tcPr>
                <w:p>
                  <w:pPr>
                    <w:jc w:val="center"/>
                  </w:pPr>
                  <w:r>
                    <w:rPr>
                      <w:b/>
                      <w:sz w:val="21"/>
                    </w:rPr>
                    <w:t>数据管理体系优化</w:t>
                  </w:r>
                </w:p>
              </w:tc>
              <w:tc>
                <w:tcPr>
                  <w:tcW w:type="dxa" w:w="561"/>
                  <w:tcBorders>
                    <w:top w:val="none" w:color="000000" w:sz="4"/>
                    <w:left w:val="none" w:color="000000" w:sz="4"/>
                    <w:bottom w:val="single" w:color="000000" w:sz="4"/>
                    <w:right w:val="single" w:color="000000" w:sz="4"/>
                  </w:tcBorders>
                </w:tcPr>
                <w:p>
                  <w:pPr>
                    <w:jc w:val="center"/>
                  </w:pPr>
                  <w:r>
                    <w:rPr>
                      <w:b/>
                      <w:sz w:val="21"/>
                    </w:rPr>
                    <w:t>完善数据管理体系标准</w:t>
                  </w:r>
                </w:p>
              </w:tc>
              <w:tc>
                <w:tcPr>
                  <w:tcW w:type="dxa" w:w="3070"/>
                  <w:tcBorders>
                    <w:top w:val="none" w:color="000000" w:sz="4"/>
                    <w:left w:val="none" w:color="000000" w:sz="4"/>
                    <w:bottom w:val="single" w:color="000000" w:sz="4"/>
                    <w:right w:val="single" w:color="000000" w:sz="4"/>
                  </w:tcBorders>
                </w:tcPr>
                <w:p>
                  <w:pPr>
                    <w:jc w:val="center"/>
                  </w:pPr>
                  <w:r>
                    <w:rPr>
                      <w:sz w:val="21"/>
                    </w:rPr>
                    <w:t>参考国家、省市数据管理标准与技术规范，对标《中山市自然资源局政务数据管理办法（试行）》，结合中山自然资源大数据中心建设实际，更新完善数据目录管理、数据共享、数据更新、数据版本管理、数据服务发布、数据质量检查技术规范等标准规范</w:t>
                  </w:r>
                </w:p>
              </w:tc>
              <w:tc>
                <w:tcPr>
                  <w:tcW w:type="dxa" w:w="561"/>
                  <w:tcBorders>
                    <w:top w:val="none" w:color="000000" w:sz="4"/>
                    <w:left w:val="none" w:color="000000" w:sz="4"/>
                    <w:bottom w:val="single" w:color="000000" w:sz="4"/>
                    <w:right w:val="single" w:color="000000" w:sz="4"/>
                  </w:tcBorders>
                </w:tcPr>
                <w:p>
                  <w:pPr>
                    <w:jc w:val="center"/>
                  </w:pPr>
                  <w:r>
                    <w:rPr>
                      <w:sz w:val="21"/>
                    </w:rPr>
                    <w:t>延续性运维</w:t>
                  </w:r>
                </w:p>
              </w:tc>
              <w:tc>
                <w:tcPr>
                  <w:tcW w:type="dxa" w:w="502"/>
                  <w:tcBorders>
                    <w:top w:val="none" w:color="000000" w:sz="4"/>
                    <w:left w:val="none" w:color="000000" w:sz="4"/>
                    <w:bottom w:val="single" w:color="000000" w:sz="4"/>
                    <w:right w:val="single" w:color="000000" w:sz="4"/>
                  </w:tcBorders>
                  <w:vAlign w:val="top"/>
                </w:tcPr>
                <w:p>
                  <w:pPr>
                    <w:jc w:val="both"/>
                  </w:pPr>
                </w:p>
              </w:tc>
            </w:tr>
            <w:tr>
              <w:tc>
                <w:tcPr>
                  <w:tcW w:type="dxa" w:w="531"/>
                  <w:tcBorders>
                    <w:top w:val="none" w:color="000000" w:sz="4"/>
                    <w:left w:val="single" w:color="000000" w:sz="4"/>
                    <w:bottom w:val="single" w:color="000000" w:sz="4"/>
                    <w:right w:val="single" w:color="000000" w:sz="4"/>
                  </w:tcBorders>
                </w:tcPr>
                <w:p>
                  <w:pPr>
                    <w:jc w:val="center"/>
                  </w:pPr>
                  <w:r>
                    <w:rPr>
                      <w:sz w:val="21"/>
                    </w:rPr>
                    <w:t>2</w:t>
                  </w:r>
                </w:p>
              </w:tc>
              <w:tc>
                <w:tcPr>
                  <w:tcW w:type="dxa" w:w="374"/>
                  <w:vMerge/>
                  <w:tcBorders>
                    <w:top w:val="none" w:color="000000" w:sz="4"/>
                    <w:left w:val="none" w:color="000000" w:sz="4"/>
                    <w:bottom w:val="single" w:color="000000" w:sz="4"/>
                    <w:right w:val="single" w:color="000000" w:sz="4"/>
                  </w:tcBorders>
                </w:tcPr>
                <w:p/>
              </w:tc>
              <w:tc>
                <w:tcPr>
                  <w:tcW w:type="dxa" w:w="561"/>
                  <w:tcBorders>
                    <w:top w:val="none" w:color="000000" w:sz="4"/>
                    <w:left w:val="none" w:color="000000" w:sz="4"/>
                    <w:bottom w:val="single" w:color="000000" w:sz="4"/>
                    <w:right w:val="single" w:color="000000" w:sz="4"/>
                  </w:tcBorders>
                </w:tcPr>
                <w:p>
                  <w:pPr>
                    <w:jc w:val="center"/>
                  </w:pPr>
                  <w:r>
                    <w:rPr>
                      <w:b/>
                      <w:sz w:val="21"/>
                    </w:rPr>
                    <w:t>优化数据管理技术流程</w:t>
                  </w:r>
                </w:p>
              </w:tc>
              <w:tc>
                <w:tcPr>
                  <w:tcW w:type="dxa" w:w="3070"/>
                  <w:tcBorders>
                    <w:top w:val="none" w:color="000000" w:sz="4"/>
                    <w:left w:val="none" w:color="000000" w:sz="4"/>
                    <w:bottom w:val="single" w:color="000000" w:sz="4"/>
                    <w:right w:val="single" w:color="000000" w:sz="4"/>
                  </w:tcBorders>
                </w:tcPr>
                <w:p>
                  <w:pPr>
                    <w:jc w:val="center"/>
                  </w:pPr>
                  <w:r>
                    <w:rPr>
                      <w:sz w:val="21"/>
                    </w:rPr>
                    <w:t>优化政务数据目录管理、数据汇交入库、数据共享、数据更新、数据服务发布等技术操作流程，包括电子地图申请、地图产品使用、接口调用、信息上传、审核发布、遥感影像接入等技术流程。</w:t>
                  </w:r>
                </w:p>
              </w:tc>
              <w:tc>
                <w:tcPr>
                  <w:tcW w:type="dxa" w:w="561"/>
                  <w:tcBorders>
                    <w:top w:val="none" w:color="000000" w:sz="4"/>
                    <w:left w:val="none" w:color="000000" w:sz="4"/>
                    <w:bottom w:val="single" w:color="000000" w:sz="4"/>
                    <w:right w:val="single" w:color="000000" w:sz="4"/>
                  </w:tcBorders>
                </w:tcPr>
                <w:p>
                  <w:pPr>
                    <w:jc w:val="center"/>
                  </w:pPr>
                  <w:r>
                    <w:rPr>
                      <w:sz w:val="21"/>
                    </w:rPr>
                    <w:t>新增运维</w:t>
                  </w:r>
                </w:p>
              </w:tc>
              <w:tc>
                <w:tcPr>
                  <w:tcW w:type="dxa" w:w="502"/>
                  <w:tcBorders>
                    <w:top w:val="none" w:color="000000" w:sz="4"/>
                    <w:left w:val="none" w:color="000000" w:sz="4"/>
                    <w:bottom w:val="single" w:color="000000" w:sz="4"/>
                    <w:right w:val="single" w:color="000000" w:sz="4"/>
                  </w:tcBorders>
                  <w:vAlign w:val="top"/>
                </w:tcPr>
                <w:p>
                  <w:pPr>
                    <w:jc w:val="both"/>
                  </w:pPr>
                </w:p>
              </w:tc>
            </w:tr>
            <w:tr>
              <w:tc>
                <w:tcPr>
                  <w:tcW w:type="dxa" w:w="531"/>
                  <w:tcBorders>
                    <w:top w:val="none" w:color="000000" w:sz="4"/>
                    <w:left w:val="single" w:color="000000" w:sz="4"/>
                    <w:bottom w:val="single" w:color="000000" w:sz="4"/>
                    <w:right w:val="single" w:color="000000" w:sz="4"/>
                  </w:tcBorders>
                </w:tcPr>
                <w:p>
                  <w:pPr>
                    <w:jc w:val="center"/>
                  </w:pPr>
                  <w:r>
                    <w:rPr>
                      <w:sz w:val="21"/>
                    </w:rPr>
                    <w:t>3</w:t>
                  </w:r>
                </w:p>
              </w:tc>
              <w:tc>
                <w:tcPr>
                  <w:tcW w:type="dxa" w:w="374"/>
                  <w:vMerge/>
                  <w:tcBorders>
                    <w:top w:val="none" w:color="000000" w:sz="4"/>
                    <w:left w:val="none" w:color="000000" w:sz="4"/>
                    <w:bottom w:val="single" w:color="000000" w:sz="4"/>
                    <w:right w:val="single" w:color="000000" w:sz="4"/>
                  </w:tcBorders>
                </w:tcPr>
                <w:p/>
              </w:tc>
              <w:tc>
                <w:tcPr>
                  <w:tcW w:type="dxa" w:w="561"/>
                  <w:tcBorders>
                    <w:top w:val="none" w:color="000000" w:sz="4"/>
                    <w:left w:val="none" w:color="000000" w:sz="4"/>
                    <w:bottom w:val="single" w:color="000000" w:sz="4"/>
                    <w:right w:val="single" w:color="000000" w:sz="4"/>
                  </w:tcBorders>
                </w:tcPr>
                <w:p>
                  <w:pPr>
                    <w:jc w:val="center"/>
                  </w:pPr>
                  <w:r>
                    <w:rPr>
                      <w:b/>
                      <w:sz w:val="21"/>
                    </w:rPr>
                    <w:t>数据共享与更新技术服务</w:t>
                  </w:r>
                </w:p>
              </w:tc>
              <w:tc>
                <w:tcPr>
                  <w:tcW w:type="dxa" w:w="3070"/>
                  <w:tcBorders>
                    <w:top w:val="none" w:color="000000" w:sz="4"/>
                    <w:left w:val="none" w:color="000000" w:sz="4"/>
                    <w:bottom w:val="single" w:color="000000" w:sz="4"/>
                    <w:right w:val="single" w:color="000000" w:sz="4"/>
                  </w:tcBorders>
                </w:tcPr>
                <w:p>
                  <w:pPr>
                    <w:jc w:val="center"/>
                  </w:pPr>
                  <w:r>
                    <w:rPr>
                      <w:sz w:val="21"/>
                    </w:rPr>
                    <w:t>包括根据系统实际数据对接运行情况，进行局内系统间数据共享、局外服务共享和系统对接，包含数据分离、数据更新、数据入库、数据发布与服务功能优化、数据接口改造、联调、代码修改、适应性优化和数据运行环境优化、加载性能优化等提高数据运行效率与共享服务的技术服务工作。</w:t>
                  </w:r>
                </w:p>
              </w:tc>
              <w:tc>
                <w:tcPr>
                  <w:tcW w:type="dxa" w:w="561"/>
                  <w:tcBorders>
                    <w:top w:val="none" w:color="000000" w:sz="4"/>
                    <w:left w:val="none" w:color="000000" w:sz="4"/>
                    <w:bottom w:val="single" w:color="000000" w:sz="4"/>
                    <w:right w:val="single" w:color="000000" w:sz="4"/>
                  </w:tcBorders>
                </w:tcPr>
                <w:p>
                  <w:pPr>
                    <w:jc w:val="center"/>
                  </w:pPr>
                  <w:r>
                    <w:rPr>
                      <w:sz w:val="21"/>
                    </w:rPr>
                    <w:t>延续性运维</w:t>
                  </w:r>
                </w:p>
              </w:tc>
              <w:tc>
                <w:tcPr>
                  <w:tcW w:type="dxa" w:w="502"/>
                  <w:tcBorders>
                    <w:top w:val="none" w:color="000000" w:sz="4"/>
                    <w:left w:val="none" w:color="000000" w:sz="4"/>
                    <w:bottom w:val="single" w:color="000000" w:sz="4"/>
                    <w:right w:val="single" w:color="000000" w:sz="4"/>
                  </w:tcBorders>
                  <w:vAlign w:val="top"/>
                </w:tcPr>
                <w:p>
                  <w:pPr>
                    <w:jc w:val="both"/>
                  </w:pPr>
                </w:p>
              </w:tc>
            </w:tr>
            <w:tr>
              <w:tc>
                <w:tcPr>
                  <w:tcW w:type="dxa" w:w="531"/>
                  <w:tcBorders>
                    <w:top w:val="none" w:color="000000" w:sz="4"/>
                    <w:left w:val="single" w:color="000000" w:sz="4"/>
                    <w:bottom w:val="single" w:color="000000" w:sz="4"/>
                    <w:right w:val="single" w:color="000000" w:sz="4"/>
                  </w:tcBorders>
                </w:tcPr>
                <w:p>
                  <w:pPr>
                    <w:jc w:val="center"/>
                  </w:pPr>
                  <w:r>
                    <w:rPr>
                      <w:sz w:val="21"/>
                    </w:rPr>
                    <w:t>4</w:t>
                  </w:r>
                </w:p>
              </w:tc>
              <w:tc>
                <w:tcPr>
                  <w:tcW w:type="dxa" w:w="374"/>
                  <w:vMerge w:val="restart"/>
                  <w:tcBorders>
                    <w:top w:val="none" w:color="000000" w:sz="4"/>
                    <w:left w:val="none" w:color="000000" w:sz="4"/>
                    <w:bottom w:val="single" w:color="000000" w:sz="4"/>
                    <w:right w:val="single" w:color="000000" w:sz="4"/>
                  </w:tcBorders>
                </w:tcPr>
                <w:p>
                  <w:pPr>
                    <w:jc w:val="center"/>
                  </w:pPr>
                  <w:r>
                    <w:rPr>
                      <w:b/>
                      <w:sz w:val="21"/>
                    </w:rPr>
                    <w:t>电子底图优化及更新</w:t>
                  </w:r>
                </w:p>
              </w:tc>
              <w:tc>
                <w:tcPr>
                  <w:tcW w:type="dxa" w:w="561"/>
                  <w:tcBorders>
                    <w:top w:val="none" w:color="000000" w:sz="4"/>
                    <w:left w:val="none" w:color="000000" w:sz="4"/>
                    <w:bottom w:val="single" w:color="000000" w:sz="4"/>
                    <w:right w:val="single" w:color="000000" w:sz="4"/>
                  </w:tcBorders>
                </w:tcPr>
                <w:p>
                  <w:pPr>
                    <w:jc w:val="center"/>
                  </w:pPr>
                  <w:r>
                    <w:rPr>
                      <w:b/>
                      <w:sz w:val="21"/>
                    </w:rPr>
                    <w:t>粤政图对接优化及服务打通</w:t>
                  </w:r>
                </w:p>
              </w:tc>
              <w:tc>
                <w:tcPr>
                  <w:tcW w:type="dxa" w:w="3070"/>
                  <w:tcBorders>
                    <w:top w:val="none" w:color="000000" w:sz="4"/>
                    <w:left w:val="none" w:color="000000" w:sz="4"/>
                    <w:bottom w:val="single" w:color="000000" w:sz="4"/>
                    <w:right w:val="single" w:color="000000" w:sz="4"/>
                  </w:tcBorders>
                </w:tcPr>
                <w:p>
                  <w:pPr>
                    <w:jc w:val="center"/>
                  </w:pPr>
                  <w:r>
                    <w:rPr>
                      <w:sz w:val="21"/>
                    </w:rPr>
                    <w:t>通过优化底图服务及更换数据接入形式，接入 “粤政图” 数据，保证业务数据与底图数据“粤政图”充分融合，持续为市自然资源局及各业务应用系统提供矢量电子地图、 影像地图、晕渲地图等空间地理信息服务和自然资源主题数据交换共享，满足基于地理信息公共服务开发业务应用的专业技术支撑，实现地理信息公共地图服务和业务部门专题业务数据整合关联，保障系统数据交换正常运行。</w:t>
                  </w:r>
                </w:p>
              </w:tc>
              <w:tc>
                <w:tcPr>
                  <w:tcW w:type="dxa" w:w="561"/>
                  <w:tcBorders>
                    <w:top w:val="none" w:color="000000" w:sz="4"/>
                    <w:left w:val="none" w:color="000000" w:sz="4"/>
                    <w:bottom w:val="single" w:color="000000" w:sz="4"/>
                    <w:right w:val="single" w:color="000000" w:sz="4"/>
                  </w:tcBorders>
                </w:tcPr>
                <w:p>
                  <w:pPr>
                    <w:jc w:val="center"/>
                  </w:pPr>
                  <w:r>
                    <w:rPr>
                      <w:sz w:val="21"/>
                    </w:rPr>
                    <w:t>新增运维</w:t>
                  </w:r>
                </w:p>
              </w:tc>
              <w:tc>
                <w:tcPr>
                  <w:tcW w:type="dxa" w:w="502"/>
                  <w:tcBorders>
                    <w:top w:val="none" w:color="000000" w:sz="4"/>
                    <w:left w:val="none" w:color="000000" w:sz="4"/>
                    <w:bottom w:val="single" w:color="000000" w:sz="4"/>
                    <w:right w:val="single" w:color="000000" w:sz="4"/>
                  </w:tcBorders>
                  <w:vAlign w:val="top"/>
                </w:tcPr>
                <w:p>
                  <w:pPr>
                    <w:jc w:val="both"/>
                  </w:pPr>
                </w:p>
              </w:tc>
            </w:tr>
            <w:tr>
              <w:tc>
                <w:tcPr>
                  <w:tcW w:type="dxa" w:w="531"/>
                  <w:tcBorders>
                    <w:top w:val="none" w:color="000000" w:sz="4"/>
                    <w:left w:val="single" w:color="000000" w:sz="4"/>
                    <w:bottom w:val="single" w:color="000000" w:sz="4"/>
                    <w:right w:val="single" w:color="000000" w:sz="4"/>
                  </w:tcBorders>
                </w:tcPr>
                <w:p>
                  <w:pPr>
                    <w:jc w:val="center"/>
                  </w:pPr>
                  <w:r>
                    <w:rPr>
                      <w:sz w:val="21"/>
                    </w:rPr>
                    <w:t>5</w:t>
                  </w:r>
                </w:p>
              </w:tc>
              <w:tc>
                <w:tcPr>
                  <w:tcW w:type="dxa" w:w="374"/>
                  <w:vMerge/>
                  <w:tcBorders>
                    <w:top w:val="none" w:color="000000" w:sz="4"/>
                    <w:left w:val="none" w:color="000000" w:sz="4"/>
                    <w:bottom w:val="single" w:color="000000" w:sz="4"/>
                    <w:right w:val="single" w:color="000000" w:sz="4"/>
                  </w:tcBorders>
                </w:tcPr>
                <w:p/>
              </w:tc>
              <w:tc>
                <w:tcPr>
                  <w:tcW w:type="dxa" w:w="561"/>
                  <w:tcBorders>
                    <w:top w:val="none" w:color="000000" w:sz="4"/>
                    <w:left w:val="none" w:color="000000" w:sz="4"/>
                    <w:bottom w:val="single" w:color="000000" w:sz="4"/>
                    <w:right w:val="single" w:color="000000" w:sz="4"/>
                  </w:tcBorders>
                </w:tcPr>
                <w:p>
                  <w:pPr>
                    <w:jc w:val="center"/>
                  </w:pPr>
                  <w:r>
                    <w:rPr>
                      <w:b/>
                      <w:sz w:val="21"/>
                    </w:rPr>
                    <w:t>省遥感影像数据接入及发布服务</w:t>
                  </w:r>
                </w:p>
              </w:tc>
              <w:tc>
                <w:tcPr>
                  <w:tcW w:type="dxa" w:w="3070"/>
                  <w:tcBorders>
                    <w:top w:val="none" w:color="000000" w:sz="4"/>
                    <w:left w:val="none" w:color="000000" w:sz="4"/>
                    <w:bottom w:val="single" w:color="000000" w:sz="4"/>
                    <w:right w:val="single" w:color="000000" w:sz="4"/>
                  </w:tcBorders>
                </w:tcPr>
                <w:p>
                  <w:pPr>
                    <w:jc w:val="center"/>
                  </w:pPr>
                  <w:r>
                    <w:rPr>
                      <w:sz w:val="21"/>
                    </w:rPr>
                    <w:t>配合开展省自然资源厅推送下发的遥感影像数据处理和数据对接等有关工作，通过对影像数据分解、裁剪、镶嵌、融合、重采样等，并根据业务要求，采用人工判读结合工具解译的形式进行影像判读，形成相关的遥感影像应用成果，并将有关成果定期更新维护发布到平台。</w:t>
                  </w:r>
                </w:p>
              </w:tc>
              <w:tc>
                <w:tcPr>
                  <w:tcW w:type="dxa" w:w="561"/>
                  <w:tcBorders>
                    <w:top w:val="none" w:color="000000" w:sz="4"/>
                    <w:left w:val="none" w:color="000000" w:sz="4"/>
                    <w:bottom w:val="single" w:color="000000" w:sz="4"/>
                    <w:right w:val="single" w:color="000000" w:sz="4"/>
                  </w:tcBorders>
                </w:tcPr>
                <w:p>
                  <w:pPr>
                    <w:jc w:val="center"/>
                  </w:pPr>
                  <w:r>
                    <w:rPr>
                      <w:sz w:val="21"/>
                    </w:rPr>
                    <w:t>延续性运维</w:t>
                  </w:r>
                </w:p>
              </w:tc>
              <w:tc>
                <w:tcPr>
                  <w:tcW w:type="dxa" w:w="502"/>
                  <w:tcBorders>
                    <w:top w:val="none" w:color="000000" w:sz="4"/>
                    <w:left w:val="none" w:color="000000" w:sz="4"/>
                    <w:bottom w:val="single" w:color="000000" w:sz="4"/>
                    <w:right w:val="single" w:color="000000" w:sz="4"/>
                  </w:tcBorders>
                  <w:vAlign w:val="top"/>
                </w:tcPr>
                <w:p>
                  <w:pPr>
                    <w:jc w:val="both"/>
                  </w:pPr>
                </w:p>
              </w:tc>
            </w:tr>
            <w:tr>
              <w:tc>
                <w:tcPr>
                  <w:tcW w:type="dxa" w:w="531"/>
                  <w:tcBorders>
                    <w:top w:val="none" w:color="000000" w:sz="4"/>
                    <w:left w:val="single" w:color="000000" w:sz="4"/>
                    <w:bottom w:val="single" w:color="000000" w:sz="4"/>
                    <w:right w:val="single" w:color="000000" w:sz="4"/>
                  </w:tcBorders>
                </w:tcPr>
                <w:p>
                  <w:pPr>
                    <w:jc w:val="center"/>
                  </w:pPr>
                  <w:r>
                    <w:rPr>
                      <w:sz w:val="21"/>
                    </w:rPr>
                    <w:t>6</w:t>
                  </w:r>
                </w:p>
              </w:tc>
              <w:tc>
                <w:tcPr>
                  <w:tcW w:type="dxa" w:w="374"/>
                  <w:vMerge/>
                  <w:tcBorders>
                    <w:top w:val="none" w:color="000000" w:sz="4"/>
                    <w:left w:val="none" w:color="000000" w:sz="4"/>
                    <w:bottom w:val="single" w:color="000000" w:sz="4"/>
                    <w:right w:val="single" w:color="000000" w:sz="4"/>
                  </w:tcBorders>
                </w:tcPr>
                <w:p/>
              </w:tc>
              <w:tc>
                <w:tcPr>
                  <w:tcW w:type="dxa" w:w="561"/>
                  <w:tcBorders>
                    <w:top w:val="none" w:color="000000" w:sz="4"/>
                    <w:left w:val="none" w:color="000000" w:sz="4"/>
                    <w:bottom w:val="single" w:color="000000" w:sz="4"/>
                    <w:right w:val="single" w:color="000000" w:sz="4"/>
                  </w:tcBorders>
                </w:tcPr>
                <w:p>
                  <w:pPr>
                    <w:jc w:val="center"/>
                  </w:pPr>
                  <w:r>
                    <w:rPr>
                      <w:b/>
                      <w:sz w:val="21"/>
                    </w:rPr>
                    <w:t>省、市执法卫片数据更新及统计服务</w:t>
                  </w:r>
                </w:p>
              </w:tc>
              <w:tc>
                <w:tcPr>
                  <w:tcW w:type="dxa" w:w="3070"/>
                  <w:tcBorders>
                    <w:top w:val="none" w:color="000000" w:sz="4"/>
                    <w:left w:val="none" w:color="000000" w:sz="4"/>
                    <w:bottom w:val="single" w:color="000000" w:sz="4"/>
                    <w:right w:val="single" w:color="000000" w:sz="4"/>
                  </w:tcBorders>
                </w:tcPr>
                <w:p>
                  <w:pPr>
                    <w:jc w:val="center"/>
                  </w:pPr>
                  <w:r>
                    <w:rPr>
                      <w:sz w:val="21"/>
                    </w:rPr>
                    <w:t>配合开展执法卫片图斑数据对接工作，通过人工对接及工具结合形式，配合镇街、市局、省厅执法巡查等专项工作进行执法图斑筛查、统计并出图技术服务，并按需求提交统计结果，并将更新的图斑数据入库发布服务定期更新维护，对入库执法图斑数据并进行勾绘、校正、监测，对数据完整性、一致性等进行数据质检及入库，及时快速更新发布到平台</w:t>
                  </w:r>
                </w:p>
              </w:tc>
              <w:tc>
                <w:tcPr>
                  <w:tcW w:type="dxa" w:w="561"/>
                  <w:tcBorders>
                    <w:top w:val="none" w:color="000000" w:sz="4"/>
                    <w:left w:val="none" w:color="000000" w:sz="4"/>
                    <w:bottom w:val="single" w:color="000000" w:sz="4"/>
                    <w:right w:val="single" w:color="000000" w:sz="4"/>
                  </w:tcBorders>
                </w:tcPr>
                <w:p>
                  <w:pPr>
                    <w:jc w:val="center"/>
                  </w:pPr>
                  <w:r>
                    <w:rPr>
                      <w:sz w:val="21"/>
                    </w:rPr>
                    <w:t>延续性运维</w:t>
                  </w:r>
                </w:p>
              </w:tc>
              <w:tc>
                <w:tcPr>
                  <w:tcW w:type="dxa" w:w="502"/>
                  <w:tcBorders>
                    <w:top w:val="none" w:color="000000" w:sz="4"/>
                    <w:left w:val="none" w:color="000000" w:sz="4"/>
                    <w:bottom w:val="single" w:color="000000" w:sz="4"/>
                    <w:right w:val="single" w:color="000000" w:sz="4"/>
                  </w:tcBorders>
                  <w:vAlign w:val="top"/>
                </w:tcPr>
                <w:p>
                  <w:pPr>
                    <w:jc w:val="both"/>
                  </w:pPr>
                </w:p>
              </w:tc>
            </w:tr>
            <w:tr>
              <w:tc>
                <w:tcPr>
                  <w:tcW w:type="dxa" w:w="531"/>
                  <w:tcBorders>
                    <w:top w:val="none" w:color="000000" w:sz="4"/>
                    <w:left w:val="single" w:color="000000" w:sz="4"/>
                    <w:bottom w:val="single" w:color="000000" w:sz="4"/>
                    <w:right w:val="single" w:color="000000" w:sz="4"/>
                  </w:tcBorders>
                </w:tcPr>
                <w:p>
                  <w:pPr>
                    <w:jc w:val="center"/>
                  </w:pPr>
                  <w:r>
                    <w:rPr>
                      <w:sz w:val="21"/>
                    </w:rPr>
                    <w:t>7</w:t>
                  </w:r>
                </w:p>
              </w:tc>
              <w:tc>
                <w:tcPr>
                  <w:tcW w:type="dxa" w:w="374"/>
                  <w:vMerge/>
                  <w:tcBorders>
                    <w:top w:val="none" w:color="000000" w:sz="4"/>
                    <w:left w:val="none" w:color="000000" w:sz="4"/>
                    <w:bottom w:val="single" w:color="000000" w:sz="4"/>
                    <w:right w:val="single" w:color="000000" w:sz="4"/>
                  </w:tcBorders>
                </w:tcPr>
                <w:p/>
              </w:tc>
              <w:tc>
                <w:tcPr>
                  <w:tcW w:type="dxa" w:w="561"/>
                  <w:tcBorders>
                    <w:top w:val="none" w:color="000000" w:sz="4"/>
                    <w:left w:val="none" w:color="000000" w:sz="4"/>
                    <w:bottom w:val="single" w:color="000000" w:sz="4"/>
                    <w:right w:val="single" w:color="000000" w:sz="4"/>
                  </w:tcBorders>
                </w:tcPr>
                <w:p>
                  <w:pPr>
                    <w:jc w:val="center"/>
                  </w:pPr>
                  <w:r>
                    <w:rPr>
                      <w:b/>
                      <w:sz w:val="21"/>
                    </w:rPr>
                    <w:t>底图对接数据更新服务</w:t>
                  </w:r>
                </w:p>
              </w:tc>
              <w:tc>
                <w:tcPr>
                  <w:tcW w:type="dxa" w:w="3070"/>
                  <w:tcBorders>
                    <w:top w:val="none" w:color="000000" w:sz="4"/>
                    <w:left w:val="none" w:color="000000" w:sz="4"/>
                    <w:bottom w:val="single" w:color="000000" w:sz="4"/>
                    <w:right w:val="single" w:color="000000" w:sz="4"/>
                  </w:tcBorders>
                </w:tcPr>
                <w:p>
                  <w:pPr>
                    <w:jc w:val="center"/>
                  </w:pPr>
                  <w:r>
                    <w:rPr>
                      <w:sz w:val="21"/>
                    </w:rPr>
                    <w:t>升级底图数据、 服务接口二次开发支持能力，为各业务部门提供基于地理信息公共服务开发业务应用的专业技术支撑，为决策信息服务、自然资源管理、国土空间规划、应急管理指挥、生态环境分析决策应用、智慧水利等业务应用提供标准地图、空间要素统计、空间分析服务和接口对接服务，满足省、市、街镇横纵向部门和自然资源管理业务部门应用系统功能开发需求，实现地理信息公共地图服务和业务部门专题数据底图的优化更新</w:t>
                  </w:r>
                </w:p>
              </w:tc>
              <w:tc>
                <w:tcPr>
                  <w:tcW w:type="dxa" w:w="561"/>
                  <w:tcBorders>
                    <w:top w:val="none" w:color="000000" w:sz="4"/>
                    <w:left w:val="none" w:color="000000" w:sz="4"/>
                    <w:bottom w:val="single" w:color="000000" w:sz="4"/>
                    <w:right w:val="single" w:color="000000" w:sz="4"/>
                  </w:tcBorders>
                </w:tcPr>
                <w:p>
                  <w:pPr>
                    <w:jc w:val="center"/>
                  </w:pPr>
                  <w:r>
                    <w:rPr>
                      <w:sz w:val="21"/>
                    </w:rPr>
                    <w:t>持续性运维</w:t>
                  </w:r>
                </w:p>
              </w:tc>
              <w:tc>
                <w:tcPr>
                  <w:tcW w:type="dxa" w:w="502"/>
                  <w:tcBorders>
                    <w:top w:val="none" w:color="000000" w:sz="4"/>
                    <w:left w:val="none" w:color="000000" w:sz="4"/>
                    <w:bottom w:val="single" w:color="000000" w:sz="4"/>
                    <w:right w:val="single" w:color="000000" w:sz="4"/>
                  </w:tcBorders>
                  <w:vAlign w:val="top"/>
                </w:tcPr>
                <w:p>
                  <w:pPr>
                    <w:jc w:val="both"/>
                  </w:pPr>
                </w:p>
              </w:tc>
            </w:tr>
            <w:tr>
              <w:tc>
                <w:tcPr>
                  <w:tcW w:type="dxa" w:w="531"/>
                  <w:tcBorders>
                    <w:top w:val="none" w:color="000000" w:sz="4"/>
                    <w:left w:val="single" w:color="000000" w:sz="4"/>
                    <w:bottom w:val="single" w:color="000000" w:sz="4"/>
                    <w:right w:val="single" w:color="000000" w:sz="4"/>
                  </w:tcBorders>
                </w:tcPr>
                <w:p>
                  <w:pPr>
                    <w:jc w:val="center"/>
                  </w:pPr>
                  <w:r>
                    <w:rPr>
                      <w:sz w:val="21"/>
                    </w:rPr>
                    <w:t>8</w:t>
                  </w:r>
                </w:p>
              </w:tc>
              <w:tc>
                <w:tcPr>
                  <w:tcW w:type="dxa" w:w="374"/>
                  <w:vMerge w:val="restart"/>
                  <w:tcBorders>
                    <w:top w:val="none" w:color="000000" w:sz="4"/>
                    <w:left w:val="none" w:color="000000" w:sz="4"/>
                    <w:bottom w:val="single" w:color="000000" w:sz="4"/>
                    <w:right w:val="single" w:color="000000" w:sz="4"/>
                  </w:tcBorders>
                </w:tcPr>
                <w:p>
                  <w:pPr>
                    <w:jc w:val="center"/>
                  </w:pPr>
                  <w:r>
                    <w:rPr>
                      <w:b/>
                      <w:sz w:val="21"/>
                    </w:rPr>
                    <w:t>三维模型校核与技术服务</w:t>
                  </w:r>
                </w:p>
              </w:tc>
              <w:tc>
                <w:tcPr>
                  <w:tcW w:type="dxa" w:w="561"/>
                  <w:tcBorders>
                    <w:top w:val="none" w:color="000000" w:sz="4"/>
                    <w:left w:val="none" w:color="000000" w:sz="4"/>
                    <w:bottom w:val="single" w:color="000000" w:sz="4"/>
                    <w:right w:val="single" w:color="000000" w:sz="4"/>
                  </w:tcBorders>
                </w:tcPr>
                <w:p>
                  <w:pPr>
                    <w:jc w:val="center"/>
                  </w:pPr>
                  <w:r>
                    <w:rPr>
                      <w:b/>
                      <w:sz w:val="21"/>
                    </w:rPr>
                    <w:t>三维方案制作技术支持</w:t>
                  </w:r>
                </w:p>
              </w:tc>
              <w:tc>
                <w:tcPr>
                  <w:tcW w:type="dxa" w:w="3070"/>
                  <w:tcBorders>
                    <w:top w:val="none" w:color="000000" w:sz="4"/>
                    <w:left w:val="none" w:color="000000" w:sz="4"/>
                    <w:bottom w:val="single" w:color="000000" w:sz="4"/>
                    <w:right w:val="single" w:color="000000" w:sz="4"/>
                  </w:tcBorders>
                </w:tcPr>
                <w:p>
                  <w:pPr>
                    <w:jc w:val="center"/>
                  </w:pPr>
                  <w:r>
                    <w:rPr>
                      <w:sz w:val="21"/>
                    </w:rPr>
                    <w:t>在技术咨询群上解答各报建（竣工）申请单位在方案模型制作上的各类问题，提供技术咨询支持。配合中山市自然资源局对报建（竣工）申请单位进行线上技术培训，培训内容包括规范要求讲解、三维方案模型数据制作流程与注意事项、常见问题与解决方法等。</w:t>
                  </w:r>
                </w:p>
              </w:tc>
              <w:tc>
                <w:tcPr>
                  <w:tcW w:type="dxa" w:w="561"/>
                  <w:tcBorders>
                    <w:top w:val="none" w:color="000000" w:sz="4"/>
                    <w:left w:val="none" w:color="000000" w:sz="4"/>
                    <w:bottom w:val="single" w:color="000000" w:sz="4"/>
                    <w:right w:val="single" w:color="000000" w:sz="4"/>
                  </w:tcBorders>
                </w:tcPr>
                <w:p>
                  <w:pPr>
                    <w:jc w:val="center"/>
                  </w:pPr>
                  <w:r>
                    <w:rPr>
                      <w:sz w:val="21"/>
                    </w:rPr>
                    <w:t>新增运维</w:t>
                  </w:r>
                </w:p>
              </w:tc>
              <w:tc>
                <w:tcPr>
                  <w:tcW w:type="dxa" w:w="502"/>
                  <w:tcBorders>
                    <w:top w:val="none" w:color="000000" w:sz="4"/>
                    <w:left w:val="none" w:color="000000" w:sz="4"/>
                    <w:bottom w:val="single" w:color="000000" w:sz="4"/>
                    <w:right w:val="single" w:color="000000" w:sz="4"/>
                  </w:tcBorders>
                  <w:vAlign w:val="top"/>
                </w:tcPr>
                <w:p>
                  <w:pPr>
                    <w:jc w:val="both"/>
                  </w:pPr>
                </w:p>
              </w:tc>
            </w:tr>
            <w:tr>
              <w:tc>
                <w:tcPr>
                  <w:tcW w:type="dxa" w:w="531"/>
                  <w:tcBorders>
                    <w:top w:val="none" w:color="000000" w:sz="4"/>
                    <w:left w:val="single" w:color="000000" w:sz="4"/>
                    <w:bottom w:val="single" w:color="000000" w:sz="4"/>
                    <w:right w:val="single" w:color="000000" w:sz="4"/>
                  </w:tcBorders>
                </w:tcPr>
                <w:p>
                  <w:pPr>
                    <w:jc w:val="center"/>
                  </w:pPr>
                  <w:r>
                    <w:rPr>
                      <w:sz w:val="21"/>
                    </w:rPr>
                    <w:t>9</w:t>
                  </w:r>
                </w:p>
              </w:tc>
              <w:tc>
                <w:tcPr>
                  <w:tcW w:type="dxa" w:w="374"/>
                  <w:vMerge/>
                  <w:tcBorders>
                    <w:top w:val="none" w:color="000000" w:sz="4"/>
                    <w:left w:val="none" w:color="000000" w:sz="4"/>
                    <w:bottom w:val="single" w:color="000000" w:sz="4"/>
                    <w:right w:val="single" w:color="000000" w:sz="4"/>
                  </w:tcBorders>
                </w:tcPr>
                <w:p/>
              </w:tc>
              <w:tc>
                <w:tcPr>
                  <w:tcW w:type="dxa" w:w="561"/>
                  <w:tcBorders>
                    <w:top w:val="none" w:color="000000" w:sz="4"/>
                    <w:left w:val="none" w:color="000000" w:sz="4"/>
                    <w:bottom w:val="single" w:color="000000" w:sz="4"/>
                    <w:right w:val="single" w:color="000000" w:sz="4"/>
                  </w:tcBorders>
                </w:tcPr>
                <w:p>
                  <w:pPr>
                    <w:jc w:val="center"/>
                  </w:pPr>
                  <w:r>
                    <w:rPr>
                      <w:b/>
                      <w:sz w:val="21"/>
                    </w:rPr>
                    <w:t>三维方案检测技术服务</w:t>
                  </w:r>
                </w:p>
              </w:tc>
              <w:tc>
                <w:tcPr>
                  <w:tcW w:type="dxa" w:w="3070"/>
                  <w:tcBorders>
                    <w:top w:val="none" w:color="000000" w:sz="4"/>
                    <w:left w:val="none" w:color="000000" w:sz="4"/>
                    <w:bottom w:val="single" w:color="000000" w:sz="4"/>
                    <w:right w:val="single" w:color="000000" w:sz="4"/>
                  </w:tcBorders>
                </w:tcPr>
                <w:p>
                  <w:pPr>
                    <w:jc w:val="center"/>
                  </w:pPr>
                  <w:r>
                    <w:rPr>
                      <w:sz w:val="21"/>
                    </w:rPr>
                    <w:t>在中山市规划政务服务平台上，根据规范对三维方案（年检测约3500宗业务）进行全面检测，包括对方案的物体名称、位置、数据组织、文件大小、建模准确性、建模效果等进行检测校核并出具检测报告。符合规范则合格通过，不符合规范的需要编写检测意见，将方案错误问题逐一指出，方便报建（竣工）单位进行修改，直至方案通过为止。</w:t>
                  </w:r>
                </w:p>
              </w:tc>
              <w:tc>
                <w:tcPr>
                  <w:tcW w:type="dxa" w:w="561"/>
                  <w:tcBorders>
                    <w:top w:val="none" w:color="000000" w:sz="4"/>
                    <w:left w:val="none" w:color="000000" w:sz="4"/>
                    <w:bottom w:val="single" w:color="000000" w:sz="4"/>
                    <w:right w:val="single" w:color="000000" w:sz="4"/>
                  </w:tcBorders>
                </w:tcPr>
                <w:p>
                  <w:pPr>
                    <w:jc w:val="center"/>
                  </w:pPr>
                  <w:r>
                    <w:rPr>
                      <w:sz w:val="21"/>
                    </w:rPr>
                    <w:t>新增运维</w:t>
                  </w:r>
                </w:p>
              </w:tc>
              <w:tc>
                <w:tcPr>
                  <w:tcW w:type="dxa" w:w="502"/>
                  <w:tcBorders>
                    <w:top w:val="none" w:color="000000" w:sz="4"/>
                    <w:left w:val="none" w:color="000000" w:sz="4"/>
                    <w:bottom w:val="single" w:color="000000" w:sz="4"/>
                    <w:right w:val="single" w:color="000000" w:sz="4"/>
                  </w:tcBorders>
                  <w:vAlign w:val="top"/>
                </w:tcPr>
                <w:p>
                  <w:pPr>
                    <w:jc w:val="both"/>
                  </w:pPr>
                </w:p>
              </w:tc>
            </w:tr>
            <w:tr>
              <w:tc>
                <w:tcPr>
                  <w:tcW w:type="dxa" w:w="531"/>
                  <w:tcBorders>
                    <w:top w:val="none" w:color="000000" w:sz="4"/>
                    <w:left w:val="single" w:color="000000" w:sz="4"/>
                    <w:bottom w:val="single" w:color="000000" w:sz="4"/>
                    <w:right w:val="single" w:color="000000" w:sz="4"/>
                  </w:tcBorders>
                </w:tcPr>
                <w:p>
                  <w:pPr>
                    <w:jc w:val="center"/>
                  </w:pPr>
                  <w:r>
                    <w:rPr>
                      <w:sz w:val="21"/>
                    </w:rPr>
                    <w:t>10</w:t>
                  </w:r>
                </w:p>
              </w:tc>
              <w:tc>
                <w:tcPr>
                  <w:tcW w:type="dxa" w:w="374"/>
                  <w:vMerge/>
                  <w:tcBorders>
                    <w:top w:val="none" w:color="000000" w:sz="4"/>
                    <w:left w:val="none" w:color="000000" w:sz="4"/>
                    <w:bottom w:val="single" w:color="000000" w:sz="4"/>
                    <w:right w:val="single" w:color="000000" w:sz="4"/>
                  </w:tcBorders>
                </w:tcPr>
                <w:p/>
              </w:tc>
              <w:tc>
                <w:tcPr>
                  <w:tcW w:type="dxa" w:w="561"/>
                  <w:tcBorders>
                    <w:top w:val="none" w:color="000000" w:sz="4"/>
                    <w:left w:val="none" w:color="000000" w:sz="4"/>
                    <w:bottom w:val="single" w:color="000000" w:sz="4"/>
                    <w:right w:val="single" w:color="000000" w:sz="4"/>
                  </w:tcBorders>
                </w:tcPr>
                <w:p>
                  <w:pPr>
                    <w:jc w:val="center"/>
                  </w:pPr>
                  <w:r>
                    <w:rPr>
                      <w:b/>
                      <w:sz w:val="21"/>
                    </w:rPr>
                    <w:t>三维方案更新入库服务</w:t>
                  </w:r>
                </w:p>
              </w:tc>
              <w:tc>
                <w:tcPr>
                  <w:tcW w:type="dxa" w:w="3070"/>
                  <w:tcBorders>
                    <w:top w:val="none" w:color="000000" w:sz="4"/>
                    <w:left w:val="none" w:color="000000" w:sz="4"/>
                    <w:bottom w:val="single" w:color="000000" w:sz="4"/>
                    <w:right w:val="single" w:color="000000" w:sz="4"/>
                  </w:tcBorders>
                </w:tcPr>
                <w:p>
                  <w:pPr>
                    <w:jc w:val="center"/>
                  </w:pPr>
                  <w:r>
                    <w:rPr>
                      <w:sz w:val="21"/>
                    </w:rPr>
                    <w:t>将检测合格通过后的方案按规范更新入库，入库后，可通过中山市国土空间基础信息平台浏览三维方案。</w:t>
                  </w:r>
                </w:p>
              </w:tc>
              <w:tc>
                <w:tcPr>
                  <w:tcW w:type="dxa" w:w="561"/>
                  <w:tcBorders>
                    <w:top w:val="none" w:color="000000" w:sz="4"/>
                    <w:left w:val="none" w:color="000000" w:sz="4"/>
                    <w:bottom w:val="single" w:color="000000" w:sz="4"/>
                    <w:right w:val="single" w:color="000000" w:sz="4"/>
                  </w:tcBorders>
                </w:tcPr>
                <w:p>
                  <w:pPr>
                    <w:jc w:val="center"/>
                  </w:pPr>
                  <w:r>
                    <w:rPr>
                      <w:sz w:val="21"/>
                    </w:rPr>
                    <w:t>新增运维</w:t>
                  </w:r>
                </w:p>
              </w:tc>
              <w:tc>
                <w:tcPr>
                  <w:tcW w:type="dxa" w:w="502"/>
                  <w:tcBorders>
                    <w:top w:val="none" w:color="000000" w:sz="4"/>
                    <w:left w:val="none" w:color="000000" w:sz="4"/>
                    <w:bottom w:val="single" w:color="000000" w:sz="4"/>
                    <w:right w:val="single" w:color="000000" w:sz="4"/>
                  </w:tcBorders>
                  <w:vAlign w:val="top"/>
                </w:tcPr>
                <w:p>
                  <w:pPr>
                    <w:jc w:val="both"/>
                  </w:pPr>
                </w:p>
              </w:tc>
            </w:tr>
            <w:tr>
              <w:tc>
                <w:tcPr>
                  <w:tcW w:type="dxa" w:w="531"/>
                  <w:tcBorders>
                    <w:top w:val="none" w:color="000000" w:sz="4"/>
                    <w:left w:val="single" w:color="000000" w:sz="4"/>
                    <w:bottom w:val="single" w:color="000000" w:sz="4"/>
                    <w:right w:val="single" w:color="000000" w:sz="4"/>
                  </w:tcBorders>
                </w:tcPr>
                <w:p>
                  <w:pPr>
                    <w:jc w:val="center"/>
                  </w:pPr>
                  <w:r>
                    <w:rPr>
                      <w:sz w:val="21"/>
                    </w:rPr>
                    <w:t>11</w:t>
                  </w:r>
                </w:p>
              </w:tc>
              <w:tc>
                <w:tcPr>
                  <w:tcW w:type="dxa" w:w="374"/>
                  <w:vMerge/>
                  <w:tcBorders>
                    <w:top w:val="none" w:color="000000" w:sz="4"/>
                    <w:left w:val="none" w:color="000000" w:sz="4"/>
                    <w:bottom w:val="single" w:color="000000" w:sz="4"/>
                    <w:right w:val="single" w:color="000000" w:sz="4"/>
                  </w:tcBorders>
                </w:tcPr>
                <w:p/>
              </w:tc>
              <w:tc>
                <w:tcPr>
                  <w:tcW w:type="dxa" w:w="561"/>
                  <w:tcBorders>
                    <w:top w:val="none" w:color="000000" w:sz="4"/>
                    <w:left w:val="none" w:color="000000" w:sz="4"/>
                    <w:bottom w:val="single" w:color="000000" w:sz="4"/>
                    <w:right w:val="single" w:color="000000" w:sz="4"/>
                  </w:tcBorders>
                </w:tcPr>
                <w:p>
                  <w:pPr>
                    <w:jc w:val="center"/>
                  </w:pPr>
                  <w:r>
                    <w:rPr>
                      <w:b/>
                      <w:sz w:val="21"/>
                    </w:rPr>
                    <w:t>三维数据用户权限配置服务</w:t>
                  </w:r>
                </w:p>
              </w:tc>
              <w:tc>
                <w:tcPr>
                  <w:tcW w:type="dxa" w:w="3070"/>
                  <w:tcBorders>
                    <w:top w:val="none" w:color="000000" w:sz="4"/>
                    <w:left w:val="none" w:color="000000" w:sz="4"/>
                    <w:bottom w:val="single" w:color="000000" w:sz="4"/>
                    <w:right w:val="single" w:color="000000" w:sz="4"/>
                  </w:tcBorders>
                </w:tcPr>
                <w:p>
                  <w:pPr>
                    <w:jc w:val="center"/>
                  </w:pPr>
                  <w:r>
                    <w:rPr>
                      <w:sz w:val="21"/>
                    </w:rPr>
                    <w:t>将三维数据用户权限控制到单一图层，配置三维数据资源用户权限，通过对接国土空间基础信息平台，对接三维数据资源，完成后台数据资源发布、调试、控制与配置更新服务。</w:t>
                  </w:r>
                </w:p>
              </w:tc>
              <w:tc>
                <w:tcPr>
                  <w:tcW w:type="dxa" w:w="561"/>
                  <w:tcBorders>
                    <w:top w:val="none" w:color="000000" w:sz="4"/>
                    <w:left w:val="none" w:color="000000" w:sz="4"/>
                    <w:bottom w:val="single" w:color="000000" w:sz="4"/>
                    <w:right w:val="single" w:color="000000" w:sz="4"/>
                  </w:tcBorders>
                </w:tcPr>
                <w:p>
                  <w:pPr>
                    <w:jc w:val="center"/>
                  </w:pPr>
                  <w:r>
                    <w:rPr>
                      <w:sz w:val="21"/>
                    </w:rPr>
                    <w:t>延续性运维</w:t>
                  </w:r>
                </w:p>
              </w:tc>
              <w:tc>
                <w:tcPr>
                  <w:tcW w:type="dxa" w:w="502"/>
                  <w:tcBorders>
                    <w:top w:val="none" w:color="000000" w:sz="4"/>
                    <w:left w:val="none" w:color="000000" w:sz="4"/>
                    <w:bottom w:val="single" w:color="000000" w:sz="4"/>
                    <w:right w:val="single" w:color="000000" w:sz="4"/>
                  </w:tcBorders>
                  <w:vAlign w:val="top"/>
                </w:tcPr>
                <w:p>
                  <w:pPr>
                    <w:jc w:val="both"/>
                  </w:pPr>
                </w:p>
              </w:tc>
            </w:tr>
            <w:tr>
              <w:tc>
                <w:tcPr>
                  <w:tcW w:type="dxa" w:w="531"/>
                  <w:tcBorders>
                    <w:top w:val="none" w:color="000000" w:sz="4"/>
                    <w:left w:val="single" w:color="000000" w:sz="4"/>
                    <w:bottom w:val="single" w:color="000000" w:sz="4"/>
                    <w:right w:val="single" w:color="000000" w:sz="4"/>
                  </w:tcBorders>
                </w:tcPr>
                <w:p>
                  <w:pPr>
                    <w:jc w:val="center"/>
                  </w:pPr>
                  <w:r>
                    <w:rPr>
                      <w:sz w:val="21"/>
                    </w:rPr>
                    <w:t>12</w:t>
                  </w:r>
                </w:p>
              </w:tc>
              <w:tc>
                <w:tcPr>
                  <w:tcW w:type="dxa" w:w="374"/>
                  <w:vMerge w:val="restart"/>
                  <w:tcBorders>
                    <w:top w:val="none" w:color="000000" w:sz="4"/>
                    <w:left w:val="none" w:color="000000" w:sz="4"/>
                    <w:bottom w:val="single" w:color="000000" w:sz="4"/>
                    <w:right w:val="single" w:color="000000" w:sz="4"/>
                  </w:tcBorders>
                </w:tcPr>
                <w:p>
                  <w:pPr>
                    <w:jc w:val="center"/>
                  </w:pPr>
                  <w:r>
                    <w:rPr>
                      <w:b/>
                      <w:sz w:val="21"/>
                    </w:rPr>
                    <w:t>政务数据共享与对外服务</w:t>
                  </w:r>
                </w:p>
              </w:tc>
              <w:tc>
                <w:tcPr>
                  <w:tcW w:type="dxa" w:w="561"/>
                  <w:tcBorders>
                    <w:top w:val="none" w:color="000000" w:sz="4"/>
                    <w:left w:val="none" w:color="000000" w:sz="4"/>
                    <w:bottom w:val="single" w:color="000000" w:sz="4"/>
                    <w:right w:val="single" w:color="000000" w:sz="4"/>
                  </w:tcBorders>
                </w:tcPr>
                <w:p>
                  <w:pPr>
                    <w:jc w:val="center"/>
                  </w:pPr>
                  <w:r>
                    <w:rPr>
                      <w:b/>
                      <w:sz w:val="21"/>
                    </w:rPr>
                    <w:t>政数局空间数据管理与汇聚服务</w:t>
                  </w:r>
                </w:p>
              </w:tc>
              <w:tc>
                <w:tcPr>
                  <w:tcW w:type="dxa" w:w="3070"/>
                  <w:tcBorders>
                    <w:top w:val="none" w:color="000000" w:sz="4"/>
                    <w:left w:val="none" w:color="000000" w:sz="4"/>
                    <w:bottom w:val="single" w:color="000000" w:sz="4"/>
                    <w:right w:val="single" w:color="000000" w:sz="4"/>
                  </w:tcBorders>
                </w:tcPr>
                <w:p>
                  <w:pPr>
                    <w:jc w:val="center"/>
                  </w:pPr>
                  <w:r>
                    <w:rPr>
                      <w:sz w:val="21"/>
                    </w:rPr>
                    <w:t>根据中山市政务数据普查管理技术规范，结合政数局政务空间数据汇聚与共享标准，提供自然资源政务空间数据统一汇聚与管理维护，包括空间数据汇聚、投影坐标转换、数据更新入库、数据服务发布、安全脱敏共享等技术支持与管理运维工作。</w:t>
                  </w:r>
                </w:p>
              </w:tc>
              <w:tc>
                <w:tcPr>
                  <w:tcW w:type="dxa" w:w="561"/>
                  <w:tcBorders>
                    <w:top w:val="none" w:color="000000" w:sz="4"/>
                    <w:left w:val="none" w:color="000000" w:sz="4"/>
                    <w:bottom w:val="single" w:color="000000" w:sz="4"/>
                    <w:right w:val="single" w:color="000000" w:sz="4"/>
                  </w:tcBorders>
                </w:tcPr>
                <w:p>
                  <w:pPr>
                    <w:jc w:val="center"/>
                  </w:pPr>
                  <w:r>
                    <w:rPr>
                      <w:sz w:val="21"/>
                    </w:rPr>
                    <w:t>新增运维</w:t>
                  </w:r>
                </w:p>
              </w:tc>
              <w:tc>
                <w:tcPr>
                  <w:tcW w:type="dxa" w:w="502"/>
                  <w:tcBorders>
                    <w:top w:val="none" w:color="000000" w:sz="4"/>
                    <w:left w:val="none" w:color="000000" w:sz="4"/>
                    <w:bottom w:val="single" w:color="000000" w:sz="4"/>
                    <w:right w:val="single" w:color="000000" w:sz="4"/>
                  </w:tcBorders>
                  <w:vAlign w:val="top"/>
                </w:tcPr>
                <w:p>
                  <w:pPr>
                    <w:jc w:val="both"/>
                  </w:pPr>
                </w:p>
              </w:tc>
            </w:tr>
            <w:tr>
              <w:tc>
                <w:tcPr>
                  <w:tcW w:type="dxa" w:w="531"/>
                  <w:tcBorders>
                    <w:top w:val="none" w:color="000000" w:sz="4"/>
                    <w:left w:val="single" w:color="000000" w:sz="4"/>
                    <w:bottom w:val="single" w:color="000000" w:sz="4"/>
                    <w:right w:val="single" w:color="000000" w:sz="4"/>
                  </w:tcBorders>
                </w:tcPr>
                <w:p>
                  <w:pPr>
                    <w:jc w:val="center"/>
                  </w:pPr>
                  <w:r>
                    <w:rPr>
                      <w:sz w:val="21"/>
                    </w:rPr>
                    <w:t>13</w:t>
                  </w:r>
                </w:p>
              </w:tc>
              <w:tc>
                <w:tcPr>
                  <w:tcW w:type="dxa" w:w="374"/>
                  <w:vMerge/>
                  <w:tcBorders>
                    <w:top w:val="none" w:color="000000" w:sz="4"/>
                    <w:left w:val="none" w:color="000000" w:sz="4"/>
                    <w:bottom w:val="single" w:color="000000" w:sz="4"/>
                    <w:right w:val="single" w:color="000000" w:sz="4"/>
                  </w:tcBorders>
                </w:tcPr>
                <w:p/>
              </w:tc>
              <w:tc>
                <w:tcPr>
                  <w:tcW w:type="dxa" w:w="561"/>
                  <w:tcBorders>
                    <w:top w:val="none" w:color="000000" w:sz="4"/>
                    <w:left w:val="none" w:color="000000" w:sz="4"/>
                    <w:bottom w:val="single" w:color="000000" w:sz="4"/>
                    <w:right w:val="single" w:color="000000" w:sz="4"/>
                  </w:tcBorders>
                </w:tcPr>
                <w:p>
                  <w:pPr>
                    <w:jc w:val="center"/>
                  </w:pPr>
                  <w:r>
                    <w:rPr>
                      <w:b/>
                      <w:sz w:val="21"/>
                    </w:rPr>
                    <w:t>广东省“数字政府”政务数据共享服务</w:t>
                  </w:r>
                </w:p>
              </w:tc>
              <w:tc>
                <w:tcPr>
                  <w:tcW w:type="dxa" w:w="3070"/>
                  <w:tcBorders>
                    <w:top w:val="none" w:color="000000" w:sz="4"/>
                    <w:left w:val="none" w:color="000000" w:sz="4"/>
                    <w:bottom w:val="single" w:color="000000" w:sz="4"/>
                    <w:right w:val="single" w:color="000000" w:sz="4"/>
                  </w:tcBorders>
                </w:tcPr>
                <w:p>
                  <w:pPr>
                    <w:jc w:val="center"/>
                  </w:pPr>
                  <w:r>
                    <w:rPr>
                      <w:sz w:val="21"/>
                    </w:rPr>
                    <w:t>包含按照广东省政务数据共享交换制度、政务空间数据普查、数字政府数据统筹、政务数据运行共享等数据资源管理要求 ，更新纳入自然资源大数据中心的增量数据的运维，包含数据坐标转换、属性挂接、标签化梳理、源数据规整及更新、数据质检、数据加工、入库、更新服务发布、用户权限更新等运维服务与技术支持。</w:t>
                  </w:r>
                </w:p>
              </w:tc>
              <w:tc>
                <w:tcPr>
                  <w:tcW w:type="dxa" w:w="561"/>
                  <w:tcBorders>
                    <w:top w:val="none" w:color="000000" w:sz="4"/>
                    <w:left w:val="none" w:color="000000" w:sz="4"/>
                    <w:bottom w:val="single" w:color="000000" w:sz="4"/>
                    <w:right w:val="single" w:color="000000" w:sz="4"/>
                  </w:tcBorders>
                </w:tcPr>
                <w:p>
                  <w:pPr>
                    <w:jc w:val="center"/>
                  </w:pPr>
                  <w:r>
                    <w:rPr>
                      <w:sz w:val="21"/>
                    </w:rPr>
                    <w:t>新增运维</w:t>
                  </w:r>
                </w:p>
              </w:tc>
              <w:tc>
                <w:tcPr>
                  <w:tcW w:type="dxa" w:w="502"/>
                  <w:tcBorders>
                    <w:top w:val="none" w:color="000000" w:sz="4"/>
                    <w:left w:val="none" w:color="000000" w:sz="4"/>
                    <w:bottom w:val="single" w:color="000000" w:sz="4"/>
                    <w:right w:val="single" w:color="000000" w:sz="4"/>
                  </w:tcBorders>
                  <w:vAlign w:val="top"/>
                </w:tcPr>
                <w:p>
                  <w:pPr>
                    <w:jc w:val="both"/>
                  </w:pPr>
                </w:p>
              </w:tc>
            </w:tr>
            <w:tr>
              <w:tc>
                <w:tcPr>
                  <w:tcW w:type="dxa" w:w="531"/>
                  <w:tcBorders>
                    <w:top w:val="none" w:color="000000" w:sz="4"/>
                    <w:left w:val="single" w:color="000000" w:sz="4"/>
                    <w:bottom w:val="single" w:color="000000" w:sz="4"/>
                    <w:right w:val="single" w:color="000000" w:sz="4"/>
                  </w:tcBorders>
                </w:tcPr>
                <w:p>
                  <w:pPr>
                    <w:jc w:val="center"/>
                  </w:pPr>
                  <w:r>
                    <w:rPr>
                      <w:sz w:val="21"/>
                    </w:rPr>
                    <w:t>14</w:t>
                  </w:r>
                </w:p>
              </w:tc>
              <w:tc>
                <w:tcPr>
                  <w:tcW w:type="dxa" w:w="374"/>
                  <w:vMerge/>
                  <w:tcBorders>
                    <w:top w:val="none" w:color="000000" w:sz="4"/>
                    <w:left w:val="none" w:color="000000" w:sz="4"/>
                    <w:bottom w:val="single" w:color="000000" w:sz="4"/>
                    <w:right w:val="single" w:color="000000" w:sz="4"/>
                  </w:tcBorders>
                </w:tcPr>
                <w:p/>
              </w:tc>
              <w:tc>
                <w:tcPr>
                  <w:tcW w:type="dxa" w:w="561"/>
                  <w:tcBorders>
                    <w:top w:val="none" w:color="000000" w:sz="4"/>
                    <w:left w:val="none" w:color="000000" w:sz="4"/>
                    <w:bottom w:val="single" w:color="000000" w:sz="4"/>
                    <w:right w:val="single" w:color="000000" w:sz="4"/>
                  </w:tcBorders>
                </w:tcPr>
                <w:p>
                  <w:pPr>
                    <w:jc w:val="center"/>
                  </w:pPr>
                  <w:r>
                    <w:rPr>
                      <w:b/>
                      <w:sz w:val="21"/>
                    </w:rPr>
                    <w:t>中山市政务数据共享服务</w:t>
                  </w:r>
                </w:p>
              </w:tc>
              <w:tc>
                <w:tcPr>
                  <w:tcW w:type="dxa" w:w="3070"/>
                  <w:tcBorders>
                    <w:top w:val="none" w:color="000000" w:sz="4"/>
                    <w:left w:val="none" w:color="000000" w:sz="4"/>
                    <w:bottom w:val="single" w:color="000000" w:sz="4"/>
                    <w:right w:val="single" w:color="000000" w:sz="4"/>
                  </w:tcBorders>
                </w:tcPr>
                <w:p>
                  <w:pPr>
                    <w:jc w:val="center"/>
                  </w:pPr>
                  <w:r>
                    <w:rPr>
                      <w:sz w:val="21"/>
                    </w:rPr>
                    <w:t>包含按照中山市首席数据官数据管理制度、政务空间数据普查、数字政府数据统筹、政务数据运行共享等数据资源管理要求 ，更新纳入自然资源大数据中心的增量数据的运维，配合调整政务大数据中心编目，包含进行空间数据发布、信息完善、统计，协助科室完成空间数据编目，以及数据坐标转换、属性挂接、标签化梳理、源数据规整及更新、数据质检、数据加工、入库、更新服务发布、用户权限更新等运维服务与技术支持。对数据接口进行安全处理和监控，保证接口被合法调用。</w:t>
                  </w:r>
                </w:p>
              </w:tc>
              <w:tc>
                <w:tcPr>
                  <w:tcW w:type="dxa" w:w="561"/>
                  <w:tcBorders>
                    <w:top w:val="none" w:color="000000" w:sz="4"/>
                    <w:left w:val="none" w:color="000000" w:sz="4"/>
                    <w:bottom w:val="single" w:color="000000" w:sz="4"/>
                    <w:right w:val="single" w:color="000000" w:sz="4"/>
                  </w:tcBorders>
                </w:tcPr>
                <w:p>
                  <w:pPr>
                    <w:jc w:val="center"/>
                  </w:pPr>
                  <w:r>
                    <w:rPr>
                      <w:sz w:val="21"/>
                    </w:rPr>
                    <w:t>新增运维</w:t>
                  </w:r>
                </w:p>
              </w:tc>
              <w:tc>
                <w:tcPr>
                  <w:tcW w:type="dxa" w:w="502"/>
                  <w:tcBorders>
                    <w:top w:val="none" w:color="000000" w:sz="4"/>
                    <w:left w:val="none" w:color="000000" w:sz="4"/>
                    <w:bottom w:val="single" w:color="000000" w:sz="4"/>
                    <w:right w:val="single" w:color="000000" w:sz="4"/>
                  </w:tcBorders>
                  <w:vAlign w:val="top"/>
                </w:tcPr>
                <w:p>
                  <w:pPr>
                    <w:jc w:val="both"/>
                  </w:pPr>
                </w:p>
              </w:tc>
            </w:tr>
            <w:tr>
              <w:tc>
                <w:tcPr>
                  <w:tcW w:type="dxa" w:w="531"/>
                  <w:tcBorders>
                    <w:top w:val="none" w:color="000000" w:sz="4"/>
                    <w:left w:val="single" w:color="000000" w:sz="4"/>
                    <w:bottom w:val="single" w:color="000000" w:sz="4"/>
                    <w:right w:val="single" w:color="000000" w:sz="4"/>
                  </w:tcBorders>
                </w:tcPr>
                <w:p>
                  <w:pPr>
                    <w:jc w:val="center"/>
                  </w:pPr>
                  <w:r>
                    <w:rPr>
                      <w:sz w:val="21"/>
                    </w:rPr>
                    <w:t>15</w:t>
                  </w:r>
                </w:p>
              </w:tc>
              <w:tc>
                <w:tcPr>
                  <w:tcW w:type="dxa" w:w="374"/>
                  <w:vMerge/>
                  <w:tcBorders>
                    <w:top w:val="none" w:color="000000" w:sz="4"/>
                    <w:left w:val="none" w:color="000000" w:sz="4"/>
                    <w:bottom w:val="single" w:color="000000" w:sz="4"/>
                    <w:right w:val="single" w:color="000000" w:sz="4"/>
                  </w:tcBorders>
                </w:tcPr>
                <w:p/>
              </w:tc>
              <w:tc>
                <w:tcPr>
                  <w:tcW w:type="dxa" w:w="561"/>
                  <w:tcBorders>
                    <w:top w:val="none" w:color="000000" w:sz="4"/>
                    <w:left w:val="none" w:color="000000" w:sz="4"/>
                    <w:bottom w:val="single" w:color="000000" w:sz="4"/>
                    <w:right w:val="single" w:color="000000" w:sz="4"/>
                  </w:tcBorders>
                </w:tcPr>
                <w:p>
                  <w:pPr>
                    <w:jc w:val="center"/>
                  </w:pPr>
                  <w:r>
                    <w:rPr>
                      <w:b/>
                      <w:sz w:val="21"/>
                    </w:rPr>
                    <w:t>自然资源局内部数据更新与共享技术服务</w:t>
                  </w:r>
                </w:p>
              </w:tc>
              <w:tc>
                <w:tcPr>
                  <w:tcW w:type="dxa" w:w="3070"/>
                  <w:tcBorders>
                    <w:top w:val="none" w:color="000000" w:sz="4"/>
                    <w:left w:val="none" w:color="000000" w:sz="4"/>
                    <w:bottom w:val="single" w:color="000000" w:sz="4"/>
                    <w:right w:val="single" w:color="000000" w:sz="4"/>
                  </w:tcBorders>
                </w:tcPr>
                <w:p>
                  <w:pPr>
                    <w:jc w:val="center"/>
                  </w:pPr>
                  <w:r>
                    <w:rPr>
                      <w:sz w:val="21"/>
                    </w:rPr>
                    <w:t>包括根据局内各部门使用系统实际数据对接运行情况，配合完成临时性系统对接服务，包括局内系统间数据共享、局外服务共享和系统对接、数据分离、数据优化、数据接口改造、联调、代码修改、适应性优化和数据运行环境优化、加载性能优化等提高数据运行效率与共享服务的技术运维工作。</w:t>
                  </w:r>
                </w:p>
              </w:tc>
              <w:tc>
                <w:tcPr>
                  <w:tcW w:type="dxa" w:w="561"/>
                  <w:tcBorders>
                    <w:top w:val="none" w:color="000000" w:sz="4"/>
                    <w:left w:val="none" w:color="000000" w:sz="4"/>
                    <w:bottom w:val="single" w:color="000000" w:sz="4"/>
                    <w:right w:val="single" w:color="000000" w:sz="4"/>
                  </w:tcBorders>
                </w:tcPr>
                <w:p>
                  <w:pPr>
                    <w:jc w:val="center"/>
                  </w:pPr>
                  <w:r>
                    <w:rPr>
                      <w:sz w:val="21"/>
                    </w:rPr>
                    <w:t>延续性运维</w:t>
                  </w:r>
                </w:p>
              </w:tc>
              <w:tc>
                <w:tcPr>
                  <w:tcW w:type="dxa" w:w="502"/>
                  <w:tcBorders>
                    <w:top w:val="none" w:color="000000" w:sz="4"/>
                    <w:left w:val="none" w:color="000000" w:sz="4"/>
                    <w:bottom w:val="single" w:color="000000" w:sz="4"/>
                    <w:right w:val="single" w:color="000000" w:sz="4"/>
                  </w:tcBorders>
                  <w:vAlign w:val="top"/>
                </w:tcPr>
                <w:p>
                  <w:pPr>
                    <w:jc w:val="both"/>
                  </w:pPr>
                </w:p>
              </w:tc>
            </w:tr>
            <w:tr>
              <w:tc>
                <w:tcPr>
                  <w:tcW w:type="dxa" w:w="531"/>
                  <w:tcBorders>
                    <w:top w:val="none" w:color="000000" w:sz="4"/>
                    <w:left w:val="single" w:color="000000" w:sz="4"/>
                    <w:bottom w:val="single" w:color="000000" w:sz="4"/>
                    <w:right w:val="single" w:color="000000" w:sz="4"/>
                  </w:tcBorders>
                </w:tcPr>
                <w:p>
                  <w:pPr>
                    <w:jc w:val="center"/>
                  </w:pPr>
                  <w:r>
                    <w:rPr>
                      <w:sz w:val="21"/>
                    </w:rPr>
                    <w:t>16</w:t>
                  </w:r>
                </w:p>
              </w:tc>
              <w:tc>
                <w:tcPr>
                  <w:tcW w:type="dxa" w:w="374"/>
                  <w:vMerge/>
                  <w:tcBorders>
                    <w:top w:val="none" w:color="000000" w:sz="4"/>
                    <w:left w:val="none" w:color="000000" w:sz="4"/>
                    <w:bottom w:val="single" w:color="000000" w:sz="4"/>
                    <w:right w:val="single" w:color="000000" w:sz="4"/>
                  </w:tcBorders>
                </w:tcPr>
                <w:p/>
              </w:tc>
              <w:tc>
                <w:tcPr>
                  <w:tcW w:type="dxa" w:w="561"/>
                  <w:tcBorders>
                    <w:top w:val="none" w:color="000000" w:sz="4"/>
                    <w:left w:val="none" w:color="000000" w:sz="4"/>
                    <w:bottom w:val="single" w:color="000000" w:sz="4"/>
                    <w:right w:val="single" w:color="000000" w:sz="4"/>
                  </w:tcBorders>
                </w:tcPr>
                <w:p>
                  <w:pPr>
                    <w:jc w:val="center"/>
                  </w:pPr>
                  <w:r>
                    <w:rPr>
                      <w:b/>
                      <w:sz w:val="21"/>
                    </w:rPr>
                    <w:t>镇街数据共享及更新服务</w:t>
                  </w:r>
                </w:p>
              </w:tc>
              <w:tc>
                <w:tcPr>
                  <w:tcW w:type="dxa" w:w="3070"/>
                  <w:tcBorders>
                    <w:top w:val="none" w:color="000000" w:sz="4"/>
                    <w:left w:val="none" w:color="000000" w:sz="4"/>
                    <w:bottom w:val="single" w:color="000000" w:sz="4"/>
                    <w:right w:val="single" w:color="000000" w:sz="4"/>
                  </w:tcBorders>
                </w:tcPr>
                <w:p>
                  <w:pPr>
                    <w:jc w:val="center"/>
                  </w:pPr>
                  <w:r>
                    <w:rPr>
                      <w:sz w:val="21"/>
                    </w:rPr>
                    <w:t>提供镇街数据汇聚共享及对外服务技术支持，包括空间数据汇聚、投影坐标转换、数据更新入库、对外技术服务、数据服务发布等工作；也包括根据系统实际数据对接运行情况，进行数据分离、数据优化、接口升级改造、接口数据联调代码、适应性优化和系统运行环境优化、提高系统运行效率等技术服务工作。</w:t>
                  </w:r>
                </w:p>
              </w:tc>
              <w:tc>
                <w:tcPr>
                  <w:tcW w:type="dxa" w:w="561"/>
                  <w:tcBorders>
                    <w:top w:val="none" w:color="000000" w:sz="4"/>
                    <w:left w:val="none" w:color="000000" w:sz="4"/>
                    <w:bottom w:val="single" w:color="000000" w:sz="4"/>
                    <w:right w:val="single" w:color="000000" w:sz="4"/>
                  </w:tcBorders>
                </w:tcPr>
                <w:p>
                  <w:pPr>
                    <w:jc w:val="center"/>
                  </w:pPr>
                  <w:r>
                    <w:rPr>
                      <w:sz w:val="21"/>
                    </w:rPr>
                    <w:t>持续性运维</w:t>
                  </w:r>
                </w:p>
              </w:tc>
              <w:tc>
                <w:tcPr>
                  <w:tcW w:type="dxa" w:w="502"/>
                  <w:tcBorders>
                    <w:top w:val="none" w:color="000000" w:sz="4"/>
                    <w:left w:val="none" w:color="000000" w:sz="4"/>
                    <w:bottom w:val="single" w:color="000000" w:sz="4"/>
                    <w:right w:val="single" w:color="000000" w:sz="4"/>
                  </w:tcBorders>
                  <w:vAlign w:val="top"/>
                </w:tcPr>
                <w:p>
                  <w:pPr>
                    <w:jc w:val="both"/>
                  </w:pPr>
                </w:p>
              </w:tc>
            </w:tr>
            <w:tr>
              <w:tc>
                <w:tcPr>
                  <w:tcW w:type="dxa" w:w="531"/>
                  <w:tcBorders>
                    <w:top w:val="none" w:color="000000" w:sz="4"/>
                    <w:left w:val="single" w:color="000000" w:sz="4"/>
                    <w:bottom w:val="single" w:color="000000" w:sz="4"/>
                    <w:right w:val="single" w:color="000000" w:sz="4"/>
                  </w:tcBorders>
                </w:tcPr>
                <w:p>
                  <w:pPr>
                    <w:jc w:val="center"/>
                  </w:pPr>
                  <w:r>
                    <w:rPr>
                      <w:sz w:val="21"/>
                    </w:rPr>
                    <w:t>17</w:t>
                  </w:r>
                </w:p>
              </w:tc>
              <w:tc>
                <w:tcPr>
                  <w:tcW w:type="dxa" w:w="374"/>
                  <w:vMerge w:val="restart"/>
                  <w:tcBorders>
                    <w:top w:val="none" w:color="000000" w:sz="4"/>
                    <w:left w:val="none" w:color="000000" w:sz="4"/>
                    <w:bottom w:val="single" w:color="000000" w:sz="4"/>
                    <w:right w:val="single" w:color="000000" w:sz="4"/>
                  </w:tcBorders>
                </w:tcPr>
                <w:p>
                  <w:pPr>
                    <w:jc w:val="center"/>
                  </w:pPr>
                  <w:r>
                    <w:rPr>
                      <w:b/>
                      <w:sz w:val="21"/>
                    </w:rPr>
                    <w:t>大数据中心持续运维</w:t>
                  </w:r>
                </w:p>
              </w:tc>
              <w:tc>
                <w:tcPr>
                  <w:tcW w:type="dxa" w:w="561"/>
                  <w:tcBorders>
                    <w:top w:val="none" w:color="000000" w:sz="4"/>
                    <w:left w:val="none" w:color="000000" w:sz="4"/>
                    <w:bottom w:val="single" w:color="000000" w:sz="4"/>
                    <w:right w:val="single" w:color="000000" w:sz="4"/>
                  </w:tcBorders>
                </w:tcPr>
                <w:p>
                  <w:pPr>
                    <w:jc w:val="center"/>
                  </w:pPr>
                  <w:r>
                    <w:rPr>
                      <w:b/>
                      <w:sz w:val="21"/>
                    </w:rPr>
                    <w:t>数据资源编目优化更新</w:t>
                  </w:r>
                </w:p>
              </w:tc>
              <w:tc>
                <w:tcPr>
                  <w:tcW w:type="dxa" w:w="3070"/>
                  <w:tcBorders>
                    <w:top w:val="none" w:color="000000" w:sz="4"/>
                    <w:left w:val="none" w:color="000000" w:sz="4"/>
                    <w:bottom w:val="single" w:color="000000" w:sz="4"/>
                    <w:right w:val="single" w:color="000000" w:sz="4"/>
                  </w:tcBorders>
                </w:tcPr>
                <w:p>
                  <w:pPr>
                    <w:jc w:val="center"/>
                  </w:pPr>
                  <w:r>
                    <w:rPr>
                      <w:sz w:val="21"/>
                    </w:rPr>
                    <w:t>包含纳入本范围的自然资源大数据中心已有的1600多存量二三维数据图层数据资源编目调整、结合数据库结构调整进行数据资源组织结构优化，数据资源编目梳理调整及更新发布。</w:t>
                  </w:r>
                </w:p>
              </w:tc>
              <w:tc>
                <w:tcPr>
                  <w:tcW w:type="dxa" w:w="561"/>
                  <w:tcBorders>
                    <w:top w:val="none" w:color="000000" w:sz="4"/>
                    <w:left w:val="none" w:color="000000" w:sz="4"/>
                    <w:bottom w:val="single" w:color="000000" w:sz="4"/>
                    <w:right w:val="single" w:color="000000" w:sz="4"/>
                  </w:tcBorders>
                </w:tcPr>
                <w:p>
                  <w:pPr>
                    <w:jc w:val="center"/>
                  </w:pPr>
                  <w:r>
                    <w:rPr>
                      <w:sz w:val="21"/>
                    </w:rPr>
                    <w:t>延续性运维</w:t>
                  </w:r>
                </w:p>
              </w:tc>
              <w:tc>
                <w:tcPr>
                  <w:tcW w:type="dxa" w:w="502"/>
                  <w:tcBorders>
                    <w:top w:val="none" w:color="000000" w:sz="4"/>
                    <w:left w:val="none" w:color="000000" w:sz="4"/>
                    <w:bottom w:val="single" w:color="000000" w:sz="4"/>
                    <w:right w:val="single" w:color="000000" w:sz="4"/>
                  </w:tcBorders>
                  <w:vAlign w:val="top"/>
                </w:tcPr>
                <w:p>
                  <w:pPr>
                    <w:jc w:val="both"/>
                  </w:pPr>
                </w:p>
              </w:tc>
            </w:tr>
            <w:tr>
              <w:tc>
                <w:tcPr>
                  <w:tcW w:type="dxa" w:w="531"/>
                  <w:tcBorders>
                    <w:top w:val="none" w:color="000000" w:sz="4"/>
                    <w:left w:val="single" w:color="000000" w:sz="4"/>
                    <w:bottom w:val="single" w:color="000000" w:sz="4"/>
                    <w:right w:val="single" w:color="000000" w:sz="4"/>
                  </w:tcBorders>
                </w:tcPr>
                <w:p>
                  <w:pPr>
                    <w:jc w:val="center"/>
                  </w:pPr>
                  <w:r>
                    <w:rPr>
                      <w:sz w:val="21"/>
                    </w:rPr>
                    <w:t>18</w:t>
                  </w:r>
                </w:p>
              </w:tc>
              <w:tc>
                <w:tcPr>
                  <w:tcW w:type="dxa" w:w="374"/>
                  <w:vMerge/>
                  <w:tcBorders>
                    <w:top w:val="none" w:color="000000" w:sz="4"/>
                    <w:left w:val="none" w:color="000000" w:sz="4"/>
                    <w:bottom w:val="single" w:color="000000" w:sz="4"/>
                    <w:right w:val="single" w:color="000000" w:sz="4"/>
                  </w:tcBorders>
                </w:tcPr>
                <w:p/>
              </w:tc>
              <w:tc>
                <w:tcPr>
                  <w:tcW w:type="dxa" w:w="561"/>
                  <w:tcBorders>
                    <w:top w:val="none" w:color="000000" w:sz="4"/>
                    <w:left w:val="none" w:color="000000" w:sz="4"/>
                    <w:bottom w:val="single" w:color="000000" w:sz="4"/>
                    <w:right w:val="single" w:color="000000" w:sz="4"/>
                  </w:tcBorders>
                </w:tcPr>
                <w:p>
                  <w:pPr>
                    <w:jc w:val="center"/>
                  </w:pPr>
                  <w:r>
                    <w:rPr>
                      <w:b/>
                      <w:sz w:val="21"/>
                    </w:rPr>
                    <w:t>数据处理及数据规整技术服务</w:t>
                  </w:r>
                </w:p>
              </w:tc>
              <w:tc>
                <w:tcPr>
                  <w:tcW w:type="dxa" w:w="3070"/>
                  <w:tcBorders>
                    <w:top w:val="none" w:color="000000" w:sz="4"/>
                    <w:left w:val="none" w:color="000000" w:sz="4"/>
                    <w:bottom w:val="single" w:color="000000" w:sz="4"/>
                    <w:right w:val="single" w:color="000000" w:sz="4"/>
                  </w:tcBorders>
                </w:tcPr>
                <w:p>
                  <w:pPr>
                    <w:jc w:val="center"/>
                  </w:pPr>
                  <w:r>
                    <w:rPr>
                      <w:sz w:val="21"/>
                    </w:rPr>
                    <w:t>强化原始数据的记录台账统一管理，结合相关使用需求，提供矢量图层处理及栅格、表单数据整理等技术服务，按照自然资源局数据管理标准提供数据格式转换、坐标转换、属性修改、数据清洗、数据恢复、拓扑错误修复、数据质检、元数据管理、增删改查字段等技术服务。</w:t>
                  </w:r>
                </w:p>
              </w:tc>
              <w:tc>
                <w:tcPr>
                  <w:tcW w:type="dxa" w:w="561"/>
                  <w:tcBorders>
                    <w:top w:val="none" w:color="000000" w:sz="4"/>
                    <w:left w:val="none" w:color="000000" w:sz="4"/>
                    <w:bottom w:val="single" w:color="000000" w:sz="4"/>
                    <w:right w:val="single" w:color="000000" w:sz="4"/>
                  </w:tcBorders>
                </w:tcPr>
                <w:p>
                  <w:pPr>
                    <w:jc w:val="center"/>
                  </w:pPr>
                  <w:r>
                    <w:rPr>
                      <w:sz w:val="21"/>
                    </w:rPr>
                    <w:t>新增运维</w:t>
                  </w:r>
                </w:p>
              </w:tc>
              <w:tc>
                <w:tcPr>
                  <w:tcW w:type="dxa" w:w="502"/>
                  <w:tcBorders>
                    <w:top w:val="none" w:color="000000" w:sz="4"/>
                    <w:left w:val="none" w:color="000000" w:sz="4"/>
                    <w:bottom w:val="single" w:color="000000" w:sz="4"/>
                    <w:right w:val="single" w:color="000000" w:sz="4"/>
                  </w:tcBorders>
                  <w:vAlign w:val="top"/>
                </w:tcPr>
                <w:p>
                  <w:pPr>
                    <w:jc w:val="both"/>
                  </w:pPr>
                </w:p>
              </w:tc>
            </w:tr>
            <w:tr>
              <w:tc>
                <w:tcPr>
                  <w:tcW w:type="dxa" w:w="531"/>
                  <w:tcBorders>
                    <w:top w:val="none" w:color="000000" w:sz="4"/>
                    <w:left w:val="single" w:color="000000" w:sz="4"/>
                    <w:bottom w:val="single" w:color="000000" w:sz="4"/>
                    <w:right w:val="single" w:color="000000" w:sz="4"/>
                  </w:tcBorders>
                </w:tcPr>
                <w:p>
                  <w:pPr>
                    <w:jc w:val="center"/>
                  </w:pPr>
                  <w:r>
                    <w:rPr>
                      <w:sz w:val="21"/>
                    </w:rPr>
                    <w:t>19</w:t>
                  </w:r>
                </w:p>
              </w:tc>
              <w:tc>
                <w:tcPr>
                  <w:tcW w:type="dxa" w:w="374"/>
                  <w:vMerge/>
                  <w:tcBorders>
                    <w:top w:val="none" w:color="000000" w:sz="4"/>
                    <w:left w:val="none" w:color="000000" w:sz="4"/>
                    <w:bottom w:val="single" w:color="000000" w:sz="4"/>
                    <w:right w:val="single" w:color="000000" w:sz="4"/>
                  </w:tcBorders>
                </w:tcPr>
                <w:p/>
              </w:tc>
              <w:tc>
                <w:tcPr>
                  <w:tcW w:type="dxa" w:w="561"/>
                  <w:tcBorders>
                    <w:top w:val="none" w:color="000000" w:sz="4"/>
                    <w:left w:val="none" w:color="000000" w:sz="4"/>
                    <w:bottom w:val="single" w:color="000000" w:sz="4"/>
                    <w:right w:val="single" w:color="000000" w:sz="4"/>
                  </w:tcBorders>
                </w:tcPr>
                <w:p>
                  <w:pPr>
                    <w:jc w:val="center"/>
                  </w:pPr>
                  <w:r>
                    <w:rPr>
                      <w:b/>
                      <w:sz w:val="21"/>
                    </w:rPr>
                    <w:t>数据标签配置</w:t>
                  </w:r>
                </w:p>
              </w:tc>
              <w:tc>
                <w:tcPr>
                  <w:tcW w:type="dxa" w:w="3070"/>
                  <w:tcBorders>
                    <w:top w:val="none" w:color="000000" w:sz="4"/>
                    <w:left w:val="none" w:color="000000" w:sz="4"/>
                    <w:bottom w:val="single" w:color="000000" w:sz="4"/>
                    <w:right w:val="single" w:color="000000" w:sz="4"/>
                  </w:tcBorders>
                </w:tcPr>
                <w:p>
                  <w:pPr>
                    <w:jc w:val="center"/>
                  </w:pPr>
                  <w:r>
                    <w:rPr>
                      <w:sz w:val="21"/>
                    </w:rPr>
                    <w:t>优化对数据库表的元数据管理，修改调整其字段别名用于系统展示。在数据资源目录优化基础上，结合业务实际使用需求，建立数据标签并依据数据安全管理需求按需配置标签权限</w:t>
                  </w:r>
                </w:p>
              </w:tc>
              <w:tc>
                <w:tcPr>
                  <w:tcW w:type="dxa" w:w="561"/>
                  <w:tcBorders>
                    <w:top w:val="none" w:color="000000" w:sz="4"/>
                    <w:left w:val="none" w:color="000000" w:sz="4"/>
                    <w:bottom w:val="single" w:color="000000" w:sz="4"/>
                    <w:right w:val="single" w:color="000000" w:sz="4"/>
                  </w:tcBorders>
                </w:tcPr>
                <w:p>
                  <w:pPr>
                    <w:jc w:val="center"/>
                  </w:pPr>
                  <w:r>
                    <w:rPr>
                      <w:sz w:val="21"/>
                    </w:rPr>
                    <w:t>新增运维</w:t>
                  </w:r>
                </w:p>
              </w:tc>
              <w:tc>
                <w:tcPr>
                  <w:tcW w:type="dxa" w:w="502"/>
                  <w:tcBorders>
                    <w:top w:val="none" w:color="000000" w:sz="4"/>
                    <w:left w:val="none" w:color="000000" w:sz="4"/>
                    <w:bottom w:val="single" w:color="000000" w:sz="4"/>
                    <w:right w:val="single" w:color="000000" w:sz="4"/>
                  </w:tcBorders>
                  <w:vAlign w:val="top"/>
                </w:tcPr>
                <w:p>
                  <w:pPr>
                    <w:jc w:val="both"/>
                  </w:pPr>
                </w:p>
              </w:tc>
            </w:tr>
            <w:tr>
              <w:tc>
                <w:tcPr>
                  <w:tcW w:type="dxa" w:w="531"/>
                  <w:tcBorders>
                    <w:top w:val="none" w:color="000000" w:sz="4"/>
                    <w:left w:val="single" w:color="000000" w:sz="4"/>
                    <w:bottom w:val="single" w:color="000000" w:sz="4"/>
                    <w:right w:val="single" w:color="000000" w:sz="4"/>
                  </w:tcBorders>
                </w:tcPr>
                <w:p>
                  <w:pPr>
                    <w:jc w:val="center"/>
                  </w:pPr>
                  <w:r>
                    <w:rPr>
                      <w:sz w:val="21"/>
                    </w:rPr>
                    <w:t>20</w:t>
                  </w:r>
                </w:p>
              </w:tc>
              <w:tc>
                <w:tcPr>
                  <w:tcW w:type="dxa" w:w="374"/>
                  <w:vMerge/>
                  <w:tcBorders>
                    <w:top w:val="none" w:color="000000" w:sz="4"/>
                    <w:left w:val="none" w:color="000000" w:sz="4"/>
                    <w:bottom w:val="single" w:color="000000" w:sz="4"/>
                    <w:right w:val="single" w:color="000000" w:sz="4"/>
                  </w:tcBorders>
                </w:tcPr>
                <w:p/>
              </w:tc>
              <w:tc>
                <w:tcPr>
                  <w:tcW w:type="dxa" w:w="561"/>
                  <w:tcBorders>
                    <w:top w:val="none" w:color="000000" w:sz="4"/>
                    <w:left w:val="none" w:color="000000" w:sz="4"/>
                    <w:bottom w:val="single" w:color="000000" w:sz="4"/>
                    <w:right w:val="single" w:color="000000" w:sz="4"/>
                  </w:tcBorders>
                </w:tcPr>
                <w:p>
                  <w:pPr>
                    <w:jc w:val="center"/>
                  </w:pPr>
                  <w:r>
                    <w:rPr>
                      <w:b/>
                      <w:sz w:val="21"/>
                    </w:rPr>
                    <w:t>数据统计分析服务</w:t>
                  </w:r>
                </w:p>
              </w:tc>
              <w:tc>
                <w:tcPr>
                  <w:tcW w:type="dxa" w:w="3070"/>
                  <w:tcBorders>
                    <w:top w:val="none" w:color="000000" w:sz="4"/>
                    <w:left w:val="none" w:color="000000" w:sz="4"/>
                    <w:bottom w:val="single" w:color="000000" w:sz="4"/>
                    <w:right w:val="single" w:color="000000" w:sz="4"/>
                  </w:tcBorders>
                </w:tcPr>
                <w:p>
                  <w:pPr>
                    <w:jc w:val="center"/>
                  </w:pPr>
                  <w:r>
                    <w:rPr>
                      <w:sz w:val="21"/>
                    </w:rPr>
                    <w:t>根据科室和信息中心需要筛选并导出指定格式的数据进行提供数据统计报表；在数据间建立图文关联，对同一类别或不同类别数据间的数据逻辑矛盾进行梳理分析，协助科室对数据进行分析处理。对各类数据进行分析处理，形成多个支持分析和决策的专题数据集。协助科室制作二次处理数据并进行常态化更新，例如工业用地、批而未供、供而未建等数据的统计分析服务。</w:t>
                  </w:r>
                </w:p>
              </w:tc>
              <w:tc>
                <w:tcPr>
                  <w:tcW w:type="dxa" w:w="561"/>
                  <w:tcBorders>
                    <w:top w:val="none" w:color="000000" w:sz="4"/>
                    <w:left w:val="none" w:color="000000" w:sz="4"/>
                    <w:bottom w:val="single" w:color="000000" w:sz="4"/>
                    <w:right w:val="single" w:color="000000" w:sz="4"/>
                  </w:tcBorders>
                </w:tcPr>
                <w:p>
                  <w:pPr>
                    <w:jc w:val="center"/>
                  </w:pPr>
                  <w:r>
                    <w:rPr>
                      <w:sz w:val="21"/>
                    </w:rPr>
                    <w:t>新增运维</w:t>
                  </w:r>
                </w:p>
              </w:tc>
              <w:tc>
                <w:tcPr>
                  <w:tcW w:type="dxa" w:w="502"/>
                  <w:tcBorders>
                    <w:top w:val="none" w:color="000000" w:sz="4"/>
                    <w:left w:val="none" w:color="000000" w:sz="4"/>
                    <w:bottom w:val="single" w:color="000000" w:sz="4"/>
                    <w:right w:val="single" w:color="000000" w:sz="4"/>
                  </w:tcBorders>
                  <w:vAlign w:val="top"/>
                </w:tcPr>
                <w:p>
                  <w:pPr>
                    <w:jc w:val="both"/>
                  </w:pPr>
                </w:p>
              </w:tc>
            </w:tr>
            <w:tr>
              <w:tc>
                <w:tcPr>
                  <w:tcW w:type="dxa" w:w="531"/>
                  <w:tcBorders>
                    <w:top w:val="none" w:color="000000" w:sz="4"/>
                    <w:left w:val="single" w:color="000000" w:sz="4"/>
                    <w:bottom w:val="single" w:color="000000" w:sz="4"/>
                    <w:right w:val="single" w:color="000000" w:sz="4"/>
                  </w:tcBorders>
                </w:tcPr>
                <w:p>
                  <w:pPr>
                    <w:jc w:val="center"/>
                  </w:pPr>
                  <w:r>
                    <w:rPr>
                      <w:sz w:val="21"/>
                    </w:rPr>
                    <w:t>21</w:t>
                  </w:r>
                </w:p>
              </w:tc>
              <w:tc>
                <w:tcPr>
                  <w:tcW w:type="dxa" w:w="374"/>
                  <w:vMerge/>
                  <w:tcBorders>
                    <w:top w:val="none" w:color="000000" w:sz="4"/>
                    <w:left w:val="none" w:color="000000" w:sz="4"/>
                    <w:bottom w:val="single" w:color="000000" w:sz="4"/>
                    <w:right w:val="single" w:color="000000" w:sz="4"/>
                  </w:tcBorders>
                </w:tcPr>
                <w:p/>
              </w:tc>
              <w:tc>
                <w:tcPr>
                  <w:tcW w:type="dxa" w:w="561"/>
                  <w:tcBorders>
                    <w:top w:val="none" w:color="000000" w:sz="4"/>
                    <w:left w:val="none" w:color="000000" w:sz="4"/>
                    <w:bottom w:val="single" w:color="000000" w:sz="4"/>
                    <w:right w:val="single" w:color="000000" w:sz="4"/>
                  </w:tcBorders>
                </w:tcPr>
                <w:p>
                  <w:pPr>
                    <w:jc w:val="center"/>
                  </w:pPr>
                  <w:r>
                    <w:rPr>
                      <w:b/>
                      <w:sz w:val="21"/>
                    </w:rPr>
                    <w:t>数据质量监控</w:t>
                  </w:r>
                </w:p>
              </w:tc>
              <w:tc>
                <w:tcPr>
                  <w:tcW w:type="dxa" w:w="3070"/>
                  <w:tcBorders>
                    <w:top w:val="none" w:color="000000" w:sz="4"/>
                    <w:left w:val="none" w:color="000000" w:sz="4"/>
                    <w:bottom w:val="single" w:color="000000" w:sz="4"/>
                    <w:right w:val="single" w:color="000000" w:sz="4"/>
                  </w:tcBorders>
                </w:tcPr>
                <w:p>
                  <w:pPr>
                    <w:jc w:val="center"/>
                  </w:pPr>
                  <w:r>
                    <w:rPr>
                      <w:sz w:val="21"/>
                    </w:rPr>
                    <w:t>定期对存储、备份的原始数据以及二三维图层数据资源进行可靠性检测，开展巡检、质量抽检，及时发现、处理并解决数据质量问题，比如数据坐标不一致、完整性缺失、属性丢失、字段乱码等问题，运维人员在巡检过程中发现的故障问题按照数据业务类别及安全等级以及相应处理办法进行质量监控和问题恢复。</w:t>
                  </w:r>
                </w:p>
              </w:tc>
              <w:tc>
                <w:tcPr>
                  <w:tcW w:type="dxa" w:w="561"/>
                  <w:tcBorders>
                    <w:top w:val="none" w:color="000000" w:sz="4"/>
                    <w:left w:val="none" w:color="000000" w:sz="4"/>
                    <w:bottom w:val="single" w:color="000000" w:sz="4"/>
                    <w:right w:val="single" w:color="000000" w:sz="4"/>
                  </w:tcBorders>
                </w:tcPr>
                <w:p>
                  <w:pPr>
                    <w:jc w:val="center"/>
                  </w:pPr>
                  <w:r>
                    <w:rPr>
                      <w:sz w:val="21"/>
                    </w:rPr>
                    <w:t>延续性运维</w:t>
                  </w:r>
                </w:p>
              </w:tc>
              <w:tc>
                <w:tcPr>
                  <w:tcW w:type="dxa" w:w="502"/>
                  <w:tcBorders>
                    <w:top w:val="none" w:color="000000" w:sz="4"/>
                    <w:left w:val="none" w:color="000000" w:sz="4"/>
                    <w:bottom w:val="single" w:color="000000" w:sz="4"/>
                    <w:right w:val="single" w:color="000000" w:sz="4"/>
                  </w:tcBorders>
                  <w:vAlign w:val="top"/>
                </w:tcPr>
                <w:p>
                  <w:pPr>
                    <w:jc w:val="both"/>
                  </w:pPr>
                </w:p>
              </w:tc>
            </w:tr>
            <w:tr>
              <w:tc>
                <w:tcPr>
                  <w:tcW w:type="dxa" w:w="531"/>
                  <w:tcBorders>
                    <w:top w:val="none" w:color="000000" w:sz="4"/>
                    <w:left w:val="single" w:color="000000" w:sz="4"/>
                    <w:bottom w:val="single" w:color="000000" w:sz="4"/>
                    <w:right w:val="single" w:color="000000" w:sz="4"/>
                  </w:tcBorders>
                </w:tcPr>
                <w:p>
                  <w:pPr>
                    <w:jc w:val="center"/>
                  </w:pPr>
                  <w:r>
                    <w:rPr>
                      <w:sz w:val="21"/>
                    </w:rPr>
                    <w:t>22</w:t>
                  </w:r>
                </w:p>
              </w:tc>
              <w:tc>
                <w:tcPr>
                  <w:tcW w:type="dxa" w:w="374"/>
                  <w:vMerge/>
                  <w:tcBorders>
                    <w:top w:val="none" w:color="000000" w:sz="4"/>
                    <w:left w:val="none" w:color="000000" w:sz="4"/>
                    <w:bottom w:val="single" w:color="000000" w:sz="4"/>
                    <w:right w:val="single" w:color="000000" w:sz="4"/>
                  </w:tcBorders>
                </w:tcPr>
                <w:p/>
              </w:tc>
              <w:tc>
                <w:tcPr>
                  <w:tcW w:type="dxa" w:w="561"/>
                  <w:tcBorders>
                    <w:top w:val="none" w:color="000000" w:sz="4"/>
                    <w:left w:val="none" w:color="000000" w:sz="4"/>
                    <w:bottom w:val="single" w:color="000000" w:sz="4"/>
                    <w:right w:val="single" w:color="000000" w:sz="4"/>
                  </w:tcBorders>
                </w:tcPr>
                <w:p>
                  <w:pPr>
                    <w:jc w:val="center"/>
                  </w:pPr>
                  <w:r>
                    <w:rPr>
                      <w:b/>
                      <w:sz w:val="21"/>
                    </w:rPr>
                    <w:t>数据服务监控</w:t>
                  </w:r>
                </w:p>
              </w:tc>
              <w:tc>
                <w:tcPr>
                  <w:tcW w:type="dxa" w:w="3070"/>
                  <w:tcBorders>
                    <w:top w:val="none" w:color="000000" w:sz="4"/>
                    <w:left w:val="none" w:color="000000" w:sz="4"/>
                    <w:bottom w:val="single" w:color="000000" w:sz="4"/>
                    <w:right w:val="single" w:color="000000" w:sz="4"/>
                  </w:tcBorders>
                </w:tcPr>
                <w:p>
                  <w:pPr>
                    <w:jc w:val="center"/>
                  </w:pPr>
                  <w:r>
                    <w:rPr>
                      <w:sz w:val="21"/>
                    </w:rPr>
                    <w:t>对数据更新发布进行运维监控，通过运维平台监控预警功能进行数据服务监控，设置报警机制，每天查看是否有预警记录，预警记录来源主要有两方面，一是根据自定义设置的报警机制报警通知，二是后台自动对服务器进行健康巡检有问题既生成预警记录。运维人员每天查看未处理的预警记录通知相关人员处理，当有预警记录产生时系统自动发送短信通知运维人员处理。</w:t>
                  </w:r>
                </w:p>
              </w:tc>
              <w:tc>
                <w:tcPr>
                  <w:tcW w:type="dxa" w:w="561"/>
                  <w:tcBorders>
                    <w:top w:val="none" w:color="000000" w:sz="4"/>
                    <w:left w:val="none" w:color="000000" w:sz="4"/>
                    <w:bottom w:val="single" w:color="000000" w:sz="4"/>
                    <w:right w:val="single" w:color="000000" w:sz="4"/>
                  </w:tcBorders>
                </w:tcPr>
                <w:p>
                  <w:pPr>
                    <w:jc w:val="center"/>
                  </w:pPr>
                  <w:r>
                    <w:rPr>
                      <w:sz w:val="21"/>
                    </w:rPr>
                    <w:t>延续性运维</w:t>
                  </w:r>
                </w:p>
              </w:tc>
              <w:tc>
                <w:tcPr>
                  <w:tcW w:type="dxa" w:w="502"/>
                  <w:tcBorders>
                    <w:top w:val="none" w:color="000000" w:sz="4"/>
                    <w:left w:val="none" w:color="000000" w:sz="4"/>
                    <w:bottom w:val="single" w:color="000000" w:sz="4"/>
                    <w:right w:val="single" w:color="000000" w:sz="4"/>
                  </w:tcBorders>
                  <w:vAlign w:val="top"/>
                </w:tcPr>
                <w:p>
                  <w:pPr>
                    <w:jc w:val="both"/>
                  </w:pPr>
                </w:p>
              </w:tc>
            </w:tr>
            <w:tr>
              <w:tc>
                <w:tcPr>
                  <w:tcW w:type="dxa" w:w="531"/>
                  <w:tcBorders>
                    <w:top w:val="none" w:color="000000" w:sz="4"/>
                    <w:left w:val="single" w:color="000000" w:sz="4"/>
                    <w:bottom w:val="single" w:color="000000" w:sz="4"/>
                    <w:right w:val="single" w:color="000000" w:sz="4"/>
                  </w:tcBorders>
                </w:tcPr>
                <w:p>
                  <w:pPr>
                    <w:jc w:val="center"/>
                  </w:pPr>
                  <w:r>
                    <w:rPr>
                      <w:sz w:val="21"/>
                    </w:rPr>
                    <w:t>23</w:t>
                  </w:r>
                </w:p>
              </w:tc>
              <w:tc>
                <w:tcPr>
                  <w:tcW w:type="dxa" w:w="374"/>
                  <w:vMerge/>
                  <w:tcBorders>
                    <w:top w:val="none" w:color="000000" w:sz="4"/>
                    <w:left w:val="none" w:color="000000" w:sz="4"/>
                    <w:bottom w:val="single" w:color="000000" w:sz="4"/>
                    <w:right w:val="single" w:color="000000" w:sz="4"/>
                  </w:tcBorders>
                </w:tcPr>
                <w:p/>
              </w:tc>
              <w:tc>
                <w:tcPr>
                  <w:tcW w:type="dxa" w:w="561"/>
                  <w:tcBorders>
                    <w:top w:val="none" w:color="000000" w:sz="4"/>
                    <w:left w:val="none" w:color="000000" w:sz="4"/>
                    <w:bottom w:val="single" w:color="000000" w:sz="4"/>
                    <w:right w:val="single" w:color="000000" w:sz="4"/>
                  </w:tcBorders>
                </w:tcPr>
                <w:p>
                  <w:pPr>
                    <w:jc w:val="center"/>
                  </w:pPr>
                  <w:r>
                    <w:rPr>
                      <w:b/>
                      <w:sz w:val="21"/>
                    </w:rPr>
                    <w:t>数据调用日志分析</w:t>
                  </w:r>
                </w:p>
              </w:tc>
              <w:tc>
                <w:tcPr>
                  <w:tcW w:type="dxa" w:w="3070"/>
                  <w:tcBorders>
                    <w:top w:val="none" w:color="000000" w:sz="4"/>
                    <w:left w:val="none" w:color="000000" w:sz="4"/>
                    <w:bottom w:val="single" w:color="000000" w:sz="4"/>
                    <w:right w:val="single" w:color="000000" w:sz="4"/>
                  </w:tcBorders>
                </w:tcPr>
                <w:p>
                  <w:pPr>
                    <w:jc w:val="center"/>
                  </w:pPr>
                  <w:r>
                    <w:rPr>
                      <w:sz w:val="21"/>
                    </w:rPr>
                    <w:t>定期开展数据调用日志分析，结合信息中心对组织机构、用户管理、角色用户、系统管理、权限配置的要求，对操作日志等功能进行维护。定期分析数据调用日志问题，分析组织机构增删改、角色增删改、用户数据权限授予和回收等系统配置功能改造或升级的需求。</w:t>
                  </w:r>
                </w:p>
              </w:tc>
              <w:tc>
                <w:tcPr>
                  <w:tcW w:type="dxa" w:w="561"/>
                  <w:tcBorders>
                    <w:top w:val="none" w:color="000000" w:sz="4"/>
                    <w:left w:val="none" w:color="000000" w:sz="4"/>
                    <w:bottom w:val="single" w:color="000000" w:sz="4"/>
                    <w:right w:val="single" w:color="000000" w:sz="4"/>
                  </w:tcBorders>
                </w:tcPr>
                <w:p>
                  <w:pPr>
                    <w:jc w:val="center"/>
                  </w:pPr>
                  <w:r>
                    <w:rPr>
                      <w:sz w:val="21"/>
                    </w:rPr>
                    <w:t>延续性运维</w:t>
                  </w:r>
                </w:p>
              </w:tc>
              <w:tc>
                <w:tcPr>
                  <w:tcW w:type="dxa" w:w="502"/>
                  <w:tcBorders>
                    <w:top w:val="none" w:color="000000" w:sz="4"/>
                    <w:left w:val="none" w:color="000000" w:sz="4"/>
                    <w:bottom w:val="single" w:color="000000" w:sz="4"/>
                    <w:right w:val="single" w:color="000000" w:sz="4"/>
                  </w:tcBorders>
                  <w:vAlign w:val="top"/>
                </w:tcPr>
                <w:p>
                  <w:pPr>
                    <w:jc w:val="both"/>
                  </w:pPr>
                </w:p>
              </w:tc>
            </w:tr>
            <w:tr>
              <w:tc>
                <w:tcPr>
                  <w:tcW w:type="dxa" w:w="531"/>
                  <w:tcBorders>
                    <w:top w:val="none" w:color="000000" w:sz="4"/>
                    <w:left w:val="single" w:color="000000" w:sz="4"/>
                    <w:bottom w:val="single" w:color="000000" w:sz="4"/>
                    <w:right w:val="single" w:color="000000" w:sz="4"/>
                  </w:tcBorders>
                </w:tcPr>
                <w:p>
                  <w:pPr>
                    <w:jc w:val="center"/>
                  </w:pPr>
                  <w:r>
                    <w:rPr>
                      <w:sz w:val="21"/>
                    </w:rPr>
                    <w:t>24</w:t>
                  </w:r>
                </w:p>
              </w:tc>
              <w:tc>
                <w:tcPr>
                  <w:tcW w:type="dxa" w:w="374"/>
                  <w:vMerge/>
                  <w:tcBorders>
                    <w:top w:val="none" w:color="000000" w:sz="4"/>
                    <w:left w:val="none" w:color="000000" w:sz="4"/>
                    <w:bottom w:val="single" w:color="000000" w:sz="4"/>
                    <w:right w:val="single" w:color="000000" w:sz="4"/>
                  </w:tcBorders>
                </w:tcPr>
                <w:p/>
              </w:tc>
              <w:tc>
                <w:tcPr>
                  <w:tcW w:type="dxa" w:w="561"/>
                  <w:tcBorders>
                    <w:top w:val="none" w:color="000000" w:sz="4"/>
                    <w:left w:val="none" w:color="000000" w:sz="4"/>
                    <w:bottom w:val="single" w:color="000000" w:sz="4"/>
                    <w:right w:val="single" w:color="000000" w:sz="4"/>
                  </w:tcBorders>
                </w:tcPr>
                <w:p>
                  <w:pPr>
                    <w:jc w:val="center"/>
                  </w:pPr>
                  <w:r>
                    <w:rPr>
                      <w:b/>
                      <w:sz w:val="21"/>
                    </w:rPr>
                    <w:t>数据更新发布服务</w:t>
                  </w:r>
                </w:p>
              </w:tc>
              <w:tc>
                <w:tcPr>
                  <w:tcW w:type="dxa" w:w="3070"/>
                  <w:tcBorders>
                    <w:top w:val="none" w:color="000000" w:sz="4"/>
                    <w:left w:val="none" w:color="000000" w:sz="4"/>
                    <w:bottom w:val="single" w:color="000000" w:sz="4"/>
                    <w:right w:val="single" w:color="000000" w:sz="4"/>
                  </w:tcBorders>
                </w:tcPr>
                <w:p>
                  <w:pPr>
                    <w:jc w:val="center"/>
                  </w:pPr>
                  <w:r>
                    <w:rPr>
                      <w:sz w:val="21"/>
                    </w:rPr>
                    <w:t>结合业务实际使用需求，对自然资源局大数据中心新增和归集的各类基础数据和专题数据进行入库更新、并发布到平台和系统。</w:t>
                  </w:r>
                </w:p>
              </w:tc>
              <w:tc>
                <w:tcPr>
                  <w:tcW w:type="dxa" w:w="561"/>
                  <w:tcBorders>
                    <w:top w:val="none" w:color="000000" w:sz="4"/>
                    <w:left w:val="none" w:color="000000" w:sz="4"/>
                    <w:bottom w:val="single" w:color="000000" w:sz="4"/>
                    <w:right w:val="single" w:color="000000" w:sz="4"/>
                  </w:tcBorders>
                </w:tcPr>
                <w:p>
                  <w:pPr>
                    <w:jc w:val="center"/>
                  </w:pPr>
                  <w:r>
                    <w:rPr>
                      <w:sz w:val="21"/>
                    </w:rPr>
                    <w:t>延续性运维</w:t>
                  </w:r>
                </w:p>
              </w:tc>
              <w:tc>
                <w:tcPr>
                  <w:tcW w:type="dxa" w:w="502"/>
                  <w:tcBorders>
                    <w:top w:val="none" w:color="000000" w:sz="4"/>
                    <w:left w:val="none" w:color="000000" w:sz="4"/>
                    <w:bottom w:val="single" w:color="000000" w:sz="4"/>
                    <w:right w:val="single" w:color="000000" w:sz="4"/>
                  </w:tcBorders>
                  <w:vAlign w:val="top"/>
                </w:tcPr>
                <w:p>
                  <w:pPr>
                    <w:jc w:val="both"/>
                  </w:pPr>
                </w:p>
              </w:tc>
            </w:tr>
            <w:tr>
              <w:tc>
                <w:tcPr>
                  <w:tcW w:type="dxa" w:w="531"/>
                  <w:tcBorders>
                    <w:top w:val="none" w:color="000000" w:sz="4"/>
                    <w:left w:val="single" w:color="000000" w:sz="4"/>
                    <w:bottom w:val="single" w:color="000000" w:sz="4"/>
                    <w:right w:val="single" w:color="000000" w:sz="4"/>
                  </w:tcBorders>
                </w:tcPr>
                <w:p>
                  <w:pPr>
                    <w:jc w:val="center"/>
                  </w:pPr>
                  <w:r>
                    <w:rPr>
                      <w:sz w:val="21"/>
                    </w:rPr>
                    <w:t>25</w:t>
                  </w:r>
                </w:p>
              </w:tc>
              <w:tc>
                <w:tcPr>
                  <w:tcW w:type="dxa" w:w="374"/>
                  <w:vMerge w:val="restart"/>
                  <w:tcBorders>
                    <w:top w:val="none" w:color="000000" w:sz="4"/>
                    <w:left w:val="none" w:color="000000" w:sz="4"/>
                    <w:bottom w:val="single" w:color="000000" w:sz="4"/>
                    <w:right w:val="single" w:color="000000" w:sz="4"/>
                  </w:tcBorders>
                </w:tcPr>
                <w:p>
                  <w:pPr>
                    <w:jc w:val="center"/>
                  </w:pPr>
                  <w:r>
                    <w:rPr>
                      <w:b/>
                      <w:sz w:val="21"/>
                    </w:rPr>
                    <w:t>专项业务技术服务</w:t>
                  </w:r>
                </w:p>
              </w:tc>
              <w:tc>
                <w:tcPr>
                  <w:tcW w:type="dxa" w:w="561"/>
                  <w:tcBorders>
                    <w:top w:val="none" w:color="000000" w:sz="4"/>
                    <w:left w:val="none" w:color="000000" w:sz="4"/>
                    <w:bottom w:val="single" w:color="000000" w:sz="4"/>
                    <w:right w:val="single" w:color="000000" w:sz="4"/>
                  </w:tcBorders>
                </w:tcPr>
                <w:p>
                  <w:pPr>
                    <w:jc w:val="center"/>
                  </w:pPr>
                  <w:r>
                    <w:rPr>
                      <w:b/>
                      <w:sz w:val="21"/>
                    </w:rPr>
                    <w:t>还原建设用地数据处理技术服务</w:t>
                  </w:r>
                </w:p>
              </w:tc>
              <w:tc>
                <w:tcPr>
                  <w:tcW w:type="dxa" w:w="3070"/>
                  <w:tcBorders>
                    <w:top w:val="none" w:color="000000" w:sz="4"/>
                    <w:left w:val="none" w:color="000000" w:sz="4"/>
                    <w:bottom w:val="single" w:color="000000" w:sz="4"/>
                    <w:right w:val="single" w:color="000000" w:sz="4"/>
                  </w:tcBorders>
                </w:tcPr>
                <w:p>
                  <w:pPr>
                    <w:jc w:val="center"/>
                  </w:pPr>
                  <w:r>
                    <w:rPr>
                      <w:sz w:val="21"/>
                    </w:rPr>
                    <w:t>结合业务科室实际使用需求，对2018-1999年共15个年份的地类图斑数据进行全市域联合处理，按照现状地类追溯原则逐年追溯建设用地、非建设用地图斑并赋值，根据全国国土调查工作分类及三大类划定标准进行还原建设用地数据处理与图斑校核技术服务。</w:t>
                  </w:r>
                </w:p>
              </w:tc>
              <w:tc>
                <w:tcPr>
                  <w:tcW w:type="dxa" w:w="561"/>
                  <w:tcBorders>
                    <w:top w:val="none" w:color="000000" w:sz="4"/>
                    <w:left w:val="none" w:color="000000" w:sz="4"/>
                    <w:bottom w:val="single" w:color="000000" w:sz="4"/>
                    <w:right w:val="single" w:color="000000" w:sz="4"/>
                  </w:tcBorders>
                </w:tcPr>
                <w:p>
                  <w:pPr>
                    <w:jc w:val="center"/>
                  </w:pPr>
                  <w:r>
                    <w:rPr>
                      <w:sz w:val="21"/>
                    </w:rPr>
                    <w:t>新增运维</w:t>
                  </w:r>
                </w:p>
              </w:tc>
              <w:tc>
                <w:tcPr>
                  <w:tcW w:type="dxa" w:w="502"/>
                  <w:tcBorders>
                    <w:top w:val="none" w:color="000000" w:sz="4"/>
                    <w:left w:val="none" w:color="000000" w:sz="4"/>
                    <w:bottom w:val="single" w:color="000000" w:sz="4"/>
                    <w:right w:val="single" w:color="000000" w:sz="4"/>
                  </w:tcBorders>
                  <w:vAlign w:val="top"/>
                </w:tcPr>
                <w:p>
                  <w:pPr>
                    <w:jc w:val="both"/>
                  </w:pPr>
                </w:p>
              </w:tc>
            </w:tr>
            <w:tr>
              <w:tc>
                <w:tcPr>
                  <w:tcW w:type="dxa" w:w="531"/>
                  <w:tcBorders>
                    <w:top w:val="none" w:color="000000" w:sz="4"/>
                    <w:left w:val="single" w:color="000000" w:sz="4"/>
                    <w:bottom w:val="single" w:color="000000" w:sz="4"/>
                    <w:right w:val="single" w:color="000000" w:sz="4"/>
                  </w:tcBorders>
                </w:tcPr>
                <w:p>
                  <w:pPr>
                    <w:jc w:val="center"/>
                  </w:pPr>
                  <w:r>
                    <w:rPr>
                      <w:sz w:val="21"/>
                    </w:rPr>
                    <w:t>26</w:t>
                  </w:r>
                </w:p>
              </w:tc>
              <w:tc>
                <w:tcPr>
                  <w:tcW w:type="dxa" w:w="374"/>
                  <w:vMerge/>
                  <w:tcBorders>
                    <w:top w:val="none" w:color="000000" w:sz="4"/>
                    <w:left w:val="none" w:color="000000" w:sz="4"/>
                    <w:bottom w:val="single" w:color="000000" w:sz="4"/>
                    <w:right w:val="single" w:color="000000" w:sz="4"/>
                  </w:tcBorders>
                </w:tcPr>
                <w:p/>
              </w:tc>
              <w:tc>
                <w:tcPr>
                  <w:tcW w:type="dxa" w:w="561"/>
                  <w:tcBorders>
                    <w:top w:val="none" w:color="000000" w:sz="4"/>
                    <w:left w:val="none" w:color="000000" w:sz="4"/>
                    <w:bottom w:val="single" w:color="000000" w:sz="4"/>
                    <w:right w:val="single" w:color="000000" w:sz="4"/>
                  </w:tcBorders>
                </w:tcPr>
                <w:p>
                  <w:pPr>
                    <w:jc w:val="center"/>
                  </w:pPr>
                  <w:r>
                    <w:rPr>
                      <w:b/>
                      <w:sz w:val="21"/>
                    </w:rPr>
                    <w:t>看地云数据规整及发布服务</w:t>
                  </w:r>
                </w:p>
              </w:tc>
              <w:tc>
                <w:tcPr>
                  <w:tcW w:type="dxa" w:w="3070"/>
                  <w:tcBorders>
                    <w:top w:val="none" w:color="000000" w:sz="4"/>
                    <w:left w:val="none" w:color="000000" w:sz="4"/>
                    <w:bottom w:val="single" w:color="000000" w:sz="4"/>
                    <w:right w:val="single" w:color="000000" w:sz="4"/>
                  </w:tcBorders>
                </w:tcPr>
                <w:p>
                  <w:pPr>
                    <w:jc w:val="center"/>
                  </w:pPr>
                  <w:r>
                    <w:rPr>
                      <w:sz w:val="21"/>
                    </w:rPr>
                    <w:t>提供标准地/经营性用地数据处理及发布、用地数据入库更新维护以及用户访问、权限配置、更新功能优化等运维工作。包含矢量“标准地”、经营性用地数据处理及发布，地块专题图片编号、命名、“标准地”介绍文字处理、更新、入库；不定期小程序用户访问统计、数据权限配置和修改、运维功能优化等技术服务。</w:t>
                  </w:r>
                </w:p>
              </w:tc>
              <w:tc>
                <w:tcPr>
                  <w:tcW w:type="dxa" w:w="561"/>
                  <w:tcBorders>
                    <w:top w:val="none" w:color="000000" w:sz="4"/>
                    <w:left w:val="none" w:color="000000" w:sz="4"/>
                    <w:bottom w:val="single" w:color="000000" w:sz="4"/>
                    <w:right w:val="single" w:color="000000" w:sz="4"/>
                  </w:tcBorders>
                </w:tcPr>
                <w:p>
                  <w:pPr>
                    <w:jc w:val="center"/>
                  </w:pPr>
                  <w:r>
                    <w:rPr>
                      <w:sz w:val="21"/>
                    </w:rPr>
                    <w:t>延续性运维</w:t>
                  </w:r>
                </w:p>
              </w:tc>
              <w:tc>
                <w:tcPr>
                  <w:tcW w:type="dxa" w:w="502"/>
                  <w:tcBorders>
                    <w:top w:val="none" w:color="000000" w:sz="4"/>
                    <w:left w:val="none" w:color="000000" w:sz="4"/>
                    <w:bottom w:val="single" w:color="000000" w:sz="4"/>
                    <w:right w:val="single" w:color="000000" w:sz="4"/>
                  </w:tcBorders>
                  <w:vAlign w:val="top"/>
                </w:tcPr>
                <w:p>
                  <w:pPr>
                    <w:jc w:val="both"/>
                  </w:pPr>
                </w:p>
              </w:tc>
            </w:tr>
            <w:tr>
              <w:tc>
                <w:tcPr>
                  <w:tcW w:type="dxa" w:w="531"/>
                  <w:tcBorders>
                    <w:top w:val="none" w:color="000000" w:sz="4"/>
                    <w:left w:val="single" w:color="000000" w:sz="4"/>
                    <w:bottom w:val="single" w:color="000000" w:sz="4"/>
                    <w:right w:val="single" w:color="000000" w:sz="4"/>
                  </w:tcBorders>
                </w:tcPr>
                <w:p>
                  <w:pPr>
                    <w:jc w:val="center"/>
                  </w:pPr>
                  <w:r>
                    <w:rPr>
                      <w:sz w:val="21"/>
                    </w:rPr>
                    <w:t>27</w:t>
                  </w:r>
                </w:p>
              </w:tc>
              <w:tc>
                <w:tcPr>
                  <w:tcW w:type="dxa" w:w="374"/>
                  <w:vMerge/>
                  <w:tcBorders>
                    <w:top w:val="none" w:color="000000" w:sz="4"/>
                    <w:left w:val="none" w:color="000000" w:sz="4"/>
                    <w:bottom w:val="single" w:color="000000" w:sz="4"/>
                    <w:right w:val="single" w:color="000000" w:sz="4"/>
                  </w:tcBorders>
                </w:tcPr>
                <w:p/>
              </w:tc>
              <w:tc>
                <w:tcPr>
                  <w:tcW w:type="dxa" w:w="561"/>
                  <w:tcBorders>
                    <w:top w:val="none" w:color="000000" w:sz="4"/>
                    <w:left w:val="none" w:color="000000" w:sz="4"/>
                    <w:bottom w:val="single" w:color="000000" w:sz="4"/>
                    <w:right w:val="single" w:color="000000" w:sz="4"/>
                  </w:tcBorders>
                </w:tcPr>
                <w:p>
                  <w:pPr>
                    <w:jc w:val="center"/>
                  </w:pPr>
                  <w:r>
                    <w:rPr>
                      <w:b/>
                      <w:sz w:val="21"/>
                    </w:rPr>
                    <w:t>“智慧林长”专题数据服务</w:t>
                  </w:r>
                </w:p>
              </w:tc>
              <w:tc>
                <w:tcPr>
                  <w:tcW w:type="dxa" w:w="3070"/>
                  <w:tcBorders>
                    <w:top w:val="none" w:color="000000" w:sz="4"/>
                    <w:left w:val="none" w:color="000000" w:sz="4"/>
                    <w:bottom w:val="single" w:color="000000" w:sz="4"/>
                    <w:right w:val="single" w:color="000000" w:sz="4"/>
                  </w:tcBorders>
                </w:tcPr>
                <w:p>
                  <w:pPr>
                    <w:jc w:val="center"/>
                  </w:pPr>
                  <w:r>
                    <w:rPr>
                      <w:sz w:val="21"/>
                    </w:rPr>
                    <w:t>根据《广东省全面推行林长制工作领导小组办公室关于智慧林长综合管理平台应用的通知》要求，完成林长制各项数据规整及数据录入省平台等工作；配合广东省厅智慧林长工作，提供广东省智慧林长综合管理平台数据运行和对接技术服务，在专项管理数据中建立智慧林长一张图专题数据，并提供省市共享数据运行与接入技术支持；在中山市自然资源大数据中心已有的数据资源的基础上，整合林业科梳理的的数据与资源，进行中山市智慧林长一张图专题图层迁移、汇集、调整；国土空间基础信息平台上分类呈现已有的数据的同时，通过统计分析模型，搭建中山智慧林长专题，优化定制业务统计分析专题，通过智慧林长统计分析专题展示中山林业概况，集合林长资源（中山林业简介、林长制基础情况、林业业务处理、林长分布、林长情况、林业资源数据情况等内容），满足省、市的专项工作任务要求。</w:t>
                  </w:r>
                </w:p>
              </w:tc>
              <w:tc>
                <w:tcPr>
                  <w:tcW w:type="dxa" w:w="561"/>
                  <w:tcBorders>
                    <w:top w:val="none" w:color="000000" w:sz="4"/>
                    <w:left w:val="none" w:color="000000" w:sz="4"/>
                    <w:bottom w:val="single" w:color="000000" w:sz="4"/>
                    <w:right w:val="single" w:color="000000" w:sz="4"/>
                  </w:tcBorders>
                </w:tcPr>
                <w:p>
                  <w:pPr>
                    <w:jc w:val="center"/>
                  </w:pPr>
                  <w:r>
                    <w:rPr>
                      <w:sz w:val="21"/>
                    </w:rPr>
                    <w:t>新增运维</w:t>
                  </w:r>
                </w:p>
              </w:tc>
              <w:tc>
                <w:tcPr>
                  <w:tcW w:type="dxa" w:w="502"/>
                  <w:tcBorders>
                    <w:top w:val="none" w:color="000000" w:sz="4"/>
                    <w:left w:val="none" w:color="000000" w:sz="4"/>
                    <w:bottom w:val="single" w:color="000000" w:sz="4"/>
                    <w:right w:val="single" w:color="000000" w:sz="4"/>
                  </w:tcBorders>
                  <w:vAlign w:val="top"/>
                </w:tcPr>
                <w:p>
                  <w:pPr>
                    <w:jc w:val="both"/>
                  </w:pPr>
                </w:p>
              </w:tc>
            </w:tr>
            <w:tr>
              <w:tc>
                <w:tcPr>
                  <w:tcW w:type="dxa" w:w="531"/>
                  <w:tcBorders>
                    <w:top w:val="none" w:color="000000" w:sz="4"/>
                    <w:left w:val="single" w:color="000000" w:sz="4"/>
                    <w:bottom w:val="single" w:color="000000" w:sz="4"/>
                    <w:right w:val="single" w:color="000000" w:sz="4"/>
                  </w:tcBorders>
                </w:tcPr>
                <w:p>
                  <w:pPr>
                    <w:jc w:val="center"/>
                  </w:pPr>
                  <w:r>
                    <w:rPr>
                      <w:sz w:val="21"/>
                    </w:rPr>
                    <w:t>28</w:t>
                  </w:r>
                </w:p>
              </w:tc>
              <w:tc>
                <w:tcPr>
                  <w:tcW w:type="dxa" w:w="374"/>
                  <w:vMerge/>
                  <w:tcBorders>
                    <w:top w:val="none" w:color="000000" w:sz="4"/>
                    <w:left w:val="none" w:color="000000" w:sz="4"/>
                    <w:bottom w:val="single" w:color="000000" w:sz="4"/>
                    <w:right w:val="single" w:color="000000" w:sz="4"/>
                  </w:tcBorders>
                </w:tcPr>
                <w:p/>
              </w:tc>
              <w:tc>
                <w:tcPr>
                  <w:tcW w:type="dxa" w:w="561"/>
                  <w:tcBorders>
                    <w:top w:val="none" w:color="000000" w:sz="4"/>
                    <w:left w:val="none" w:color="000000" w:sz="4"/>
                    <w:bottom w:val="single" w:color="000000" w:sz="4"/>
                    <w:right w:val="single" w:color="000000" w:sz="4"/>
                  </w:tcBorders>
                </w:tcPr>
                <w:p>
                  <w:pPr>
                    <w:jc w:val="center"/>
                  </w:pPr>
                  <w:r>
                    <w:rPr>
                      <w:b/>
                      <w:sz w:val="21"/>
                    </w:rPr>
                    <w:t>工业用地标图建库及复核</w:t>
                  </w:r>
                </w:p>
              </w:tc>
              <w:tc>
                <w:tcPr>
                  <w:tcW w:type="dxa" w:w="3070"/>
                  <w:tcBorders>
                    <w:top w:val="none" w:color="000000" w:sz="4"/>
                    <w:left w:val="none" w:color="000000" w:sz="4"/>
                    <w:bottom w:val="single" w:color="000000" w:sz="4"/>
                    <w:right w:val="single" w:color="000000" w:sz="4"/>
                  </w:tcBorders>
                </w:tcPr>
                <w:p>
                  <w:pPr>
                    <w:jc w:val="center"/>
                  </w:pPr>
                  <w:r>
                    <w:rPr>
                      <w:sz w:val="21"/>
                    </w:rPr>
                    <w:t>包含自然资源大数据中心的工业用地初步筛选宗地数据入库，各镇街依托国土空间基础信息平台，运维人员参考影像图等数据按照《中山市工业用地标图建库图斑属性表》进行数据核实和属性信息补录，包括工业用地宗地入库及发布、镇街数据核实、补录、照片上传、图斑汇总统计、工业用地复核，确保数据的完整性和准确性，并完成入库更新等技术支持工作。</w:t>
                  </w:r>
                </w:p>
              </w:tc>
              <w:tc>
                <w:tcPr>
                  <w:tcW w:type="dxa" w:w="561"/>
                  <w:tcBorders>
                    <w:top w:val="none" w:color="000000" w:sz="4"/>
                    <w:left w:val="none" w:color="000000" w:sz="4"/>
                    <w:bottom w:val="single" w:color="000000" w:sz="4"/>
                    <w:right w:val="single" w:color="000000" w:sz="4"/>
                  </w:tcBorders>
                </w:tcPr>
                <w:p>
                  <w:pPr>
                    <w:jc w:val="center"/>
                  </w:pPr>
                  <w:r>
                    <w:rPr>
                      <w:sz w:val="21"/>
                    </w:rPr>
                    <w:t>新增运维</w:t>
                  </w:r>
                </w:p>
              </w:tc>
              <w:tc>
                <w:tcPr>
                  <w:tcW w:type="dxa" w:w="502"/>
                  <w:tcBorders>
                    <w:top w:val="none" w:color="000000" w:sz="4"/>
                    <w:left w:val="none" w:color="000000" w:sz="4"/>
                    <w:bottom w:val="single" w:color="000000" w:sz="4"/>
                    <w:right w:val="single" w:color="000000" w:sz="4"/>
                  </w:tcBorders>
                  <w:vAlign w:val="top"/>
                </w:tcPr>
                <w:p>
                  <w:pPr>
                    <w:jc w:val="both"/>
                  </w:pPr>
                </w:p>
              </w:tc>
            </w:tr>
            <w:tr>
              <w:tc>
                <w:tcPr>
                  <w:tcW w:type="dxa" w:w="531"/>
                  <w:tcBorders>
                    <w:top w:val="none" w:color="000000" w:sz="4"/>
                    <w:left w:val="single" w:color="000000" w:sz="4"/>
                    <w:bottom w:val="single" w:color="000000" w:sz="4"/>
                    <w:right w:val="single" w:color="000000" w:sz="4"/>
                  </w:tcBorders>
                </w:tcPr>
                <w:p>
                  <w:pPr>
                    <w:jc w:val="center"/>
                  </w:pPr>
                  <w:r>
                    <w:rPr>
                      <w:sz w:val="21"/>
                    </w:rPr>
                    <w:t>29</w:t>
                  </w:r>
                </w:p>
              </w:tc>
              <w:tc>
                <w:tcPr>
                  <w:tcW w:type="dxa" w:w="374"/>
                  <w:vMerge/>
                  <w:tcBorders>
                    <w:top w:val="none" w:color="000000" w:sz="4"/>
                    <w:left w:val="none" w:color="000000" w:sz="4"/>
                    <w:bottom w:val="single" w:color="000000" w:sz="4"/>
                    <w:right w:val="single" w:color="000000" w:sz="4"/>
                  </w:tcBorders>
                </w:tcPr>
                <w:p/>
              </w:tc>
              <w:tc>
                <w:tcPr>
                  <w:tcW w:type="dxa" w:w="561"/>
                  <w:tcBorders>
                    <w:top w:val="none" w:color="000000" w:sz="4"/>
                    <w:left w:val="none" w:color="000000" w:sz="4"/>
                    <w:bottom w:val="single" w:color="000000" w:sz="4"/>
                    <w:right w:val="single" w:color="000000" w:sz="4"/>
                  </w:tcBorders>
                </w:tcPr>
                <w:p>
                  <w:pPr>
                    <w:jc w:val="center"/>
                  </w:pPr>
                  <w:r>
                    <w:rPr>
                      <w:b/>
                      <w:sz w:val="21"/>
                    </w:rPr>
                    <w:t>低效用地专题统计服务</w:t>
                  </w:r>
                </w:p>
              </w:tc>
              <w:tc>
                <w:tcPr>
                  <w:tcW w:type="dxa" w:w="3070"/>
                  <w:tcBorders>
                    <w:top w:val="none" w:color="000000" w:sz="4"/>
                    <w:left w:val="none" w:color="000000" w:sz="4"/>
                    <w:bottom w:val="single" w:color="000000" w:sz="4"/>
                    <w:right w:val="single" w:color="000000" w:sz="4"/>
                  </w:tcBorders>
                </w:tcPr>
                <w:p>
                  <w:pPr>
                    <w:jc w:val="center"/>
                  </w:pPr>
                  <w:r>
                    <w:rPr>
                      <w:sz w:val="21"/>
                    </w:rPr>
                    <w:t>配合科室开展低效工业园与产权、土规、控规、批文、工业用地标图建库、闲置用地、违法用地、居民地等数据分析工作，包括数据汇聚及现状分析、低效工业用地数据筛选及统计、低效工业用地识别成果统计等技术服务；通过比对工业用地数据与构筑物图层数据，根据要求配置专题图，计算定位时间点上工业用地上盖建筑物面积，针对部分核查权属、连片情况及现势影响，形成数据明细表，包含产权分布图、土地用途分布图、土规分布图、控规分布图、一层为主工业用地分布图等多级多类专题图制作和统计服务。</w:t>
                  </w:r>
                </w:p>
              </w:tc>
              <w:tc>
                <w:tcPr>
                  <w:tcW w:type="dxa" w:w="561"/>
                  <w:tcBorders>
                    <w:top w:val="none" w:color="000000" w:sz="4"/>
                    <w:left w:val="none" w:color="000000" w:sz="4"/>
                    <w:bottom w:val="single" w:color="000000" w:sz="4"/>
                    <w:right w:val="single" w:color="000000" w:sz="4"/>
                  </w:tcBorders>
                </w:tcPr>
                <w:p>
                  <w:pPr>
                    <w:jc w:val="center"/>
                  </w:pPr>
                  <w:r>
                    <w:rPr>
                      <w:sz w:val="21"/>
                    </w:rPr>
                    <w:t>新增运维</w:t>
                  </w:r>
                </w:p>
              </w:tc>
              <w:tc>
                <w:tcPr>
                  <w:tcW w:type="dxa" w:w="502"/>
                  <w:tcBorders>
                    <w:top w:val="none" w:color="000000" w:sz="4"/>
                    <w:left w:val="none" w:color="000000" w:sz="4"/>
                    <w:bottom w:val="single" w:color="000000" w:sz="4"/>
                    <w:right w:val="single" w:color="000000" w:sz="4"/>
                  </w:tcBorders>
                  <w:vAlign w:val="top"/>
                </w:tcPr>
                <w:p>
                  <w:pPr>
                    <w:jc w:val="both"/>
                  </w:pPr>
                </w:p>
              </w:tc>
            </w:tr>
            <w:tr>
              <w:tc>
                <w:tcPr>
                  <w:tcW w:type="dxa" w:w="531"/>
                  <w:tcBorders>
                    <w:top w:val="none" w:color="000000" w:sz="4"/>
                    <w:left w:val="single" w:color="000000" w:sz="4"/>
                    <w:bottom w:val="single" w:color="000000" w:sz="4"/>
                    <w:right w:val="single" w:color="000000" w:sz="4"/>
                  </w:tcBorders>
                </w:tcPr>
                <w:p>
                  <w:pPr>
                    <w:jc w:val="center"/>
                  </w:pPr>
                  <w:r>
                    <w:rPr>
                      <w:sz w:val="21"/>
                    </w:rPr>
                    <w:t>30</w:t>
                  </w:r>
                </w:p>
              </w:tc>
              <w:tc>
                <w:tcPr>
                  <w:tcW w:type="dxa" w:w="374"/>
                  <w:vMerge/>
                  <w:tcBorders>
                    <w:top w:val="none" w:color="000000" w:sz="4"/>
                    <w:left w:val="none" w:color="000000" w:sz="4"/>
                    <w:bottom w:val="single" w:color="000000" w:sz="4"/>
                    <w:right w:val="single" w:color="000000" w:sz="4"/>
                  </w:tcBorders>
                </w:tcPr>
                <w:p/>
              </w:tc>
              <w:tc>
                <w:tcPr>
                  <w:tcW w:type="dxa" w:w="561"/>
                  <w:tcBorders>
                    <w:top w:val="none" w:color="000000" w:sz="4"/>
                    <w:left w:val="none" w:color="000000" w:sz="4"/>
                    <w:bottom w:val="single" w:color="000000" w:sz="4"/>
                    <w:right w:val="single" w:color="000000" w:sz="4"/>
                  </w:tcBorders>
                </w:tcPr>
                <w:p>
                  <w:pPr>
                    <w:jc w:val="center"/>
                  </w:pPr>
                  <w:r>
                    <w:rPr>
                      <w:b/>
                      <w:sz w:val="21"/>
                    </w:rPr>
                    <w:t>工业用地聚集区专题图定制</w:t>
                  </w:r>
                </w:p>
              </w:tc>
              <w:tc>
                <w:tcPr>
                  <w:tcW w:type="dxa" w:w="3070"/>
                  <w:tcBorders>
                    <w:top w:val="none" w:color="000000" w:sz="4"/>
                    <w:left w:val="none" w:color="000000" w:sz="4"/>
                    <w:bottom w:val="single" w:color="000000" w:sz="4"/>
                    <w:right w:val="single" w:color="000000" w:sz="4"/>
                  </w:tcBorders>
                </w:tcPr>
                <w:p>
                  <w:pPr>
                    <w:jc w:val="center"/>
                  </w:pPr>
                  <w:r>
                    <w:rPr>
                      <w:sz w:val="21"/>
                    </w:rPr>
                    <w:t>辅助科室进行村镇工业集聚区改造范围（凤凰产业园）内建设用地宗地、供而未建、违法用地等图斑数据筛查及统计工作，并完成成果提交及确认并发布更新到国土空间基础信息平台。其中，包含筛选村镇工业集聚区符合建设用地规模等条件数据；提供工改闲置土地各类权属情况等多类型图斑筛选、统计、技术服务；提供存量工业用地集聚区专题图（控规）、存量工业用地集聚区专题图（土规）、工业百强企业分布图、工业集聚园区分布图、规上企业分布示意图等专题图定制出图服务。</w:t>
                  </w:r>
                </w:p>
              </w:tc>
              <w:tc>
                <w:tcPr>
                  <w:tcW w:type="dxa" w:w="561"/>
                  <w:tcBorders>
                    <w:top w:val="none" w:color="000000" w:sz="4"/>
                    <w:left w:val="none" w:color="000000" w:sz="4"/>
                    <w:bottom w:val="single" w:color="000000" w:sz="4"/>
                    <w:right w:val="single" w:color="000000" w:sz="4"/>
                  </w:tcBorders>
                </w:tcPr>
                <w:p>
                  <w:pPr>
                    <w:jc w:val="center"/>
                  </w:pPr>
                  <w:r>
                    <w:rPr>
                      <w:sz w:val="21"/>
                    </w:rPr>
                    <w:t>新增运维</w:t>
                  </w:r>
                </w:p>
              </w:tc>
              <w:tc>
                <w:tcPr>
                  <w:tcW w:type="dxa" w:w="502"/>
                  <w:tcBorders>
                    <w:top w:val="none" w:color="000000" w:sz="4"/>
                    <w:left w:val="none" w:color="000000" w:sz="4"/>
                    <w:bottom w:val="single" w:color="000000" w:sz="4"/>
                    <w:right w:val="single" w:color="000000" w:sz="4"/>
                  </w:tcBorders>
                  <w:vAlign w:val="top"/>
                </w:tcPr>
                <w:p>
                  <w:pPr>
                    <w:jc w:val="both"/>
                  </w:pPr>
                </w:p>
              </w:tc>
            </w:tr>
            <w:tr>
              <w:tc>
                <w:tcPr>
                  <w:tcW w:type="dxa" w:w="531"/>
                  <w:tcBorders>
                    <w:top w:val="none" w:color="000000" w:sz="4"/>
                    <w:left w:val="single" w:color="000000" w:sz="4"/>
                    <w:bottom w:val="single" w:color="000000" w:sz="4"/>
                    <w:right w:val="single" w:color="000000" w:sz="4"/>
                  </w:tcBorders>
                </w:tcPr>
                <w:p>
                  <w:pPr>
                    <w:jc w:val="center"/>
                  </w:pPr>
                  <w:r>
                    <w:rPr>
                      <w:sz w:val="21"/>
                    </w:rPr>
                    <w:t>31</w:t>
                  </w:r>
                </w:p>
              </w:tc>
              <w:tc>
                <w:tcPr>
                  <w:tcW w:type="dxa" w:w="374"/>
                  <w:vMerge/>
                  <w:tcBorders>
                    <w:top w:val="none" w:color="000000" w:sz="4"/>
                    <w:left w:val="none" w:color="000000" w:sz="4"/>
                    <w:bottom w:val="single" w:color="000000" w:sz="4"/>
                    <w:right w:val="single" w:color="000000" w:sz="4"/>
                  </w:tcBorders>
                </w:tcPr>
                <w:p/>
              </w:tc>
              <w:tc>
                <w:tcPr>
                  <w:tcW w:type="dxa" w:w="561"/>
                  <w:tcBorders>
                    <w:top w:val="none" w:color="000000" w:sz="4"/>
                    <w:left w:val="none" w:color="000000" w:sz="4"/>
                    <w:bottom w:val="single" w:color="000000" w:sz="4"/>
                    <w:right w:val="single" w:color="000000" w:sz="4"/>
                  </w:tcBorders>
                </w:tcPr>
                <w:p>
                  <w:pPr>
                    <w:jc w:val="center"/>
                  </w:pPr>
                  <w:r>
                    <w:rPr>
                      <w:b/>
                      <w:sz w:val="21"/>
                    </w:rPr>
                    <w:t>工改潜力用地筛查与出图服务</w:t>
                  </w:r>
                </w:p>
              </w:tc>
              <w:tc>
                <w:tcPr>
                  <w:tcW w:type="dxa" w:w="3070"/>
                  <w:tcBorders>
                    <w:top w:val="none" w:color="000000" w:sz="4"/>
                    <w:left w:val="none" w:color="000000" w:sz="4"/>
                    <w:bottom w:val="single" w:color="000000" w:sz="4"/>
                    <w:right w:val="single" w:color="000000" w:sz="4"/>
                  </w:tcBorders>
                </w:tcPr>
                <w:p>
                  <w:pPr>
                    <w:jc w:val="center"/>
                  </w:pPr>
                  <w:r>
                    <w:rPr>
                      <w:sz w:val="21"/>
                    </w:rPr>
                    <w:t>通过在线对接获取商事主体注册信息、销售额、税收信息、能耗信息、用工信息等与企业相关的各类政务信息，叠加汇总自然资源局基础时空数据以及不动产数据治理标准化成果，筛查统计全市企业、园区数据结合最新影像数据、电子地图数据、民生兴趣点数据、倾斜摄影三维模型数据，借助空间分析工具叠加分析筛查出国工改潜力图斑，结合国土空间基础信息平台审批助手占压分析图斑详情信息，并按照要求协助科室绘制基于企业评价分析模型的企业评价分析专题图， 筛选统计工改闲置土地各类权属情况，协助工改潜力用地的筛查和出图等技术服务。</w:t>
                  </w:r>
                </w:p>
              </w:tc>
              <w:tc>
                <w:tcPr>
                  <w:tcW w:type="dxa" w:w="561"/>
                  <w:tcBorders>
                    <w:top w:val="none" w:color="000000" w:sz="4"/>
                    <w:left w:val="none" w:color="000000" w:sz="4"/>
                    <w:bottom w:val="single" w:color="000000" w:sz="4"/>
                    <w:right w:val="single" w:color="000000" w:sz="4"/>
                  </w:tcBorders>
                </w:tcPr>
                <w:p>
                  <w:pPr>
                    <w:jc w:val="center"/>
                  </w:pPr>
                  <w:r>
                    <w:rPr>
                      <w:sz w:val="21"/>
                    </w:rPr>
                    <w:t>新增运维</w:t>
                  </w:r>
                </w:p>
              </w:tc>
              <w:tc>
                <w:tcPr>
                  <w:tcW w:type="dxa" w:w="502"/>
                  <w:tcBorders>
                    <w:top w:val="none" w:color="000000" w:sz="4"/>
                    <w:left w:val="none" w:color="000000" w:sz="4"/>
                    <w:bottom w:val="single" w:color="000000" w:sz="4"/>
                    <w:right w:val="single" w:color="000000" w:sz="4"/>
                  </w:tcBorders>
                  <w:vAlign w:val="top"/>
                </w:tcPr>
                <w:p>
                  <w:pPr>
                    <w:jc w:val="both"/>
                  </w:pPr>
                </w:p>
              </w:tc>
            </w:tr>
            <w:tr>
              <w:tc>
                <w:tcPr>
                  <w:tcW w:type="dxa" w:w="531"/>
                  <w:tcBorders>
                    <w:top w:val="none" w:color="000000" w:sz="4"/>
                    <w:left w:val="single" w:color="000000" w:sz="4"/>
                    <w:bottom w:val="single" w:color="000000" w:sz="4"/>
                    <w:right w:val="single" w:color="000000" w:sz="4"/>
                  </w:tcBorders>
                </w:tcPr>
                <w:p>
                  <w:pPr>
                    <w:jc w:val="center"/>
                  </w:pPr>
                  <w:r>
                    <w:rPr>
                      <w:sz w:val="21"/>
                    </w:rPr>
                    <w:t>32</w:t>
                  </w:r>
                </w:p>
              </w:tc>
              <w:tc>
                <w:tcPr>
                  <w:tcW w:type="dxa" w:w="374"/>
                  <w:vMerge/>
                  <w:tcBorders>
                    <w:top w:val="none" w:color="000000" w:sz="4"/>
                    <w:left w:val="none" w:color="000000" w:sz="4"/>
                    <w:bottom w:val="single" w:color="000000" w:sz="4"/>
                    <w:right w:val="single" w:color="000000" w:sz="4"/>
                  </w:tcBorders>
                </w:tcPr>
                <w:p/>
              </w:tc>
              <w:tc>
                <w:tcPr>
                  <w:tcW w:type="dxa" w:w="561"/>
                  <w:tcBorders>
                    <w:top w:val="none" w:color="000000" w:sz="4"/>
                    <w:left w:val="none" w:color="000000" w:sz="4"/>
                    <w:bottom w:val="single" w:color="000000" w:sz="4"/>
                    <w:right w:val="single" w:color="000000" w:sz="4"/>
                  </w:tcBorders>
                </w:tcPr>
                <w:p>
                  <w:pPr>
                    <w:jc w:val="center"/>
                  </w:pPr>
                  <w:r>
                    <w:rPr>
                      <w:b/>
                      <w:sz w:val="21"/>
                    </w:rPr>
                    <w:t>工业用地宗地数据更新服务</w:t>
                  </w:r>
                </w:p>
              </w:tc>
              <w:tc>
                <w:tcPr>
                  <w:tcW w:type="dxa" w:w="3070"/>
                  <w:tcBorders>
                    <w:top w:val="none" w:color="000000" w:sz="4"/>
                    <w:left w:val="none" w:color="000000" w:sz="4"/>
                    <w:bottom w:val="single" w:color="000000" w:sz="4"/>
                    <w:right w:val="single" w:color="000000" w:sz="4"/>
                  </w:tcBorders>
                </w:tcPr>
                <w:p>
                  <w:pPr>
                    <w:jc w:val="center"/>
                  </w:pPr>
                  <w:r>
                    <w:rPr>
                      <w:sz w:val="21"/>
                    </w:rPr>
                    <w:t>按照业务标准对不动产宗地数据、登记簿数据、空间规划科整理的工业数据初步成果进行二次治理，整理规范现有数据，逐宗核查权利人类型等信息，对错误分类的进行更正；针对历史不动产数据更新工业用地数据，进行新建工业用地复核技术服务，根据镇区所掌握材料人工及工具结合手段判定业务类型为工业用地信息变更、新增（调整）工业用地、注销工业用地业务系统等；定时更新工业用地数据，包含将宗地信息与登记簿数据同步到中间库，针对发生首次登记、变更登记、转移登记、注销登记业务的不动产信息，通过不动产权证号作为关联标识对工业用地数据进行自动更新等技术服务。</w:t>
                  </w:r>
                </w:p>
              </w:tc>
              <w:tc>
                <w:tcPr>
                  <w:tcW w:type="dxa" w:w="561"/>
                  <w:tcBorders>
                    <w:top w:val="none" w:color="000000" w:sz="4"/>
                    <w:left w:val="none" w:color="000000" w:sz="4"/>
                    <w:bottom w:val="single" w:color="000000" w:sz="4"/>
                    <w:right w:val="single" w:color="000000" w:sz="4"/>
                  </w:tcBorders>
                </w:tcPr>
                <w:p>
                  <w:pPr>
                    <w:jc w:val="center"/>
                  </w:pPr>
                  <w:r>
                    <w:rPr>
                      <w:sz w:val="21"/>
                    </w:rPr>
                    <w:t>新增运维</w:t>
                  </w:r>
                </w:p>
              </w:tc>
              <w:tc>
                <w:tcPr>
                  <w:tcW w:type="dxa" w:w="502"/>
                  <w:tcBorders>
                    <w:top w:val="none" w:color="000000" w:sz="4"/>
                    <w:left w:val="none" w:color="000000" w:sz="4"/>
                    <w:bottom w:val="single" w:color="000000" w:sz="4"/>
                    <w:right w:val="single" w:color="000000" w:sz="4"/>
                  </w:tcBorders>
                  <w:vAlign w:val="top"/>
                </w:tcPr>
                <w:p>
                  <w:pPr>
                    <w:jc w:val="both"/>
                  </w:pPr>
                </w:p>
              </w:tc>
            </w:tr>
            <w:tr>
              <w:tc>
                <w:tcPr>
                  <w:tcW w:type="dxa" w:w="531"/>
                  <w:tcBorders>
                    <w:top w:val="none" w:color="000000" w:sz="4"/>
                    <w:left w:val="single" w:color="000000" w:sz="4"/>
                    <w:bottom w:val="single" w:color="000000" w:sz="4"/>
                    <w:right w:val="single" w:color="000000" w:sz="4"/>
                  </w:tcBorders>
                </w:tcPr>
                <w:p>
                  <w:pPr>
                    <w:jc w:val="center"/>
                  </w:pPr>
                  <w:r>
                    <w:rPr>
                      <w:sz w:val="21"/>
                    </w:rPr>
                    <w:t>33</w:t>
                  </w:r>
                </w:p>
              </w:tc>
              <w:tc>
                <w:tcPr>
                  <w:tcW w:type="dxa" w:w="374"/>
                  <w:vMerge/>
                  <w:tcBorders>
                    <w:top w:val="none" w:color="000000" w:sz="4"/>
                    <w:left w:val="none" w:color="000000" w:sz="4"/>
                    <w:bottom w:val="single" w:color="000000" w:sz="4"/>
                    <w:right w:val="single" w:color="000000" w:sz="4"/>
                  </w:tcBorders>
                </w:tcPr>
                <w:p/>
              </w:tc>
              <w:tc>
                <w:tcPr>
                  <w:tcW w:type="dxa" w:w="561"/>
                  <w:tcBorders>
                    <w:top w:val="none" w:color="000000" w:sz="4"/>
                    <w:left w:val="none" w:color="000000" w:sz="4"/>
                    <w:bottom w:val="single" w:color="000000" w:sz="4"/>
                    <w:right w:val="single" w:color="000000" w:sz="4"/>
                  </w:tcBorders>
                </w:tcPr>
                <w:p>
                  <w:pPr>
                    <w:jc w:val="center"/>
                  </w:pPr>
                  <w:r>
                    <w:rPr>
                      <w:b/>
                      <w:sz w:val="21"/>
                    </w:rPr>
                    <w:t>工业用地专项统计技术支持</w:t>
                  </w:r>
                </w:p>
              </w:tc>
              <w:tc>
                <w:tcPr>
                  <w:tcW w:type="dxa" w:w="3070"/>
                  <w:tcBorders>
                    <w:top w:val="none" w:color="000000" w:sz="4"/>
                    <w:left w:val="none" w:color="000000" w:sz="4"/>
                    <w:bottom w:val="single" w:color="000000" w:sz="4"/>
                    <w:right w:val="single" w:color="000000" w:sz="4"/>
                  </w:tcBorders>
                </w:tcPr>
                <w:p>
                  <w:pPr>
                    <w:jc w:val="center"/>
                  </w:pPr>
                  <w:r>
                    <w:rPr>
                      <w:sz w:val="21"/>
                    </w:rPr>
                    <w:t>为配合开展全市土地资源工作调研，准确地把握当前我市实际用于工业用途的土地使用情况，为今后工业用地供给和利用政策走向提供依据，运维团队配合部门以全市土地利用现状数据为底图，结合自然资源局内权籍、不动产登记、规划管理、基础地理、全市工业用地标图建库等多个系统数据进行融合比对和去重处理，进行定期工业用地专项数据统计，统计结果包含工业用地总量、权属、碎片化、企业规模、用地手续完备程度、批而未供、供而未建等多口径，并提供专题图配置等技术服务。</w:t>
                  </w:r>
                </w:p>
              </w:tc>
              <w:tc>
                <w:tcPr>
                  <w:tcW w:type="dxa" w:w="561"/>
                  <w:tcBorders>
                    <w:top w:val="none" w:color="000000" w:sz="4"/>
                    <w:left w:val="none" w:color="000000" w:sz="4"/>
                    <w:bottom w:val="single" w:color="000000" w:sz="4"/>
                    <w:right w:val="single" w:color="000000" w:sz="4"/>
                  </w:tcBorders>
                </w:tcPr>
                <w:p>
                  <w:pPr>
                    <w:jc w:val="center"/>
                  </w:pPr>
                  <w:r>
                    <w:rPr>
                      <w:sz w:val="21"/>
                    </w:rPr>
                    <w:t>新增运维</w:t>
                  </w:r>
                </w:p>
              </w:tc>
              <w:tc>
                <w:tcPr>
                  <w:tcW w:type="dxa" w:w="502"/>
                  <w:tcBorders>
                    <w:top w:val="none" w:color="000000" w:sz="4"/>
                    <w:left w:val="none" w:color="000000" w:sz="4"/>
                    <w:bottom w:val="single" w:color="000000" w:sz="4"/>
                    <w:right w:val="single" w:color="000000" w:sz="4"/>
                  </w:tcBorders>
                  <w:vAlign w:val="top"/>
                </w:tcPr>
                <w:p>
                  <w:pPr>
                    <w:jc w:val="both"/>
                  </w:pPr>
                </w:p>
              </w:tc>
            </w:tr>
            <w:tr>
              <w:tc>
                <w:tcPr>
                  <w:tcW w:type="dxa" w:w="531"/>
                  <w:tcBorders>
                    <w:top w:val="none" w:color="000000" w:sz="4"/>
                    <w:left w:val="single" w:color="000000" w:sz="4"/>
                    <w:bottom w:val="single" w:color="000000" w:sz="4"/>
                    <w:right w:val="single" w:color="000000" w:sz="4"/>
                  </w:tcBorders>
                </w:tcPr>
                <w:p>
                  <w:pPr>
                    <w:jc w:val="center"/>
                  </w:pPr>
                  <w:r>
                    <w:rPr>
                      <w:sz w:val="21"/>
                    </w:rPr>
                    <w:t>34</w:t>
                  </w:r>
                </w:p>
              </w:tc>
              <w:tc>
                <w:tcPr>
                  <w:tcW w:type="dxa" w:w="374"/>
                  <w:vMerge/>
                  <w:tcBorders>
                    <w:top w:val="none" w:color="000000" w:sz="4"/>
                    <w:left w:val="none" w:color="000000" w:sz="4"/>
                    <w:bottom w:val="single" w:color="000000" w:sz="4"/>
                    <w:right w:val="single" w:color="000000" w:sz="4"/>
                  </w:tcBorders>
                </w:tcPr>
                <w:p/>
              </w:tc>
              <w:tc>
                <w:tcPr>
                  <w:tcW w:type="dxa" w:w="561"/>
                  <w:tcBorders>
                    <w:top w:val="none" w:color="000000" w:sz="4"/>
                    <w:left w:val="none" w:color="000000" w:sz="4"/>
                    <w:bottom w:val="single" w:color="000000" w:sz="4"/>
                    <w:right w:val="single" w:color="000000" w:sz="4"/>
                  </w:tcBorders>
                </w:tcPr>
                <w:p>
                  <w:pPr>
                    <w:jc w:val="center"/>
                  </w:pPr>
                  <w:r>
                    <w:rPr>
                      <w:b/>
                      <w:sz w:val="21"/>
                    </w:rPr>
                    <w:t>批次用地清单规整服务</w:t>
                  </w:r>
                </w:p>
              </w:tc>
              <w:tc>
                <w:tcPr>
                  <w:tcW w:type="dxa" w:w="3070"/>
                  <w:tcBorders>
                    <w:top w:val="none" w:color="000000" w:sz="4"/>
                    <w:left w:val="none" w:color="000000" w:sz="4"/>
                    <w:bottom w:val="single" w:color="000000" w:sz="4"/>
                    <w:right w:val="single" w:color="000000" w:sz="4"/>
                  </w:tcBorders>
                </w:tcPr>
                <w:p>
                  <w:pPr>
                    <w:jc w:val="center"/>
                  </w:pPr>
                  <w:r>
                    <w:rPr>
                      <w:sz w:val="21"/>
                    </w:rPr>
                    <w:t>提供省、市、街镇批次用地成果汇缴、用地处理、闲置用地清单统计分析、供地图斑统计筛查等运维服务，对未占压到的图层叠加批而未供数据进行出图技术服务，包含批文数据导出、融合地块字段赋值及补充、数据融合、数据挂接、数据导出及加载入库等技术服务。</w:t>
                  </w:r>
                </w:p>
              </w:tc>
              <w:tc>
                <w:tcPr>
                  <w:tcW w:type="dxa" w:w="561"/>
                  <w:tcBorders>
                    <w:top w:val="none" w:color="000000" w:sz="4"/>
                    <w:left w:val="none" w:color="000000" w:sz="4"/>
                    <w:bottom w:val="single" w:color="000000" w:sz="4"/>
                    <w:right w:val="single" w:color="000000" w:sz="4"/>
                  </w:tcBorders>
                </w:tcPr>
                <w:p>
                  <w:pPr>
                    <w:jc w:val="center"/>
                  </w:pPr>
                  <w:r>
                    <w:rPr>
                      <w:sz w:val="21"/>
                    </w:rPr>
                    <w:t>延续性运维</w:t>
                  </w:r>
                </w:p>
              </w:tc>
              <w:tc>
                <w:tcPr>
                  <w:tcW w:type="dxa" w:w="502"/>
                  <w:tcBorders>
                    <w:top w:val="none" w:color="000000" w:sz="4"/>
                    <w:left w:val="none" w:color="000000" w:sz="4"/>
                    <w:bottom w:val="single" w:color="000000" w:sz="4"/>
                    <w:right w:val="single" w:color="000000" w:sz="4"/>
                  </w:tcBorders>
                  <w:vAlign w:val="top"/>
                </w:tcPr>
                <w:p>
                  <w:pPr>
                    <w:jc w:val="both"/>
                  </w:pPr>
                </w:p>
              </w:tc>
            </w:tr>
            <w:tr>
              <w:tc>
                <w:tcPr>
                  <w:tcW w:type="dxa" w:w="531"/>
                  <w:tcBorders>
                    <w:top w:val="none" w:color="000000" w:sz="4"/>
                    <w:left w:val="single" w:color="000000" w:sz="4"/>
                    <w:bottom w:val="single" w:color="000000" w:sz="4"/>
                    <w:right w:val="single" w:color="000000" w:sz="4"/>
                  </w:tcBorders>
                </w:tcPr>
                <w:p>
                  <w:pPr>
                    <w:jc w:val="center"/>
                  </w:pPr>
                  <w:r>
                    <w:rPr>
                      <w:sz w:val="21"/>
                    </w:rPr>
                    <w:t>35</w:t>
                  </w:r>
                </w:p>
              </w:tc>
              <w:tc>
                <w:tcPr>
                  <w:tcW w:type="dxa" w:w="374"/>
                  <w:vMerge/>
                  <w:tcBorders>
                    <w:top w:val="none" w:color="000000" w:sz="4"/>
                    <w:left w:val="none" w:color="000000" w:sz="4"/>
                    <w:bottom w:val="single" w:color="000000" w:sz="4"/>
                    <w:right w:val="single" w:color="000000" w:sz="4"/>
                  </w:tcBorders>
                </w:tcPr>
                <w:p/>
              </w:tc>
              <w:tc>
                <w:tcPr>
                  <w:tcW w:type="dxa" w:w="561"/>
                  <w:tcBorders>
                    <w:top w:val="none" w:color="000000" w:sz="4"/>
                    <w:left w:val="none" w:color="000000" w:sz="4"/>
                    <w:bottom w:val="single" w:color="000000" w:sz="4"/>
                    <w:right w:val="single" w:color="000000" w:sz="4"/>
                  </w:tcBorders>
                </w:tcPr>
                <w:p>
                  <w:pPr>
                    <w:jc w:val="center"/>
                  </w:pPr>
                  <w:r>
                    <w:rPr>
                      <w:b/>
                      <w:sz w:val="21"/>
                    </w:rPr>
                    <w:t>闲置用地统计分析服务</w:t>
                  </w:r>
                </w:p>
              </w:tc>
              <w:tc>
                <w:tcPr>
                  <w:tcW w:type="dxa" w:w="3070"/>
                  <w:tcBorders>
                    <w:top w:val="none" w:color="000000" w:sz="4"/>
                    <w:left w:val="none" w:color="000000" w:sz="4"/>
                    <w:bottom w:val="single" w:color="000000" w:sz="4"/>
                    <w:right w:val="single" w:color="000000" w:sz="4"/>
                  </w:tcBorders>
                </w:tcPr>
                <w:p>
                  <w:pPr>
                    <w:jc w:val="center"/>
                  </w:pPr>
                  <w:r>
                    <w:rPr>
                      <w:sz w:val="21"/>
                    </w:rPr>
                    <w:t>整理历年供地、闲置等相关数据清单给到省厅审计组；根据部、省厅要求对科室提供的供地、批文、闲置数据进行梳理，提供技术服务支持，辅助供地无图形项统计筛查并反馈推送给科室校验；闲置台账迁移至新平台并落图，协助利用科完成闲置用地数据处理，闲置及供而未建批量出图技术服务；提供闲置及供而未建用地图斑统计与筛查技术服务，并形成专题图，按照业务实际需求进行批量专题图制作等。</w:t>
                  </w:r>
                </w:p>
              </w:tc>
              <w:tc>
                <w:tcPr>
                  <w:tcW w:type="dxa" w:w="561"/>
                  <w:tcBorders>
                    <w:top w:val="none" w:color="000000" w:sz="4"/>
                    <w:left w:val="none" w:color="000000" w:sz="4"/>
                    <w:bottom w:val="single" w:color="000000" w:sz="4"/>
                    <w:right w:val="single" w:color="000000" w:sz="4"/>
                  </w:tcBorders>
                </w:tcPr>
                <w:p>
                  <w:pPr>
                    <w:jc w:val="center"/>
                  </w:pPr>
                  <w:r>
                    <w:rPr>
                      <w:sz w:val="21"/>
                    </w:rPr>
                    <w:t>新增运维</w:t>
                  </w:r>
                </w:p>
              </w:tc>
              <w:tc>
                <w:tcPr>
                  <w:tcW w:type="dxa" w:w="502"/>
                  <w:tcBorders>
                    <w:top w:val="none" w:color="000000" w:sz="4"/>
                    <w:left w:val="none" w:color="000000" w:sz="4"/>
                    <w:bottom w:val="single" w:color="000000" w:sz="4"/>
                    <w:right w:val="single" w:color="000000" w:sz="4"/>
                  </w:tcBorders>
                  <w:vAlign w:val="top"/>
                </w:tcPr>
                <w:p>
                  <w:pPr>
                    <w:jc w:val="both"/>
                  </w:pPr>
                </w:p>
              </w:tc>
            </w:tr>
            <w:tr>
              <w:tc>
                <w:tcPr>
                  <w:tcW w:type="dxa" w:w="531"/>
                  <w:tcBorders>
                    <w:top w:val="none" w:color="000000" w:sz="4"/>
                    <w:left w:val="single" w:color="000000" w:sz="4"/>
                    <w:bottom w:val="single" w:color="000000" w:sz="4"/>
                    <w:right w:val="single" w:color="000000" w:sz="4"/>
                  </w:tcBorders>
                </w:tcPr>
                <w:p>
                  <w:pPr>
                    <w:jc w:val="center"/>
                  </w:pPr>
                  <w:r>
                    <w:rPr>
                      <w:sz w:val="21"/>
                    </w:rPr>
                    <w:t>36</w:t>
                  </w:r>
                </w:p>
              </w:tc>
              <w:tc>
                <w:tcPr>
                  <w:tcW w:type="dxa" w:w="374"/>
                  <w:vMerge/>
                  <w:tcBorders>
                    <w:top w:val="none" w:color="000000" w:sz="4"/>
                    <w:left w:val="none" w:color="000000" w:sz="4"/>
                    <w:bottom w:val="single" w:color="000000" w:sz="4"/>
                    <w:right w:val="single" w:color="000000" w:sz="4"/>
                  </w:tcBorders>
                </w:tcPr>
                <w:p/>
              </w:tc>
              <w:tc>
                <w:tcPr>
                  <w:tcW w:type="dxa" w:w="561"/>
                  <w:tcBorders>
                    <w:top w:val="none" w:color="000000" w:sz="4"/>
                    <w:left w:val="none" w:color="000000" w:sz="4"/>
                    <w:bottom w:val="single" w:color="000000" w:sz="4"/>
                    <w:right w:val="single" w:color="000000" w:sz="4"/>
                  </w:tcBorders>
                </w:tcPr>
                <w:p>
                  <w:pPr>
                    <w:jc w:val="center"/>
                  </w:pPr>
                  <w:r>
                    <w:rPr>
                      <w:b/>
                      <w:sz w:val="21"/>
                    </w:rPr>
                    <w:t>住宅用地统计技术服务</w:t>
                  </w:r>
                </w:p>
              </w:tc>
              <w:tc>
                <w:tcPr>
                  <w:tcW w:type="dxa" w:w="3070"/>
                  <w:tcBorders>
                    <w:top w:val="none" w:color="000000" w:sz="4"/>
                    <w:left w:val="none" w:color="000000" w:sz="4"/>
                    <w:bottom w:val="single" w:color="000000" w:sz="4"/>
                    <w:right w:val="single" w:color="000000" w:sz="4"/>
                  </w:tcBorders>
                </w:tcPr>
                <w:p>
                  <w:pPr>
                    <w:jc w:val="center"/>
                  </w:pPr>
                  <w:r>
                    <w:rPr>
                      <w:sz w:val="21"/>
                    </w:rPr>
                    <w:t>提供不动产登记数据、规划业务审批数据、三调数据等统计住宅用地技术服务，并按照业务需求进行图斑数据筛选、校验等统计分析运维服务，包含已建住宅用地面积和建筑面积统计、已动工未竣工住宅用地面积和建筑面积统计、未动工住宅用地面积和建筑面积统计等统计技术服务。</w:t>
                  </w:r>
                </w:p>
              </w:tc>
              <w:tc>
                <w:tcPr>
                  <w:tcW w:type="dxa" w:w="561"/>
                  <w:tcBorders>
                    <w:top w:val="none" w:color="000000" w:sz="4"/>
                    <w:left w:val="none" w:color="000000" w:sz="4"/>
                    <w:bottom w:val="single" w:color="000000" w:sz="4"/>
                    <w:right w:val="single" w:color="000000" w:sz="4"/>
                  </w:tcBorders>
                </w:tcPr>
                <w:p>
                  <w:pPr>
                    <w:jc w:val="center"/>
                  </w:pPr>
                  <w:r>
                    <w:rPr>
                      <w:sz w:val="21"/>
                    </w:rPr>
                    <w:t>新增运维</w:t>
                  </w:r>
                </w:p>
              </w:tc>
              <w:tc>
                <w:tcPr>
                  <w:tcW w:type="dxa" w:w="502"/>
                  <w:tcBorders>
                    <w:top w:val="none" w:color="000000" w:sz="4"/>
                    <w:left w:val="none" w:color="000000" w:sz="4"/>
                    <w:bottom w:val="single" w:color="000000" w:sz="4"/>
                    <w:right w:val="single" w:color="000000" w:sz="4"/>
                  </w:tcBorders>
                  <w:vAlign w:val="top"/>
                </w:tcPr>
                <w:p>
                  <w:pPr>
                    <w:jc w:val="both"/>
                  </w:pPr>
                </w:p>
              </w:tc>
            </w:tr>
            <w:tr>
              <w:tc>
                <w:tcPr>
                  <w:tcW w:type="dxa" w:w="531"/>
                  <w:tcBorders>
                    <w:top w:val="none" w:color="000000" w:sz="4"/>
                    <w:left w:val="single" w:color="000000" w:sz="4"/>
                    <w:bottom w:val="single" w:color="000000" w:sz="4"/>
                    <w:right w:val="single" w:color="000000" w:sz="4"/>
                  </w:tcBorders>
                </w:tcPr>
                <w:p>
                  <w:pPr>
                    <w:jc w:val="center"/>
                  </w:pPr>
                  <w:r>
                    <w:rPr>
                      <w:sz w:val="21"/>
                    </w:rPr>
                    <w:t>37</w:t>
                  </w:r>
                </w:p>
              </w:tc>
              <w:tc>
                <w:tcPr>
                  <w:tcW w:type="dxa" w:w="374"/>
                  <w:vMerge/>
                  <w:tcBorders>
                    <w:top w:val="none" w:color="000000" w:sz="4"/>
                    <w:left w:val="none" w:color="000000" w:sz="4"/>
                    <w:bottom w:val="single" w:color="000000" w:sz="4"/>
                    <w:right w:val="single" w:color="000000" w:sz="4"/>
                  </w:tcBorders>
                </w:tcPr>
                <w:p/>
              </w:tc>
              <w:tc>
                <w:tcPr>
                  <w:tcW w:type="dxa" w:w="561"/>
                  <w:tcBorders>
                    <w:top w:val="none" w:color="000000" w:sz="4"/>
                    <w:left w:val="none" w:color="000000" w:sz="4"/>
                    <w:bottom w:val="single" w:color="000000" w:sz="4"/>
                    <w:right w:val="single" w:color="000000" w:sz="4"/>
                  </w:tcBorders>
                </w:tcPr>
                <w:p>
                  <w:pPr>
                    <w:jc w:val="center"/>
                  </w:pPr>
                  <w:r>
                    <w:rPr>
                      <w:b/>
                      <w:sz w:val="21"/>
                    </w:rPr>
                    <w:t>项目用地数据统计技术服务</w:t>
                  </w:r>
                </w:p>
              </w:tc>
              <w:tc>
                <w:tcPr>
                  <w:tcW w:type="dxa" w:w="3070"/>
                  <w:tcBorders>
                    <w:top w:val="none" w:color="000000" w:sz="4"/>
                    <w:left w:val="none" w:color="000000" w:sz="4"/>
                    <w:bottom w:val="single" w:color="000000" w:sz="4"/>
                    <w:right w:val="single" w:color="000000" w:sz="4"/>
                  </w:tcBorders>
                </w:tcPr>
                <w:p>
                  <w:pPr>
                    <w:jc w:val="center"/>
                  </w:pPr>
                  <w:r>
                    <w:rPr>
                      <w:sz w:val="21"/>
                    </w:rPr>
                    <w:t>结合业务科室实际需求，提供中山市相关城市建设用地农转用和土地征收实施方案项目、年度城镇建设用地、历史拆迁安置地项目等多宗项目专项用地数据统计分析等技术服务支持</w:t>
                  </w:r>
                </w:p>
              </w:tc>
              <w:tc>
                <w:tcPr>
                  <w:tcW w:type="dxa" w:w="561"/>
                  <w:tcBorders>
                    <w:top w:val="none" w:color="000000" w:sz="4"/>
                    <w:left w:val="none" w:color="000000" w:sz="4"/>
                    <w:bottom w:val="single" w:color="000000" w:sz="4"/>
                    <w:right w:val="single" w:color="000000" w:sz="4"/>
                  </w:tcBorders>
                </w:tcPr>
                <w:p>
                  <w:pPr>
                    <w:jc w:val="center"/>
                  </w:pPr>
                  <w:r>
                    <w:rPr>
                      <w:sz w:val="21"/>
                    </w:rPr>
                    <w:t>新增运维</w:t>
                  </w:r>
                </w:p>
              </w:tc>
              <w:tc>
                <w:tcPr>
                  <w:tcW w:type="dxa" w:w="502"/>
                  <w:tcBorders>
                    <w:top w:val="none" w:color="000000" w:sz="4"/>
                    <w:left w:val="none" w:color="000000" w:sz="4"/>
                    <w:bottom w:val="single" w:color="000000" w:sz="4"/>
                    <w:right w:val="single" w:color="000000" w:sz="4"/>
                  </w:tcBorders>
                  <w:vAlign w:val="top"/>
                </w:tcPr>
                <w:p>
                  <w:pPr>
                    <w:jc w:val="both"/>
                  </w:pPr>
                </w:p>
              </w:tc>
            </w:tr>
            <w:tr>
              <w:tc>
                <w:tcPr>
                  <w:tcW w:type="dxa" w:w="531"/>
                  <w:tcBorders>
                    <w:top w:val="none" w:color="000000" w:sz="4"/>
                    <w:left w:val="single" w:color="000000" w:sz="4"/>
                    <w:bottom w:val="single" w:color="000000" w:sz="4"/>
                    <w:right w:val="single" w:color="000000" w:sz="4"/>
                  </w:tcBorders>
                </w:tcPr>
                <w:p>
                  <w:pPr>
                    <w:jc w:val="center"/>
                  </w:pPr>
                  <w:r>
                    <w:rPr>
                      <w:sz w:val="21"/>
                    </w:rPr>
                    <w:t>38</w:t>
                  </w:r>
                </w:p>
              </w:tc>
              <w:tc>
                <w:tcPr>
                  <w:tcW w:type="dxa" w:w="374"/>
                  <w:vMerge/>
                  <w:tcBorders>
                    <w:top w:val="none" w:color="000000" w:sz="4"/>
                    <w:left w:val="none" w:color="000000" w:sz="4"/>
                    <w:bottom w:val="single" w:color="000000" w:sz="4"/>
                    <w:right w:val="single" w:color="000000" w:sz="4"/>
                  </w:tcBorders>
                </w:tcPr>
                <w:p/>
              </w:tc>
              <w:tc>
                <w:tcPr>
                  <w:tcW w:type="dxa" w:w="561"/>
                  <w:tcBorders>
                    <w:top w:val="none" w:color="000000" w:sz="4"/>
                    <w:left w:val="none" w:color="000000" w:sz="4"/>
                    <w:bottom w:val="single" w:color="000000" w:sz="4"/>
                    <w:right w:val="single" w:color="000000" w:sz="4"/>
                  </w:tcBorders>
                </w:tcPr>
                <w:p>
                  <w:pPr>
                    <w:jc w:val="center"/>
                  </w:pPr>
                  <w:r>
                    <w:rPr>
                      <w:b/>
                      <w:sz w:val="21"/>
                    </w:rPr>
                    <w:t>控规压占用地专题分析服务</w:t>
                  </w:r>
                </w:p>
              </w:tc>
              <w:tc>
                <w:tcPr>
                  <w:tcW w:type="dxa" w:w="3070"/>
                  <w:tcBorders>
                    <w:top w:val="none" w:color="000000" w:sz="4"/>
                    <w:left w:val="none" w:color="000000" w:sz="4"/>
                    <w:bottom w:val="single" w:color="000000" w:sz="4"/>
                    <w:right w:val="single" w:color="000000" w:sz="4"/>
                  </w:tcBorders>
                </w:tcPr>
                <w:p>
                  <w:pPr>
                    <w:jc w:val="center"/>
                  </w:pPr>
                  <w:r>
                    <w:rPr>
                      <w:sz w:val="21"/>
                    </w:rPr>
                    <w:t>提供筛选可供用地出让已入库、未办证、拟出库-已出库地块压占控规中的工业用地、居住用地、商业用地；结合业务统计分析要求进行占压后的图层数据融合处理，字段属性进行空间关联、图层转CAD格式等技术支持服务。</w:t>
                  </w:r>
                </w:p>
              </w:tc>
              <w:tc>
                <w:tcPr>
                  <w:tcW w:type="dxa" w:w="561"/>
                  <w:tcBorders>
                    <w:top w:val="none" w:color="000000" w:sz="4"/>
                    <w:left w:val="none" w:color="000000" w:sz="4"/>
                    <w:bottom w:val="single" w:color="000000" w:sz="4"/>
                    <w:right w:val="single" w:color="000000" w:sz="4"/>
                  </w:tcBorders>
                </w:tcPr>
                <w:p>
                  <w:pPr>
                    <w:jc w:val="center"/>
                  </w:pPr>
                  <w:r>
                    <w:rPr>
                      <w:sz w:val="21"/>
                    </w:rPr>
                    <w:t>延续性运维</w:t>
                  </w:r>
                </w:p>
              </w:tc>
              <w:tc>
                <w:tcPr>
                  <w:tcW w:type="dxa" w:w="502"/>
                  <w:tcBorders>
                    <w:top w:val="none" w:color="000000" w:sz="4"/>
                    <w:left w:val="none" w:color="000000" w:sz="4"/>
                    <w:bottom w:val="single" w:color="000000" w:sz="4"/>
                    <w:right w:val="single" w:color="000000" w:sz="4"/>
                  </w:tcBorders>
                  <w:vAlign w:val="top"/>
                </w:tcPr>
                <w:p>
                  <w:pPr>
                    <w:jc w:val="both"/>
                  </w:pPr>
                </w:p>
              </w:tc>
            </w:tr>
            <w:tr>
              <w:tc>
                <w:tcPr>
                  <w:tcW w:type="dxa" w:w="531"/>
                  <w:tcBorders>
                    <w:top w:val="none" w:color="000000" w:sz="4"/>
                    <w:left w:val="single" w:color="000000" w:sz="4"/>
                    <w:bottom w:val="single" w:color="000000" w:sz="4"/>
                    <w:right w:val="single" w:color="000000" w:sz="4"/>
                  </w:tcBorders>
                </w:tcPr>
                <w:p>
                  <w:pPr>
                    <w:jc w:val="center"/>
                  </w:pPr>
                  <w:r>
                    <w:rPr>
                      <w:sz w:val="21"/>
                    </w:rPr>
                    <w:t>39</w:t>
                  </w:r>
                </w:p>
              </w:tc>
              <w:tc>
                <w:tcPr>
                  <w:tcW w:type="dxa" w:w="374"/>
                  <w:vMerge/>
                  <w:tcBorders>
                    <w:top w:val="none" w:color="000000" w:sz="4"/>
                    <w:left w:val="none" w:color="000000" w:sz="4"/>
                    <w:bottom w:val="single" w:color="000000" w:sz="4"/>
                    <w:right w:val="single" w:color="000000" w:sz="4"/>
                  </w:tcBorders>
                </w:tcPr>
                <w:p/>
              </w:tc>
              <w:tc>
                <w:tcPr>
                  <w:tcW w:type="dxa" w:w="561"/>
                  <w:tcBorders>
                    <w:top w:val="none" w:color="000000" w:sz="4"/>
                    <w:left w:val="none" w:color="000000" w:sz="4"/>
                    <w:bottom w:val="single" w:color="000000" w:sz="4"/>
                    <w:right w:val="single" w:color="000000" w:sz="4"/>
                  </w:tcBorders>
                </w:tcPr>
                <w:p>
                  <w:pPr>
                    <w:jc w:val="center"/>
                  </w:pPr>
                  <w:r>
                    <w:rPr>
                      <w:b/>
                      <w:sz w:val="21"/>
                    </w:rPr>
                    <w:t>控规、土规数据更新入库服务</w:t>
                  </w:r>
                </w:p>
              </w:tc>
              <w:tc>
                <w:tcPr>
                  <w:tcW w:type="dxa" w:w="3070"/>
                  <w:tcBorders>
                    <w:top w:val="none" w:color="000000" w:sz="4"/>
                    <w:left w:val="none" w:color="000000" w:sz="4"/>
                    <w:bottom w:val="single" w:color="000000" w:sz="4"/>
                    <w:right w:val="single" w:color="000000" w:sz="4"/>
                  </w:tcBorders>
                </w:tcPr>
                <w:p>
                  <w:pPr>
                    <w:jc w:val="center"/>
                  </w:pPr>
                  <w:r>
                    <w:rPr>
                      <w:sz w:val="21"/>
                    </w:rPr>
                    <w:t>配合不定期开展的控规、土规数据、城市总体规划数据规整、统计分析、入库质检、发布更新等技术支持服务。提供包括公益性用地控制性详细规划、土规数据，预留规模落实、工业园控制性详细规划调整、项目拆迁安置地规划条件论证报告等控规、土规数据更新入库技术服务。</w:t>
                  </w:r>
                </w:p>
              </w:tc>
              <w:tc>
                <w:tcPr>
                  <w:tcW w:type="dxa" w:w="561"/>
                  <w:tcBorders>
                    <w:top w:val="none" w:color="000000" w:sz="4"/>
                    <w:left w:val="none" w:color="000000" w:sz="4"/>
                    <w:bottom w:val="single" w:color="000000" w:sz="4"/>
                    <w:right w:val="single" w:color="000000" w:sz="4"/>
                  </w:tcBorders>
                </w:tcPr>
                <w:p>
                  <w:pPr>
                    <w:jc w:val="center"/>
                  </w:pPr>
                  <w:r>
                    <w:rPr>
                      <w:sz w:val="21"/>
                    </w:rPr>
                    <w:t>延续性运维</w:t>
                  </w:r>
                </w:p>
              </w:tc>
              <w:tc>
                <w:tcPr>
                  <w:tcW w:type="dxa" w:w="502"/>
                  <w:tcBorders>
                    <w:top w:val="none" w:color="000000" w:sz="4"/>
                    <w:left w:val="none" w:color="000000" w:sz="4"/>
                    <w:bottom w:val="single" w:color="000000" w:sz="4"/>
                    <w:right w:val="single" w:color="000000" w:sz="4"/>
                  </w:tcBorders>
                  <w:vAlign w:val="top"/>
                </w:tcPr>
                <w:p>
                  <w:pPr>
                    <w:jc w:val="both"/>
                  </w:pPr>
                </w:p>
              </w:tc>
            </w:tr>
            <w:tr>
              <w:tc>
                <w:tcPr>
                  <w:tcW w:type="dxa" w:w="531"/>
                  <w:tcBorders>
                    <w:top w:val="none" w:color="000000" w:sz="4"/>
                    <w:left w:val="single" w:color="000000" w:sz="4"/>
                    <w:bottom w:val="single" w:color="000000" w:sz="4"/>
                    <w:right w:val="single" w:color="000000" w:sz="4"/>
                  </w:tcBorders>
                </w:tcPr>
                <w:p>
                  <w:pPr>
                    <w:jc w:val="center"/>
                  </w:pPr>
                  <w:r>
                    <w:rPr>
                      <w:sz w:val="21"/>
                    </w:rPr>
                    <w:t>40</w:t>
                  </w:r>
                </w:p>
              </w:tc>
              <w:tc>
                <w:tcPr>
                  <w:tcW w:type="dxa" w:w="374"/>
                  <w:vMerge/>
                  <w:tcBorders>
                    <w:top w:val="none" w:color="000000" w:sz="4"/>
                    <w:left w:val="none" w:color="000000" w:sz="4"/>
                    <w:bottom w:val="single" w:color="000000" w:sz="4"/>
                    <w:right w:val="single" w:color="000000" w:sz="4"/>
                  </w:tcBorders>
                </w:tcPr>
                <w:p/>
              </w:tc>
              <w:tc>
                <w:tcPr>
                  <w:tcW w:type="dxa" w:w="561"/>
                  <w:tcBorders>
                    <w:top w:val="none" w:color="000000" w:sz="4"/>
                    <w:left w:val="none" w:color="000000" w:sz="4"/>
                    <w:bottom w:val="single" w:color="000000" w:sz="4"/>
                    <w:right w:val="single" w:color="000000" w:sz="4"/>
                  </w:tcBorders>
                </w:tcPr>
                <w:p>
                  <w:pPr>
                    <w:jc w:val="center"/>
                  </w:pPr>
                  <w:r>
                    <w:rPr>
                      <w:b/>
                      <w:sz w:val="21"/>
                    </w:rPr>
                    <w:t>国土变更调查数据服务</w:t>
                  </w:r>
                </w:p>
              </w:tc>
              <w:tc>
                <w:tcPr>
                  <w:tcW w:type="dxa" w:w="3070"/>
                  <w:tcBorders>
                    <w:top w:val="none" w:color="000000" w:sz="4"/>
                    <w:left w:val="none" w:color="000000" w:sz="4"/>
                    <w:bottom w:val="single" w:color="000000" w:sz="4"/>
                    <w:right w:val="single" w:color="000000" w:sz="4"/>
                  </w:tcBorders>
                </w:tcPr>
                <w:p>
                  <w:pPr>
                    <w:jc w:val="center"/>
                  </w:pPr>
                  <w:r>
                    <w:rPr>
                      <w:sz w:val="21"/>
                    </w:rPr>
                    <w:t>历次国土变更调查的图斑、照片、调查资料等需要部署在基础信息平台</w:t>
                  </w:r>
                </w:p>
              </w:tc>
              <w:tc>
                <w:tcPr>
                  <w:tcW w:type="dxa" w:w="561"/>
                  <w:tcBorders>
                    <w:top w:val="none" w:color="000000" w:sz="4"/>
                    <w:left w:val="none" w:color="000000" w:sz="4"/>
                    <w:bottom w:val="single" w:color="000000" w:sz="4"/>
                    <w:right w:val="single" w:color="000000" w:sz="4"/>
                  </w:tcBorders>
                </w:tcPr>
                <w:p>
                  <w:pPr>
                    <w:jc w:val="center"/>
                  </w:pPr>
                  <w:r>
                    <w:rPr>
                      <w:sz w:val="21"/>
                    </w:rPr>
                    <w:t>新增运维</w:t>
                  </w:r>
                </w:p>
              </w:tc>
              <w:tc>
                <w:tcPr>
                  <w:tcW w:type="dxa" w:w="502"/>
                  <w:tcBorders>
                    <w:top w:val="none" w:color="000000" w:sz="4"/>
                    <w:left w:val="none" w:color="000000" w:sz="4"/>
                    <w:bottom w:val="single" w:color="000000" w:sz="4"/>
                    <w:right w:val="single" w:color="000000" w:sz="4"/>
                  </w:tcBorders>
                  <w:vAlign w:val="top"/>
                </w:tcPr>
                <w:p>
                  <w:pPr>
                    <w:jc w:val="both"/>
                  </w:pPr>
                </w:p>
              </w:tc>
            </w:tr>
            <w:tr>
              <w:tc>
                <w:tcPr>
                  <w:tcW w:type="dxa" w:w="531"/>
                  <w:tcBorders>
                    <w:top w:val="none" w:color="000000" w:sz="4"/>
                    <w:left w:val="single" w:color="000000" w:sz="4"/>
                    <w:bottom w:val="single" w:color="000000" w:sz="4"/>
                    <w:right w:val="single" w:color="000000" w:sz="4"/>
                  </w:tcBorders>
                </w:tcPr>
                <w:p>
                  <w:pPr>
                    <w:jc w:val="center"/>
                  </w:pPr>
                  <w:r>
                    <w:rPr>
                      <w:sz w:val="21"/>
                    </w:rPr>
                    <w:t>41</w:t>
                  </w:r>
                </w:p>
              </w:tc>
              <w:tc>
                <w:tcPr>
                  <w:tcW w:type="dxa" w:w="374"/>
                  <w:vMerge/>
                  <w:tcBorders>
                    <w:top w:val="none" w:color="000000" w:sz="4"/>
                    <w:left w:val="none" w:color="000000" w:sz="4"/>
                    <w:bottom w:val="single" w:color="000000" w:sz="4"/>
                    <w:right w:val="single" w:color="000000" w:sz="4"/>
                  </w:tcBorders>
                </w:tcPr>
                <w:p/>
              </w:tc>
              <w:tc>
                <w:tcPr>
                  <w:tcW w:type="dxa" w:w="561"/>
                  <w:tcBorders>
                    <w:top w:val="none" w:color="000000" w:sz="4"/>
                    <w:left w:val="none" w:color="000000" w:sz="4"/>
                    <w:bottom w:val="single" w:color="000000" w:sz="4"/>
                    <w:right w:val="single" w:color="000000" w:sz="4"/>
                  </w:tcBorders>
                </w:tcPr>
                <w:p>
                  <w:pPr>
                    <w:jc w:val="center"/>
                  </w:pPr>
                  <w:r>
                    <w:rPr>
                      <w:b/>
                      <w:sz w:val="21"/>
                    </w:rPr>
                    <w:t>中山市自然资源常态化监测（耕保专题）</w:t>
                  </w:r>
                </w:p>
              </w:tc>
              <w:tc>
                <w:tcPr>
                  <w:tcW w:type="dxa" w:w="3070"/>
                  <w:tcBorders>
                    <w:top w:val="none" w:color="000000" w:sz="4"/>
                    <w:left w:val="none" w:color="000000" w:sz="4"/>
                    <w:bottom w:val="single" w:color="000000" w:sz="4"/>
                    <w:right w:val="single" w:color="000000" w:sz="4"/>
                  </w:tcBorders>
                </w:tcPr>
                <w:p>
                  <w:pPr>
                    <w:jc w:val="center"/>
                  </w:pPr>
                  <w:r>
                    <w:rPr>
                      <w:sz w:val="21"/>
                    </w:rPr>
                    <w:t>建设方案内容包括非粮化图斑专题数据库、非粮化图斑任务台帐、非粮化图斑地图专题、现场资料采集端、电子业务账本、非粮化图斑任务汇总统计专题。</w:t>
                  </w:r>
                </w:p>
              </w:tc>
              <w:tc>
                <w:tcPr>
                  <w:tcW w:type="dxa" w:w="561"/>
                  <w:tcBorders>
                    <w:top w:val="none" w:color="000000" w:sz="4"/>
                    <w:left w:val="none" w:color="000000" w:sz="4"/>
                    <w:bottom w:val="single" w:color="000000" w:sz="4"/>
                    <w:right w:val="single" w:color="000000" w:sz="4"/>
                  </w:tcBorders>
                </w:tcPr>
                <w:p>
                  <w:pPr>
                    <w:jc w:val="center"/>
                  </w:pPr>
                  <w:r>
                    <w:rPr>
                      <w:sz w:val="21"/>
                    </w:rPr>
                    <w:t>新增运维</w:t>
                  </w:r>
                </w:p>
              </w:tc>
              <w:tc>
                <w:tcPr>
                  <w:tcW w:type="dxa" w:w="502"/>
                  <w:tcBorders>
                    <w:top w:val="none" w:color="000000" w:sz="4"/>
                    <w:left w:val="none" w:color="000000" w:sz="4"/>
                    <w:bottom w:val="single" w:color="000000" w:sz="4"/>
                    <w:right w:val="single" w:color="000000" w:sz="4"/>
                  </w:tcBorders>
                  <w:vAlign w:val="top"/>
                </w:tcPr>
                <w:p>
                  <w:pPr>
                    <w:jc w:val="both"/>
                  </w:pPr>
                </w:p>
              </w:tc>
            </w:tr>
            <w:tr>
              <w:tc>
                <w:tcPr>
                  <w:tcW w:type="dxa" w:w="531"/>
                  <w:tcBorders>
                    <w:top w:val="none" w:color="000000" w:sz="4"/>
                    <w:left w:val="single" w:color="000000" w:sz="4"/>
                    <w:bottom w:val="single" w:color="000000" w:sz="4"/>
                    <w:right w:val="single" w:color="000000" w:sz="4"/>
                  </w:tcBorders>
                </w:tcPr>
                <w:p>
                  <w:pPr>
                    <w:jc w:val="center"/>
                  </w:pPr>
                  <w:r>
                    <w:rPr>
                      <w:sz w:val="21"/>
                    </w:rPr>
                    <w:t>42</w:t>
                  </w:r>
                </w:p>
              </w:tc>
              <w:tc>
                <w:tcPr>
                  <w:tcW w:type="dxa" w:w="374"/>
                  <w:vMerge w:val="restart"/>
                  <w:tcBorders>
                    <w:top w:val="none" w:color="000000" w:sz="4"/>
                    <w:left w:val="none" w:color="000000" w:sz="4"/>
                    <w:bottom w:val="single" w:color="000000" w:sz="4"/>
                    <w:right w:val="single" w:color="000000" w:sz="4"/>
                  </w:tcBorders>
                </w:tcPr>
                <w:p>
                  <w:pPr>
                    <w:jc w:val="center"/>
                  </w:pPr>
                  <w:r>
                    <w:rPr>
                      <w:b/>
                      <w:sz w:val="21"/>
                    </w:rPr>
                    <w:t>安全运行保障服务</w:t>
                  </w:r>
                </w:p>
              </w:tc>
              <w:tc>
                <w:tcPr>
                  <w:tcW w:type="dxa" w:w="561"/>
                  <w:tcBorders>
                    <w:top w:val="none" w:color="000000" w:sz="4"/>
                    <w:left w:val="none" w:color="000000" w:sz="4"/>
                    <w:bottom w:val="single" w:color="000000" w:sz="4"/>
                    <w:right w:val="single" w:color="000000" w:sz="4"/>
                  </w:tcBorders>
                </w:tcPr>
                <w:p>
                  <w:pPr>
                    <w:jc w:val="center"/>
                  </w:pPr>
                  <w:r>
                    <w:rPr>
                      <w:b/>
                      <w:sz w:val="21"/>
                    </w:rPr>
                    <w:t>数据安全测试与维护</w:t>
                  </w:r>
                </w:p>
              </w:tc>
              <w:tc>
                <w:tcPr>
                  <w:tcW w:type="dxa" w:w="3070"/>
                  <w:tcBorders>
                    <w:top w:val="none" w:color="000000" w:sz="4"/>
                    <w:left w:val="none" w:color="000000" w:sz="4"/>
                    <w:bottom w:val="single" w:color="000000" w:sz="4"/>
                    <w:right w:val="single" w:color="000000" w:sz="4"/>
                  </w:tcBorders>
                </w:tcPr>
                <w:p>
                  <w:pPr>
                    <w:jc w:val="left"/>
                  </w:pPr>
                  <w:r>
                    <w:rPr>
                      <w:sz w:val="21"/>
                    </w:rPr>
                    <w:t>开展数据在不同服务器（含云平台）的迁移、部署、测试及运维管理，确保数据的更新与发布要经过严格的评估与测试，有序实施；保障数据维护等工作的高效与安全；确保业务系统的可用性和不间断性；保障终端用户的应用系统使用问题能够及时解决。</w:t>
                  </w:r>
                </w:p>
              </w:tc>
              <w:tc>
                <w:tcPr>
                  <w:tcW w:type="dxa" w:w="561"/>
                  <w:tcBorders>
                    <w:top w:val="none" w:color="000000" w:sz="4"/>
                    <w:left w:val="none" w:color="000000" w:sz="4"/>
                    <w:bottom w:val="single" w:color="000000" w:sz="4"/>
                    <w:right w:val="single" w:color="000000" w:sz="4"/>
                  </w:tcBorders>
                </w:tcPr>
                <w:p>
                  <w:pPr>
                    <w:jc w:val="center"/>
                  </w:pPr>
                  <w:r>
                    <w:rPr>
                      <w:sz w:val="21"/>
                    </w:rPr>
                    <w:t>延续性运维</w:t>
                  </w:r>
                </w:p>
              </w:tc>
              <w:tc>
                <w:tcPr>
                  <w:tcW w:type="dxa" w:w="502"/>
                  <w:tcBorders>
                    <w:top w:val="none" w:color="000000" w:sz="4"/>
                    <w:left w:val="none" w:color="000000" w:sz="4"/>
                    <w:bottom w:val="single" w:color="000000" w:sz="4"/>
                    <w:right w:val="single" w:color="000000" w:sz="4"/>
                  </w:tcBorders>
                  <w:vAlign w:val="top"/>
                </w:tcPr>
                <w:p>
                  <w:pPr>
                    <w:jc w:val="both"/>
                  </w:pPr>
                </w:p>
              </w:tc>
            </w:tr>
            <w:tr>
              <w:tc>
                <w:tcPr>
                  <w:tcW w:type="dxa" w:w="531"/>
                  <w:tcBorders>
                    <w:top w:val="none" w:color="000000" w:sz="4"/>
                    <w:left w:val="single" w:color="000000" w:sz="4"/>
                    <w:bottom w:val="single" w:color="000000" w:sz="4"/>
                    <w:right w:val="single" w:color="000000" w:sz="4"/>
                  </w:tcBorders>
                </w:tcPr>
                <w:p>
                  <w:pPr>
                    <w:jc w:val="center"/>
                  </w:pPr>
                  <w:r>
                    <w:rPr>
                      <w:sz w:val="21"/>
                    </w:rPr>
                    <w:t>43</w:t>
                  </w:r>
                </w:p>
              </w:tc>
              <w:tc>
                <w:tcPr>
                  <w:tcW w:type="dxa" w:w="374"/>
                  <w:vMerge/>
                  <w:tcBorders>
                    <w:top w:val="none" w:color="000000" w:sz="4"/>
                    <w:left w:val="none" w:color="000000" w:sz="4"/>
                    <w:bottom w:val="single" w:color="000000" w:sz="4"/>
                    <w:right w:val="single" w:color="000000" w:sz="4"/>
                  </w:tcBorders>
                </w:tcPr>
                <w:p/>
              </w:tc>
              <w:tc>
                <w:tcPr>
                  <w:tcW w:type="dxa" w:w="561"/>
                  <w:tcBorders>
                    <w:top w:val="none" w:color="000000" w:sz="4"/>
                    <w:left w:val="none" w:color="000000" w:sz="4"/>
                    <w:bottom w:val="single" w:color="000000" w:sz="4"/>
                    <w:right w:val="single" w:color="000000" w:sz="4"/>
                  </w:tcBorders>
                </w:tcPr>
                <w:p>
                  <w:pPr>
                    <w:jc w:val="center"/>
                  </w:pPr>
                  <w:r>
                    <w:rPr>
                      <w:b/>
                      <w:sz w:val="21"/>
                    </w:rPr>
                    <w:t>数据安全专人值守</w:t>
                  </w:r>
                </w:p>
              </w:tc>
              <w:tc>
                <w:tcPr>
                  <w:tcW w:type="dxa" w:w="3070"/>
                  <w:tcBorders>
                    <w:top w:val="none" w:color="000000" w:sz="4"/>
                    <w:left w:val="none" w:color="000000" w:sz="4"/>
                    <w:bottom w:val="single" w:color="000000" w:sz="4"/>
                    <w:right w:val="single" w:color="000000" w:sz="4"/>
                  </w:tcBorders>
                </w:tcPr>
                <w:p>
                  <w:pPr>
                    <w:jc w:val="left"/>
                  </w:pPr>
                  <w:r>
                    <w:rPr>
                      <w:sz w:val="21"/>
                    </w:rPr>
                    <w:t>运维项目组安排专人值守数据中心运行安全，24小时配合运维及相应，按要求负责重大活动、节假日等重点保障期间的运维保障；开展数据安全日常监控，定期巡查并报告，及时发现、解决问题；提高数据加载运行速度，保障数据运行安全。</w:t>
                  </w:r>
                </w:p>
              </w:tc>
              <w:tc>
                <w:tcPr>
                  <w:tcW w:type="dxa" w:w="561"/>
                  <w:tcBorders>
                    <w:top w:val="none" w:color="000000" w:sz="4"/>
                    <w:left w:val="none" w:color="000000" w:sz="4"/>
                    <w:bottom w:val="single" w:color="000000" w:sz="4"/>
                    <w:right w:val="single" w:color="000000" w:sz="4"/>
                  </w:tcBorders>
                </w:tcPr>
                <w:p>
                  <w:pPr>
                    <w:jc w:val="center"/>
                  </w:pPr>
                  <w:r>
                    <w:rPr>
                      <w:sz w:val="21"/>
                    </w:rPr>
                    <w:t>延续性运维</w:t>
                  </w:r>
                </w:p>
              </w:tc>
              <w:tc>
                <w:tcPr>
                  <w:tcW w:type="dxa" w:w="502"/>
                  <w:tcBorders>
                    <w:top w:val="none" w:color="000000" w:sz="4"/>
                    <w:left w:val="none" w:color="000000" w:sz="4"/>
                    <w:bottom w:val="single" w:color="000000" w:sz="4"/>
                    <w:right w:val="single" w:color="000000" w:sz="4"/>
                  </w:tcBorders>
                  <w:vAlign w:val="top"/>
                </w:tcPr>
                <w:p>
                  <w:pPr>
                    <w:jc w:val="both"/>
                  </w:pPr>
                </w:p>
              </w:tc>
            </w:tr>
            <w:tr>
              <w:tc>
                <w:tcPr>
                  <w:tcW w:type="dxa" w:w="531"/>
                  <w:tcBorders>
                    <w:top w:val="none" w:color="000000" w:sz="4"/>
                    <w:left w:val="single" w:color="000000" w:sz="4"/>
                    <w:bottom w:val="single" w:color="000000" w:sz="4"/>
                    <w:right w:val="single" w:color="000000" w:sz="4"/>
                  </w:tcBorders>
                </w:tcPr>
                <w:p>
                  <w:pPr>
                    <w:jc w:val="center"/>
                  </w:pPr>
                  <w:r>
                    <w:rPr>
                      <w:sz w:val="21"/>
                    </w:rPr>
                    <w:t>44</w:t>
                  </w:r>
                </w:p>
              </w:tc>
              <w:tc>
                <w:tcPr>
                  <w:tcW w:type="dxa" w:w="374"/>
                  <w:vMerge/>
                  <w:tcBorders>
                    <w:top w:val="none" w:color="000000" w:sz="4"/>
                    <w:left w:val="none" w:color="000000" w:sz="4"/>
                    <w:bottom w:val="single" w:color="000000" w:sz="4"/>
                    <w:right w:val="single" w:color="000000" w:sz="4"/>
                  </w:tcBorders>
                </w:tcPr>
                <w:p/>
              </w:tc>
              <w:tc>
                <w:tcPr>
                  <w:tcW w:type="dxa" w:w="561"/>
                  <w:tcBorders>
                    <w:top w:val="none" w:color="000000" w:sz="4"/>
                    <w:left w:val="none" w:color="000000" w:sz="4"/>
                    <w:bottom w:val="single" w:color="000000" w:sz="4"/>
                    <w:right w:val="single" w:color="000000" w:sz="4"/>
                  </w:tcBorders>
                </w:tcPr>
                <w:p>
                  <w:pPr>
                    <w:jc w:val="center"/>
                  </w:pPr>
                  <w:r>
                    <w:rPr>
                      <w:b/>
                      <w:sz w:val="21"/>
                    </w:rPr>
                    <w:t>数据备份管理</w:t>
                  </w:r>
                </w:p>
              </w:tc>
              <w:tc>
                <w:tcPr>
                  <w:tcW w:type="dxa" w:w="3070"/>
                  <w:tcBorders>
                    <w:top w:val="none" w:color="000000" w:sz="4"/>
                    <w:left w:val="none" w:color="000000" w:sz="4"/>
                    <w:bottom w:val="single" w:color="000000" w:sz="4"/>
                    <w:right w:val="single" w:color="000000" w:sz="4"/>
                  </w:tcBorders>
                </w:tcPr>
                <w:p>
                  <w:pPr>
                    <w:jc w:val="center"/>
                  </w:pPr>
                  <w:r>
                    <w:rPr>
                      <w:sz w:val="21"/>
                    </w:rPr>
                    <w:t>做好数据备份工作，开展数据自动备份和手动备份工作，运维人员按照每日、每周、每月频率制定备份计划并将备份文件存入制定路径，针对特定数据的备份，采取手动备份形式，直接操作后台进行复制存储到指定路径，做好数据安全恢复工作，防范业务数据等信息丢失和篡改。</w:t>
                  </w:r>
                </w:p>
              </w:tc>
              <w:tc>
                <w:tcPr>
                  <w:tcW w:type="dxa" w:w="561"/>
                  <w:tcBorders>
                    <w:top w:val="none" w:color="000000" w:sz="4"/>
                    <w:left w:val="none" w:color="000000" w:sz="4"/>
                    <w:bottom w:val="single" w:color="000000" w:sz="4"/>
                    <w:right w:val="single" w:color="000000" w:sz="4"/>
                  </w:tcBorders>
                </w:tcPr>
                <w:p>
                  <w:pPr>
                    <w:jc w:val="center"/>
                  </w:pPr>
                  <w:r>
                    <w:rPr>
                      <w:sz w:val="21"/>
                    </w:rPr>
                    <w:t>延续性运维</w:t>
                  </w:r>
                </w:p>
              </w:tc>
              <w:tc>
                <w:tcPr>
                  <w:tcW w:type="dxa" w:w="502"/>
                  <w:tcBorders>
                    <w:top w:val="none" w:color="000000" w:sz="4"/>
                    <w:left w:val="none" w:color="000000" w:sz="4"/>
                    <w:bottom w:val="single" w:color="000000" w:sz="4"/>
                    <w:right w:val="single" w:color="000000" w:sz="4"/>
                  </w:tcBorders>
                  <w:vAlign w:val="top"/>
                </w:tcPr>
                <w:p>
                  <w:pPr>
                    <w:jc w:val="both"/>
                  </w:pPr>
                </w:p>
              </w:tc>
            </w:tr>
            <w:tr>
              <w:tc>
                <w:tcPr>
                  <w:tcW w:type="dxa" w:w="531"/>
                  <w:tcBorders>
                    <w:top w:val="none" w:color="000000" w:sz="4"/>
                    <w:left w:val="single" w:color="000000" w:sz="4"/>
                    <w:bottom w:val="single" w:color="000000" w:sz="4"/>
                    <w:right w:val="single" w:color="000000" w:sz="4"/>
                  </w:tcBorders>
                </w:tcPr>
                <w:p>
                  <w:pPr>
                    <w:jc w:val="center"/>
                  </w:pPr>
                  <w:r>
                    <w:rPr>
                      <w:sz w:val="21"/>
                    </w:rPr>
                    <w:t>45</w:t>
                  </w:r>
                </w:p>
              </w:tc>
              <w:tc>
                <w:tcPr>
                  <w:tcW w:type="dxa" w:w="374"/>
                  <w:vMerge/>
                  <w:tcBorders>
                    <w:top w:val="none" w:color="000000" w:sz="4"/>
                    <w:left w:val="none" w:color="000000" w:sz="4"/>
                    <w:bottom w:val="single" w:color="000000" w:sz="4"/>
                    <w:right w:val="single" w:color="000000" w:sz="4"/>
                  </w:tcBorders>
                </w:tcPr>
                <w:p/>
              </w:tc>
              <w:tc>
                <w:tcPr>
                  <w:tcW w:type="dxa" w:w="561"/>
                  <w:tcBorders>
                    <w:top w:val="none" w:color="000000" w:sz="4"/>
                    <w:left w:val="none" w:color="000000" w:sz="4"/>
                    <w:bottom w:val="single" w:color="000000" w:sz="4"/>
                    <w:right w:val="single" w:color="000000" w:sz="4"/>
                  </w:tcBorders>
                </w:tcPr>
                <w:p>
                  <w:pPr>
                    <w:jc w:val="center"/>
                  </w:pPr>
                  <w:r>
                    <w:rPr>
                      <w:b/>
                      <w:sz w:val="21"/>
                    </w:rPr>
                    <w:t>数据修改服务</w:t>
                  </w:r>
                </w:p>
              </w:tc>
              <w:tc>
                <w:tcPr>
                  <w:tcW w:type="dxa" w:w="3070"/>
                  <w:tcBorders>
                    <w:top w:val="none" w:color="000000" w:sz="4"/>
                    <w:left w:val="none" w:color="000000" w:sz="4"/>
                    <w:bottom w:val="single" w:color="000000" w:sz="4"/>
                    <w:right w:val="single" w:color="000000" w:sz="4"/>
                  </w:tcBorders>
                </w:tcPr>
                <w:p>
                  <w:pPr>
                    <w:jc w:val="left"/>
                  </w:pPr>
                  <w:r>
                    <w:rPr>
                      <w:sz w:val="21"/>
                    </w:rPr>
                    <w:t>用户提出数据修改的需求后，运维人员首先确认待修改数据来源，其次按照数据修改原则判定数据是否可以进行修改操作。对于数据自身问题或者操作失误造成与实际信息不服的数据，经核验后进行修改；对与核实与实际数据一致的数据或者相关科室确认不应修改的数据不进行修改操作。数据修改工作的同时运维人员同步做好数据修改台账的记录。</w:t>
                  </w:r>
                </w:p>
              </w:tc>
              <w:tc>
                <w:tcPr>
                  <w:tcW w:type="dxa" w:w="561"/>
                  <w:tcBorders>
                    <w:top w:val="none" w:color="000000" w:sz="4"/>
                    <w:left w:val="none" w:color="000000" w:sz="4"/>
                    <w:bottom w:val="single" w:color="000000" w:sz="4"/>
                    <w:right w:val="single" w:color="000000" w:sz="4"/>
                  </w:tcBorders>
                </w:tcPr>
                <w:p>
                  <w:pPr>
                    <w:jc w:val="center"/>
                  </w:pPr>
                  <w:r>
                    <w:rPr>
                      <w:sz w:val="21"/>
                    </w:rPr>
                    <w:t>延续性运维</w:t>
                  </w:r>
                </w:p>
              </w:tc>
              <w:tc>
                <w:tcPr>
                  <w:tcW w:type="dxa" w:w="502"/>
                  <w:tcBorders>
                    <w:top w:val="none" w:color="000000" w:sz="4"/>
                    <w:left w:val="none" w:color="000000" w:sz="4"/>
                    <w:bottom w:val="single" w:color="000000" w:sz="4"/>
                    <w:right w:val="single" w:color="000000" w:sz="4"/>
                  </w:tcBorders>
                  <w:vAlign w:val="top"/>
                </w:tcPr>
                <w:p>
                  <w:pPr>
                    <w:jc w:val="both"/>
                  </w:pPr>
                </w:p>
              </w:tc>
            </w:tr>
            <w:tr>
              <w:tc>
                <w:tcPr>
                  <w:tcW w:type="dxa" w:w="531"/>
                  <w:tcBorders>
                    <w:top w:val="none" w:color="000000" w:sz="4"/>
                    <w:left w:val="single" w:color="000000" w:sz="4"/>
                    <w:bottom w:val="single" w:color="000000" w:sz="4"/>
                    <w:right w:val="single" w:color="000000" w:sz="4"/>
                  </w:tcBorders>
                </w:tcPr>
                <w:p>
                  <w:pPr>
                    <w:jc w:val="center"/>
                  </w:pPr>
                  <w:r>
                    <w:rPr>
                      <w:sz w:val="21"/>
                    </w:rPr>
                    <w:t>46</w:t>
                  </w:r>
                </w:p>
              </w:tc>
              <w:tc>
                <w:tcPr>
                  <w:tcW w:type="dxa" w:w="374"/>
                  <w:vMerge/>
                  <w:tcBorders>
                    <w:top w:val="none" w:color="000000" w:sz="4"/>
                    <w:left w:val="none" w:color="000000" w:sz="4"/>
                    <w:bottom w:val="single" w:color="000000" w:sz="4"/>
                    <w:right w:val="single" w:color="000000" w:sz="4"/>
                  </w:tcBorders>
                </w:tcPr>
                <w:p/>
              </w:tc>
              <w:tc>
                <w:tcPr>
                  <w:tcW w:type="dxa" w:w="561"/>
                  <w:tcBorders>
                    <w:top w:val="none" w:color="000000" w:sz="4"/>
                    <w:left w:val="none" w:color="000000" w:sz="4"/>
                    <w:bottom w:val="single" w:color="000000" w:sz="4"/>
                    <w:right w:val="single" w:color="000000" w:sz="4"/>
                  </w:tcBorders>
                </w:tcPr>
                <w:p>
                  <w:pPr>
                    <w:jc w:val="center"/>
                  </w:pPr>
                  <w:r>
                    <w:rPr>
                      <w:b/>
                      <w:sz w:val="21"/>
                    </w:rPr>
                    <w:t>大数据中心风险监控与响应</w:t>
                  </w:r>
                </w:p>
              </w:tc>
              <w:tc>
                <w:tcPr>
                  <w:tcW w:type="dxa" w:w="3070"/>
                  <w:tcBorders>
                    <w:top w:val="none" w:color="000000" w:sz="4"/>
                    <w:left w:val="none" w:color="000000" w:sz="4"/>
                    <w:bottom w:val="single" w:color="000000" w:sz="4"/>
                    <w:right w:val="single" w:color="000000" w:sz="4"/>
                  </w:tcBorders>
                </w:tcPr>
                <w:p>
                  <w:pPr>
                    <w:jc w:val="left"/>
                  </w:pPr>
                  <w:r>
                    <w:rPr>
                      <w:sz w:val="21"/>
                    </w:rPr>
                    <w:t>开展大数据中心运行维护的风险评估，切实采取有效措施降低系统运行带来的各类风险；按时编制和更新大数据中心运维总体方案、大数据中心应急响应预案和具体运维任务的技术方案。</w:t>
                  </w:r>
                </w:p>
              </w:tc>
              <w:tc>
                <w:tcPr>
                  <w:tcW w:type="dxa" w:w="561"/>
                  <w:tcBorders>
                    <w:top w:val="none" w:color="000000" w:sz="4"/>
                    <w:left w:val="none" w:color="000000" w:sz="4"/>
                    <w:bottom w:val="single" w:color="000000" w:sz="4"/>
                    <w:right w:val="single" w:color="000000" w:sz="4"/>
                  </w:tcBorders>
                </w:tcPr>
                <w:p>
                  <w:pPr>
                    <w:jc w:val="center"/>
                  </w:pPr>
                  <w:r>
                    <w:rPr>
                      <w:sz w:val="21"/>
                    </w:rPr>
                    <w:t>延续性运维</w:t>
                  </w:r>
                </w:p>
              </w:tc>
              <w:tc>
                <w:tcPr>
                  <w:tcW w:type="dxa" w:w="502"/>
                  <w:tcBorders>
                    <w:top w:val="none" w:color="000000" w:sz="4"/>
                    <w:left w:val="none" w:color="000000" w:sz="4"/>
                    <w:bottom w:val="single" w:color="000000" w:sz="4"/>
                    <w:right w:val="single" w:color="000000" w:sz="4"/>
                  </w:tcBorders>
                  <w:vAlign w:val="top"/>
                </w:tcPr>
                <w:p>
                  <w:pPr>
                    <w:jc w:val="both"/>
                  </w:pPr>
                </w:p>
              </w:tc>
            </w:tr>
            <w:tr>
              <w:tc>
                <w:tcPr>
                  <w:tcW w:type="dxa" w:w="531"/>
                  <w:tcBorders>
                    <w:top w:val="none" w:color="000000" w:sz="4"/>
                    <w:left w:val="single" w:color="000000" w:sz="4"/>
                    <w:bottom w:val="single" w:color="000000" w:sz="4"/>
                    <w:right w:val="single" w:color="000000" w:sz="4"/>
                  </w:tcBorders>
                </w:tcPr>
                <w:p>
                  <w:pPr>
                    <w:jc w:val="center"/>
                  </w:pPr>
                  <w:r>
                    <w:rPr>
                      <w:sz w:val="21"/>
                    </w:rPr>
                    <w:t>47</w:t>
                  </w:r>
                </w:p>
              </w:tc>
              <w:tc>
                <w:tcPr>
                  <w:tcW w:type="dxa" w:w="374"/>
                  <w:vMerge/>
                  <w:tcBorders>
                    <w:top w:val="none" w:color="000000" w:sz="4"/>
                    <w:left w:val="none" w:color="000000" w:sz="4"/>
                    <w:bottom w:val="single" w:color="000000" w:sz="4"/>
                    <w:right w:val="single" w:color="000000" w:sz="4"/>
                  </w:tcBorders>
                </w:tcPr>
                <w:p/>
              </w:tc>
              <w:tc>
                <w:tcPr>
                  <w:tcW w:type="dxa" w:w="561"/>
                  <w:tcBorders>
                    <w:top w:val="none" w:color="000000" w:sz="4"/>
                    <w:left w:val="none" w:color="000000" w:sz="4"/>
                    <w:bottom w:val="single" w:color="000000" w:sz="4"/>
                    <w:right w:val="single" w:color="000000" w:sz="4"/>
                  </w:tcBorders>
                </w:tcPr>
                <w:p>
                  <w:pPr>
                    <w:jc w:val="center"/>
                  </w:pPr>
                  <w:r>
                    <w:rPr>
                      <w:b/>
                      <w:sz w:val="21"/>
                    </w:rPr>
                    <w:t>突发数据安全事件应急服务</w:t>
                  </w:r>
                </w:p>
              </w:tc>
              <w:tc>
                <w:tcPr>
                  <w:tcW w:type="dxa" w:w="3070"/>
                  <w:tcBorders>
                    <w:top w:val="none" w:color="000000" w:sz="4"/>
                    <w:left w:val="none" w:color="000000" w:sz="4"/>
                    <w:bottom w:val="single" w:color="000000" w:sz="4"/>
                    <w:right w:val="single" w:color="000000" w:sz="4"/>
                  </w:tcBorders>
                </w:tcPr>
                <w:p>
                  <w:pPr>
                    <w:jc w:val="left"/>
                  </w:pPr>
                  <w:r>
                    <w:rPr>
                      <w:sz w:val="21"/>
                    </w:rPr>
                    <w:t>合解决突发网格安全事件应急问题。通过加强自然资源局大数据中心应用和数据安全，提升政务系统的安全监测预警、纵深防御、风险管控和应急响应能力，保护自然资源数据信息资源价值不受侵犯。</w:t>
                  </w:r>
                </w:p>
              </w:tc>
              <w:tc>
                <w:tcPr>
                  <w:tcW w:type="dxa" w:w="561"/>
                  <w:tcBorders>
                    <w:top w:val="none" w:color="000000" w:sz="4"/>
                    <w:left w:val="none" w:color="000000" w:sz="4"/>
                    <w:bottom w:val="single" w:color="000000" w:sz="4"/>
                    <w:right w:val="single" w:color="000000" w:sz="4"/>
                  </w:tcBorders>
                </w:tcPr>
                <w:p>
                  <w:pPr>
                    <w:jc w:val="center"/>
                  </w:pPr>
                  <w:r>
                    <w:rPr>
                      <w:sz w:val="21"/>
                    </w:rPr>
                    <w:t>延续性运维</w:t>
                  </w:r>
                </w:p>
              </w:tc>
              <w:tc>
                <w:tcPr>
                  <w:tcW w:type="dxa" w:w="502"/>
                  <w:tcBorders>
                    <w:top w:val="none" w:color="000000" w:sz="4"/>
                    <w:left w:val="none" w:color="000000" w:sz="4"/>
                    <w:bottom w:val="single" w:color="000000" w:sz="4"/>
                    <w:right w:val="single" w:color="000000" w:sz="4"/>
                  </w:tcBorders>
                  <w:vAlign w:val="top"/>
                </w:tcPr>
                <w:p>
                  <w:pPr>
                    <w:jc w:val="both"/>
                  </w:pPr>
                </w:p>
              </w:tc>
            </w:tr>
            <w:tr>
              <w:tc>
                <w:tcPr>
                  <w:tcW w:type="dxa" w:w="531"/>
                  <w:tcBorders>
                    <w:top w:val="none" w:color="000000" w:sz="4"/>
                    <w:left w:val="single" w:color="000000" w:sz="4"/>
                    <w:bottom w:val="single" w:color="000000" w:sz="4"/>
                    <w:right w:val="single" w:color="000000" w:sz="4"/>
                  </w:tcBorders>
                </w:tcPr>
                <w:p>
                  <w:pPr>
                    <w:jc w:val="center"/>
                  </w:pPr>
                  <w:r>
                    <w:rPr>
                      <w:sz w:val="21"/>
                    </w:rPr>
                    <w:t>48</w:t>
                  </w:r>
                </w:p>
              </w:tc>
              <w:tc>
                <w:tcPr>
                  <w:tcW w:type="dxa" w:w="374"/>
                  <w:vMerge w:val="restart"/>
                  <w:tcBorders>
                    <w:top w:val="none" w:color="000000" w:sz="4"/>
                    <w:left w:val="none" w:color="000000" w:sz="4"/>
                    <w:bottom w:val="single" w:color="000000" w:sz="4"/>
                    <w:right w:val="single" w:color="000000" w:sz="4"/>
                  </w:tcBorders>
                </w:tcPr>
                <w:p>
                  <w:pPr>
                    <w:jc w:val="center"/>
                  </w:pPr>
                  <w:r>
                    <w:rPr>
                      <w:b/>
                      <w:sz w:val="21"/>
                    </w:rPr>
                    <w:t>技术指导与培训服务</w:t>
                  </w:r>
                </w:p>
              </w:tc>
              <w:tc>
                <w:tcPr>
                  <w:tcW w:type="dxa" w:w="561"/>
                  <w:tcBorders>
                    <w:top w:val="none" w:color="000000" w:sz="4"/>
                    <w:left w:val="none" w:color="000000" w:sz="4"/>
                    <w:bottom w:val="single" w:color="000000" w:sz="4"/>
                    <w:right w:val="single" w:color="000000" w:sz="4"/>
                  </w:tcBorders>
                </w:tcPr>
                <w:p>
                  <w:pPr>
                    <w:jc w:val="center"/>
                  </w:pPr>
                  <w:r>
                    <w:rPr>
                      <w:b/>
                      <w:sz w:val="21"/>
                    </w:rPr>
                    <w:t>数据规整培训</w:t>
                  </w:r>
                </w:p>
              </w:tc>
              <w:tc>
                <w:tcPr>
                  <w:tcW w:type="dxa" w:w="3070"/>
                  <w:tcBorders>
                    <w:top w:val="none" w:color="000000" w:sz="4"/>
                    <w:left w:val="none" w:color="000000" w:sz="4"/>
                    <w:bottom w:val="single" w:color="000000" w:sz="4"/>
                    <w:right w:val="single" w:color="000000" w:sz="4"/>
                  </w:tcBorders>
                </w:tcPr>
                <w:p>
                  <w:pPr>
                    <w:jc w:val="left"/>
                  </w:pPr>
                  <w:r>
                    <w:rPr>
                      <w:sz w:val="21"/>
                    </w:rPr>
                    <w:t>通过现场集中培训、现场操作培训、视频培训、授课培训、个别培训等方式，根据中山市自然资源局实际工作需求不定期进行数据规整及发布共享培训。例如配合中山市自然资源局对报建（竣工）申请单位进行线上技术培训，培训内容包括报建数据规范要求讲解、三维方案模型数据制作流程与注意事项、常见问题与解决方法等</w:t>
                  </w:r>
                </w:p>
              </w:tc>
              <w:tc>
                <w:tcPr>
                  <w:tcW w:type="dxa" w:w="561"/>
                  <w:tcBorders>
                    <w:top w:val="none" w:color="000000" w:sz="4"/>
                    <w:left w:val="none" w:color="000000" w:sz="4"/>
                    <w:bottom w:val="single" w:color="000000" w:sz="4"/>
                    <w:right w:val="single" w:color="000000" w:sz="4"/>
                  </w:tcBorders>
                </w:tcPr>
                <w:p>
                  <w:pPr>
                    <w:jc w:val="center"/>
                  </w:pPr>
                  <w:r>
                    <w:rPr>
                      <w:sz w:val="21"/>
                    </w:rPr>
                    <w:t>新增运维</w:t>
                  </w:r>
                </w:p>
              </w:tc>
              <w:tc>
                <w:tcPr>
                  <w:tcW w:type="dxa" w:w="502"/>
                  <w:tcBorders>
                    <w:top w:val="none" w:color="000000" w:sz="4"/>
                    <w:left w:val="none" w:color="000000" w:sz="4"/>
                    <w:bottom w:val="single" w:color="000000" w:sz="4"/>
                    <w:right w:val="single" w:color="000000" w:sz="4"/>
                  </w:tcBorders>
                  <w:vAlign w:val="top"/>
                </w:tcPr>
                <w:p>
                  <w:pPr>
                    <w:jc w:val="both"/>
                  </w:pPr>
                </w:p>
              </w:tc>
            </w:tr>
            <w:tr>
              <w:tc>
                <w:tcPr>
                  <w:tcW w:type="dxa" w:w="531"/>
                  <w:tcBorders>
                    <w:top w:val="none" w:color="000000" w:sz="4"/>
                    <w:left w:val="single" w:color="000000" w:sz="4"/>
                    <w:bottom w:val="single" w:color="000000" w:sz="4"/>
                    <w:right w:val="single" w:color="000000" w:sz="4"/>
                  </w:tcBorders>
                </w:tcPr>
                <w:p>
                  <w:pPr>
                    <w:jc w:val="center"/>
                  </w:pPr>
                  <w:r>
                    <w:rPr>
                      <w:sz w:val="21"/>
                    </w:rPr>
                    <w:t>49</w:t>
                  </w:r>
                </w:p>
              </w:tc>
              <w:tc>
                <w:tcPr>
                  <w:tcW w:type="dxa" w:w="374"/>
                  <w:vMerge/>
                  <w:tcBorders>
                    <w:top w:val="none" w:color="000000" w:sz="4"/>
                    <w:left w:val="none" w:color="000000" w:sz="4"/>
                    <w:bottom w:val="single" w:color="000000" w:sz="4"/>
                    <w:right w:val="single" w:color="000000" w:sz="4"/>
                  </w:tcBorders>
                </w:tcPr>
                <w:p/>
              </w:tc>
              <w:tc>
                <w:tcPr>
                  <w:tcW w:type="dxa" w:w="561"/>
                  <w:tcBorders>
                    <w:top w:val="none" w:color="000000" w:sz="4"/>
                    <w:left w:val="none" w:color="000000" w:sz="4"/>
                    <w:bottom w:val="single" w:color="000000" w:sz="4"/>
                    <w:right w:val="single" w:color="000000" w:sz="4"/>
                  </w:tcBorders>
                </w:tcPr>
                <w:p>
                  <w:pPr>
                    <w:jc w:val="center"/>
                  </w:pPr>
                  <w:r>
                    <w:rPr>
                      <w:b/>
                      <w:sz w:val="21"/>
                    </w:rPr>
                    <w:t>数据安全培训</w:t>
                  </w:r>
                </w:p>
              </w:tc>
              <w:tc>
                <w:tcPr>
                  <w:tcW w:type="dxa" w:w="3070"/>
                  <w:tcBorders>
                    <w:top w:val="none" w:color="000000" w:sz="4"/>
                    <w:left w:val="none" w:color="000000" w:sz="4"/>
                    <w:bottom w:val="single" w:color="000000" w:sz="4"/>
                    <w:right w:val="single" w:color="000000" w:sz="4"/>
                  </w:tcBorders>
                </w:tcPr>
                <w:p>
                  <w:pPr>
                    <w:jc w:val="left"/>
                  </w:pPr>
                  <w:r>
                    <w:rPr>
                      <w:sz w:val="21"/>
                    </w:rPr>
                    <w:t>通过综合安全培训、演练等多种形式对工作人员进行安全意识教育、技能培训和相关安全技术培训，提供网络信息安全风险、非法攻击、数据安全、病毒入侵及管理漏洞风险防控等网络安全知识培训工作，并提供必要的培训资料文件。</w:t>
                  </w:r>
                </w:p>
              </w:tc>
              <w:tc>
                <w:tcPr>
                  <w:tcW w:type="dxa" w:w="561"/>
                  <w:tcBorders>
                    <w:top w:val="none" w:color="000000" w:sz="4"/>
                    <w:left w:val="none" w:color="000000" w:sz="4"/>
                    <w:bottom w:val="single" w:color="000000" w:sz="4"/>
                    <w:right w:val="single" w:color="000000" w:sz="4"/>
                  </w:tcBorders>
                </w:tcPr>
                <w:p>
                  <w:pPr>
                    <w:jc w:val="center"/>
                  </w:pPr>
                  <w:r>
                    <w:rPr>
                      <w:sz w:val="21"/>
                    </w:rPr>
                    <w:t>新增运维</w:t>
                  </w:r>
                </w:p>
              </w:tc>
              <w:tc>
                <w:tcPr>
                  <w:tcW w:type="dxa" w:w="502"/>
                  <w:tcBorders>
                    <w:top w:val="none" w:color="000000" w:sz="4"/>
                    <w:left w:val="none" w:color="000000" w:sz="4"/>
                    <w:bottom w:val="single" w:color="000000" w:sz="4"/>
                    <w:right w:val="single" w:color="000000" w:sz="4"/>
                  </w:tcBorders>
                  <w:vAlign w:val="top"/>
                </w:tcPr>
                <w:p>
                  <w:pPr>
                    <w:jc w:val="both"/>
                  </w:pPr>
                </w:p>
              </w:tc>
            </w:tr>
            <w:tr>
              <w:tc>
                <w:tcPr>
                  <w:tcW w:type="dxa" w:w="531"/>
                  <w:tcBorders>
                    <w:top w:val="none" w:color="000000" w:sz="4"/>
                    <w:left w:val="single" w:color="000000" w:sz="4"/>
                    <w:bottom w:val="single" w:color="000000" w:sz="4"/>
                    <w:right w:val="single" w:color="000000" w:sz="4"/>
                  </w:tcBorders>
                </w:tcPr>
                <w:p>
                  <w:pPr>
                    <w:jc w:val="center"/>
                  </w:pPr>
                  <w:r>
                    <w:rPr>
                      <w:sz w:val="21"/>
                    </w:rPr>
                    <w:t>50</w:t>
                  </w:r>
                </w:p>
              </w:tc>
              <w:tc>
                <w:tcPr>
                  <w:tcW w:type="dxa" w:w="374"/>
                  <w:vMerge/>
                  <w:tcBorders>
                    <w:top w:val="none" w:color="000000" w:sz="4"/>
                    <w:left w:val="none" w:color="000000" w:sz="4"/>
                    <w:bottom w:val="single" w:color="000000" w:sz="4"/>
                    <w:right w:val="single" w:color="000000" w:sz="4"/>
                  </w:tcBorders>
                </w:tcPr>
                <w:p/>
              </w:tc>
              <w:tc>
                <w:tcPr>
                  <w:tcW w:type="dxa" w:w="561"/>
                  <w:tcBorders>
                    <w:top w:val="none" w:color="000000" w:sz="4"/>
                    <w:left w:val="none" w:color="000000" w:sz="4"/>
                    <w:bottom w:val="single" w:color="000000" w:sz="4"/>
                    <w:right w:val="single" w:color="000000" w:sz="4"/>
                  </w:tcBorders>
                </w:tcPr>
                <w:p>
                  <w:pPr>
                    <w:jc w:val="center"/>
                  </w:pPr>
                  <w:r>
                    <w:rPr>
                      <w:b/>
                      <w:sz w:val="21"/>
                    </w:rPr>
                    <w:t>技术指导配合</w:t>
                  </w:r>
                </w:p>
              </w:tc>
              <w:tc>
                <w:tcPr>
                  <w:tcW w:type="dxa" w:w="3070"/>
                  <w:tcBorders>
                    <w:top w:val="none" w:color="000000" w:sz="4"/>
                    <w:left w:val="none" w:color="000000" w:sz="4"/>
                    <w:bottom w:val="single" w:color="000000" w:sz="4"/>
                    <w:right w:val="single" w:color="000000" w:sz="4"/>
                  </w:tcBorders>
                </w:tcPr>
                <w:p>
                  <w:pPr>
                    <w:jc w:val="left"/>
                  </w:pPr>
                  <w:r>
                    <w:rPr>
                      <w:sz w:val="21"/>
                    </w:rPr>
                    <w:t>提供维护服务和技术指导服务，包括用户操作、系统技术文档维护、报表定制、数据统计等技术指导工作，保证业务科室工作顺利开展</w:t>
                  </w:r>
                </w:p>
              </w:tc>
              <w:tc>
                <w:tcPr>
                  <w:tcW w:type="dxa" w:w="561"/>
                  <w:tcBorders>
                    <w:top w:val="none" w:color="000000" w:sz="4"/>
                    <w:left w:val="none" w:color="000000" w:sz="4"/>
                    <w:bottom w:val="single" w:color="000000" w:sz="4"/>
                    <w:right w:val="single" w:color="000000" w:sz="4"/>
                  </w:tcBorders>
                </w:tcPr>
                <w:p>
                  <w:pPr>
                    <w:jc w:val="center"/>
                  </w:pPr>
                  <w:r>
                    <w:rPr>
                      <w:sz w:val="21"/>
                    </w:rPr>
                    <w:t>延续性运维</w:t>
                  </w:r>
                </w:p>
              </w:tc>
              <w:tc>
                <w:tcPr>
                  <w:tcW w:type="dxa" w:w="502"/>
                  <w:tcBorders>
                    <w:top w:val="none" w:color="000000" w:sz="4"/>
                    <w:left w:val="none" w:color="000000" w:sz="4"/>
                    <w:bottom w:val="single" w:color="000000" w:sz="4"/>
                    <w:right w:val="single" w:color="000000" w:sz="4"/>
                  </w:tcBorders>
                  <w:vAlign w:val="top"/>
                </w:tcPr>
                <w:p>
                  <w:pPr>
                    <w:jc w:val="both"/>
                  </w:pPr>
                </w:p>
              </w:tc>
            </w:tr>
          </w:tbl>
          <w:p>
            <w:r>
              <w:rPr/>
              <w:t xml:space="preserve"> </w:t>
            </w:r>
          </w:p>
          <w:p>
            <w:pPr>
              <w:jc w:val="both"/>
            </w:pPr>
            <w:r>
              <w:rPr>
                <w:b/>
                <w:sz w:val="21"/>
              </w:rPr>
              <w:t>3.2.1.2.</w:t>
            </w:r>
            <w:r>
              <w:rPr>
                <w:b/>
                <w:sz w:val="21"/>
              </w:rPr>
              <w:t>系统运维</w:t>
            </w:r>
          </w:p>
          <w:tbl>
            <w:tblPr>
              <w:tblBorders>
                <w:top w:val="none" w:color="000000" w:sz="4"/>
                <w:left w:val="none" w:color="000000" w:sz="4"/>
                <w:bottom w:val="none" w:color="000000" w:sz="4"/>
                <w:right w:val="none" w:color="000000" w:sz="4"/>
                <w:insideH w:val="none"/>
                <w:insideV w:val="none"/>
              </w:tblBorders>
            </w:tblPr>
            <w:tblGrid>
              <w:gridCol w:w="346"/>
              <w:gridCol w:w="635"/>
              <w:gridCol w:w="462"/>
              <w:gridCol w:w="2714"/>
              <w:gridCol w:w="866"/>
              <w:gridCol w:w="520"/>
            </w:tblGrid>
            <w:tr>
              <w:tc>
                <w:tcPr>
                  <w:tcW w:type="dxa" w:w="346"/>
                  <w:tcBorders>
                    <w:top w:val="single" w:color="000000" w:sz="4"/>
                    <w:left w:val="single" w:color="000000" w:sz="4"/>
                    <w:bottom w:val="single" w:color="000000" w:sz="4"/>
                    <w:right w:val="single" w:color="000000" w:sz="4"/>
                  </w:tcBorders>
                </w:tcPr>
                <w:p>
                  <w:pPr>
                    <w:jc w:val="center"/>
                  </w:pPr>
                  <w:r>
                    <w:rPr>
                      <w:b/>
                      <w:sz w:val="21"/>
                    </w:rPr>
                    <w:t>序号</w:t>
                  </w:r>
                </w:p>
              </w:tc>
              <w:tc>
                <w:tcPr>
                  <w:tcW w:type="dxa" w:w="1097"/>
                  <w:gridSpan w:val="2"/>
                  <w:tcBorders>
                    <w:top w:val="single" w:color="000000" w:sz="4"/>
                    <w:left w:val="none" w:color="000000" w:sz="4"/>
                    <w:bottom w:val="single" w:color="000000" w:sz="4"/>
                    <w:right w:val="single" w:color="000000" w:sz="4"/>
                  </w:tcBorders>
                </w:tcPr>
                <w:p>
                  <w:pPr>
                    <w:jc w:val="center"/>
                  </w:pPr>
                  <w:r>
                    <w:rPr>
                      <w:b/>
                      <w:sz w:val="21"/>
                    </w:rPr>
                    <w:t>服务事项</w:t>
                  </w:r>
                </w:p>
              </w:tc>
              <w:tc>
                <w:tcPr>
                  <w:tcW w:type="dxa" w:w="2714"/>
                  <w:tcBorders>
                    <w:top w:val="single" w:color="000000" w:sz="4"/>
                    <w:left w:val="none" w:color="000000" w:sz="4"/>
                    <w:bottom w:val="single" w:color="000000" w:sz="4"/>
                    <w:right w:val="single" w:color="000000" w:sz="4"/>
                  </w:tcBorders>
                </w:tcPr>
                <w:p>
                  <w:pPr>
                    <w:jc w:val="center"/>
                  </w:pPr>
                  <w:r>
                    <w:rPr>
                      <w:b/>
                      <w:sz w:val="21"/>
                    </w:rPr>
                    <w:t>具体服务内容</w:t>
                  </w:r>
                </w:p>
              </w:tc>
              <w:tc>
                <w:tcPr>
                  <w:tcW w:type="dxa" w:w="866"/>
                  <w:tcBorders>
                    <w:top w:val="single" w:color="000000" w:sz="4"/>
                    <w:left w:val="none" w:color="000000" w:sz="4"/>
                    <w:bottom w:val="single" w:color="000000" w:sz="4"/>
                    <w:right w:val="single" w:color="000000" w:sz="4"/>
                  </w:tcBorders>
                </w:tcPr>
                <w:p>
                  <w:pPr>
                    <w:jc w:val="center"/>
                  </w:pPr>
                  <w:r>
                    <w:rPr>
                      <w:b/>
                      <w:sz w:val="21"/>
                    </w:rPr>
                    <w:t>运维性质</w:t>
                  </w:r>
                </w:p>
              </w:tc>
              <w:tc>
                <w:tcPr>
                  <w:tcW w:type="dxa" w:w="520"/>
                  <w:tcBorders>
                    <w:top w:val="single" w:color="000000" w:sz="4"/>
                    <w:left w:val="none" w:color="000000" w:sz="4"/>
                    <w:bottom w:val="single" w:color="000000" w:sz="4"/>
                    <w:right w:val="single" w:color="000000" w:sz="4"/>
                  </w:tcBorders>
                </w:tcPr>
                <w:p>
                  <w:pPr>
                    <w:jc w:val="center"/>
                  </w:pPr>
                  <w:r>
                    <w:rPr>
                      <w:b/>
                      <w:sz w:val="21"/>
                    </w:rPr>
                    <w:t>备注说明</w:t>
                  </w:r>
                </w:p>
              </w:tc>
            </w:tr>
            <w:tr>
              <w:tc>
                <w:tcPr>
                  <w:tcW w:type="dxa" w:w="346"/>
                  <w:tcBorders>
                    <w:top w:val="none" w:color="000000" w:sz="4"/>
                    <w:left w:val="single" w:color="000000" w:sz="4"/>
                    <w:bottom w:val="single" w:color="000000" w:sz="4"/>
                    <w:right w:val="single" w:color="000000" w:sz="4"/>
                  </w:tcBorders>
                </w:tcPr>
                <w:p>
                  <w:pPr>
                    <w:jc w:val="center"/>
                  </w:pPr>
                  <w:r>
                    <w:rPr>
                      <w:sz w:val="21"/>
                    </w:rPr>
                    <w:t>1</w:t>
                  </w:r>
                </w:p>
              </w:tc>
              <w:tc>
                <w:tcPr>
                  <w:tcW w:type="dxa" w:w="635"/>
                  <w:vMerge w:val="restart"/>
                  <w:tcBorders>
                    <w:top w:val="none" w:color="000000" w:sz="4"/>
                    <w:left w:val="none" w:color="000000" w:sz="4"/>
                    <w:bottom w:val="single" w:color="000000" w:sz="4"/>
                    <w:right w:val="single" w:color="000000" w:sz="4"/>
                  </w:tcBorders>
                </w:tcPr>
                <w:p>
                  <w:pPr>
                    <w:jc w:val="center"/>
                  </w:pPr>
                  <w:r>
                    <w:rPr>
                      <w:b/>
                      <w:sz w:val="21"/>
                    </w:rPr>
                    <w:t>（一）系统性能优化</w:t>
                  </w:r>
                </w:p>
              </w:tc>
              <w:tc>
                <w:tcPr>
                  <w:tcW w:type="dxa" w:w="462"/>
                  <w:tcBorders>
                    <w:top w:val="none" w:color="000000" w:sz="4"/>
                    <w:left w:val="none" w:color="000000" w:sz="4"/>
                    <w:bottom w:val="single" w:color="000000" w:sz="4"/>
                    <w:right w:val="single" w:color="000000" w:sz="4"/>
                  </w:tcBorders>
                </w:tcPr>
                <w:p>
                  <w:pPr>
                    <w:jc w:val="center"/>
                  </w:pPr>
                  <w:r>
                    <w:rPr>
                      <w:b/>
                      <w:sz w:val="21"/>
                    </w:rPr>
                    <w:t>优化调整系统配置</w:t>
                  </w:r>
                </w:p>
              </w:tc>
              <w:tc>
                <w:tcPr>
                  <w:tcW w:type="dxa" w:w="2714"/>
                  <w:tcBorders>
                    <w:top w:val="none" w:color="000000" w:sz="4"/>
                    <w:left w:val="none" w:color="000000" w:sz="4"/>
                    <w:bottom w:val="single" w:color="000000" w:sz="4"/>
                    <w:right w:val="single" w:color="000000" w:sz="4"/>
                  </w:tcBorders>
                </w:tcPr>
                <w:p>
                  <w:pPr>
                    <w:jc w:val="left"/>
                  </w:pPr>
                  <w:r>
                    <w:rPr>
                      <w:sz w:val="21"/>
                    </w:rPr>
                    <w:t>为最有效、最大化地利用主机系统的硬件资源，数据库管理员对其进行调整和优化，并对系统平台进行动态配置部分运行参数和内存使用分配调整。</w:t>
                  </w:r>
                </w:p>
              </w:tc>
              <w:tc>
                <w:tcPr>
                  <w:tcW w:type="dxa" w:w="866"/>
                  <w:tcBorders>
                    <w:top w:val="none" w:color="000000" w:sz="4"/>
                    <w:left w:val="none" w:color="000000" w:sz="4"/>
                    <w:bottom w:val="single" w:color="000000" w:sz="4"/>
                    <w:right w:val="single" w:color="000000" w:sz="4"/>
                  </w:tcBorders>
                </w:tcPr>
                <w:p>
                  <w:pPr>
                    <w:jc w:val="center"/>
                  </w:pPr>
                  <w:r>
                    <w:rPr>
                      <w:sz w:val="21"/>
                    </w:rPr>
                    <w:t>延续性运维</w:t>
                  </w:r>
                </w:p>
              </w:tc>
              <w:tc>
                <w:tcPr>
                  <w:tcW w:type="dxa" w:w="520"/>
                  <w:tcBorders>
                    <w:top w:val="none" w:color="000000" w:sz="4"/>
                    <w:left w:val="none" w:color="000000" w:sz="4"/>
                    <w:bottom w:val="single" w:color="000000" w:sz="4"/>
                    <w:right w:val="single" w:color="000000" w:sz="4"/>
                  </w:tcBorders>
                </w:tcPr>
                <w:p>
                  <w:pPr>
                    <w:jc w:val="center"/>
                  </w:pPr>
                  <w:r>
                    <w:rPr>
                      <w:sz w:val="21"/>
                    </w:rPr>
                    <w:t>　</w:t>
                  </w:r>
                </w:p>
              </w:tc>
            </w:tr>
            <w:tr>
              <w:tc>
                <w:tcPr>
                  <w:tcW w:type="dxa" w:w="346"/>
                  <w:tcBorders>
                    <w:top w:val="none" w:color="000000" w:sz="4"/>
                    <w:left w:val="single" w:color="000000" w:sz="4"/>
                    <w:bottom w:val="single" w:color="000000" w:sz="4"/>
                    <w:right w:val="single" w:color="000000" w:sz="4"/>
                  </w:tcBorders>
                </w:tcPr>
                <w:p>
                  <w:pPr>
                    <w:jc w:val="center"/>
                  </w:pPr>
                  <w:r>
                    <w:rPr>
                      <w:sz w:val="21"/>
                    </w:rPr>
                    <w:t>2</w:t>
                  </w:r>
                </w:p>
              </w:tc>
              <w:tc>
                <w:tcPr>
                  <w:tcW w:type="dxa" w:w="635"/>
                  <w:vMerge/>
                  <w:tcBorders>
                    <w:top w:val="none" w:color="000000" w:sz="4"/>
                    <w:left w:val="none" w:color="000000" w:sz="4"/>
                    <w:bottom w:val="single" w:color="000000" w:sz="4"/>
                    <w:right w:val="single" w:color="000000" w:sz="4"/>
                  </w:tcBorders>
                </w:tcPr>
                <w:p/>
              </w:tc>
              <w:tc>
                <w:tcPr>
                  <w:tcW w:type="dxa" w:w="462"/>
                  <w:tcBorders>
                    <w:top w:val="none" w:color="000000" w:sz="4"/>
                    <w:left w:val="none" w:color="000000" w:sz="4"/>
                    <w:bottom w:val="single" w:color="000000" w:sz="4"/>
                    <w:right w:val="single" w:color="000000" w:sz="4"/>
                  </w:tcBorders>
                </w:tcPr>
                <w:p>
                  <w:pPr>
                    <w:jc w:val="center"/>
                  </w:pPr>
                  <w:r>
                    <w:rPr>
                      <w:b/>
                      <w:sz w:val="21"/>
                    </w:rPr>
                    <w:t>保障系统稳定运行</w:t>
                  </w:r>
                </w:p>
              </w:tc>
              <w:tc>
                <w:tcPr>
                  <w:tcW w:type="dxa" w:w="2714"/>
                  <w:tcBorders>
                    <w:top w:val="none" w:color="000000" w:sz="4"/>
                    <w:left w:val="none" w:color="000000" w:sz="4"/>
                    <w:bottom w:val="single" w:color="000000" w:sz="4"/>
                    <w:right w:val="single" w:color="000000" w:sz="4"/>
                  </w:tcBorders>
                </w:tcPr>
                <w:p>
                  <w:pPr>
                    <w:jc w:val="left"/>
                  </w:pPr>
                  <w:r>
                    <w:rPr>
                      <w:sz w:val="21"/>
                    </w:rPr>
                    <w:t>保障系统稳定性，包括：</w:t>
                  </w:r>
                </w:p>
                <w:p>
                  <w:pPr>
                    <w:jc w:val="left"/>
                  </w:pPr>
                  <w:r>
                    <w:rPr>
                      <w:sz w:val="21"/>
                    </w:rPr>
                    <w:t>1</w:t>
                  </w:r>
                  <w:r>
                    <w:rPr>
                      <w:sz w:val="21"/>
                    </w:rPr>
                    <w:t>）系统有效工作时间：≥99.9%</w:t>
                  </w:r>
                </w:p>
                <w:p>
                  <w:pPr>
                    <w:jc w:val="left"/>
                  </w:pPr>
                  <w:r>
                    <w:rPr>
                      <w:sz w:val="21"/>
                    </w:rPr>
                    <w:t>2</w:t>
                  </w:r>
                  <w:r>
                    <w:rPr>
                      <w:sz w:val="21"/>
                    </w:rPr>
                    <w:t>）系统故障恢复时间不超过30分钟。</w:t>
                  </w:r>
                </w:p>
                <w:p>
                  <w:pPr>
                    <w:jc w:val="left"/>
                  </w:pPr>
                  <w:r>
                    <w:rPr>
                      <w:sz w:val="21"/>
                    </w:rPr>
                    <w:t>3</w:t>
                  </w:r>
                  <w:r>
                    <w:rPr>
                      <w:sz w:val="21"/>
                    </w:rPr>
                    <w:t>）不出现以下情况：无故退出系统；发生系统不可控制的故障提示；因系统故障导致操作系统或机器无法正常操作。</w:t>
                  </w:r>
                </w:p>
              </w:tc>
              <w:tc>
                <w:tcPr>
                  <w:tcW w:type="dxa" w:w="866"/>
                  <w:tcBorders>
                    <w:top w:val="none" w:color="000000" w:sz="4"/>
                    <w:left w:val="none" w:color="000000" w:sz="4"/>
                    <w:bottom w:val="single" w:color="000000" w:sz="4"/>
                    <w:right w:val="single" w:color="000000" w:sz="4"/>
                  </w:tcBorders>
                </w:tcPr>
                <w:p>
                  <w:pPr>
                    <w:jc w:val="center"/>
                  </w:pPr>
                  <w:r>
                    <w:rPr>
                      <w:sz w:val="21"/>
                    </w:rPr>
                    <w:t>延续性运维</w:t>
                  </w:r>
                </w:p>
              </w:tc>
              <w:tc>
                <w:tcPr>
                  <w:tcW w:type="dxa" w:w="520"/>
                  <w:tcBorders>
                    <w:top w:val="none" w:color="000000" w:sz="4"/>
                    <w:left w:val="none" w:color="000000" w:sz="4"/>
                    <w:bottom w:val="single" w:color="000000" w:sz="4"/>
                    <w:right w:val="single" w:color="000000" w:sz="4"/>
                  </w:tcBorders>
                </w:tcPr>
                <w:p>
                  <w:pPr>
                    <w:jc w:val="center"/>
                  </w:pPr>
                  <w:r>
                    <w:rPr>
                      <w:sz w:val="21"/>
                    </w:rPr>
                    <w:t>　</w:t>
                  </w:r>
                </w:p>
              </w:tc>
            </w:tr>
            <w:tr>
              <w:tc>
                <w:tcPr>
                  <w:tcW w:type="dxa" w:w="346"/>
                  <w:tcBorders>
                    <w:top w:val="none" w:color="000000" w:sz="4"/>
                    <w:left w:val="single" w:color="000000" w:sz="4"/>
                    <w:bottom w:val="single" w:color="000000" w:sz="4"/>
                    <w:right w:val="single" w:color="000000" w:sz="4"/>
                  </w:tcBorders>
                </w:tcPr>
                <w:p>
                  <w:pPr>
                    <w:jc w:val="center"/>
                  </w:pPr>
                  <w:r>
                    <w:rPr>
                      <w:sz w:val="21"/>
                    </w:rPr>
                    <w:t>3</w:t>
                  </w:r>
                </w:p>
              </w:tc>
              <w:tc>
                <w:tcPr>
                  <w:tcW w:type="dxa" w:w="635"/>
                  <w:vMerge/>
                  <w:tcBorders>
                    <w:top w:val="none" w:color="000000" w:sz="4"/>
                    <w:left w:val="none" w:color="000000" w:sz="4"/>
                    <w:bottom w:val="single" w:color="000000" w:sz="4"/>
                    <w:right w:val="single" w:color="000000" w:sz="4"/>
                  </w:tcBorders>
                </w:tcPr>
                <w:p/>
              </w:tc>
              <w:tc>
                <w:tcPr>
                  <w:tcW w:type="dxa" w:w="462"/>
                  <w:tcBorders>
                    <w:top w:val="none" w:color="000000" w:sz="4"/>
                    <w:left w:val="none" w:color="000000" w:sz="4"/>
                    <w:bottom w:val="single" w:color="000000" w:sz="4"/>
                    <w:right w:val="single" w:color="000000" w:sz="4"/>
                  </w:tcBorders>
                </w:tcPr>
                <w:p>
                  <w:pPr>
                    <w:jc w:val="center"/>
                  </w:pPr>
                  <w:r>
                    <w:rPr>
                      <w:b/>
                      <w:sz w:val="21"/>
                    </w:rPr>
                    <w:t>提高系统运行效率</w:t>
                  </w:r>
                </w:p>
              </w:tc>
              <w:tc>
                <w:tcPr>
                  <w:tcW w:type="dxa" w:w="2714"/>
                  <w:tcBorders>
                    <w:top w:val="none" w:color="000000" w:sz="4"/>
                    <w:left w:val="none" w:color="000000" w:sz="4"/>
                    <w:bottom w:val="single" w:color="000000" w:sz="4"/>
                    <w:right w:val="single" w:color="000000" w:sz="4"/>
                  </w:tcBorders>
                </w:tcPr>
                <w:p>
                  <w:pPr>
                    <w:jc w:val="left"/>
                  </w:pPr>
                  <w:r>
                    <w:rPr>
                      <w:sz w:val="21"/>
                    </w:rPr>
                    <w:t>针对系统数据量、用户量和对外服务不断增加，对系统性能要求不断提升的情况，优化负载均衡、优化数据库设计和访问方法，进行数据分离、数据优化、代码适应性优化和系统运行环境优化，提高系统运行效率，提高系统响应速率，包括：</w:t>
                  </w:r>
                </w:p>
                <w:p>
                  <w:pPr>
                    <w:jc w:val="left"/>
                  </w:pPr>
                  <w:r>
                    <w:rPr>
                      <w:sz w:val="21"/>
                    </w:rPr>
                    <w:t>1</w:t>
                  </w:r>
                  <w:r>
                    <w:rPr>
                      <w:sz w:val="21"/>
                    </w:rPr>
                    <w:t>）影像数据访问性能要求：多用户在线访问影像，影像显示和平移的平均响应时间不超过1.5秒。</w:t>
                  </w:r>
                </w:p>
                <w:p>
                  <w:pPr>
                    <w:jc w:val="left"/>
                  </w:pPr>
                  <w:r>
                    <w:rPr>
                      <w:sz w:val="21"/>
                    </w:rPr>
                    <w:t>2</w:t>
                  </w:r>
                  <w:r>
                    <w:rPr>
                      <w:sz w:val="21"/>
                    </w:rPr>
                    <w:t>）矢量数据访问性能要求：多用户在线访问矢量数据，矢量显示和平移的平均响应时间不超过 1.5 秒。</w:t>
                  </w:r>
                </w:p>
              </w:tc>
              <w:tc>
                <w:tcPr>
                  <w:tcW w:type="dxa" w:w="866"/>
                  <w:tcBorders>
                    <w:top w:val="none" w:color="000000" w:sz="4"/>
                    <w:left w:val="none" w:color="000000" w:sz="4"/>
                    <w:bottom w:val="single" w:color="000000" w:sz="4"/>
                    <w:right w:val="single" w:color="000000" w:sz="4"/>
                  </w:tcBorders>
                </w:tcPr>
                <w:p>
                  <w:pPr>
                    <w:jc w:val="center"/>
                  </w:pPr>
                  <w:r>
                    <w:rPr>
                      <w:sz w:val="21"/>
                    </w:rPr>
                    <w:t>延续性运维</w:t>
                  </w:r>
                </w:p>
              </w:tc>
              <w:tc>
                <w:tcPr>
                  <w:tcW w:type="dxa" w:w="520"/>
                  <w:tcBorders>
                    <w:top w:val="none" w:color="000000" w:sz="4"/>
                    <w:left w:val="none" w:color="000000" w:sz="4"/>
                    <w:bottom w:val="single" w:color="000000" w:sz="4"/>
                    <w:right w:val="single" w:color="000000" w:sz="4"/>
                  </w:tcBorders>
                </w:tcPr>
                <w:p>
                  <w:pPr>
                    <w:jc w:val="center"/>
                  </w:pPr>
                  <w:r>
                    <w:rPr>
                      <w:sz w:val="21"/>
                    </w:rPr>
                    <w:t>　</w:t>
                  </w:r>
                </w:p>
              </w:tc>
            </w:tr>
            <w:tr>
              <w:tc>
                <w:tcPr>
                  <w:tcW w:type="dxa" w:w="346"/>
                  <w:tcBorders>
                    <w:top w:val="none" w:color="000000" w:sz="4"/>
                    <w:left w:val="single" w:color="000000" w:sz="4"/>
                    <w:bottom w:val="single" w:color="000000" w:sz="4"/>
                    <w:right w:val="single" w:color="000000" w:sz="4"/>
                  </w:tcBorders>
                </w:tcPr>
                <w:p>
                  <w:pPr>
                    <w:jc w:val="center"/>
                  </w:pPr>
                  <w:r>
                    <w:rPr>
                      <w:sz w:val="21"/>
                    </w:rPr>
                    <w:t>4</w:t>
                  </w:r>
                </w:p>
              </w:tc>
              <w:tc>
                <w:tcPr>
                  <w:tcW w:type="dxa" w:w="635"/>
                  <w:vMerge/>
                  <w:tcBorders>
                    <w:top w:val="none" w:color="000000" w:sz="4"/>
                    <w:left w:val="none" w:color="000000" w:sz="4"/>
                    <w:bottom w:val="single" w:color="000000" w:sz="4"/>
                    <w:right w:val="single" w:color="000000" w:sz="4"/>
                  </w:tcBorders>
                </w:tcPr>
                <w:p/>
              </w:tc>
              <w:tc>
                <w:tcPr>
                  <w:tcW w:type="dxa" w:w="462"/>
                  <w:tcBorders>
                    <w:top w:val="none" w:color="000000" w:sz="4"/>
                    <w:left w:val="none" w:color="000000" w:sz="4"/>
                    <w:bottom w:val="single" w:color="000000" w:sz="4"/>
                    <w:right w:val="single" w:color="000000" w:sz="4"/>
                  </w:tcBorders>
                </w:tcPr>
                <w:p>
                  <w:pPr>
                    <w:jc w:val="center"/>
                  </w:pPr>
                  <w:r>
                    <w:rPr>
                      <w:b/>
                      <w:sz w:val="21"/>
                    </w:rPr>
                    <w:t>优化系统操作流程</w:t>
                  </w:r>
                </w:p>
              </w:tc>
              <w:tc>
                <w:tcPr>
                  <w:tcW w:type="dxa" w:w="2714"/>
                  <w:tcBorders>
                    <w:top w:val="none" w:color="000000" w:sz="4"/>
                    <w:left w:val="none" w:color="000000" w:sz="4"/>
                    <w:bottom w:val="single" w:color="000000" w:sz="4"/>
                    <w:right w:val="single" w:color="000000" w:sz="4"/>
                  </w:tcBorders>
                </w:tcPr>
                <w:p>
                  <w:pPr>
                    <w:jc w:val="left"/>
                  </w:pPr>
                  <w:r>
                    <w:rPr>
                      <w:sz w:val="21"/>
                    </w:rPr>
                    <w:t>针对业务调整、管理优化等带来的功能增加、空间分析调整、数据管理流程优化等需求，统一的国土空间基础信息平台的基础上，优化系统性能，结合业务部门的实际操作流程，进一步优化完善平台的数据共享协同服务流程、空间分析功能调用、服务申请等系统操作与配置流程。</w:t>
                  </w:r>
                </w:p>
              </w:tc>
              <w:tc>
                <w:tcPr>
                  <w:tcW w:type="dxa" w:w="866"/>
                  <w:tcBorders>
                    <w:top w:val="none" w:color="000000" w:sz="4"/>
                    <w:left w:val="none" w:color="000000" w:sz="4"/>
                    <w:bottom w:val="single" w:color="000000" w:sz="4"/>
                    <w:right w:val="single" w:color="000000" w:sz="4"/>
                  </w:tcBorders>
                </w:tcPr>
                <w:p>
                  <w:pPr>
                    <w:jc w:val="center"/>
                  </w:pPr>
                  <w:r>
                    <w:rPr>
                      <w:sz w:val="21"/>
                    </w:rPr>
                    <w:t>延续性运维</w:t>
                  </w:r>
                </w:p>
              </w:tc>
              <w:tc>
                <w:tcPr>
                  <w:tcW w:type="dxa" w:w="520"/>
                  <w:tcBorders>
                    <w:top w:val="none" w:color="000000" w:sz="4"/>
                    <w:left w:val="none" w:color="000000" w:sz="4"/>
                    <w:bottom w:val="single" w:color="000000" w:sz="4"/>
                    <w:right w:val="single" w:color="000000" w:sz="4"/>
                  </w:tcBorders>
                </w:tcPr>
                <w:p>
                  <w:pPr>
                    <w:jc w:val="center"/>
                  </w:pPr>
                  <w:r>
                    <w:rPr>
                      <w:sz w:val="21"/>
                    </w:rPr>
                    <w:t>　</w:t>
                  </w:r>
                </w:p>
              </w:tc>
            </w:tr>
            <w:tr>
              <w:tc>
                <w:tcPr>
                  <w:tcW w:type="dxa" w:w="346"/>
                  <w:tcBorders>
                    <w:top w:val="none" w:color="000000" w:sz="4"/>
                    <w:left w:val="single" w:color="000000" w:sz="4"/>
                    <w:bottom w:val="single" w:color="000000" w:sz="4"/>
                    <w:right w:val="single" w:color="000000" w:sz="4"/>
                  </w:tcBorders>
                </w:tcPr>
                <w:p>
                  <w:pPr>
                    <w:jc w:val="center"/>
                  </w:pPr>
                  <w:r>
                    <w:rPr>
                      <w:sz w:val="21"/>
                    </w:rPr>
                    <w:t>5</w:t>
                  </w:r>
                </w:p>
              </w:tc>
              <w:tc>
                <w:tcPr>
                  <w:tcW w:type="dxa" w:w="635"/>
                  <w:vMerge/>
                  <w:tcBorders>
                    <w:top w:val="none" w:color="000000" w:sz="4"/>
                    <w:left w:val="none" w:color="000000" w:sz="4"/>
                    <w:bottom w:val="single" w:color="000000" w:sz="4"/>
                    <w:right w:val="single" w:color="000000" w:sz="4"/>
                  </w:tcBorders>
                </w:tcPr>
                <w:p/>
              </w:tc>
              <w:tc>
                <w:tcPr>
                  <w:tcW w:type="dxa" w:w="462"/>
                  <w:tcBorders>
                    <w:top w:val="none" w:color="000000" w:sz="4"/>
                    <w:left w:val="none" w:color="000000" w:sz="4"/>
                    <w:bottom w:val="single" w:color="000000" w:sz="4"/>
                    <w:right w:val="single" w:color="000000" w:sz="4"/>
                  </w:tcBorders>
                </w:tcPr>
                <w:p>
                  <w:pPr>
                    <w:jc w:val="center"/>
                  </w:pPr>
                  <w:r>
                    <w:rPr>
                      <w:b/>
                      <w:sz w:val="21"/>
                    </w:rPr>
                    <w:t>提升服务发布能力</w:t>
                  </w:r>
                </w:p>
              </w:tc>
              <w:tc>
                <w:tcPr>
                  <w:tcW w:type="dxa" w:w="2714"/>
                  <w:tcBorders>
                    <w:top w:val="none" w:color="000000" w:sz="4"/>
                    <w:left w:val="none" w:color="000000" w:sz="4"/>
                    <w:bottom w:val="single" w:color="000000" w:sz="4"/>
                    <w:right w:val="single" w:color="000000" w:sz="4"/>
                  </w:tcBorders>
                </w:tcPr>
                <w:p>
                  <w:pPr>
                    <w:jc w:val="left"/>
                  </w:pPr>
                  <w:r>
                    <w:rPr>
                      <w:sz w:val="21"/>
                    </w:rPr>
                    <w:t>针对省、市政务数据共享要求，优化数据编目、提升服务发布共享能力，根据国土空间基础信息系统平台实际数据对接运行情况，配合进行编目修改，成功新增或调整后可在新的编目进行数据的汇交入库。优化数据汇交入库效率，实现政务空间数据统一汇交及更新，提升数据服务发布、更新能力。</w:t>
                  </w:r>
                </w:p>
              </w:tc>
              <w:tc>
                <w:tcPr>
                  <w:tcW w:type="dxa" w:w="866"/>
                  <w:tcBorders>
                    <w:top w:val="none" w:color="000000" w:sz="4"/>
                    <w:left w:val="none" w:color="000000" w:sz="4"/>
                    <w:bottom w:val="single" w:color="000000" w:sz="4"/>
                    <w:right w:val="single" w:color="000000" w:sz="4"/>
                  </w:tcBorders>
                </w:tcPr>
                <w:p>
                  <w:pPr>
                    <w:jc w:val="center"/>
                  </w:pPr>
                  <w:r>
                    <w:rPr>
                      <w:sz w:val="21"/>
                    </w:rPr>
                    <w:t>延续性运维</w:t>
                  </w:r>
                </w:p>
              </w:tc>
              <w:tc>
                <w:tcPr>
                  <w:tcW w:type="dxa" w:w="520"/>
                  <w:tcBorders>
                    <w:top w:val="none" w:color="000000" w:sz="4"/>
                    <w:left w:val="none" w:color="000000" w:sz="4"/>
                    <w:bottom w:val="single" w:color="000000" w:sz="4"/>
                    <w:right w:val="single" w:color="000000" w:sz="4"/>
                  </w:tcBorders>
                </w:tcPr>
                <w:p>
                  <w:pPr>
                    <w:jc w:val="center"/>
                  </w:pPr>
                  <w:r>
                    <w:rPr>
                      <w:sz w:val="21"/>
                    </w:rPr>
                    <w:t>　</w:t>
                  </w:r>
                </w:p>
              </w:tc>
            </w:tr>
            <w:tr>
              <w:tc>
                <w:tcPr>
                  <w:tcW w:type="dxa" w:w="346"/>
                  <w:tcBorders>
                    <w:top w:val="none" w:color="000000" w:sz="4"/>
                    <w:left w:val="single" w:color="000000" w:sz="4"/>
                    <w:bottom w:val="single" w:color="000000" w:sz="4"/>
                    <w:right w:val="single" w:color="000000" w:sz="4"/>
                  </w:tcBorders>
                </w:tcPr>
                <w:p>
                  <w:pPr>
                    <w:jc w:val="center"/>
                  </w:pPr>
                  <w:r>
                    <w:rPr>
                      <w:sz w:val="21"/>
                    </w:rPr>
                    <w:t>6</w:t>
                  </w:r>
                </w:p>
              </w:tc>
              <w:tc>
                <w:tcPr>
                  <w:tcW w:type="dxa" w:w="635"/>
                  <w:vMerge/>
                  <w:tcBorders>
                    <w:top w:val="none" w:color="000000" w:sz="4"/>
                    <w:left w:val="none" w:color="000000" w:sz="4"/>
                    <w:bottom w:val="single" w:color="000000" w:sz="4"/>
                    <w:right w:val="single" w:color="000000" w:sz="4"/>
                  </w:tcBorders>
                </w:tcPr>
                <w:p/>
              </w:tc>
              <w:tc>
                <w:tcPr>
                  <w:tcW w:type="dxa" w:w="462"/>
                  <w:tcBorders>
                    <w:top w:val="none" w:color="000000" w:sz="4"/>
                    <w:left w:val="none" w:color="000000" w:sz="4"/>
                    <w:bottom w:val="single" w:color="000000" w:sz="4"/>
                    <w:right w:val="single" w:color="000000" w:sz="4"/>
                  </w:tcBorders>
                </w:tcPr>
                <w:p>
                  <w:pPr>
                    <w:jc w:val="center"/>
                  </w:pPr>
                  <w:r>
                    <w:rPr>
                      <w:b/>
                      <w:sz w:val="21"/>
                    </w:rPr>
                    <w:t>优化用户管理机制</w:t>
                  </w:r>
                </w:p>
              </w:tc>
              <w:tc>
                <w:tcPr>
                  <w:tcW w:type="dxa" w:w="2714"/>
                  <w:tcBorders>
                    <w:top w:val="none" w:color="000000" w:sz="4"/>
                    <w:left w:val="none" w:color="000000" w:sz="4"/>
                    <w:bottom w:val="single" w:color="000000" w:sz="4"/>
                    <w:right w:val="single" w:color="000000" w:sz="4"/>
                  </w:tcBorders>
                </w:tcPr>
                <w:p>
                  <w:pPr>
                    <w:jc w:val="left"/>
                  </w:pPr>
                  <w:r>
                    <w:rPr>
                      <w:sz w:val="21"/>
                    </w:rPr>
                    <w:t>随着国土空间基础信息平台用户的增多和用户设置的个性化 ，对平台的不同用户类型进行规范定义管理，制定授权管理规则明确二级管理员的管理权限，制定平台用户清退销户机制，从系统用户角度确保系统信息安全。完成包括平台用户调整、部门调整、账号开通、账号注销等组织机构用户的管理工作。</w:t>
                  </w:r>
                </w:p>
              </w:tc>
              <w:tc>
                <w:tcPr>
                  <w:tcW w:type="dxa" w:w="866"/>
                  <w:tcBorders>
                    <w:top w:val="none" w:color="000000" w:sz="4"/>
                    <w:left w:val="none" w:color="000000" w:sz="4"/>
                    <w:bottom w:val="single" w:color="000000" w:sz="4"/>
                    <w:right w:val="single" w:color="000000" w:sz="4"/>
                  </w:tcBorders>
                </w:tcPr>
                <w:p>
                  <w:pPr>
                    <w:jc w:val="center"/>
                  </w:pPr>
                  <w:r>
                    <w:rPr>
                      <w:sz w:val="21"/>
                    </w:rPr>
                    <w:t>延续性运维</w:t>
                  </w:r>
                </w:p>
              </w:tc>
              <w:tc>
                <w:tcPr>
                  <w:tcW w:type="dxa" w:w="520"/>
                  <w:tcBorders>
                    <w:top w:val="none" w:color="000000" w:sz="4"/>
                    <w:left w:val="none" w:color="000000" w:sz="4"/>
                    <w:bottom w:val="single" w:color="000000" w:sz="4"/>
                    <w:right w:val="single" w:color="000000" w:sz="4"/>
                  </w:tcBorders>
                </w:tcPr>
                <w:p>
                  <w:pPr>
                    <w:jc w:val="center"/>
                  </w:pPr>
                  <w:r>
                    <w:rPr>
                      <w:sz w:val="21"/>
                    </w:rPr>
                    <w:t>　</w:t>
                  </w:r>
                </w:p>
              </w:tc>
            </w:tr>
            <w:tr>
              <w:tc>
                <w:tcPr>
                  <w:tcW w:type="dxa" w:w="346"/>
                  <w:tcBorders>
                    <w:top w:val="none" w:color="000000" w:sz="4"/>
                    <w:left w:val="single" w:color="000000" w:sz="4"/>
                    <w:bottom w:val="single" w:color="000000" w:sz="4"/>
                    <w:right w:val="single" w:color="000000" w:sz="4"/>
                  </w:tcBorders>
                </w:tcPr>
                <w:p>
                  <w:pPr>
                    <w:jc w:val="center"/>
                  </w:pPr>
                  <w:r>
                    <w:rPr>
                      <w:sz w:val="21"/>
                    </w:rPr>
                    <w:t>7</w:t>
                  </w:r>
                </w:p>
              </w:tc>
              <w:tc>
                <w:tcPr>
                  <w:tcW w:type="dxa" w:w="635"/>
                  <w:vMerge w:val="restart"/>
                  <w:tcBorders>
                    <w:top w:val="none" w:color="000000" w:sz="4"/>
                    <w:left w:val="none" w:color="000000" w:sz="4"/>
                    <w:bottom w:val="single" w:color="000000" w:sz="4"/>
                    <w:right w:val="single" w:color="000000" w:sz="4"/>
                  </w:tcBorders>
                </w:tcPr>
                <w:p>
                  <w:pPr>
                    <w:jc w:val="center"/>
                  </w:pPr>
                  <w:r>
                    <w:rPr>
                      <w:b/>
                      <w:sz w:val="21"/>
                    </w:rPr>
                    <w:t>（二）系统运行维护</w:t>
                  </w:r>
                </w:p>
              </w:tc>
              <w:tc>
                <w:tcPr>
                  <w:tcW w:type="dxa" w:w="462"/>
                  <w:tcBorders>
                    <w:top w:val="none" w:color="000000" w:sz="4"/>
                    <w:left w:val="none" w:color="000000" w:sz="4"/>
                    <w:bottom w:val="single" w:color="000000" w:sz="4"/>
                    <w:right w:val="single" w:color="000000" w:sz="4"/>
                  </w:tcBorders>
                </w:tcPr>
                <w:p>
                  <w:pPr>
                    <w:jc w:val="center"/>
                  </w:pPr>
                  <w:r>
                    <w:rPr>
                      <w:b/>
                      <w:sz w:val="21"/>
                    </w:rPr>
                    <w:t>数据库优化</w:t>
                  </w:r>
                </w:p>
              </w:tc>
              <w:tc>
                <w:tcPr>
                  <w:tcW w:type="dxa" w:w="2714"/>
                  <w:tcBorders>
                    <w:top w:val="none" w:color="000000" w:sz="4"/>
                    <w:left w:val="none" w:color="000000" w:sz="4"/>
                    <w:bottom w:val="single" w:color="000000" w:sz="4"/>
                    <w:right w:val="single" w:color="000000" w:sz="4"/>
                  </w:tcBorders>
                </w:tcPr>
                <w:p>
                  <w:pPr>
                    <w:jc w:val="left"/>
                  </w:pPr>
                  <w:r>
                    <w:rPr>
                      <w:sz w:val="21"/>
                    </w:rPr>
                    <w:t>包含数据库结构优化、数据库账户（定期更改账户、密码）、数据入库流程改造、数据库性能优化、数据库库表结构优化、数据库接口运维、数据库备份更新、数据恢复、入库数据交换共享、数据库稳定运行监测、可靠性监测及漏洞修复等功能运维技术支持与服务。</w:t>
                  </w:r>
                </w:p>
                <w:p>
                  <w:pPr>
                    <w:jc w:val="left"/>
                  </w:pPr>
                  <w:r>
                    <w:rPr>
                      <w:sz w:val="21"/>
                    </w:rPr>
                    <w:t>1</w:t>
                  </w:r>
                  <w:r>
                    <w:rPr>
                      <w:sz w:val="21"/>
                    </w:rPr>
                    <w:t>、数据库结构优化</w:t>
                  </w:r>
                </w:p>
                <w:p>
                  <w:pPr>
                    <w:jc w:val="left"/>
                  </w:pPr>
                  <w:r>
                    <w:rPr>
                      <w:sz w:val="21"/>
                    </w:rPr>
                    <w:t>根据系统运行情况开展数据库结构更新、优化工作，保障系统使用的所有数据库稳定运行。</w:t>
                  </w:r>
                </w:p>
                <w:p>
                  <w:pPr>
                    <w:jc w:val="left"/>
                  </w:pPr>
                  <w:r>
                    <w:rPr>
                      <w:sz w:val="21"/>
                    </w:rPr>
                    <w:t>2</w:t>
                  </w:r>
                  <w:r>
                    <w:rPr>
                      <w:sz w:val="21"/>
                    </w:rPr>
                    <w:t>、数据库账户</w:t>
                  </w:r>
                </w:p>
                <w:p>
                  <w:pPr>
                    <w:jc w:val="left"/>
                  </w:pPr>
                  <w:r>
                    <w:rPr>
                      <w:sz w:val="21"/>
                    </w:rPr>
                    <w:t>定期更改账户、密码，维护数据库账号。</w:t>
                  </w:r>
                </w:p>
                <w:p>
                  <w:pPr>
                    <w:jc w:val="left"/>
                  </w:pPr>
                  <w:r>
                    <w:rPr>
                      <w:sz w:val="21"/>
                    </w:rPr>
                    <w:t>3</w:t>
                  </w:r>
                  <w:r>
                    <w:rPr>
                      <w:sz w:val="21"/>
                    </w:rPr>
                    <w:t>、数据库入库流程改造</w:t>
                  </w:r>
                </w:p>
                <w:p>
                  <w:pPr>
                    <w:jc w:val="left"/>
                  </w:pPr>
                  <w:r>
                    <w:rPr>
                      <w:sz w:val="21"/>
                    </w:rPr>
                    <w:t>根据业务系统改造需要，进行数据库入库流程改造，优化数据对接入库方式。</w:t>
                  </w:r>
                </w:p>
                <w:p>
                  <w:pPr>
                    <w:jc w:val="left"/>
                  </w:pPr>
                  <w:r>
                    <w:rPr>
                      <w:sz w:val="21"/>
                    </w:rPr>
                    <w:t>4</w:t>
                  </w:r>
                  <w:r>
                    <w:rPr>
                      <w:sz w:val="21"/>
                    </w:rPr>
                    <w:t>、数据库性能优化</w:t>
                  </w:r>
                </w:p>
                <w:p>
                  <w:pPr>
                    <w:jc w:val="left"/>
                  </w:pPr>
                  <w:r>
                    <w:rPr>
                      <w:sz w:val="21"/>
                    </w:rPr>
                    <w:t>定期开展数据库库表结构更新、优化，入库数据维护、更新、数据交换维护等工作。</w:t>
                  </w:r>
                </w:p>
                <w:p>
                  <w:pPr>
                    <w:jc w:val="left"/>
                  </w:pPr>
                  <w:r>
                    <w:rPr>
                      <w:sz w:val="21"/>
                    </w:rPr>
                    <w:t>5</w:t>
                  </w:r>
                  <w:r>
                    <w:rPr>
                      <w:sz w:val="21"/>
                    </w:rPr>
                    <w:t>、数据库接口运维</w:t>
                  </w:r>
                </w:p>
                <w:p>
                  <w:pPr>
                    <w:jc w:val="left"/>
                  </w:pPr>
                  <w:r>
                    <w:rPr>
                      <w:sz w:val="21"/>
                    </w:rPr>
                    <w:t>定期运维数据库接口，保障数据有序共享。</w:t>
                  </w:r>
                </w:p>
                <w:p>
                  <w:pPr>
                    <w:jc w:val="left"/>
                  </w:pPr>
                  <w:r>
                    <w:rPr>
                      <w:sz w:val="21"/>
                    </w:rPr>
                    <w:t>6</w:t>
                  </w:r>
                  <w:r>
                    <w:rPr>
                      <w:sz w:val="21"/>
                    </w:rPr>
                    <w:t>、数据库监测</w:t>
                  </w:r>
                </w:p>
                <w:p>
                  <w:pPr>
                    <w:jc w:val="left"/>
                  </w:pPr>
                  <w:r>
                    <w:rPr>
                      <w:sz w:val="21"/>
                    </w:rPr>
                    <w:t>定期对存储、备份的数据进行可靠性检测、数据库稳定运行监测。</w:t>
                  </w:r>
                </w:p>
                <w:p>
                  <w:pPr>
                    <w:jc w:val="left"/>
                  </w:pPr>
                  <w:r>
                    <w:rPr>
                      <w:sz w:val="21"/>
                    </w:rPr>
                    <w:t>7</w:t>
                  </w:r>
                  <w:r>
                    <w:rPr>
                      <w:sz w:val="21"/>
                    </w:rPr>
                    <w:t>、漏洞修复</w:t>
                  </w:r>
                </w:p>
                <w:p>
                  <w:pPr>
                    <w:jc w:val="left"/>
                  </w:pPr>
                  <w:r>
                    <w:rPr>
                      <w:sz w:val="21"/>
                    </w:rPr>
                    <w:t>进行应用系统、数据库和操作系统漏洞修复；</w:t>
                  </w:r>
                </w:p>
                <w:p>
                  <w:pPr>
                    <w:jc w:val="left"/>
                  </w:pPr>
                  <w:r>
                    <w:rPr>
                      <w:sz w:val="21"/>
                    </w:rPr>
                    <w:t>8</w:t>
                  </w:r>
                  <w:r>
                    <w:rPr>
                      <w:sz w:val="21"/>
                    </w:rPr>
                    <w:t>、数据恢复</w:t>
                  </w:r>
                </w:p>
                <w:p>
                  <w:pPr>
                    <w:jc w:val="left"/>
                  </w:pPr>
                  <w:r>
                    <w:rPr>
                      <w:sz w:val="21"/>
                    </w:rPr>
                    <w:t>制定完备的数据恢复操作规范，一旦出现数据故障，用最快速度恢复数据，保障系统数据库的正常运行。</w:t>
                  </w:r>
                </w:p>
              </w:tc>
              <w:tc>
                <w:tcPr>
                  <w:tcW w:type="dxa" w:w="866"/>
                  <w:tcBorders>
                    <w:top w:val="none" w:color="000000" w:sz="4"/>
                    <w:left w:val="none" w:color="000000" w:sz="4"/>
                    <w:bottom w:val="single" w:color="000000" w:sz="4"/>
                    <w:right w:val="single" w:color="000000" w:sz="4"/>
                  </w:tcBorders>
                </w:tcPr>
                <w:p>
                  <w:pPr>
                    <w:jc w:val="center"/>
                  </w:pPr>
                  <w:r>
                    <w:rPr>
                      <w:sz w:val="21"/>
                    </w:rPr>
                    <w:t>延续性运维</w:t>
                  </w:r>
                </w:p>
              </w:tc>
              <w:tc>
                <w:tcPr>
                  <w:tcW w:type="dxa" w:w="520"/>
                  <w:tcBorders>
                    <w:top w:val="none" w:color="000000" w:sz="4"/>
                    <w:left w:val="none" w:color="000000" w:sz="4"/>
                    <w:bottom w:val="single" w:color="000000" w:sz="4"/>
                    <w:right w:val="single" w:color="000000" w:sz="4"/>
                  </w:tcBorders>
                </w:tcPr>
                <w:p>
                  <w:pPr>
                    <w:jc w:val="center"/>
                  </w:pPr>
                  <w:r>
                    <w:rPr>
                      <w:sz w:val="21"/>
                    </w:rPr>
                    <w:t>　</w:t>
                  </w:r>
                </w:p>
              </w:tc>
            </w:tr>
            <w:tr>
              <w:tc>
                <w:tcPr>
                  <w:tcW w:type="dxa" w:w="346"/>
                  <w:tcBorders>
                    <w:top w:val="none" w:color="000000" w:sz="4"/>
                    <w:left w:val="single" w:color="000000" w:sz="4"/>
                    <w:bottom w:val="single" w:color="000000" w:sz="4"/>
                    <w:right w:val="single" w:color="000000" w:sz="4"/>
                  </w:tcBorders>
                </w:tcPr>
                <w:p>
                  <w:pPr>
                    <w:jc w:val="center"/>
                  </w:pPr>
                  <w:r>
                    <w:rPr>
                      <w:sz w:val="21"/>
                    </w:rPr>
                    <w:t>8</w:t>
                  </w:r>
                </w:p>
              </w:tc>
              <w:tc>
                <w:tcPr>
                  <w:tcW w:type="dxa" w:w="635"/>
                  <w:vMerge/>
                  <w:tcBorders>
                    <w:top w:val="none" w:color="000000" w:sz="4"/>
                    <w:left w:val="none" w:color="000000" w:sz="4"/>
                    <w:bottom w:val="single" w:color="000000" w:sz="4"/>
                    <w:right w:val="single" w:color="000000" w:sz="4"/>
                  </w:tcBorders>
                </w:tcPr>
                <w:p/>
              </w:tc>
              <w:tc>
                <w:tcPr>
                  <w:tcW w:type="dxa" w:w="462"/>
                  <w:tcBorders>
                    <w:top w:val="none" w:color="000000" w:sz="4"/>
                    <w:left w:val="none" w:color="000000" w:sz="4"/>
                    <w:bottom w:val="single" w:color="000000" w:sz="4"/>
                    <w:right w:val="single" w:color="000000" w:sz="4"/>
                  </w:tcBorders>
                </w:tcPr>
                <w:p>
                  <w:pPr>
                    <w:jc w:val="center"/>
                  </w:pPr>
                  <w:r>
                    <w:rPr>
                      <w:b/>
                      <w:sz w:val="21"/>
                    </w:rPr>
                    <w:t>云资源运维</w:t>
                  </w:r>
                </w:p>
              </w:tc>
              <w:tc>
                <w:tcPr>
                  <w:tcW w:type="dxa" w:w="2714"/>
                  <w:tcBorders>
                    <w:top w:val="none" w:color="000000" w:sz="4"/>
                    <w:left w:val="none" w:color="000000" w:sz="4"/>
                    <w:bottom w:val="single" w:color="000000" w:sz="4"/>
                    <w:right w:val="single" w:color="000000" w:sz="4"/>
                  </w:tcBorders>
                </w:tcPr>
                <w:p>
                  <w:pPr>
                    <w:jc w:val="left"/>
                  </w:pPr>
                  <w:r>
                    <w:rPr>
                      <w:sz w:val="21"/>
                    </w:rPr>
                    <w:t>1</w:t>
                  </w:r>
                  <w:r>
                    <w:rPr>
                      <w:sz w:val="21"/>
                    </w:rPr>
                    <w:t>、系统配置</w:t>
                  </w:r>
                </w:p>
                <w:p>
                  <w:pPr>
                    <w:jc w:val="left"/>
                  </w:pPr>
                  <w:r>
                    <w:rPr>
                      <w:sz w:val="21"/>
                    </w:rPr>
                    <w:t>包括配合信息中心对组织机构、用户管理、角色用户、系统管理、权限配置、操作日志等功能进行维护。根据自然资源机构改革与业务整合需求，依托中山市国土空间基础信息平台的基础上，完成服务授权与权限调整工作，以此满足自然资源管理新需求，实现包括完成组织机构增删改、角色增删改、组织机构用户清单导出、用户禁用状态显示、用户数据权限授予和回收等系统配置功能改造升级。</w:t>
                  </w:r>
                </w:p>
                <w:p>
                  <w:pPr>
                    <w:jc w:val="left"/>
                  </w:pPr>
                  <w:r>
                    <w:rPr>
                      <w:sz w:val="21"/>
                    </w:rPr>
                    <w:t>2</w:t>
                  </w:r>
                  <w:r>
                    <w:rPr>
                      <w:sz w:val="21"/>
                    </w:rPr>
                    <w:t>、资源管理</w:t>
                  </w:r>
                </w:p>
                <w:p>
                  <w:pPr>
                    <w:jc w:val="left"/>
                  </w:pPr>
                  <w:r>
                    <w:rPr>
                      <w:sz w:val="21"/>
                    </w:rPr>
                    <w:t>包括对数据资源、数据服务、三维数据服务、模型管理、注册管理、编目管理、服务管理、任务管理、接口管理等功能进行维护。根据中山市自然资源局具体数据及应用对接需求，例如粤政图数据接入及服务打通需求，对基础平台功能进行改造升级，完成数据资源统一维护管理及服务发布更新，对应优化专题目录，完成图层数据资源配置工作。</w:t>
                  </w:r>
                </w:p>
                <w:p>
                  <w:pPr>
                    <w:jc w:val="left"/>
                  </w:pPr>
                  <w:r>
                    <w:rPr>
                      <w:sz w:val="21"/>
                    </w:rPr>
                    <w:t>3</w:t>
                  </w:r>
                  <w:r>
                    <w:rPr>
                      <w:sz w:val="21"/>
                    </w:rPr>
                    <w:t>、运维监控</w:t>
                  </w:r>
                </w:p>
                <w:p>
                  <w:pPr>
                    <w:jc w:val="left"/>
                  </w:pPr>
                  <w:r>
                    <w:rPr>
                      <w:sz w:val="21"/>
                    </w:rPr>
                    <w:t>包括对主机监控、运维记录、服务监控、日志分析、数据库监控等功能进行维护。定期对平台开展巡检，及时发现、处理并解决系统运行中出现的所有问题。在巡检过程中发现的故障问题按照故障等级以及相应处理办法进行处置。针对C\S、B\S端应用程序的巡检运维单位的巡检频率为每两周一次，针对服务器、数据库的巡检巡检频率为每周一次。通过运维平台监控预警功能进行主机及服务监控，设置报警机制，每天查看是否有预警记录，预警记录来源主要有两方面，一是根据自定义设置的报警机制报警通知，二是后台自动对服务器进行健康巡检有问题既生成预警记录。运维人员每天查看未处理的预警记录通知相关人员处理，当有预警记录产生时系统自动发送短信通知运维人员。巡检内容包括服务器巡检、应用程序巡检、数据库巡检等。对巡检内容检查结果存档记录。</w:t>
                  </w:r>
                </w:p>
                <w:p>
                  <w:pPr>
                    <w:jc w:val="left"/>
                  </w:pPr>
                  <w:r>
                    <w:rPr>
                      <w:sz w:val="21"/>
                    </w:rPr>
                    <w:t>服务器巡检：通过堡垒机登录的方式远程相应服务器，针对服务器的检查包括CPU性能检查、内存使用情况检查、硬盘利用情况检查、系统进程监控、主机性能监控、政务网络检查、相关服务是否正常启动。</w:t>
                  </w:r>
                </w:p>
                <w:p>
                  <w:pPr>
                    <w:jc w:val="left"/>
                  </w:pPr>
                  <w:r>
                    <w:rPr>
                      <w:sz w:val="21"/>
                    </w:rPr>
                    <w:t>应用程序巡检： 登录系统检查是否可以正常访问，相关地图服务是否正常调用，系统主要功能是否按照设计正常执行，对于国土空间基础信息平台需要检查相关自动监测预警后台应用是否正常启动。</w:t>
                  </w:r>
                </w:p>
                <w:p>
                  <w:pPr>
                    <w:jc w:val="left"/>
                  </w:pPr>
                  <w:r>
                    <w:rPr>
                      <w:sz w:val="21"/>
                    </w:rPr>
                    <w:t>接口服务巡检：检查系统服务接口是否正常调用，相关对外对内提供的数据服务是否能正常发布，检查系统接口联调是否正常对接使用。</w:t>
                  </w:r>
                </w:p>
                <w:p>
                  <w:pPr>
                    <w:jc w:val="left"/>
                  </w:pPr>
                  <w:r>
                    <w:rPr>
                      <w:sz w:val="21"/>
                    </w:rPr>
                    <w:t>数据库巡检：查看MySQL服务器配置信息及运行状况，通过show variables来查看mysql服务器配置信息，统计各种SQL的执⾏频率，判断系统瓶颈。检查Oracle实例状态，检查 Oracle服务进程，检查Oracle的监听状态。</w:t>
                  </w:r>
                </w:p>
                <w:p>
                  <w:pPr>
                    <w:jc w:val="left"/>
                  </w:pPr>
                  <w:r>
                    <w:rPr>
                      <w:sz w:val="21"/>
                    </w:rPr>
                    <w:t>4</w:t>
                  </w:r>
                  <w:r>
                    <w:rPr>
                      <w:sz w:val="21"/>
                    </w:rPr>
                    <w:t>、运维管理平台维护</w:t>
                  </w:r>
                </w:p>
                <w:p>
                  <w:pPr>
                    <w:jc w:val="left"/>
                  </w:pPr>
                  <w:r>
                    <w:rPr>
                      <w:sz w:val="21"/>
                    </w:rPr>
                    <w:t>为做好服务器运维工作，系统通过运维管理平台对云主机状态及各项资源占用指标进行实时监控及短信告警。</w:t>
                  </w:r>
                </w:p>
              </w:tc>
              <w:tc>
                <w:tcPr>
                  <w:tcW w:type="dxa" w:w="866"/>
                  <w:tcBorders>
                    <w:top w:val="none" w:color="000000" w:sz="4"/>
                    <w:left w:val="none" w:color="000000" w:sz="4"/>
                    <w:bottom w:val="single" w:color="000000" w:sz="4"/>
                    <w:right w:val="single" w:color="000000" w:sz="4"/>
                  </w:tcBorders>
                </w:tcPr>
                <w:p>
                  <w:pPr>
                    <w:jc w:val="center"/>
                  </w:pPr>
                  <w:r>
                    <w:rPr>
                      <w:sz w:val="21"/>
                    </w:rPr>
                    <w:t>延续性运维</w:t>
                  </w:r>
                </w:p>
              </w:tc>
              <w:tc>
                <w:tcPr>
                  <w:tcW w:type="dxa" w:w="520"/>
                  <w:tcBorders>
                    <w:top w:val="none" w:color="000000" w:sz="4"/>
                    <w:left w:val="none" w:color="000000" w:sz="4"/>
                    <w:bottom w:val="single" w:color="000000" w:sz="4"/>
                    <w:right w:val="single" w:color="000000" w:sz="4"/>
                  </w:tcBorders>
                </w:tcPr>
                <w:p>
                  <w:pPr>
                    <w:jc w:val="center"/>
                  </w:pPr>
                  <w:r>
                    <w:rPr>
                      <w:sz w:val="21"/>
                    </w:rPr>
                    <w:t>　</w:t>
                  </w:r>
                </w:p>
              </w:tc>
            </w:tr>
            <w:tr>
              <w:tc>
                <w:tcPr>
                  <w:tcW w:type="dxa" w:w="346"/>
                  <w:tcBorders>
                    <w:top w:val="none" w:color="000000" w:sz="4"/>
                    <w:left w:val="single" w:color="000000" w:sz="4"/>
                    <w:bottom w:val="single" w:color="000000" w:sz="4"/>
                    <w:right w:val="single" w:color="000000" w:sz="4"/>
                  </w:tcBorders>
                </w:tcPr>
                <w:p>
                  <w:pPr>
                    <w:jc w:val="center"/>
                  </w:pPr>
                  <w:r>
                    <w:rPr>
                      <w:sz w:val="21"/>
                    </w:rPr>
                    <w:t>9</w:t>
                  </w:r>
                </w:p>
              </w:tc>
              <w:tc>
                <w:tcPr>
                  <w:tcW w:type="dxa" w:w="635"/>
                  <w:vMerge/>
                  <w:tcBorders>
                    <w:top w:val="none" w:color="000000" w:sz="4"/>
                    <w:left w:val="none" w:color="000000" w:sz="4"/>
                    <w:bottom w:val="single" w:color="000000" w:sz="4"/>
                    <w:right w:val="single" w:color="000000" w:sz="4"/>
                  </w:tcBorders>
                </w:tcPr>
                <w:p/>
              </w:tc>
              <w:tc>
                <w:tcPr>
                  <w:tcW w:type="dxa" w:w="462"/>
                  <w:tcBorders>
                    <w:top w:val="none" w:color="000000" w:sz="4"/>
                    <w:left w:val="none" w:color="000000" w:sz="4"/>
                    <w:bottom w:val="single" w:color="000000" w:sz="4"/>
                    <w:right w:val="single" w:color="000000" w:sz="4"/>
                  </w:tcBorders>
                </w:tcPr>
                <w:p>
                  <w:pPr>
                    <w:jc w:val="center"/>
                  </w:pPr>
                  <w:r>
                    <w:rPr>
                      <w:b/>
                      <w:sz w:val="21"/>
                    </w:rPr>
                    <w:t>国土空间基础信息平台功能维护</w:t>
                  </w:r>
                </w:p>
              </w:tc>
              <w:tc>
                <w:tcPr>
                  <w:tcW w:type="dxa" w:w="2714"/>
                  <w:tcBorders>
                    <w:top w:val="none" w:color="000000" w:sz="4"/>
                    <w:left w:val="none" w:color="000000" w:sz="4"/>
                    <w:bottom w:val="single" w:color="000000" w:sz="4"/>
                    <w:right w:val="single" w:color="000000" w:sz="4"/>
                  </w:tcBorders>
                </w:tcPr>
                <w:p>
                  <w:pPr>
                    <w:jc w:val="left"/>
                  </w:pPr>
                  <w:r>
                    <w:rPr>
                      <w:sz w:val="21"/>
                    </w:rPr>
                    <w:t>为保障系统平稳、高效为用户提供服务，落实对国土空间基础信息平台功能维护及优化工作，对平台基础功能、空间分析、统计分析、审批助手、数据资源目录等功能进行维护。</w:t>
                  </w:r>
                </w:p>
                <w:p>
                  <w:pPr>
                    <w:jc w:val="left"/>
                  </w:pPr>
                  <w:r>
                    <w:rPr>
                      <w:sz w:val="21"/>
                    </w:rPr>
                    <w:t>1</w:t>
                  </w:r>
                  <w:r>
                    <w:rPr>
                      <w:sz w:val="21"/>
                    </w:rPr>
                    <w:t>、基础功能</w:t>
                  </w:r>
                </w:p>
                <w:p>
                  <w:pPr>
                    <w:jc w:val="left"/>
                  </w:pPr>
                  <w:r>
                    <w:rPr>
                      <w:sz w:val="21"/>
                    </w:rPr>
                    <w:t>包括对属性、测距、测面、分屏、卷帘、坐标定位、图纸编号、数据叠加、打印、快速出图、清除、全屏、重点导航、路径导航等基础功能进行维护。</w:t>
                  </w:r>
                </w:p>
                <w:p>
                  <w:pPr>
                    <w:jc w:val="left"/>
                  </w:pPr>
                  <w:r>
                    <w:rPr>
                      <w:sz w:val="21"/>
                    </w:rPr>
                    <w:t>2</w:t>
                  </w:r>
                  <w:r>
                    <w:rPr>
                      <w:sz w:val="21"/>
                    </w:rPr>
                    <w:t>、空间分析</w:t>
                  </w:r>
                </w:p>
                <w:p>
                  <w:pPr>
                    <w:jc w:val="left"/>
                  </w:pPr>
                  <w:r>
                    <w:rPr>
                      <w:sz w:val="21"/>
                    </w:rPr>
                    <w:t>包括对疑似违法图斑分析、通用分析、权属分析、用地审批分析、地类分析、基本农田分析、林地保护规划分析、自然空间生态分析、还原水田分析、永久基本农田储备区分析、期末规划分析、土地用途分析、建设用地管制分析、控规分析、生态保护红线、城市生态控制线分析等空间分析功能进行运维，确保空间分析结果的导出及查看功能实现。</w:t>
                  </w:r>
                </w:p>
                <w:p>
                  <w:pPr>
                    <w:jc w:val="left"/>
                  </w:pPr>
                  <w:r>
                    <w:rPr>
                      <w:sz w:val="21"/>
                    </w:rPr>
                    <w:t>3</w:t>
                  </w:r>
                  <w:r>
                    <w:rPr>
                      <w:sz w:val="21"/>
                    </w:rPr>
                    <w:t>、统计分析</w:t>
                  </w:r>
                </w:p>
                <w:p>
                  <w:pPr>
                    <w:jc w:val="left"/>
                  </w:pPr>
                  <w:r>
                    <w:rPr>
                      <w:sz w:val="21"/>
                    </w:rPr>
                    <w:t>包括对总规用地统计分析、土规用地统计分析、控规统计分析、批次用地统计分析、土地供应统计分析、供地预备统计分析、高标准农田统计分析、违法用地统计分析等统计分析功能进行维护，确保空间分析结果展示及统计结果导出功能实现。</w:t>
                  </w:r>
                </w:p>
                <w:p>
                  <w:pPr>
                    <w:jc w:val="left"/>
                  </w:pPr>
                  <w:r>
                    <w:rPr>
                      <w:sz w:val="21"/>
                    </w:rPr>
                    <w:t>4</w:t>
                  </w:r>
                  <w:r>
                    <w:rPr>
                      <w:sz w:val="21"/>
                    </w:rPr>
                    <w:t>、审批助手</w:t>
                  </w:r>
                </w:p>
                <w:p>
                  <w:pPr>
                    <w:jc w:val="left"/>
                  </w:pPr>
                  <w:r>
                    <w:rPr>
                      <w:sz w:val="21"/>
                    </w:rPr>
                    <w:t>优化方案审查、基准地价、占压分析、地价核算、权属用地规划分析、违法图斑核查分析等功能，对疑似闲置土地指认、坐标拾取、数据转换、权属查询、数据输出、争议调处、编号出图、工业用地标图建库复核、勾绘图斑等功能进行维护管理。</w:t>
                  </w:r>
                </w:p>
                <w:p>
                  <w:pPr>
                    <w:jc w:val="left"/>
                  </w:pPr>
                  <w:r>
                    <w:rPr>
                      <w:sz w:val="21"/>
                    </w:rPr>
                    <w:t>5</w:t>
                  </w:r>
                  <w:r>
                    <w:rPr>
                      <w:sz w:val="21"/>
                    </w:rPr>
                    <w:t>、数据资源目录</w:t>
                  </w:r>
                </w:p>
                <w:p>
                  <w:pPr>
                    <w:jc w:val="left"/>
                  </w:pPr>
                  <w:r>
                    <w:rPr>
                      <w:sz w:val="21"/>
                    </w:rPr>
                    <w:t>对数据资源目录进行维护管理，确保数据资源加载、搜索、已叠加图层顺序调整、透明度调整、批量移除、收藏等功能实现。</w:t>
                  </w:r>
                </w:p>
                <w:p>
                  <w:pPr>
                    <w:jc w:val="left"/>
                  </w:pPr>
                  <w:r>
                    <w:rPr>
                      <w:sz w:val="21"/>
                    </w:rPr>
                    <w:t>根据用户对数据标签化的需求，实现对中山市国土空间基础信息平台的数据进行标签化管理，涉及数据资源功能改造工作，包括对公共基础数据、专业基础数据、业务管理数据、公共政务数据、专项管理数据等900多个图层进行数据标签化实现，优化查询筛选统计功能。</w:t>
                  </w:r>
                </w:p>
              </w:tc>
              <w:tc>
                <w:tcPr>
                  <w:tcW w:type="dxa" w:w="866"/>
                  <w:tcBorders>
                    <w:top w:val="none" w:color="000000" w:sz="4"/>
                    <w:left w:val="none" w:color="000000" w:sz="4"/>
                    <w:bottom w:val="single" w:color="000000" w:sz="4"/>
                    <w:right w:val="single" w:color="000000" w:sz="4"/>
                  </w:tcBorders>
                </w:tcPr>
                <w:p>
                  <w:pPr>
                    <w:jc w:val="center"/>
                  </w:pPr>
                  <w:r>
                    <w:rPr>
                      <w:sz w:val="21"/>
                    </w:rPr>
                    <w:t>延续性运维</w:t>
                  </w:r>
                </w:p>
              </w:tc>
              <w:tc>
                <w:tcPr>
                  <w:tcW w:type="dxa" w:w="520"/>
                  <w:tcBorders>
                    <w:top w:val="none" w:color="000000" w:sz="4"/>
                    <w:left w:val="none" w:color="000000" w:sz="4"/>
                    <w:bottom w:val="single" w:color="000000" w:sz="4"/>
                    <w:right w:val="single" w:color="000000" w:sz="4"/>
                  </w:tcBorders>
                </w:tcPr>
                <w:p>
                  <w:pPr>
                    <w:jc w:val="center"/>
                  </w:pPr>
                  <w:r>
                    <w:rPr>
                      <w:sz w:val="21"/>
                    </w:rPr>
                    <w:t>　</w:t>
                  </w:r>
                </w:p>
              </w:tc>
            </w:tr>
            <w:tr>
              <w:tc>
                <w:tcPr>
                  <w:tcW w:type="dxa" w:w="346"/>
                  <w:tcBorders>
                    <w:top w:val="none" w:color="000000" w:sz="4"/>
                    <w:left w:val="single" w:color="000000" w:sz="4"/>
                    <w:bottom w:val="single" w:color="000000" w:sz="4"/>
                    <w:right w:val="single" w:color="000000" w:sz="4"/>
                  </w:tcBorders>
                </w:tcPr>
                <w:p>
                  <w:pPr>
                    <w:jc w:val="center"/>
                  </w:pPr>
                  <w:r>
                    <w:rPr>
                      <w:sz w:val="21"/>
                    </w:rPr>
                    <w:t>10</w:t>
                  </w:r>
                </w:p>
              </w:tc>
              <w:tc>
                <w:tcPr>
                  <w:tcW w:type="dxa" w:w="635"/>
                  <w:vMerge/>
                  <w:tcBorders>
                    <w:top w:val="none" w:color="000000" w:sz="4"/>
                    <w:left w:val="none" w:color="000000" w:sz="4"/>
                    <w:bottom w:val="single" w:color="000000" w:sz="4"/>
                    <w:right w:val="single" w:color="000000" w:sz="4"/>
                  </w:tcBorders>
                </w:tcPr>
                <w:p/>
              </w:tc>
              <w:tc>
                <w:tcPr>
                  <w:tcW w:type="dxa" w:w="462"/>
                  <w:tcBorders>
                    <w:top w:val="none" w:color="000000" w:sz="4"/>
                    <w:left w:val="none" w:color="000000" w:sz="4"/>
                    <w:bottom w:val="single" w:color="000000" w:sz="4"/>
                    <w:right w:val="single" w:color="000000" w:sz="4"/>
                  </w:tcBorders>
                </w:tcPr>
                <w:p>
                  <w:pPr>
                    <w:jc w:val="center"/>
                  </w:pPr>
                  <w:r>
                    <w:rPr>
                      <w:b/>
                      <w:sz w:val="21"/>
                    </w:rPr>
                    <w:t>移动端服务运维</w:t>
                  </w:r>
                </w:p>
              </w:tc>
              <w:tc>
                <w:tcPr>
                  <w:tcW w:type="dxa" w:w="2714"/>
                  <w:tcBorders>
                    <w:top w:val="none" w:color="000000" w:sz="4"/>
                    <w:left w:val="none" w:color="000000" w:sz="4"/>
                    <w:bottom w:val="single" w:color="000000" w:sz="4"/>
                    <w:right w:val="single" w:color="000000" w:sz="4"/>
                  </w:tcBorders>
                </w:tcPr>
                <w:p>
                  <w:pPr>
                    <w:jc w:val="left"/>
                  </w:pPr>
                  <w:r>
                    <w:rPr>
                      <w:sz w:val="21"/>
                    </w:rPr>
                    <w:t>保障中山看地云、中山自然资源局电子业务账本、中山移动一张图APP等小程序和APP的正常、安全运行。修复APP安全漏洞。根据用户需求进行网络架构优化调整。</w:t>
                  </w:r>
                </w:p>
              </w:tc>
              <w:tc>
                <w:tcPr>
                  <w:tcW w:type="dxa" w:w="866"/>
                  <w:tcBorders>
                    <w:top w:val="none" w:color="000000" w:sz="4"/>
                    <w:left w:val="none" w:color="000000" w:sz="4"/>
                    <w:bottom w:val="single" w:color="000000" w:sz="4"/>
                    <w:right w:val="single" w:color="000000" w:sz="4"/>
                  </w:tcBorders>
                </w:tcPr>
                <w:p>
                  <w:pPr>
                    <w:jc w:val="center"/>
                  </w:pPr>
                  <w:r>
                    <w:rPr>
                      <w:sz w:val="21"/>
                    </w:rPr>
                    <w:t>延续性运维</w:t>
                  </w:r>
                </w:p>
              </w:tc>
              <w:tc>
                <w:tcPr>
                  <w:tcW w:type="dxa" w:w="520"/>
                  <w:tcBorders>
                    <w:top w:val="none" w:color="000000" w:sz="4"/>
                    <w:left w:val="none" w:color="000000" w:sz="4"/>
                    <w:bottom w:val="single" w:color="000000" w:sz="4"/>
                    <w:right w:val="single" w:color="000000" w:sz="4"/>
                  </w:tcBorders>
                </w:tcPr>
                <w:p>
                  <w:pPr>
                    <w:jc w:val="center"/>
                  </w:pPr>
                </w:p>
              </w:tc>
            </w:tr>
            <w:tr>
              <w:tc>
                <w:tcPr>
                  <w:tcW w:type="dxa" w:w="346"/>
                  <w:tcBorders>
                    <w:top w:val="none" w:color="000000" w:sz="4"/>
                    <w:left w:val="single" w:color="000000" w:sz="4"/>
                    <w:bottom w:val="single" w:color="000000" w:sz="4"/>
                    <w:right w:val="single" w:color="000000" w:sz="4"/>
                  </w:tcBorders>
                </w:tcPr>
                <w:p>
                  <w:pPr>
                    <w:jc w:val="center"/>
                  </w:pPr>
                  <w:r>
                    <w:rPr>
                      <w:sz w:val="21"/>
                    </w:rPr>
                    <w:t>11</w:t>
                  </w:r>
                </w:p>
              </w:tc>
              <w:tc>
                <w:tcPr>
                  <w:tcW w:type="dxa" w:w="635"/>
                  <w:vMerge/>
                  <w:tcBorders>
                    <w:top w:val="none" w:color="000000" w:sz="4"/>
                    <w:left w:val="none" w:color="000000" w:sz="4"/>
                    <w:bottom w:val="single" w:color="000000" w:sz="4"/>
                    <w:right w:val="single" w:color="000000" w:sz="4"/>
                  </w:tcBorders>
                </w:tcPr>
                <w:p/>
              </w:tc>
              <w:tc>
                <w:tcPr>
                  <w:tcW w:type="dxa" w:w="462"/>
                  <w:tcBorders>
                    <w:top w:val="none" w:color="000000" w:sz="4"/>
                    <w:left w:val="none" w:color="000000" w:sz="4"/>
                    <w:bottom w:val="single" w:color="000000" w:sz="4"/>
                    <w:right w:val="single" w:color="000000" w:sz="4"/>
                  </w:tcBorders>
                </w:tcPr>
                <w:p>
                  <w:pPr>
                    <w:jc w:val="center"/>
                  </w:pPr>
                  <w:r>
                    <w:rPr>
                      <w:b/>
                      <w:sz w:val="21"/>
                    </w:rPr>
                    <w:t>国土空间基础信息平台优化升级</w:t>
                  </w:r>
                </w:p>
              </w:tc>
              <w:tc>
                <w:tcPr>
                  <w:tcW w:type="dxa" w:w="2714"/>
                  <w:tcBorders>
                    <w:top w:val="none" w:color="000000" w:sz="4"/>
                    <w:left w:val="none" w:color="000000" w:sz="4"/>
                    <w:bottom w:val="single" w:color="000000" w:sz="4"/>
                    <w:right w:val="single" w:color="000000" w:sz="4"/>
                  </w:tcBorders>
                </w:tcPr>
                <w:p>
                  <w:pPr>
                    <w:jc w:val="left"/>
                  </w:pPr>
                  <w:r>
                    <w:rPr>
                      <w:sz w:val="21"/>
                    </w:rPr>
                    <w:t>包括依据用户反馈，对现有三维方案审查功能、审批助手、三维基础等功能进行优化运维，也包括依据科室需求增加空间分析项目、调整界面布局、图层资源管理、属性查询、分屏加载、图层修改、条件查询等优化升级工作。</w:t>
                  </w:r>
                </w:p>
              </w:tc>
              <w:tc>
                <w:tcPr>
                  <w:tcW w:type="dxa" w:w="866"/>
                  <w:tcBorders>
                    <w:top w:val="none" w:color="000000" w:sz="4"/>
                    <w:left w:val="none" w:color="000000" w:sz="4"/>
                    <w:bottom w:val="single" w:color="000000" w:sz="4"/>
                    <w:right w:val="single" w:color="000000" w:sz="4"/>
                  </w:tcBorders>
                </w:tcPr>
                <w:p>
                  <w:pPr>
                    <w:jc w:val="center"/>
                  </w:pPr>
                  <w:r>
                    <w:rPr>
                      <w:sz w:val="21"/>
                    </w:rPr>
                    <w:t>延续性运维</w:t>
                  </w:r>
                </w:p>
              </w:tc>
              <w:tc>
                <w:tcPr>
                  <w:tcW w:type="dxa" w:w="520"/>
                  <w:tcBorders>
                    <w:top w:val="none" w:color="000000" w:sz="4"/>
                    <w:left w:val="none" w:color="000000" w:sz="4"/>
                    <w:bottom w:val="single" w:color="000000" w:sz="4"/>
                    <w:right w:val="single" w:color="000000" w:sz="4"/>
                  </w:tcBorders>
                </w:tcPr>
                <w:p>
                  <w:pPr>
                    <w:jc w:val="center"/>
                  </w:pPr>
                  <w:r>
                    <w:rPr>
                      <w:sz w:val="21"/>
                    </w:rPr>
                    <w:t>　</w:t>
                  </w:r>
                </w:p>
              </w:tc>
            </w:tr>
            <w:tr>
              <w:tc>
                <w:tcPr>
                  <w:tcW w:type="dxa" w:w="346"/>
                  <w:tcBorders>
                    <w:top w:val="none" w:color="000000" w:sz="4"/>
                    <w:left w:val="single" w:color="000000" w:sz="4"/>
                    <w:bottom w:val="single" w:color="000000" w:sz="4"/>
                    <w:right w:val="single" w:color="000000" w:sz="4"/>
                  </w:tcBorders>
                </w:tcPr>
                <w:p>
                  <w:pPr>
                    <w:jc w:val="center"/>
                  </w:pPr>
                  <w:r>
                    <w:rPr>
                      <w:sz w:val="21"/>
                    </w:rPr>
                    <w:t>12</w:t>
                  </w:r>
                </w:p>
              </w:tc>
              <w:tc>
                <w:tcPr>
                  <w:tcW w:type="dxa" w:w="635"/>
                  <w:vMerge/>
                  <w:tcBorders>
                    <w:top w:val="none" w:color="000000" w:sz="4"/>
                    <w:left w:val="none" w:color="000000" w:sz="4"/>
                    <w:bottom w:val="single" w:color="000000" w:sz="4"/>
                    <w:right w:val="single" w:color="000000" w:sz="4"/>
                  </w:tcBorders>
                </w:tcPr>
                <w:p/>
              </w:tc>
              <w:tc>
                <w:tcPr>
                  <w:tcW w:type="dxa" w:w="462"/>
                  <w:tcBorders>
                    <w:top w:val="none" w:color="000000" w:sz="4"/>
                    <w:left w:val="none" w:color="000000" w:sz="4"/>
                    <w:bottom w:val="single" w:color="000000" w:sz="4"/>
                    <w:right w:val="single" w:color="000000" w:sz="4"/>
                  </w:tcBorders>
                </w:tcPr>
                <w:p>
                  <w:pPr>
                    <w:jc w:val="center"/>
                  </w:pPr>
                  <w:r>
                    <w:rPr>
                      <w:b/>
                      <w:sz w:val="21"/>
                    </w:rPr>
                    <w:t>增加生态补偿资金计算功能</w:t>
                  </w:r>
                </w:p>
              </w:tc>
              <w:tc>
                <w:tcPr>
                  <w:tcW w:type="dxa" w:w="2714"/>
                  <w:tcBorders>
                    <w:top w:val="none" w:color="000000" w:sz="4"/>
                    <w:left w:val="none" w:color="000000" w:sz="4"/>
                    <w:bottom w:val="single" w:color="000000" w:sz="4"/>
                    <w:right w:val="single" w:color="000000" w:sz="4"/>
                  </w:tcBorders>
                </w:tcPr>
                <w:p>
                  <w:pPr>
                    <w:jc w:val="left"/>
                  </w:pPr>
                  <w:r>
                    <w:rPr>
                      <w:sz w:val="21"/>
                    </w:rPr>
                    <w:t>根据每年度全市生态补偿资金筹集与分配需求，实现全市生态补偿资金数据的录入和计算。</w:t>
                  </w:r>
                </w:p>
              </w:tc>
              <w:tc>
                <w:tcPr>
                  <w:tcW w:type="dxa" w:w="866"/>
                  <w:tcBorders>
                    <w:top w:val="none" w:color="000000" w:sz="4"/>
                    <w:left w:val="none" w:color="000000" w:sz="4"/>
                    <w:bottom w:val="single" w:color="000000" w:sz="4"/>
                    <w:right w:val="single" w:color="000000" w:sz="4"/>
                  </w:tcBorders>
                </w:tcPr>
                <w:p>
                  <w:pPr>
                    <w:jc w:val="center"/>
                  </w:pPr>
                  <w:r>
                    <w:rPr>
                      <w:sz w:val="21"/>
                    </w:rPr>
                    <w:t>新增运维</w:t>
                  </w:r>
                </w:p>
              </w:tc>
              <w:tc>
                <w:tcPr>
                  <w:tcW w:type="dxa" w:w="520"/>
                  <w:tcBorders>
                    <w:top w:val="none" w:color="000000" w:sz="4"/>
                    <w:left w:val="none" w:color="000000" w:sz="4"/>
                    <w:bottom w:val="single" w:color="000000" w:sz="4"/>
                    <w:right w:val="single" w:color="000000" w:sz="4"/>
                  </w:tcBorders>
                </w:tcPr>
                <w:p>
                  <w:pPr>
                    <w:jc w:val="center"/>
                  </w:pPr>
                </w:p>
              </w:tc>
            </w:tr>
            <w:tr>
              <w:tc>
                <w:tcPr>
                  <w:tcW w:type="dxa" w:w="346"/>
                  <w:tcBorders>
                    <w:top w:val="none" w:color="000000" w:sz="4"/>
                    <w:left w:val="single" w:color="000000" w:sz="4"/>
                    <w:bottom w:val="single" w:color="000000" w:sz="4"/>
                    <w:right w:val="single" w:color="000000" w:sz="4"/>
                  </w:tcBorders>
                </w:tcPr>
                <w:p>
                  <w:pPr>
                    <w:jc w:val="center"/>
                  </w:pPr>
                  <w:r>
                    <w:rPr>
                      <w:sz w:val="21"/>
                    </w:rPr>
                    <w:t>13</w:t>
                  </w:r>
                </w:p>
              </w:tc>
              <w:tc>
                <w:tcPr>
                  <w:tcW w:type="dxa" w:w="635"/>
                  <w:vMerge/>
                  <w:tcBorders>
                    <w:top w:val="none" w:color="000000" w:sz="4"/>
                    <w:left w:val="none" w:color="000000" w:sz="4"/>
                    <w:bottom w:val="single" w:color="000000" w:sz="4"/>
                    <w:right w:val="single" w:color="000000" w:sz="4"/>
                  </w:tcBorders>
                </w:tcPr>
                <w:p/>
              </w:tc>
              <w:tc>
                <w:tcPr>
                  <w:tcW w:type="dxa" w:w="462"/>
                  <w:tcBorders>
                    <w:top w:val="none" w:color="000000" w:sz="4"/>
                    <w:left w:val="none" w:color="000000" w:sz="4"/>
                    <w:bottom w:val="single" w:color="000000" w:sz="4"/>
                    <w:right w:val="single" w:color="000000" w:sz="4"/>
                  </w:tcBorders>
                </w:tcPr>
                <w:p>
                  <w:pPr>
                    <w:jc w:val="center"/>
                  </w:pPr>
                  <w:r>
                    <w:rPr>
                      <w:b/>
                      <w:sz w:val="21"/>
                    </w:rPr>
                    <w:t>林业相关数据展示</w:t>
                  </w:r>
                </w:p>
              </w:tc>
              <w:tc>
                <w:tcPr>
                  <w:tcW w:type="dxa" w:w="2714"/>
                  <w:tcBorders>
                    <w:top w:val="none" w:color="000000" w:sz="4"/>
                    <w:left w:val="none" w:color="000000" w:sz="4"/>
                    <w:bottom w:val="single" w:color="000000" w:sz="4"/>
                    <w:right w:val="single" w:color="000000" w:sz="4"/>
                  </w:tcBorders>
                </w:tcPr>
                <w:p>
                  <w:pPr>
                    <w:jc w:val="left"/>
                  </w:pPr>
                  <w:r>
                    <w:rPr>
                      <w:sz w:val="21"/>
                    </w:rPr>
                    <w:t>1.</w:t>
                  </w:r>
                  <w:r>
                    <w:rPr>
                      <w:sz w:val="21"/>
                    </w:rPr>
                    <w:t>林业数据展示模块的更新和完善</w:t>
                  </w:r>
                </w:p>
                <w:p>
                  <w:pPr>
                    <w:jc w:val="left"/>
                  </w:pPr>
                  <w:r>
                    <w:rPr>
                      <w:sz w:val="21"/>
                    </w:rPr>
                    <w:t>2.</w:t>
                  </w:r>
                  <w:r>
                    <w:rPr>
                      <w:sz w:val="21"/>
                    </w:rPr>
                    <w:t>林业有关数据的空间分析报告</w:t>
                  </w:r>
                </w:p>
                <w:p>
                  <w:pPr>
                    <w:jc w:val="left"/>
                  </w:pPr>
                  <w:r>
                    <w:rPr>
                      <w:sz w:val="21"/>
                    </w:rPr>
                    <w:t>3.</w:t>
                  </w:r>
                  <w:r>
                    <w:rPr>
                      <w:sz w:val="21"/>
                    </w:rPr>
                    <w:t>电子业务账本中增加绿美中山数据板块</w:t>
                  </w:r>
                </w:p>
              </w:tc>
              <w:tc>
                <w:tcPr>
                  <w:tcW w:type="dxa" w:w="866"/>
                  <w:tcBorders>
                    <w:top w:val="none" w:color="000000" w:sz="4"/>
                    <w:left w:val="none" w:color="000000" w:sz="4"/>
                    <w:bottom w:val="single" w:color="000000" w:sz="4"/>
                    <w:right w:val="single" w:color="000000" w:sz="4"/>
                  </w:tcBorders>
                </w:tcPr>
                <w:p>
                  <w:pPr>
                    <w:jc w:val="center"/>
                  </w:pPr>
                  <w:r>
                    <w:rPr>
                      <w:sz w:val="21"/>
                    </w:rPr>
                    <w:t>新增运维</w:t>
                  </w:r>
                </w:p>
              </w:tc>
              <w:tc>
                <w:tcPr>
                  <w:tcW w:type="dxa" w:w="520"/>
                  <w:tcBorders>
                    <w:top w:val="none" w:color="000000" w:sz="4"/>
                    <w:left w:val="none" w:color="000000" w:sz="4"/>
                    <w:bottom w:val="single" w:color="000000" w:sz="4"/>
                    <w:right w:val="single" w:color="000000" w:sz="4"/>
                  </w:tcBorders>
                </w:tcPr>
                <w:p>
                  <w:pPr>
                    <w:jc w:val="center"/>
                  </w:pPr>
                </w:p>
              </w:tc>
            </w:tr>
            <w:tr>
              <w:tc>
                <w:tcPr>
                  <w:tcW w:type="dxa" w:w="346"/>
                  <w:tcBorders>
                    <w:top w:val="none" w:color="000000" w:sz="4"/>
                    <w:left w:val="single" w:color="000000" w:sz="4"/>
                    <w:bottom w:val="single" w:color="000000" w:sz="4"/>
                    <w:right w:val="single" w:color="000000" w:sz="4"/>
                  </w:tcBorders>
                </w:tcPr>
                <w:p>
                  <w:pPr>
                    <w:jc w:val="center"/>
                  </w:pPr>
                  <w:r>
                    <w:rPr>
                      <w:sz w:val="21"/>
                    </w:rPr>
                    <w:t>14</w:t>
                  </w:r>
                </w:p>
              </w:tc>
              <w:tc>
                <w:tcPr>
                  <w:tcW w:type="dxa" w:w="635"/>
                  <w:vMerge/>
                  <w:tcBorders>
                    <w:top w:val="none" w:color="000000" w:sz="4"/>
                    <w:left w:val="none" w:color="000000" w:sz="4"/>
                    <w:bottom w:val="single" w:color="000000" w:sz="4"/>
                    <w:right w:val="single" w:color="000000" w:sz="4"/>
                  </w:tcBorders>
                </w:tcPr>
                <w:p/>
              </w:tc>
              <w:tc>
                <w:tcPr>
                  <w:tcW w:type="dxa" w:w="462"/>
                  <w:tcBorders>
                    <w:top w:val="none" w:color="000000" w:sz="4"/>
                    <w:left w:val="none" w:color="000000" w:sz="4"/>
                    <w:bottom w:val="single" w:color="000000" w:sz="4"/>
                    <w:right w:val="single" w:color="000000" w:sz="4"/>
                  </w:tcBorders>
                </w:tcPr>
                <w:p>
                  <w:pPr>
                    <w:jc w:val="center"/>
                  </w:pPr>
                  <w:r>
                    <w:rPr>
                      <w:b/>
                      <w:sz w:val="21"/>
                    </w:rPr>
                    <w:t>地类核查及空间分析相关功能改进</w:t>
                  </w:r>
                </w:p>
              </w:tc>
              <w:tc>
                <w:tcPr>
                  <w:tcW w:type="dxa" w:w="2714"/>
                  <w:tcBorders>
                    <w:top w:val="none" w:color="000000" w:sz="4"/>
                    <w:left w:val="none" w:color="000000" w:sz="4"/>
                    <w:bottom w:val="single" w:color="000000" w:sz="4"/>
                    <w:right w:val="single" w:color="000000" w:sz="4"/>
                  </w:tcBorders>
                </w:tcPr>
                <w:p>
                  <w:pPr>
                    <w:jc w:val="left"/>
                  </w:pPr>
                  <w:r>
                    <w:rPr>
                      <w:sz w:val="21"/>
                    </w:rPr>
                    <w:t>1.</w:t>
                  </w:r>
                  <w:r>
                    <w:rPr>
                      <w:sz w:val="21"/>
                    </w:rPr>
                    <w:t>地类核查总面积及分项面积需要平差</w:t>
                  </w:r>
                </w:p>
                <w:p>
                  <w:pPr>
                    <w:jc w:val="left"/>
                  </w:pPr>
                  <w:r>
                    <w:rPr>
                      <w:sz w:val="21"/>
                    </w:rPr>
                    <w:t>2.</w:t>
                  </w:r>
                  <w:r>
                    <w:rPr>
                      <w:sz w:val="21"/>
                    </w:rPr>
                    <w:t>地类核查实现追溯，具体要求如下：图层序列[T1,T2,T3,…，Tn]依次追溯；追溯目标地类字段为DLBM和FX-DLBM可选。追溯行为描述：从T1图层中找用地范围内符合目标地类集合的图斑，向T2图层追溯，以此类推…。结束条件：Ti图层中无目标地类集合，或已经追到Tn图层。</w:t>
                  </w:r>
                </w:p>
                <w:p>
                  <w:pPr>
                    <w:jc w:val="left"/>
                  </w:pPr>
                  <w:r>
                    <w:rPr>
                      <w:sz w:val="21"/>
                    </w:rPr>
                    <w:t>3.</w:t>
                  </w:r>
                  <w:r>
                    <w:rPr>
                      <w:sz w:val="21"/>
                    </w:rPr>
                    <w:t>根据是否“分析地类”分别显示“地类编码”、“地类名称”或“分析地类编码”、“分析地类名称”</w:t>
                  </w:r>
                </w:p>
                <w:p>
                  <w:pPr>
                    <w:jc w:val="left"/>
                  </w:pPr>
                  <w:r>
                    <w:rPr>
                      <w:sz w:val="21"/>
                    </w:rPr>
                    <w:t>4.</w:t>
                  </w:r>
                  <w:r>
                    <w:rPr>
                      <w:sz w:val="21"/>
                    </w:rPr>
                    <w:t>以A图层中N个图斑（N≥1）为范围，对B图层进行空间分析（例如：核地类、核规划、核权属、核批文等）</w:t>
                  </w:r>
                </w:p>
              </w:tc>
              <w:tc>
                <w:tcPr>
                  <w:tcW w:type="dxa" w:w="866"/>
                  <w:tcBorders>
                    <w:top w:val="none" w:color="000000" w:sz="4"/>
                    <w:left w:val="none" w:color="000000" w:sz="4"/>
                    <w:bottom w:val="single" w:color="000000" w:sz="4"/>
                    <w:right w:val="single" w:color="000000" w:sz="4"/>
                  </w:tcBorders>
                </w:tcPr>
                <w:p>
                  <w:pPr>
                    <w:jc w:val="center"/>
                  </w:pPr>
                  <w:r>
                    <w:rPr>
                      <w:sz w:val="21"/>
                    </w:rPr>
                    <w:t>新增运维</w:t>
                  </w:r>
                </w:p>
              </w:tc>
              <w:tc>
                <w:tcPr>
                  <w:tcW w:type="dxa" w:w="520"/>
                  <w:tcBorders>
                    <w:top w:val="none" w:color="000000" w:sz="4"/>
                    <w:left w:val="none" w:color="000000" w:sz="4"/>
                    <w:bottom w:val="single" w:color="000000" w:sz="4"/>
                    <w:right w:val="single" w:color="000000" w:sz="4"/>
                  </w:tcBorders>
                </w:tcPr>
                <w:p>
                  <w:pPr>
                    <w:jc w:val="center"/>
                  </w:pPr>
                </w:p>
              </w:tc>
            </w:tr>
            <w:tr>
              <w:tc>
                <w:tcPr>
                  <w:tcW w:type="dxa" w:w="346"/>
                  <w:tcBorders>
                    <w:top w:val="none" w:color="000000" w:sz="4"/>
                    <w:left w:val="single" w:color="000000" w:sz="4"/>
                    <w:bottom w:val="single" w:color="000000" w:sz="4"/>
                    <w:right w:val="single" w:color="000000" w:sz="4"/>
                  </w:tcBorders>
                </w:tcPr>
                <w:p>
                  <w:pPr>
                    <w:jc w:val="center"/>
                  </w:pPr>
                  <w:r>
                    <w:rPr>
                      <w:sz w:val="21"/>
                    </w:rPr>
                    <w:t>15</w:t>
                  </w:r>
                </w:p>
              </w:tc>
              <w:tc>
                <w:tcPr>
                  <w:tcW w:type="dxa" w:w="635"/>
                  <w:vMerge/>
                  <w:tcBorders>
                    <w:top w:val="none" w:color="000000" w:sz="4"/>
                    <w:left w:val="none" w:color="000000" w:sz="4"/>
                    <w:bottom w:val="single" w:color="000000" w:sz="4"/>
                    <w:right w:val="single" w:color="000000" w:sz="4"/>
                  </w:tcBorders>
                </w:tcPr>
                <w:p/>
              </w:tc>
              <w:tc>
                <w:tcPr>
                  <w:tcW w:type="dxa" w:w="462"/>
                  <w:tcBorders>
                    <w:top w:val="none" w:color="000000" w:sz="4"/>
                    <w:left w:val="none" w:color="000000" w:sz="4"/>
                    <w:bottom w:val="single" w:color="000000" w:sz="4"/>
                    <w:right w:val="single" w:color="000000" w:sz="4"/>
                  </w:tcBorders>
                </w:tcPr>
                <w:p>
                  <w:pPr>
                    <w:jc w:val="center"/>
                  </w:pPr>
                  <w:r>
                    <w:rPr>
                      <w:b/>
                      <w:sz w:val="21"/>
                    </w:rPr>
                    <w:t>增加违法图斑相关功能</w:t>
                  </w:r>
                </w:p>
              </w:tc>
              <w:tc>
                <w:tcPr>
                  <w:tcW w:type="dxa" w:w="2714"/>
                  <w:tcBorders>
                    <w:top w:val="none" w:color="000000" w:sz="4"/>
                    <w:left w:val="none" w:color="000000" w:sz="4"/>
                    <w:bottom w:val="single" w:color="000000" w:sz="4"/>
                    <w:right w:val="single" w:color="000000" w:sz="4"/>
                  </w:tcBorders>
                </w:tcPr>
                <w:p>
                  <w:pPr>
                    <w:jc w:val="left"/>
                  </w:pPr>
                  <w:r>
                    <w:rPr>
                      <w:sz w:val="21"/>
                    </w:rPr>
                    <w:t>1</w:t>
                  </w:r>
                  <w:r>
                    <w:rPr>
                      <w:sz w:val="21"/>
                    </w:rPr>
                    <w:t>、增加建立违法图斑数据库，建立违法图层数据标准。</w:t>
                  </w:r>
                </w:p>
                <w:p>
                  <w:pPr>
                    <w:jc w:val="left"/>
                  </w:pPr>
                  <w:r>
                    <w:rPr>
                      <w:sz w:val="21"/>
                    </w:rPr>
                    <w:t>2</w:t>
                  </w:r>
                  <w:r>
                    <w:rPr>
                      <w:sz w:val="21"/>
                    </w:rPr>
                    <w:t>、新增开发图斑套合图生成功能，实现合法图斑的套合图生成和输出。</w:t>
                  </w:r>
                </w:p>
                <w:p>
                  <w:pPr>
                    <w:jc w:val="left"/>
                  </w:pPr>
                  <w:r>
                    <w:rPr>
                      <w:sz w:val="21"/>
                    </w:rPr>
                    <w:t>3</w:t>
                  </w:r>
                  <w:r>
                    <w:rPr>
                      <w:sz w:val="21"/>
                    </w:rPr>
                    <w:t>、新增违法图斑数据的查询检索、统计、分析功能，便于各部门进行数据共享，实时掌握违法用地的图斑状态。</w:t>
                  </w:r>
                </w:p>
              </w:tc>
              <w:tc>
                <w:tcPr>
                  <w:tcW w:type="dxa" w:w="866"/>
                  <w:tcBorders>
                    <w:top w:val="none" w:color="000000" w:sz="4"/>
                    <w:left w:val="none" w:color="000000" w:sz="4"/>
                    <w:bottom w:val="single" w:color="000000" w:sz="4"/>
                    <w:right w:val="single" w:color="000000" w:sz="4"/>
                  </w:tcBorders>
                </w:tcPr>
                <w:p>
                  <w:pPr>
                    <w:jc w:val="center"/>
                  </w:pPr>
                  <w:r>
                    <w:rPr>
                      <w:sz w:val="21"/>
                    </w:rPr>
                    <w:t>新增运维</w:t>
                  </w:r>
                </w:p>
              </w:tc>
              <w:tc>
                <w:tcPr>
                  <w:tcW w:type="dxa" w:w="520"/>
                  <w:tcBorders>
                    <w:top w:val="none" w:color="000000" w:sz="4"/>
                    <w:left w:val="none" w:color="000000" w:sz="4"/>
                    <w:bottom w:val="single" w:color="000000" w:sz="4"/>
                    <w:right w:val="single" w:color="000000" w:sz="4"/>
                  </w:tcBorders>
                </w:tcPr>
                <w:p>
                  <w:pPr>
                    <w:jc w:val="center"/>
                  </w:pPr>
                </w:p>
              </w:tc>
            </w:tr>
            <w:tr>
              <w:tc>
                <w:tcPr>
                  <w:tcW w:type="dxa" w:w="346"/>
                  <w:tcBorders>
                    <w:top w:val="none" w:color="000000" w:sz="4"/>
                    <w:left w:val="single" w:color="000000" w:sz="4"/>
                    <w:bottom w:val="single" w:color="000000" w:sz="4"/>
                    <w:right w:val="single" w:color="000000" w:sz="4"/>
                  </w:tcBorders>
                </w:tcPr>
                <w:p>
                  <w:pPr>
                    <w:jc w:val="center"/>
                  </w:pPr>
                  <w:r>
                    <w:rPr>
                      <w:sz w:val="21"/>
                    </w:rPr>
                    <w:t>16</w:t>
                  </w:r>
                </w:p>
              </w:tc>
              <w:tc>
                <w:tcPr>
                  <w:tcW w:type="dxa" w:w="635"/>
                  <w:vMerge/>
                  <w:tcBorders>
                    <w:top w:val="none" w:color="000000" w:sz="4"/>
                    <w:left w:val="none" w:color="000000" w:sz="4"/>
                    <w:bottom w:val="single" w:color="000000" w:sz="4"/>
                    <w:right w:val="single" w:color="000000" w:sz="4"/>
                  </w:tcBorders>
                </w:tcPr>
                <w:p/>
              </w:tc>
              <w:tc>
                <w:tcPr>
                  <w:tcW w:type="dxa" w:w="462"/>
                  <w:tcBorders>
                    <w:top w:val="none" w:color="000000" w:sz="4"/>
                    <w:left w:val="none" w:color="000000" w:sz="4"/>
                    <w:bottom w:val="single" w:color="000000" w:sz="4"/>
                    <w:right w:val="single" w:color="000000" w:sz="4"/>
                  </w:tcBorders>
                </w:tcPr>
                <w:p>
                  <w:pPr>
                    <w:jc w:val="center"/>
                  </w:pPr>
                  <w:r>
                    <w:rPr>
                      <w:b/>
                      <w:sz w:val="21"/>
                    </w:rPr>
                    <w:t>增加dwg转shp文件功能</w:t>
                  </w:r>
                </w:p>
              </w:tc>
              <w:tc>
                <w:tcPr>
                  <w:tcW w:type="dxa" w:w="2714"/>
                  <w:tcBorders>
                    <w:top w:val="none" w:color="000000" w:sz="4"/>
                    <w:left w:val="none" w:color="000000" w:sz="4"/>
                    <w:bottom w:val="single" w:color="000000" w:sz="4"/>
                    <w:right w:val="single" w:color="000000" w:sz="4"/>
                  </w:tcBorders>
                </w:tcPr>
                <w:p>
                  <w:pPr>
                    <w:jc w:val="left"/>
                  </w:pPr>
                  <w:r>
                    <w:rPr>
                      <w:sz w:val="21"/>
                    </w:rPr>
                    <w:t>系统增加功能：用户导入dwg文件后，系统按照约定规则转换输出为shp文件。</w:t>
                  </w:r>
                </w:p>
              </w:tc>
              <w:tc>
                <w:tcPr>
                  <w:tcW w:type="dxa" w:w="866"/>
                  <w:tcBorders>
                    <w:top w:val="none" w:color="000000" w:sz="4"/>
                    <w:left w:val="none" w:color="000000" w:sz="4"/>
                    <w:bottom w:val="single" w:color="000000" w:sz="4"/>
                    <w:right w:val="single" w:color="000000" w:sz="4"/>
                  </w:tcBorders>
                </w:tcPr>
                <w:p>
                  <w:pPr>
                    <w:jc w:val="center"/>
                  </w:pPr>
                  <w:r>
                    <w:rPr>
                      <w:sz w:val="21"/>
                    </w:rPr>
                    <w:t>新增运维</w:t>
                  </w:r>
                </w:p>
              </w:tc>
              <w:tc>
                <w:tcPr>
                  <w:tcW w:type="dxa" w:w="520"/>
                  <w:tcBorders>
                    <w:top w:val="none" w:color="000000" w:sz="4"/>
                    <w:left w:val="none" w:color="000000" w:sz="4"/>
                    <w:bottom w:val="single" w:color="000000" w:sz="4"/>
                    <w:right w:val="single" w:color="000000" w:sz="4"/>
                  </w:tcBorders>
                </w:tcPr>
                <w:p>
                  <w:pPr>
                    <w:jc w:val="center"/>
                  </w:pPr>
                </w:p>
              </w:tc>
            </w:tr>
            <w:tr>
              <w:tc>
                <w:tcPr>
                  <w:tcW w:type="dxa" w:w="346"/>
                  <w:tcBorders>
                    <w:top w:val="none" w:color="000000" w:sz="4"/>
                    <w:left w:val="single" w:color="000000" w:sz="4"/>
                    <w:bottom w:val="single" w:color="000000" w:sz="4"/>
                    <w:right w:val="single" w:color="000000" w:sz="4"/>
                  </w:tcBorders>
                </w:tcPr>
                <w:p>
                  <w:pPr>
                    <w:jc w:val="center"/>
                  </w:pPr>
                  <w:r>
                    <w:rPr>
                      <w:sz w:val="21"/>
                    </w:rPr>
                    <w:t>17</w:t>
                  </w:r>
                </w:p>
              </w:tc>
              <w:tc>
                <w:tcPr>
                  <w:tcW w:type="dxa" w:w="635"/>
                  <w:vMerge/>
                  <w:tcBorders>
                    <w:top w:val="none" w:color="000000" w:sz="4"/>
                    <w:left w:val="none" w:color="000000" w:sz="4"/>
                    <w:bottom w:val="single" w:color="000000" w:sz="4"/>
                    <w:right w:val="single" w:color="000000" w:sz="4"/>
                  </w:tcBorders>
                </w:tcPr>
                <w:p/>
              </w:tc>
              <w:tc>
                <w:tcPr>
                  <w:tcW w:type="dxa" w:w="462"/>
                  <w:tcBorders>
                    <w:top w:val="none" w:color="000000" w:sz="4"/>
                    <w:left w:val="none" w:color="000000" w:sz="4"/>
                    <w:bottom w:val="single" w:color="000000" w:sz="4"/>
                    <w:right w:val="single" w:color="000000" w:sz="4"/>
                  </w:tcBorders>
                </w:tcPr>
                <w:p>
                  <w:pPr>
                    <w:jc w:val="center"/>
                  </w:pPr>
                  <w:r>
                    <w:rPr>
                      <w:b/>
                      <w:sz w:val="21"/>
                    </w:rPr>
                    <w:t>配合IPv6改造工作进行系统优化调整</w:t>
                  </w:r>
                </w:p>
              </w:tc>
              <w:tc>
                <w:tcPr>
                  <w:tcW w:type="dxa" w:w="2714"/>
                  <w:tcBorders>
                    <w:top w:val="none" w:color="000000" w:sz="4"/>
                    <w:left w:val="none" w:color="000000" w:sz="4"/>
                    <w:bottom w:val="single" w:color="000000" w:sz="4"/>
                    <w:right w:val="single" w:color="000000" w:sz="4"/>
                  </w:tcBorders>
                </w:tcPr>
                <w:p>
                  <w:pPr>
                    <w:jc w:val="left"/>
                  </w:pPr>
                  <w:r>
                    <w:rPr>
                      <w:sz w:val="21"/>
                    </w:rPr>
                    <w:t>按照政数局文件要求，云平台上的政务信息化系统应当具备支持IPv4/IPv6双栈能力，已在政务云平台完成部署的业务系统要即时启动改造。为保证系统同时支持IPV6和IPV4的网络地址访问，在中山市云平台及各委办局网络改造工作完成后，配合IPv6改造工作对系统进行测试和优化调整，使系统支持IPv6的软件，支持端到端IPv6的能力，不允许使用IP地址翻译的技术，也能保证系统能够在IPv6环境下正常使用。</w:t>
                  </w:r>
                </w:p>
              </w:tc>
              <w:tc>
                <w:tcPr>
                  <w:tcW w:type="dxa" w:w="866"/>
                  <w:tcBorders>
                    <w:top w:val="none" w:color="000000" w:sz="4"/>
                    <w:left w:val="none" w:color="000000" w:sz="4"/>
                    <w:bottom w:val="single" w:color="000000" w:sz="4"/>
                    <w:right w:val="single" w:color="000000" w:sz="4"/>
                  </w:tcBorders>
                </w:tcPr>
                <w:p>
                  <w:pPr>
                    <w:jc w:val="center"/>
                  </w:pPr>
                  <w:r>
                    <w:rPr>
                      <w:sz w:val="21"/>
                    </w:rPr>
                    <w:t>新增运维</w:t>
                  </w:r>
                </w:p>
              </w:tc>
              <w:tc>
                <w:tcPr>
                  <w:tcW w:type="dxa" w:w="520"/>
                  <w:tcBorders>
                    <w:top w:val="none" w:color="000000" w:sz="4"/>
                    <w:left w:val="none" w:color="000000" w:sz="4"/>
                    <w:bottom w:val="single" w:color="000000" w:sz="4"/>
                    <w:right w:val="single" w:color="000000" w:sz="4"/>
                  </w:tcBorders>
                </w:tcPr>
                <w:p>
                  <w:pPr>
                    <w:jc w:val="center"/>
                  </w:pPr>
                </w:p>
              </w:tc>
            </w:tr>
            <w:tr>
              <w:tc>
                <w:tcPr>
                  <w:tcW w:type="dxa" w:w="346"/>
                  <w:tcBorders>
                    <w:top w:val="none" w:color="000000" w:sz="4"/>
                    <w:left w:val="single" w:color="000000" w:sz="4"/>
                    <w:bottom w:val="single" w:color="000000" w:sz="4"/>
                    <w:right w:val="single" w:color="000000" w:sz="4"/>
                  </w:tcBorders>
                </w:tcPr>
                <w:p>
                  <w:pPr>
                    <w:jc w:val="center"/>
                  </w:pPr>
                  <w:r>
                    <w:rPr>
                      <w:sz w:val="21"/>
                    </w:rPr>
                    <w:t>18</w:t>
                  </w:r>
                </w:p>
              </w:tc>
              <w:tc>
                <w:tcPr>
                  <w:tcW w:type="dxa" w:w="635"/>
                  <w:vMerge/>
                  <w:tcBorders>
                    <w:top w:val="none" w:color="000000" w:sz="4"/>
                    <w:left w:val="none" w:color="000000" w:sz="4"/>
                    <w:bottom w:val="single" w:color="000000" w:sz="4"/>
                    <w:right w:val="single" w:color="000000" w:sz="4"/>
                  </w:tcBorders>
                </w:tcPr>
                <w:p/>
              </w:tc>
              <w:tc>
                <w:tcPr>
                  <w:tcW w:type="dxa" w:w="462"/>
                  <w:tcBorders>
                    <w:top w:val="none" w:color="000000" w:sz="4"/>
                    <w:left w:val="none" w:color="000000" w:sz="4"/>
                    <w:bottom w:val="single" w:color="000000" w:sz="4"/>
                    <w:right w:val="single" w:color="000000" w:sz="4"/>
                  </w:tcBorders>
                </w:tcPr>
                <w:p>
                  <w:pPr>
                    <w:jc w:val="center"/>
                  </w:pPr>
                  <w:r>
                    <w:rPr>
                      <w:b/>
                      <w:sz w:val="21"/>
                    </w:rPr>
                    <w:t>国土空间基础信息平台与广东省统一身份认证平台对接（含政务侧和公众侧）</w:t>
                  </w:r>
                </w:p>
              </w:tc>
              <w:tc>
                <w:tcPr>
                  <w:tcW w:type="dxa" w:w="2714"/>
                  <w:tcBorders>
                    <w:top w:val="none" w:color="000000" w:sz="4"/>
                    <w:left w:val="none" w:color="000000" w:sz="4"/>
                    <w:bottom w:val="single" w:color="000000" w:sz="4"/>
                    <w:right w:val="single" w:color="000000" w:sz="4"/>
                  </w:tcBorders>
                </w:tcPr>
                <w:p>
                  <w:pPr>
                    <w:jc w:val="left"/>
                  </w:pPr>
                  <w:r>
                    <w:rPr>
                      <w:sz w:val="21"/>
                    </w:rPr>
                    <w:t>按照《中山市政务信息化系统安全认证登录工作方案》要求，需要进一步完善中山市政务信息化系统安全认证登录各项业务流程，建立健全系统认证登录体系，优化系统登录方式，全力保障系统登录安全。按照文件要求，国土空间基础信息平台（包括电子业务账本小程序、移动一张图APP）需要与广东省统一身份认证平台对接，具体对接内容包括：登录方式改造、账号管理规范、系统认证改造。</w:t>
                  </w:r>
                </w:p>
              </w:tc>
              <w:tc>
                <w:tcPr>
                  <w:tcW w:type="dxa" w:w="866"/>
                  <w:tcBorders>
                    <w:top w:val="none" w:color="000000" w:sz="4"/>
                    <w:left w:val="none" w:color="000000" w:sz="4"/>
                    <w:bottom w:val="single" w:color="000000" w:sz="4"/>
                    <w:right w:val="single" w:color="000000" w:sz="4"/>
                  </w:tcBorders>
                </w:tcPr>
                <w:p>
                  <w:pPr>
                    <w:jc w:val="center"/>
                  </w:pPr>
                  <w:r>
                    <w:rPr>
                      <w:sz w:val="21"/>
                    </w:rPr>
                    <w:t>新增运维</w:t>
                  </w:r>
                </w:p>
              </w:tc>
              <w:tc>
                <w:tcPr>
                  <w:tcW w:type="dxa" w:w="520"/>
                  <w:tcBorders>
                    <w:top w:val="none" w:color="000000" w:sz="4"/>
                    <w:left w:val="none" w:color="000000" w:sz="4"/>
                    <w:bottom w:val="single" w:color="000000" w:sz="4"/>
                    <w:right w:val="single" w:color="000000" w:sz="4"/>
                  </w:tcBorders>
                </w:tcPr>
                <w:p>
                  <w:pPr>
                    <w:jc w:val="center"/>
                  </w:pPr>
                </w:p>
              </w:tc>
            </w:tr>
            <w:tr>
              <w:tc>
                <w:tcPr>
                  <w:tcW w:type="dxa" w:w="346"/>
                  <w:tcBorders>
                    <w:top w:val="none" w:color="000000" w:sz="4"/>
                    <w:left w:val="single" w:color="000000" w:sz="4"/>
                    <w:bottom w:val="single" w:color="000000" w:sz="4"/>
                    <w:right w:val="single" w:color="000000" w:sz="4"/>
                  </w:tcBorders>
                </w:tcPr>
                <w:p>
                  <w:pPr>
                    <w:jc w:val="center"/>
                  </w:pPr>
                  <w:r>
                    <w:rPr>
                      <w:sz w:val="21"/>
                    </w:rPr>
                    <w:t>19</w:t>
                  </w:r>
                </w:p>
              </w:tc>
              <w:tc>
                <w:tcPr>
                  <w:tcW w:type="dxa" w:w="635"/>
                  <w:vMerge/>
                  <w:tcBorders>
                    <w:top w:val="none" w:color="000000" w:sz="4"/>
                    <w:left w:val="none" w:color="000000" w:sz="4"/>
                    <w:bottom w:val="single" w:color="000000" w:sz="4"/>
                    <w:right w:val="single" w:color="000000" w:sz="4"/>
                  </w:tcBorders>
                </w:tcPr>
                <w:p/>
              </w:tc>
              <w:tc>
                <w:tcPr>
                  <w:tcW w:type="dxa" w:w="462"/>
                  <w:tcBorders>
                    <w:top w:val="none" w:color="000000" w:sz="4"/>
                    <w:left w:val="none" w:color="000000" w:sz="4"/>
                    <w:bottom w:val="single" w:color="000000" w:sz="4"/>
                    <w:right w:val="single" w:color="000000" w:sz="4"/>
                  </w:tcBorders>
                </w:tcPr>
                <w:p>
                  <w:pPr>
                    <w:jc w:val="center"/>
                  </w:pPr>
                  <w:r>
                    <w:rPr>
                      <w:b/>
                      <w:sz w:val="21"/>
                    </w:rPr>
                    <w:t>提供快速运维工具</w:t>
                  </w:r>
                </w:p>
              </w:tc>
              <w:tc>
                <w:tcPr>
                  <w:tcW w:type="dxa" w:w="2714"/>
                  <w:tcBorders>
                    <w:top w:val="none" w:color="000000" w:sz="4"/>
                    <w:left w:val="none" w:color="000000" w:sz="4"/>
                    <w:bottom w:val="single" w:color="000000" w:sz="4"/>
                    <w:right w:val="single" w:color="000000" w:sz="4"/>
                  </w:tcBorders>
                </w:tcPr>
                <w:p>
                  <w:pPr>
                    <w:jc w:val="left"/>
                  </w:pPr>
                  <w:r>
                    <w:rPr>
                      <w:sz w:val="21"/>
                    </w:rPr>
                    <w:t>提供易于使用的快速运维工具和对应培训服务，中山市自然资源局技术人员可使用运维工具进行系统常用运维操作，如人员权限调整、业务流程调整等。</w:t>
                  </w:r>
                </w:p>
              </w:tc>
              <w:tc>
                <w:tcPr>
                  <w:tcW w:type="dxa" w:w="866"/>
                  <w:tcBorders>
                    <w:top w:val="none" w:color="000000" w:sz="4"/>
                    <w:left w:val="none" w:color="000000" w:sz="4"/>
                    <w:bottom w:val="single" w:color="000000" w:sz="4"/>
                    <w:right w:val="single" w:color="000000" w:sz="4"/>
                  </w:tcBorders>
                </w:tcPr>
                <w:p>
                  <w:pPr>
                    <w:jc w:val="center"/>
                  </w:pPr>
                  <w:r>
                    <w:rPr>
                      <w:sz w:val="21"/>
                    </w:rPr>
                    <w:t>新增运维</w:t>
                  </w:r>
                </w:p>
              </w:tc>
              <w:tc>
                <w:tcPr>
                  <w:tcW w:type="dxa" w:w="520"/>
                  <w:tcBorders>
                    <w:top w:val="none" w:color="000000" w:sz="4"/>
                    <w:left w:val="none" w:color="000000" w:sz="4"/>
                    <w:bottom w:val="single" w:color="000000" w:sz="4"/>
                    <w:right w:val="single" w:color="000000" w:sz="4"/>
                  </w:tcBorders>
                </w:tcPr>
                <w:p>
                  <w:pPr>
                    <w:jc w:val="center"/>
                  </w:pPr>
                  <w:r>
                    <w:rPr>
                      <w:sz w:val="21"/>
                    </w:rPr>
                    <w:t>　</w:t>
                  </w:r>
                </w:p>
              </w:tc>
            </w:tr>
            <w:tr>
              <w:tc>
                <w:tcPr>
                  <w:tcW w:type="dxa" w:w="346"/>
                  <w:tcBorders>
                    <w:top w:val="none" w:color="000000" w:sz="4"/>
                    <w:left w:val="single" w:color="000000" w:sz="4"/>
                    <w:bottom w:val="single" w:color="000000" w:sz="4"/>
                    <w:right w:val="single" w:color="000000" w:sz="4"/>
                  </w:tcBorders>
                </w:tcPr>
                <w:p>
                  <w:pPr>
                    <w:jc w:val="center"/>
                  </w:pPr>
                  <w:r>
                    <w:rPr>
                      <w:sz w:val="21"/>
                    </w:rPr>
                    <w:t>20</w:t>
                  </w:r>
                </w:p>
              </w:tc>
              <w:tc>
                <w:tcPr>
                  <w:tcW w:type="dxa" w:w="635"/>
                  <w:vMerge w:val="restart"/>
                  <w:tcBorders>
                    <w:top w:val="none" w:color="000000" w:sz="4"/>
                    <w:left w:val="none" w:color="000000" w:sz="4"/>
                    <w:bottom w:val="single" w:color="000000" w:sz="4"/>
                    <w:right w:val="single" w:color="000000" w:sz="4"/>
                  </w:tcBorders>
                </w:tcPr>
                <w:p>
                  <w:pPr>
                    <w:jc w:val="left"/>
                  </w:pPr>
                </w:p>
              </w:tc>
              <w:tc>
                <w:tcPr>
                  <w:tcW w:type="dxa" w:w="462"/>
                  <w:tcBorders>
                    <w:top w:val="none" w:color="000000" w:sz="4"/>
                    <w:left w:val="none" w:color="000000" w:sz="4"/>
                    <w:bottom w:val="single" w:color="000000" w:sz="4"/>
                    <w:right w:val="single" w:color="000000" w:sz="4"/>
                  </w:tcBorders>
                </w:tcPr>
                <w:p>
                  <w:pPr>
                    <w:jc w:val="center"/>
                  </w:pPr>
                  <w:r>
                    <w:rPr>
                      <w:b/>
                      <w:sz w:val="21"/>
                    </w:rPr>
                    <w:t>接口运维</w:t>
                  </w:r>
                </w:p>
              </w:tc>
              <w:tc>
                <w:tcPr>
                  <w:tcW w:type="dxa" w:w="2714"/>
                  <w:tcBorders>
                    <w:top w:val="none" w:color="000000" w:sz="4"/>
                    <w:left w:val="none" w:color="000000" w:sz="4"/>
                    <w:bottom w:val="single" w:color="000000" w:sz="4"/>
                    <w:right w:val="single" w:color="000000" w:sz="4"/>
                  </w:tcBorders>
                </w:tcPr>
                <w:p>
                  <w:pPr>
                    <w:jc w:val="left"/>
                  </w:pPr>
                  <w:r>
                    <w:rPr>
                      <w:sz w:val="21"/>
                    </w:rPr>
                    <w:t>1</w:t>
                  </w:r>
                  <w:r>
                    <w:rPr>
                      <w:sz w:val="21"/>
                    </w:rPr>
                    <w:t>、已有接口维护：对已提供的系统接口进行定制维护，包括：</w:t>
                  </w:r>
                </w:p>
                <w:p>
                  <w:pPr>
                    <w:jc w:val="left"/>
                  </w:pPr>
                  <w:r>
                    <w:rPr>
                      <w:sz w:val="21"/>
                    </w:rPr>
                    <w:t>（1）政数局接口</w:t>
                  </w:r>
                </w:p>
                <w:p>
                  <w:pPr>
                    <w:jc w:val="left"/>
                  </w:pPr>
                  <w:r>
                    <w:rPr>
                      <w:sz w:val="21"/>
                    </w:rPr>
                    <w:t>对提供中山市政务服务数据管理局的41个数据服务接口进行维护；</w:t>
                  </w:r>
                </w:p>
                <w:p>
                  <w:pPr>
                    <w:jc w:val="left"/>
                  </w:pPr>
                  <w:r>
                    <w:rPr>
                      <w:sz w:val="21"/>
                    </w:rPr>
                    <w:t>（2）生态环境局接口</w:t>
                  </w:r>
                </w:p>
                <w:p>
                  <w:pPr>
                    <w:jc w:val="left"/>
                  </w:pPr>
                  <w:r>
                    <w:rPr>
                      <w:sz w:val="21"/>
                    </w:rPr>
                    <w:t>对提供中山市生态环境局的29个数据服务接口进行维护；</w:t>
                  </w:r>
                </w:p>
                <w:p>
                  <w:pPr>
                    <w:jc w:val="left"/>
                  </w:pPr>
                  <w:r>
                    <w:rPr>
                      <w:sz w:val="21"/>
                    </w:rPr>
                    <w:t>（3）东凤镇土地利用一张图接口</w:t>
                  </w:r>
                </w:p>
                <w:p>
                  <w:pPr>
                    <w:jc w:val="left"/>
                  </w:pPr>
                  <w:r>
                    <w:rPr>
                      <w:sz w:val="21"/>
                    </w:rPr>
                    <w:t>对提供中山东凤镇土地利用一张图项目的56个数据服务接口进行维护。</w:t>
                  </w:r>
                </w:p>
                <w:p>
                  <w:pPr>
                    <w:jc w:val="left"/>
                  </w:pPr>
                  <w:r>
                    <w:rPr>
                      <w:sz w:val="21"/>
                    </w:rPr>
                    <w:t>（4）中山市自然资源综合业务平台接口</w:t>
                  </w:r>
                </w:p>
                <w:p>
                  <w:pPr>
                    <w:jc w:val="left"/>
                  </w:pPr>
                  <w:r>
                    <w:rPr>
                      <w:sz w:val="21"/>
                    </w:rPr>
                    <w:t>对提供中山市自然资源综合业务平台的4个数据服务接口,2个其它接口进行维护。</w:t>
                  </w:r>
                </w:p>
                <w:p>
                  <w:pPr>
                    <w:jc w:val="left"/>
                  </w:pPr>
                  <w:r>
                    <w:rPr>
                      <w:sz w:val="21"/>
                    </w:rPr>
                    <w:t>（5）中山市第四分局接口</w:t>
                  </w:r>
                </w:p>
                <w:p>
                  <w:pPr>
                    <w:jc w:val="left"/>
                  </w:pPr>
                  <w:r>
                    <w:rPr>
                      <w:sz w:val="21"/>
                    </w:rPr>
                    <w:t>对提供中山市第四分局的2个数据服务接口进行维护。</w:t>
                  </w:r>
                </w:p>
                <w:p>
                  <w:pPr>
                    <w:jc w:val="left"/>
                  </w:pPr>
                  <w:r>
                    <w:rPr>
                      <w:sz w:val="21"/>
                    </w:rPr>
                    <w:t>（6）中山市联合测绘信息平台接口</w:t>
                  </w:r>
                </w:p>
                <w:p>
                  <w:pPr>
                    <w:jc w:val="left"/>
                  </w:pPr>
                  <w:r>
                    <w:rPr>
                      <w:sz w:val="21"/>
                    </w:rPr>
                    <w:t>对提供中山市联合测绘信息平台的1个接口；</w:t>
                  </w:r>
                </w:p>
                <w:p>
                  <w:pPr>
                    <w:jc w:val="left"/>
                  </w:pPr>
                  <w:r>
                    <w:rPr>
                      <w:sz w:val="21"/>
                    </w:rPr>
                    <w:t>（7）省统一身份认证平台接口</w:t>
                  </w:r>
                </w:p>
                <w:p>
                  <w:pPr>
                    <w:jc w:val="left"/>
                  </w:pPr>
                  <w:r>
                    <w:rPr>
                      <w:sz w:val="21"/>
                    </w:rPr>
                    <w:t>对接省统一身份认证（含政务侧和公众侧）接口进行维护。</w:t>
                  </w:r>
                </w:p>
                <w:p>
                  <w:pPr>
                    <w:jc w:val="left"/>
                  </w:pPr>
                  <w:r>
                    <w:rPr>
                      <w:sz w:val="21"/>
                    </w:rPr>
                    <w:t>2</w:t>
                  </w:r>
                  <w:r>
                    <w:rPr>
                      <w:sz w:val="21"/>
                    </w:rPr>
                    <w:t>、配合改造与联调：在运维期内，根据市自然资源局的对接需求，实现系统接口改造及联调，完成省粤政图数据服务、合作技术单位、局外用户的对接及代码联调等。</w:t>
                  </w:r>
                </w:p>
              </w:tc>
              <w:tc>
                <w:tcPr>
                  <w:tcW w:type="dxa" w:w="866"/>
                  <w:tcBorders>
                    <w:top w:val="none" w:color="000000" w:sz="4"/>
                    <w:left w:val="none" w:color="000000" w:sz="4"/>
                    <w:bottom w:val="single" w:color="000000" w:sz="4"/>
                    <w:right w:val="single" w:color="000000" w:sz="4"/>
                  </w:tcBorders>
                </w:tcPr>
                <w:p>
                  <w:pPr>
                    <w:jc w:val="center"/>
                  </w:pPr>
                  <w:r>
                    <w:rPr>
                      <w:sz w:val="21"/>
                    </w:rPr>
                    <w:t>新增运维</w:t>
                  </w:r>
                </w:p>
              </w:tc>
              <w:tc>
                <w:tcPr>
                  <w:tcW w:type="dxa" w:w="520"/>
                  <w:tcBorders>
                    <w:top w:val="none" w:color="000000" w:sz="4"/>
                    <w:left w:val="none" w:color="000000" w:sz="4"/>
                    <w:bottom w:val="single" w:color="000000" w:sz="4"/>
                    <w:right w:val="single" w:color="000000" w:sz="4"/>
                  </w:tcBorders>
                </w:tcPr>
                <w:p>
                  <w:pPr>
                    <w:jc w:val="center"/>
                  </w:pPr>
                  <w:r>
                    <w:rPr>
                      <w:sz w:val="21"/>
                    </w:rPr>
                    <w:t>　</w:t>
                  </w:r>
                </w:p>
              </w:tc>
            </w:tr>
            <w:tr>
              <w:tc>
                <w:tcPr>
                  <w:tcW w:type="dxa" w:w="346"/>
                  <w:tcBorders>
                    <w:top w:val="none" w:color="000000" w:sz="4"/>
                    <w:left w:val="single" w:color="000000" w:sz="4"/>
                    <w:bottom w:val="single" w:color="000000" w:sz="4"/>
                    <w:right w:val="single" w:color="000000" w:sz="4"/>
                  </w:tcBorders>
                </w:tcPr>
                <w:p>
                  <w:pPr>
                    <w:jc w:val="center"/>
                  </w:pPr>
                  <w:r>
                    <w:rPr>
                      <w:sz w:val="21"/>
                    </w:rPr>
                    <w:t>21</w:t>
                  </w:r>
                </w:p>
              </w:tc>
              <w:tc>
                <w:tcPr>
                  <w:tcW w:type="dxa" w:w="635"/>
                  <w:vMerge/>
                  <w:tcBorders>
                    <w:top w:val="none" w:color="000000" w:sz="4"/>
                    <w:left w:val="none" w:color="000000" w:sz="4"/>
                    <w:bottom w:val="single" w:color="000000" w:sz="4"/>
                    <w:right w:val="single" w:color="000000" w:sz="4"/>
                  </w:tcBorders>
                </w:tcPr>
                <w:p/>
              </w:tc>
              <w:tc>
                <w:tcPr>
                  <w:tcW w:type="dxa" w:w="462"/>
                  <w:tcBorders>
                    <w:top w:val="none" w:color="000000" w:sz="4"/>
                    <w:left w:val="none" w:color="000000" w:sz="4"/>
                    <w:bottom w:val="single" w:color="000000" w:sz="4"/>
                    <w:right w:val="single" w:color="000000" w:sz="4"/>
                  </w:tcBorders>
                </w:tcPr>
                <w:p>
                  <w:pPr>
                    <w:jc w:val="center"/>
                  </w:pPr>
                  <w:r>
                    <w:rPr>
                      <w:b/>
                      <w:sz w:val="21"/>
                    </w:rPr>
                    <w:t>国土空间基础信息平台与省智慧自然资源对接</w:t>
                  </w:r>
                </w:p>
              </w:tc>
              <w:tc>
                <w:tcPr>
                  <w:tcW w:type="dxa" w:w="2714"/>
                  <w:tcBorders>
                    <w:top w:val="none" w:color="000000" w:sz="4"/>
                    <w:left w:val="none" w:color="000000" w:sz="4"/>
                    <w:bottom w:val="single" w:color="000000" w:sz="4"/>
                    <w:right w:val="single" w:color="000000" w:sz="4"/>
                  </w:tcBorders>
                </w:tcPr>
                <w:p>
                  <w:pPr>
                    <w:jc w:val="left"/>
                  </w:pPr>
                  <w:r>
                    <w:rPr>
                      <w:sz w:val="21"/>
                    </w:rPr>
                    <w:t>按照省市要求做好系统与省智慧自然资源相关系统及业务对接，完成接口建设、对接联调等相关工作。</w:t>
                  </w:r>
                </w:p>
              </w:tc>
              <w:tc>
                <w:tcPr>
                  <w:tcW w:type="dxa" w:w="866"/>
                  <w:tcBorders>
                    <w:top w:val="none" w:color="000000" w:sz="4"/>
                    <w:left w:val="none" w:color="000000" w:sz="4"/>
                    <w:bottom w:val="single" w:color="000000" w:sz="4"/>
                    <w:right w:val="single" w:color="000000" w:sz="4"/>
                  </w:tcBorders>
                </w:tcPr>
                <w:p>
                  <w:pPr>
                    <w:jc w:val="center"/>
                  </w:pPr>
                  <w:r>
                    <w:rPr>
                      <w:sz w:val="21"/>
                    </w:rPr>
                    <w:t>新增运维</w:t>
                  </w:r>
                </w:p>
              </w:tc>
              <w:tc>
                <w:tcPr>
                  <w:tcW w:type="dxa" w:w="520"/>
                  <w:tcBorders>
                    <w:top w:val="none" w:color="000000" w:sz="4"/>
                    <w:left w:val="none" w:color="000000" w:sz="4"/>
                    <w:bottom w:val="single" w:color="000000" w:sz="4"/>
                    <w:right w:val="single" w:color="000000" w:sz="4"/>
                  </w:tcBorders>
                </w:tcPr>
                <w:p>
                  <w:pPr>
                    <w:jc w:val="center"/>
                  </w:pPr>
                </w:p>
              </w:tc>
            </w:tr>
            <w:tr>
              <w:tc>
                <w:tcPr>
                  <w:tcW w:type="dxa" w:w="346"/>
                  <w:tcBorders>
                    <w:top w:val="none" w:color="000000" w:sz="4"/>
                    <w:left w:val="single" w:color="000000" w:sz="4"/>
                    <w:bottom w:val="single" w:color="000000" w:sz="4"/>
                    <w:right w:val="single" w:color="000000" w:sz="4"/>
                  </w:tcBorders>
                </w:tcPr>
                <w:p>
                  <w:pPr>
                    <w:jc w:val="center"/>
                  </w:pPr>
                  <w:r>
                    <w:rPr>
                      <w:sz w:val="21"/>
                    </w:rPr>
                    <w:t>22</w:t>
                  </w:r>
                </w:p>
              </w:tc>
              <w:tc>
                <w:tcPr>
                  <w:tcW w:type="dxa" w:w="635"/>
                  <w:vMerge w:val="restart"/>
                  <w:tcBorders>
                    <w:top w:val="none" w:color="000000" w:sz="4"/>
                    <w:left w:val="none" w:color="000000" w:sz="4"/>
                    <w:bottom w:val="single" w:color="000000" w:sz="4"/>
                    <w:right w:val="single" w:color="000000" w:sz="4"/>
                  </w:tcBorders>
                </w:tcPr>
                <w:p>
                  <w:pPr>
                    <w:jc w:val="center"/>
                  </w:pPr>
                  <w:r>
                    <w:rPr>
                      <w:b/>
                      <w:sz w:val="21"/>
                    </w:rPr>
                    <w:t>（三）服务更新发布</w:t>
                  </w:r>
                </w:p>
              </w:tc>
              <w:tc>
                <w:tcPr>
                  <w:tcW w:type="dxa" w:w="462"/>
                  <w:tcBorders>
                    <w:top w:val="none" w:color="000000" w:sz="4"/>
                    <w:left w:val="none" w:color="000000" w:sz="4"/>
                    <w:bottom w:val="single" w:color="000000" w:sz="4"/>
                    <w:right w:val="single" w:color="000000" w:sz="4"/>
                  </w:tcBorders>
                </w:tcPr>
                <w:p>
                  <w:pPr>
                    <w:jc w:val="center"/>
                  </w:pPr>
                  <w:r>
                    <w:rPr>
                      <w:b/>
                      <w:sz w:val="21"/>
                    </w:rPr>
                    <w:t>粤政图服务对接更新</w:t>
                  </w:r>
                </w:p>
              </w:tc>
              <w:tc>
                <w:tcPr>
                  <w:tcW w:type="dxa" w:w="2714"/>
                  <w:tcBorders>
                    <w:top w:val="none" w:color="000000" w:sz="4"/>
                    <w:left w:val="none" w:color="000000" w:sz="4"/>
                    <w:bottom w:val="single" w:color="000000" w:sz="4"/>
                    <w:right w:val="single" w:color="000000" w:sz="4"/>
                  </w:tcBorders>
                </w:tcPr>
                <w:p>
                  <w:pPr>
                    <w:jc w:val="left"/>
                  </w:pPr>
                  <w:r>
                    <w:rPr>
                      <w:sz w:val="21"/>
                    </w:rPr>
                    <w:t>对“粤政图”数据接入及对接接口调用服务进行运维支持，提供各部门业务系统提供空间分析服务及API 接口服务运维，通过优化底图服务及更换数据接入形式，接入 “粤政图” 数据，保证业务数据与底图数据“粤政图”充分融合，通过“粤政图” 持续为市局办部门及业务应用系统提供矢量电子地图、 影像地图、 晕渲地图等空间地理信息服务。</w:t>
                  </w:r>
                  <w:r>
                    <w:br/>
                  </w:r>
                  <w:r>
                    <w:rPr>
                      <w:sz w:val="21"/>
                    </w:rPr>
                    <w:t>包含标准地/经营性用地数据处理及发布、用地数据入库更新维护以及数据服务更新发布等运维工作。</w:t>
                  </w:r>
                </w:p>
              </w:tc>
              <w:tc>
                <w:tcPr>
                  <w:tcW w:type="dxa" w:w="866"/>
                  <w:tcBorders>
                    <w:top w:val="none" w:color="000000" w:sz="4"/>
                    <w:left w:val="none" w:color="000000" w:sz="4"/>
                    <w:bottom w:val="single" w:color="000000" w:sz="4"/>
                    <w:right w:val="single" w:color="000000" w:sz="4"/>
                  </w:tcBorders>
                </w:tcPr>
                <w:p>
                  <w:pPr>
                    <w:jc w:val="center"/>
                  </w:pPr>
                  <w:r>
                    <w:rPr>
                      <w:sz w:val="21"/>
                    </w:rPr>
                    <w:t>新增运维</w:t>
                  </w:r>
                </w:p>
              </w:tc>
              <w:tc>
                <w:tcPr>
                  <w:tcW w:type="dxa" w:w="520"/>
                  <w:tcBorders>
                    <w:top w:val="none" w:color="000000" w:sz="4"/>
                    <w:left w:val="none" w:color="000000" w:sz="4"/>
                    <w:bottom w:val="single" w:color="000000" w:sz="4"/>
                    <w:right w:val="single" w:color="000000" w:sz="4"/>
                  </w:tcBorders>
                </w:tcPr>
                <w:p>
                  <w:pPr>
                    <w:jc w:val="center"/>
                  </w:pPr>
                  <w:r>
                    <w:rPr>
                      <w:sz w:val="21"/>
                    </w:rPr>
                    <w:t>　</w:t>
                  </w:r>
                </w:p>
              </w:tc>
            </w:tr>
            <w:tr>
              <w:tc>
                <w:tcPr>
                  <w:tcW w:type="dxa" w:w="346"/>
                  <w:tcBorders>
                    <w:top w:val="none" w:color="000000" w:sz="4"/>
                    <w:left w:val="single" w:color="000000" w:sz="4"/>
                    <w:bottom w:val="single" w:color="000000" w:sz="4"/>
                    <w:right w:val="single" w:color="000000" w:sz="4"/>
                  </w:tcBorders>
                </w:tcPr>
                <w:p>
                  <w:pPr>
                    <w:jc w:val="center"/>
                  </w:pPr>
                  <w:r>
                    <w:rPr>
                      <w:sz w:val="21"/>
                    </w:rPr>
                    <w:t>23</w:t>
                  </w:r>
                </w:p>
              </w:tc>
              <w:tc>
                <w:tcPr>
                  <w:tcW w:type="dxa" w:w="635"/>
                  <w:vMerge/>
                  <w:tcBorders>
                    <w:top w:val="none" w:color="000000" w:sz="4"/>
                    <w:left w:val="none" w:color="000000" w:sz="4"/>
                    <w:bottom w:val="single" w:color="000000" w:sz="4"/>
                    <w:right w:val="single" w:color="000000" w:sz="4"/>
                  </w:tcBorders>
                </w:tcPr>
                <w:p/>
              </w:tc>
              <w:tc>
                <w:tcPr>
                  <w:tcW w:type="dxa" w:w="462"/>
                  <w:tcBorders>
                    <w:top w:val="none" w:color="000000" w:sz="4"/>
                    <w:left w:val="none" w:color="000000" w:sz="4"/>
                    <w:bottom w:val="single" w:color="000000" w:sz="4"/>
                    <w:right w:val="single" w:color="000000" w:sz="4"/>
                  </w:tcBorders>
                </w:tcPr>
                <w:p>
                  <w:pPr>
                    <w:jc w:val="center"/>
                  </w:pPr>
                  <w:r>
                    <w:rPr>
                      <w:b/>
                      <w:sz w:val="21"/>
                    </w:rPr>
                    <w:t>“标准地”用地数据服务更新发布</w:t>
                  </w:r>
                </w:p>
              </w:tc>
              <w:tc>
                <w:tcPr>
                  <w:tcW w:type="dxa" w:w="2714"/>
                  <w:tcBorders>
                    <w:top w:val="none" w:color="000000" w:sz="4"/>
                    <w:left w:val="none" w:color="000000" w:sz="4"/>
                    <w:bottom w:val="single" w:color="000000" w:sz="4"/>
                    <w:right w:val="single" w:color="000000" w:sz="4"/>
                  </w:tcBorders>
                </w:tcPr>
                <w:p>
                  <w:pPr>
                    <w:jc w:val="left"/>
                  </w:pPr>
                  <w:r>
                    <w:rPr>
                      <w:sz w:val="21"/>
                    </w:rPr>
                    <w:t>包含标准地/经营性用地数据处理及发布、用地数据入库更新维护以及数据服务更新发布等运维工作。</w:t>
                  </w:r>
                </w:p>
              </w:tc>
              <w:tc>
                <w:tcPr>
                  <w:tcW w:type="dxa" w:w="866"/>
                  <w:tcBorders>
                    <w:top w:val="none" w:color="000000" w:sz="4"/>
                    <w:left w:val="none" w:color="000000" w:sz="4"/>
                    <w:bottom w:val="single" w:color="000000" w:sz="4"/>
                    <w:right w:val="single" w:color="000000" w:sz="4"/>
                  </w:tcBorders>
                </w:tcPr>
                <w:p>
                  <w:pPr>
                    <w:jc w:val="center"/>
                  </w:pPr>
                  <w:r>
                    <w:rPr>
                      <w:sz w:val="21"/>
                    </w:rPr>
                    <w:t>新增运维</w:t>
                  </w:r>
                </w:p>
              </w:tc>
              <w:tc>
                <w:tcPr>
                  <w:tcW w:type="dxa" w:w="520"/>
                  <w:tcBorders>
                    <w:top w:val="none" w:color="000000" w:sz="4"/>
                    <w:left w:val="none" w:color="000000" w:sz="4"/>
                    <w:bottom w:val="single" w:color="000000" w:sz="4"/>
                    <w:right w:val="single" w:color="000000" w:sz="4"/>
                  </w:tcBorders>
                </w:tcPr>
                <w:p>
                  <w:pPr>
                    <w:jc w:val="center"/>
                  </w:pPr>
                  <w:r>
                    <w:rPr>
                      <w:sz w:val="21"/>
                    </w:rPr>
                    <w:t>　</w:t>
                  </w:r>
                </w:p>
              </w:tc>
            </w:tr>
            <w:tr>
              <w:tc>
                <w:tcPr>
                  <w:tcW w:type="dxa" w:w="346"/>
                  <w:tcBorders>
                    <w:top w:val="none" w:color="000000" w:sz="4"/>
                    <w:left w:val="single" w:color="000000" w:sz="4"/>
                    <w:bottom w:val="single" w:color="000000" w:sz="4"/>
                    <w:right w:val="single" w:color="000000" w:sz="4"/>
                  </w:tcBorders>
                </w:tcPr>
                <w:p>
                  <w:pPr>
                    <w:jc w:val="center"/>
                  </w:pPr>
                  <w:r>
                    <w:rPr>
                      <w:sz w:val="21"/>
                    </w:rPr>
                    <w:t>24</w:t>
                  </w:r>
                </w:p>
              </w:tc>
              <w:tc>
                <w:tcPr>
                  <w:tcW w:type="dxa" w:w="635"/>
                  <w:vMerge/>
                  <w:tcBorders>
                    <w:top w:val="none" w:color="000000" w:sz="4"/>
                    <w:left w:val="none" w:color="000000" w:sz="4"/>
                    <w:bottom w:val="single" w:color="000000" w:sz="4"/>
                    <w:right w:val="single" w:color="000000" w:sz="4"/>
                  </w:tcBorders>
                </w:tcPr>
                <w:p/>
              </w:tc>
              <w:tc>
                <w:tcPr>
                  <w:tcW w:type="dxa" w:w="462"/>
                  <w:tcBorders>
                    <w:top w:val="none" w:color="000000" w:sz="4"/>
                    <w:left w:val="none" w:color="000000" w:sz="4"/>
                    <w:bottom w:val="single" w:color="000000" w:sz="4"/>
                    <w:right w:val="single" w:color="000000" w:sz="4"/>
                  </w:tcBorders>
                </w:tcPr>
                <w:p>
                  <w:pPr>
                    <w:jc w:val="center"/>
                  </w:pPr>
                  <w:r>
                    <w:rPr>
                      <w:b/>
                      <w:sz w:val="21"/>
                    </w:rPr>
                    <w:t>三规数据服务更新发布</w:t>
                  </w:r>
                </w:p>
              </w:tc>
              <w:tc>
                <w:tcPr>
                  <w:tcW w:type="dxa" w:w="2714"/>
                  <w:tcBorders>
                    <w:top w:val="none" w:color="000000" w:sz="4"/>
                    <w:left w:val="none" w:color="000000" w:sz="4"/>
                    <w:bottom w:val="single" w:color="000000" w:sz="4"/>
                    <w:right w:val="single" w:color="000000" w:sz="4"/>
                  </w:tcBorders>
                </w:tcPr>
                <w:p>
                  <w:pPr>
                    <w:jc w:val="left"/>
                  </w:pPr>
                  <w:r>
                    <w:rPr>
                      <w:sz w:val="21"/>
                    </w:rPr>
                    <w:t>包含土地利用规划、控制性详细规划、城市总体规划等数据规整以及发布更新等技术支持运维工作。</w:t>
                  </w:r>
                </w:p>
              </w:tc>
              <w:tc>
                <w:tcPr>
                  <w:tcW w:type="dxa" w:w="866"/>
                  <w:tcBorders>
                    <w:top w:val="none" w:color="000000" w:sz="4"/>
                    <w:left w:val="none" w:color="000000" w:sz="4"/>
                    <w:bottom w:val="single" w:color="000000" w:sz="4"/>
                    <w:right w:val="single" w:color="000000" w:sz="4"/>
                  </w:tcBorders>
                </w:tcPr>
                <w:p>
                  <w:pPr>
                    <w:jc w:val="center"/>
                  </w:pPr>
                  <w:r>
                    <w:rPr>
                      <w:sz w:val="21"/>
                    </w:rPr>
                    <w:t>新增运维</w:t>
                  </w:r>
                </w:p>
              </w:tc>
              <w:tc>
                <w:tcPr>
                  <w:tcW w:type="dxa" w:w="520"/>
                  <w:tcBorders>
                    <w:top w:val="none" w:color="000000" w:sz="4"/>
                    <w:left w:val="none" w:color="000000" w:sz="4"/>
                    <w:bottom w:val="single" w:color="000000" w:sz="4"/>
                    <w:right w:val="single" w:color="000000" w:sz="4"/>
                  </w:tcBorders>
                </w:tcPr>
                <w:p>
                  <w:pPr>
                    <w:jc w:val="center"/>
                  </w:pPr>
                  <w:r>
                    <w:rPr>
                      <w:sz w:val="21"/>
                    </w:rPr>
                    <w:t>　</w:t>
                  </w:r>
                </w:p>
              </w:tc>
            </w:tr>
            <w:tr>
              <w:tc>
                <w:tcPr>
                  <w:tcW w:type="dxa" w:w="346"/>
                  <w:tcBorders>
                    <w:top w:val="none" w:color="000000" w:sz="4"/>
                    <w:left w:val="single" w:color="000000" w:sz="4"/>
                    <w:bottom w:val="single" w:color="000000" w:sz="4"/>
                    <w:right w:val="single" w:color="000000" w:sz="4"/>
                  </w:tcBorders>
                </w:tcPr>
                <w:p>
                  <w:pPr>
                    <w:jc w:val="center"/>
                  </w:pPr>
                  <w:r>
                    <w:rPr>
                      <w:sz w:val="21"/>
                    </w:rPr>
                    <w:t>25</w:t>
                  </w:r>
                </w:p>
              </w:tc>
              <w:tc>
                <w:tcPr>
                  <w:tcW w:type="dxa" w:w="635"/>
                  <w:vMerge/>
                  <w:tcBorders>
                    <w:top w:val="none" w:color="000000" w:sz="4"/>
                    <w:left w:val="none" w:color="000000" w:sz="4"/>
                    <w:bottom w:val="single" w:color="000000" w:sz="4"/>
                    <w:right w:val="single" w:color="000000" w:sz="4"/>
                  </w:tcBorders>
                </w:tcPr>
                <w:p/>
              </w:tc>
              <w:tc>
                <w:tcPr>
                  <w:tcW w:type="dxa" w:w="462"/>
                  <w:tcBorders>
                    <w:top w:val="none" w:color="000000" w:sz="4"/>
                    <w:left w:val="none" w:color="000000" w:sz="4"/>
                    <w:bottom w:val="single" w:color="000000" w:sz="4"/>
                    <w:right w:val="single" w:color="000000" w:sz="4"/>
                  </w:tcBorders>
                </w:tcPr>
                <w:p>
                  <w:pPr>
                    <w:jc w:val="center"/>
                  </w:pPr>
                  <w:r>
                    <w:rPr>
                      <w:b/>
                      <w:sz w:val="21"/>
                    </w:rPr>
                    <w:t>专项用地数据服务更新发布</w:t>
                  </w:r>
                </w:p>
              </w:tc>
              <w:tc>
                <w:tcPr>
                  <w:tcW w:type="dxa" w:w="2714"/>
                  <w:tcBorders>
                    <w:top w:val="none" w:color="000000" w:sz="4"/>
                    <w:left w:val="none" w:color="000000" w:sz="4"/>
                    <w:bottom w:val="single" w:color="000000" w:sz="4"/>
                    <w:right w:val="single" w:color="000000" w:sz="4"/>
                  </w:tcBorders>
                </w:tcPr>
                <w:p>
                  <w:pPr>
                    <w:jc w:val="left"/>
                  </w:pPr>
                  <w:r>
                    <w:rPr>
                      <w:sz w:val="21"/>
                    </w:rPr>
                    <w:t>包含批次用地清单规整、存量用地统计分析、闲置用地统计分析、住宅用地统计分析、项目用地数据统计、控规占压及专题数据服务更新发布工作。</w:t>
                  </w:r>
                </w:p>
              </w:tc>
              <w:tc>
                <w:tcPr>
                  <w:tcW w:type="dxa" w:w="866"/>
                  <w:tcBorders>
                    <w:top w:val="none" w:color="000000" w:sz="4"/>
                    <w:left w:val="none" w:color="000000" w:sz="4"/>
                    <w:bottom w:val="single" w:color="000000" w:sz="4"/>
                    <w:right w:val="single" w:color="000000" w:sz="4"/>
                  </w:tcBorders>
                </w:tcPr>
                <w:p>
                  <w:pPr>
                    <w:jc w:val="center"/>
                  </w:pPr>
                  <w:r>
                    <w:rPr>
                      <w:sz w:val="21"/>
                    </w:rPr>
                    <w:t>新增运维</w:t>
                  </w:r>
                </w:p>
              </w:tc>
              <w:tc>
                <w:tcPr>
                  <w:tcW w:type="dxa" w:w="520"/>
                  <w:tcBorders>
                    <w:top w:val="none" w:color="000000" w:sz="4"/>
                    <w:left w:val="none" w:color="000000" w:sz="4"/>
                    <w:bottom w:val="single" w:color="000000" w:sz="4"/>
                    <w:right w:val="single" w:color="000000" w:sz="4"/>
                  </w:tcBorders>
                </w:tcPr>
                <w:p>
                  <w:pPr>
                    <w:jc w:val="center"/>
                  </w:pPr>
                  <w:r>
                    <w:rPr>
                      <w:sz w:val="21"/>
                    </w:rPr>
                    <w:t>　</w:t>
                  </w:r>
                </w:p>
              </w:tc>
            </w:tr>
            <w:tr>
              <w:tc>
                <w:tcPr>
                  <w:tcW w:type="dxa" w:w="346"/>
                  <w:tcBorders>
                    <w:top w:val="none" w:color="000000" w:sz="4"/>
                    <w:left w:val="single" w:color="000000" w:sz="4"/>
                    <w:bottom w:val="single" w:color="000000" w:sz="4"/>
                    <w:right w:val="single" w:color="000000" w:sz="4"/>
                  </w:tcBorders>
                </w:tcPr>
                <w:p>
                  <w:pPr>
                    <w:jc w:val="center"/>
                  </w:pPr>
                  <w:r>
                    <w:rPr>
                      <w:sz w:val="21"/>
                    </w:rPr>
                    <w:t>26</w:t>
                  </w:r>
                </w:p>
              </w:tc>
              <w:tc>
                <w:tcPr>
                  <w:tcW w:type="dxa" w:w="635"/>
                  <w:vMerge/>
                  <w:tcBorders>
                    <w:top w:val="none" w:color="000000" w:sz="4"/>
                    <w:left w:val="none" w:color="000000" w:sz="4"/>
                    <w:bottom w:val="single" w:color="000000" w:sz="4"/>
                    <w:right w:val="single" w:color="000000" w:sz="4"/>
                  </w:tcBorders>
                </w:tcPr>
                <w:p/>
              </w:tc>
              <w:tc>
                <w:tcPr>
                  <w:tcW w:type="dxa" w:w="462"/>
                  <w:tcBorders>
                    <w:top w:val="none" w:color="000000" w:sz="4"/>
                    <w:left w:val="none" w:color="000000" w:sz="4"/>
                    <w:bottom w:val="single" w:color="000000" w:sz="4"/>
                    <w:right w:val="single" w:color="000000" w:sz="4"/>
                  </w:tcBorders>
                </w:tcPr>
                <w:p>
                  <w:pPr>
                    <w:jc w:val="center"/>
                  </w:pPr>
                  <w:r>
                    <w:rPr>
                      <w:b/>
                      <w:sz w:val="21"/>
                    </w:rPr>
                    <w:t>经纬度数据转换及服务更新发布</w:t>
                  </w:r>
                </w:p>
              </w:tc>
              <w:tc>
                <w:tcPr>
                  <w:tcW w:type="dxa" w:w="2714"/>
                  <w:tcBorders>
                    <w:top w:val="none" w:color="000000" w:sz="4"/>
                    <w:left w:val="none" w:color="000000" w:sz="4"/>
                    <w:bottom w:val="single" w:color="000000" w:sz="4"/>
                    <w:right w:val="single" w:color="000000" w:sz="4"/>
                  </w:tcBorders>
                </w:tcPr>
                <w:p>
                  <w:pPr>
                    <w:jc w:val="left"/>
                  </w:pPr>
                  <w:r>
                    <w:rPr>
                      <w:sz w:val="21"/>
                    </w:rPr>
                    <w:t>按照政数局空间数据编目需求，实现经纬度数据转换及服务更新发布。</w:t>
                  </w:r>
                </w:p>
              </w:tc>
              <w:tc>
                <w:tcPr>
                  <w:tcW w:type="dxa" w:w="866"/>
                  <w:tcBorders>
                    <w:top w:val="none" w:color="000000" w:sz="4"/>
                    <w:left w:val="none" w:color="000000" w:sz="4"/>
                    <w:bottom w:val="single" w:color="000000" w:sz="4"/>
                    <w:right w:val="single" w:color="000000" w:sz="4"/>
                  </w:tcBorders>
                </w:tcPr>
                <w:p>
                  <w:pPr>
                    <w:jc w:val="center"/>
                  </w:pPr>
                  <w:r>
                    <w:rPr>
                      <w:sz w:val="21"/>
                    </w:rPr>
                    <w:t>新增运维</w:t>
                  </w:r>
                </w:p>
              </w:tc>
              <w:tc>
                <w:tcPr>
                  <w:tcW w:type="dxa" w:w="520"/>
                  <w:tcBorders>
                    <w:top w:val="none" w:color="000000" w:sz="4"/>
                    <w:left w:val="none" w:color="000000" w:sz="4"/>
                    <w:bottom w:val="single" w:color="000000" w:sz="4"/>
                    <w:right w:val="single" w:color="000000" w:sz="4"/>
                  </w:tcBorders>
                </w:tcPr>
                <w:p>
                  <w:pPr>
                    <w:jc w:val="center"/>
                  </w:pPr>
                  <w:r>
                    <w:rPr>
                      <w:sz w:val="21"/>
                    </w:rPr>
                    <w:t>　</w:t>
                  </w:r>
                </w:p>
              </w:tc>
            </w:tr>
            <w:tr>
              <w:tc>
                <w:tcPr>
                  <w:tcW w:type="dxa" w:w="346"/>
                  <w:tcBorders>
                    <w:top w:val="none" w:color="000000" w:sz="4"/>
                    <w:left w:val="single" w:color="000000" w:sz="4"/>
                    <w:bottom w:val="single" w:color="000000" w:sz="4"/>
                    <w:right w:val="single" w:color="000000" w:sz="4"/>
                  </w:tcBorders>
                </w:tcPr>
                <w:p>
                  <w:pPr>
                    <w:jc w:val="center"/>
                  </w:pPr>
                  <w:r>
                    <w:rPr>
                      <w:sz w:val="21"/>
                    </w:rPr>
                    <w:t>27</w:t>
                  </w:r>
                </w:p>
              </w:tc>
              <w:tc>
                <w:tcPr>
                  <w:tcW w:type="dxa" w:w="635"/>
                  <w:vMerge w:val="restart"/>
                  <w:tcBorders>
                    <w:top w:val="none" w:color="000000" w:sz="4"/>
                    <w:left w:val="none" w:color="000000" w:sz="4"/>
                    <w:bottom w:val="single" w:color="000000" w:sz="4"/>
                    <w:right w:val="single" w:color="000000" w:sz="4"/>
                  </w:tcBorders>
                </w:tcPr>
                <w:p>
                  <w:pPr>
                    <w:jc w:val="center"/>
                  </w:pPr>
                  <w:r>
                    <w:rPr>
                      <w:b/>
                      <w:sz w:val="21"/>
                    </w:rPr>
                    <w:t>（四）系统运维培训</w:t>
                  </w:r>
                </w:p>
              </w:tc>
              <w:tc>
                <w:tcPr>
                  <w:tcW w:type="dxa" w:w="462"/>
                  <w:tcBorders>
                    <w:top w:val="none" w:color="000000" w:sz="4"/>
                    <w:left w:val="none" w:color="000000" w:sz="4"/>
                    <w:bottom w:val="single" w:color="000000" w:sz="4"/>
                    <w:right w:val="single" w:color="000000" w:sz="4"/>
                  </w:tcBorders>
                </w:tcPr>
                <w:p>
                  <w:pPr>
                    <w:jc w:val="center"/>
                  </w:pPr>
                  <w:r>
                    <w:rPr>
                      <w:b/>
                      <w:sz w:val="21"/>
                    </w:rPr>
                    <w:t>系统应用培训</w:t>
                  </w:r>
                </w:p>
              </w:tc>
              <w:tc>
                <w:tcPr>
                  <w:tcW w:type="dxa" w:w="2714"/>
                  <w:tcBorders>
                    <w:top w:val="none" w:color="000000" w:sz="4"/>
                    <w:left w:val="none" w:color="000000" w:sz="4"/>
                    <w:bottom w:val="single" w:color="000000" w:sz="4"/>
                    <w:right w:val="single" w:color="000000" w:sz="4"/>
                  </w:tcBorders>
                </w:tcPr>
                <w:p>
                  <w:pPr>
                    <w:jc w:val="left"/>
                  </w:pPr>
                  <w:r>
                    <w:rPr>
                      <w:sz w:val="21"/>
                    </w:rPr>
                    <w:t>不定期举办一次系统培训会，针对信息中心、科室、分局、报建单位、有关镇直部门、有关市直部门等相关系统培训对象，安排专业技术人员，为业务工作人员提供完备、全面的系统培训，包括系统使用、系统维护管理、系统安装等方面培训内容；</w:t>
                  </w:r>
                </w:p>
              </w:tc>
              <w:tc>
                <w:tcPr>
                  <w:tcW w:type="dxa" w:w="866"/>
                  <w:tcBorders>
                    <w:top w:val="none" w:color="000000" w:sz="4"/>
                    <w:left w:val="none" w:color="000000" w:sz="4"/>
                    <w:bottom w:val="single" w:color="000000" w:sz="4"/>
                    <w:right w:val="single" w:color="000000" w:sz="4"/>
                  </w:tcBorders>
                </w:tcPr>
                <w:p>
                  <w:pPr>
                    <w:jc w:val="center"/>
                  </w:pPr>
                  <w:r>
                    <w:rPr>
                      <w:sz w:val="21"/>
                    </w:rPr>
                    <w:t>新增运维</w:t>
                  </w:r>
                </w:p>
              </w:tc>
              <w:tc>
                <w:tcPr>
                  <w:tcW w:type="dxa" w:w="520"/>
                  <w:tcBorders>
                    <w:top w:val="none" w:color="000000" w:sz="4"/>
                    <w:left w:val="none" w:color="000000" w:sz="4"/>
                    <w:bottom w:val="single" w:color="000000" w:sz="4"/>
                    <w:right w:val="single" w:color="000000" w:sz="4"/>
                  </w:tcBorders>
                </w:tcPr>
                <w:p>
                  <w:pPr>
                    <w:jc w:val="center"/>
                  </w:pPr>
                  <w:r>
                    <w:rPr>
                      <w:sz w:val="21"/>
                    </w:rPr>
                    <w:t>　</w:t>
                  </w:r>
                </w:p>
              </w:tc>
            </w:tr>
            <w:tr>
              <w:tc>
                <w:tcPr>
                  <w:tcW w:type="dxa" w:w="346"/>
                  <w:tcBorders>
                    <w:top w:val="none" w:color="000000" w:sz="4"/>
                    <w:left w:val="single" w:color="000000" w:sz="4"/>
                    <w:bottom w:val="single" w:color="000000" w:sz="4"/>
                    <w:right w:val="single" w:color="000000" w:sz="4"/>
                  </w:tcBorders>
                </w:tcPr>
                <w:p>
                  <w:pPr>
                    <w:jc w:val="center"/>
                  </w:pPr>
                  <w:r>
                    <w:rPr>
                      <w:sz w:val="21"/>
                    </w:rPr>
                    <w:t>28</w:t>
                  </w:r>
                </w:p>
              </w:tc>
              <w:tc>
                <w:tcPr>
                  <w:tcW w:type="dxa" w:w="635"/>
                  <w:vMerge/>
                  <w:tcBorders>
                    <w:top w:val="none" w:color="000000" w:sz="4"/>
                    <w:left w:val="none" w:color="000000" w:sz="4"/>
                    <w:bottom w:val="single" w:color="000000" w:sz="4"/>
                    <w:right w:val="single" w:color="000000" w:sz="4"/>
                  </w:tcBorders>
                </w:tcPr>
                <w:p/>
              </w:tc>
              <w:tc>
                <w:tcPr>
                  <w:tcW w:type="dxa" w:w="462"/>
                  <w:tcBorders>
                    <w:top w:val="none" w:color="000000" w:sz="4"/>
                    <w:left w:val="none" w:color="000000" w:sz="4"/>
                    <w:bottom w:val="single" w:color="000000" w:sz="4"/>
                    <w:right w:val="single" w:color="000000" w:sz="4"/>
                  </w:tcBorders>
                </w:tcPr>
                <w:p>
                  <w:pPr>
                    <w:jc w:val="center"/>
                  </w:pPr>
                  <w:r>
                    <w:rPr>
                      <w:b/>
                      <w:sz w:val="21"/>
                    </w:rPr>
                    <w:t>系统运维培训</w:t>
                  </w:r>
                </w:p>
              </w:tc>
              <w:tc>
                <w:tcPr>
                  <w:tcW w:type="dxa" w:w="2714"/>
                  <w:tcBorders>
                    <w:top w:val="none" w:color="000000" w:sz="4"/>
                    <w:left w:val="none" w:color="000000" w:sz="4"/>
                    <w:bottom w:val="single" w:color="000000" w:sz="4"/>
                    <w:right w:val="single" w:color="000000" w:sz="4"/>
                  </w:tcBorders>
                </w:tcPr>
                <w:p>
                  <w:pPr>
                    <w:jc w:val="left"/>
                  </w:pPr>
                  <w:r>
                    <w:rPr>
                      <w:sz w:val="21"/>
                    </w:rPr>
                    <w:t>加强对各处室和下属单位工作人员的系统应用技术培训，提高平台的运维管理队伍的信息技术应用水平。</w:t>
                  </w:r>
                </w:p>
              </w:tc>
              <w:tc>
                <w:tcPr>
                  <w:tcW w:type="dxa" w:w="866"/>
                  <w:tcBorders>
                    <w:top w:val="none" w:color="000000" w:sz="4"/>
                    <w:left w:val="none" w:color="000000" w:sz="4"/>
                    <w:bottom w:val="single" w:color="000000" w:sz="4"/>
                    <w:right w:val="single" w:color="000000" w:sz="4"/>
                  </w:tcBorders>
                </w:tcPr>
                <w:p>
                  <w:pPr>
                    <w:jc w:val="center"/>
                  </w:pPr>
                  <w:r>
                    <w:rPr>
                      <w:sz w:val="21"/>
                    </w:rPr>
                    <w:t>新增运维</w:t>
                  </w:r>
                </w:p>
              </w:tc>
              <w:tc>
                <w:tcPr>
                  <w:tcW w:type="dxa" w:w="520"/>
                  <w:tcBorders>
                    <w:top w:val="none" w:color="000000" w:sz="4"/>
                    <w:left w:val="none" w:color="000000" w:sz="4"/>
                    <w:bottom w:val="single" w:color="000000" w:sz="4"/>
                    <w:right w:val="single" w:color="000000" w:sz="4"/>
                  </w:tcBorders>
                </w:tcPr>
                <w:p>
                  <w:pPr>
                    <w:jc w:val="center"/>
                  </w:pPr>
                  <w:r>
                    <w:rPr>
                      <w:sz w:val="21"/>
                    </w:rPr>
                    <w:t>　</w:t>
                  </w:r>
                </w:p>
              </w:tc>
            </w:tr>
            <w:tr>
              <w:tc>
                <w:tcPr>
                  <w:tcW w:type="dxa" w:w="346"/>
                  <w:tcBorders>
                    <w:top w:val="none" w:color="000000" w:sz="4"/>
                    <w:left w:val="single" w:color="000000" w:sz="4"/>
                    <w:bottom w:val="single" w:color="000000" w:sz="4"/>
                    <w:right w:val="single" w:color="000000" w:sz="4"/>
                  </w:tcBorders>
                </w:tcPr>
                <w:p>
                  <w:pPr>
                    <w:jc w:val="center"/>
                  </w:pPr>
                  <w:r>
                    <w:rPr>
                      <w:sz w:val="21"/>
                    </w:rPr>
                    <w:t>29</w:t>
                  </w:r>
                </w:p>
              </w:tc>
              <w:tc>
                <w:tcPr>
                  <w:tcW w:type="dxa" w:w="635"/>
                  <w:vMerge w:val="restart"/>
                  <w:tcBorders>
                    <w:top w:val="none" w:color="000000" w:sz="4"/>
                    <w:left w:val="none" w:color="000000" w:sz="4"/>
                    <w:bottom w:val="single" w:color="000000" w:sz="4"/>
                    <w:right w:val="single" w:color="000000" w:sz="4"/>
                  </w:tcBorders>
                </w:tcPr>
                <w:p>
                  <w:pPr>
                    <w:jc w:val="center"/>
                  </w:pPr>
                  <w:r>
                    <w:rPr>
                      <w:b/>
                      <w:sz w:val="21"/>
                    </w:rPr>
                    <w:t>（五）系统安全值班值守</w:t>
                  </w:r>
                </w:p>
              </w:tc>
              <w:tc>
                <w:tcPr>
                  <w:tcW w:type="dxa" w:w="462"/>
                  <w:tcBorders>
                    <w:top w:val="none" w:color="000000" w:sz="4"/>
                    <w:left w:val="none" w:color="000000" w:sz="4"/>
                    <w:bottom w:val="single" w:color="000000" w:sz="4"/>
                    <w:right w:val="single" w:color="000000" w:sz="4"/>
                  </w:tcBorders>
                </w:tcPr>
                <w:p>
                  <w:pPr>
                    <w:jc w:val="center"/>
                  </w:pPr>
                  <w:r>
                    <w:rPr>
                      <w:b/>
                      <w:sz w:val="21"/>
                    </w:rPr>
                    <w:t>驻场值班值守</w:t>
                  </w:r>
                </w:p>
              </w:tc>
              <w:tc>
                <w:tcPr>
                  <w:tcW w:type="dxa" w:w="2714"/>
                  <w:tcBorders>
                    <w:top w:val="none" w:color="000000" w:sz="4"/>
                    <w:left w:val="none" w:color="000000" w:sz="4"/>
                    <w:bottom w:val="single" w:color="000000" w:sz="4"/>
                    <w:right w:val="single" w:color="000000" w:sz="4"/>
                  </w:tcBorders>
                </w:tcPr>
                <w:p>
                  <w:pPr>
                    <w:jc w:val="left"/>
                  </w:pPr>
                  <w:r>
                    <w:rPr>
                      <w:sz w:val="21"/>
                    </w:rPr>
                    <w:t>通过安排驻场值守人员，对国土空间基础信息平台系统运行状态进行全面监控及预警，现场值守落实系统应急响应、重大安全故障处理工作，确保系统出现安全事件时快速反应、及时处理，降低安全问题对客户工作的影响。</w:t>
                  </w:r>
                </w:p>
              </w:tc>
              <w:tc>
                <w:tcPr>
                  <w:tcW w:type="dxa" w:w="866"/>
                  <w:tcBorders>
                    <w:top w:val="none" w:color="000000" w:sz="4"/>
                    <w:left w:val="none" w:color="000000" w:sz="4"/>
                    <w:bottom w:val="single" w:color="000000" w:sz="4"/>
                    <w:right w:val="single" w:color="000000" w:sz="4"/>
                  </w:tcBorders>
                </w:tcPr>
                <w:p>
                  <w:pPr>
                    <w:jc w:val="center"/>
                  </w:pPr>
                  <w:r>
                    <w:rPr>
                      <w:sz w:val="21"/>
                    </w:rPr>
                    <w:t>延续性运维</w:t>
                  </w:r>
                </w:p>
              </w:tc>
              <w:tc>
                <w:tcPr>
                  <w:tcW w:type="dxa" w:w="520"/>
                  <w:tcBorders>
                    <w:top w:val="none" w:color="000000" w:sz="4"/>
                    <w:left w:val="none" w:color="000000" w:sz="4"/>
                    <w:bottom w:val="single" w:color="000000" w:sz="4"/>
                    <w:right w:val="single" w:color="000000" w:sz="4"/>
                  </w:tcBorders>
                </w:tcPr>
                <w:p>
                  <w:pPr>
                    <w:jc w:val="center"/>
                  </w:pPr>
                  <w:r>
                    <w:rPr>
                      <w:sz w:val="21"/>
                    </w:rPr>
                    <w:t>　</w:t>
                  </w:r>
                </w:p>
              </w:tc>
            </w:tr>
            <w:tr>
              <w:tc>
                <w:tcPr>
                  <w:tcW w:type="dxa" w:w="346"/>
                  <w:tcBorders>
                    <w:top w:val="none" w:color="000000" w:sz="4"/>
                    <w:left w:val="single" w:color="000000" w:sz="4"/>
                    <w:bottom w:val="single" w:color="000000" w:sz="4"/>
                    <w:right w:val="single" w:color="000000" w:sz="4"/>
                  </w:tcBorders>
                </w:tcPr>
                <w:p>
                  <w:pPr>
                    <w:jc w:val="center"/>
                  </w:pPr>
                  <w:r>
                    <w:rPr>
                      <w:sz w:val="21"/>
                    </w:rPr>
                    <w:t>30</w:t>
                  </w:r>
                </w:p>
              </w:tc>
              <w:tc>
                <w:tcPr>
                  <w:tcW w:type="dxa" w:w="635"/>
                  <w:vMerge/>
                  <w:tcBorders>
                    <w:top w:val="none" w:color="000000" w:sz="4"/>
                    <w:left w:val="none" w:color="000000" w:sz="4"/>
                    <w:bottom w:val="single" w:color="000000" w:sz="4"/>
                    <w:right w:val="single" w:color="000000" w:sz="4"/>
                  </w:tcBorders>
                </w:tcPr>
                <w:p/>
              </w:tc>
              <w:tc>
                <w:tcPr>
                  <w:tcW w:type="dxa" w:w="462"/>
                  <w:tcBorders>
                    <w:top w:val="none" w:color="000000" w:sz="4"/>
                    <w:left w:val="none" w:color="000000" w:sz="4"/>
                    <w:bottom w:val="single" w:color="000000" w:sz="4"/>
                    <w:right w:val="single" w:color="000000" w:sz="4"/>
                  </w:tcBorders>
                </w:tcPr>
                <w:p>
                  <w:pPr>
                    <w:jc w:val="center"/>
                  </w:pPr>
                  <w:r>
                    <w:rPr>
                      <w:b/>
                      <w:sz w:val="21"/>
                    </w:rPr>
                    <w:t>突发故障处理</w:t>
                  </w:r>
                </w:p>
              </w:tc>
              <w:tc>
                <w:tcPr>
                  <w:tcW w:type="dxa" w:w="2714"/>
                  <w:tcBorders>
                    <w:top w:val="none" w:color="000000" w:sz="4"/>
                    <w:left w:val="none" w:color="000000" w:sz="4"/>
                    <w:bottom w:val="single" w:color="000000" w:sz="4"/>
                    <w:right w:val="single" w:color="000000" w:sz="4"/>
                  </w:tcBorders>
                </w:tcPr>
                <w:p>
                  <w:pPr>
                    <w:jc w:val="left"/>
                  </w:pPr>
                  <w:r>
                    <w:rPr>
                      <w:sz w:val="21"/>
                    </w:rPr>
                    <w:t>当系统在非工作日或夜间出现异常时，运维人员将在2小时内赶赴现场并排除系统的普通故障，特大故障将在24小时内处理完毕。</w:t>
                  </w:r>
                </w:p>
              </w:tc>
              <w:tc>
                <w:tcPr>
                  <w:tcW w:type="dxa" w:w="866"/>
                  <w:tcBorders>
                    <w:top w:val="none" w:color="000000" w:sz="4"/>
                    <w:left w:val="none" w:color="000000" w:sz="4"/>
                    <w:bottom w:val="single" w:color="000000" w:sz="4"/>
                    <w:right w:val="single" w:color="000000" w:sz="4"/>
                  </w:tcBorders>
                </w:tcPr>
                <w:p>
                  <w:pPr>
                    <w:jc w:val="center"/>
                  </w:pPr>
                  <w:r>
                    <w:rPr>
                      <w:sz w:val="21"/>
                    </w:rPr>
                    <w:t>延续性运维</w:t>
                  </w:r>
                </w:p>
              </w:tc>
              <w:tc>
                <w:tcPr>
                  <w:tcW w:type="dxa" w:w="520"/>
                  <w:tcBorders>
                    <w:top w:val="none" w:color="000000" w:sz="4"/>
                    <w:left w:val="none" w:color="000000" w:sz="4"/>
                    <w:bottom w:val="single" w:color="000000" w:sz="4"/>
                    <w:right w:val="single" w:color="000000" w:sz="4"/>
                  </w:tcBorders>
                </w:tcPr>
                <w:p>
                  <w:pPr>
                    <w:jc w:val="center"/>
                  </w:pPr>
                  <w:r>
                    <w:rPr>
                      <w:sz w:val="21"/>
                    </w:rPr>
                    <w:t>　</w:t>
                  </w:r>
                </w:p>
              </w:tc>
            </w:tr>
            <w:tr>
              <w:tc>
                <w:tcPr>
                  <w:tcW w:type="dxa" w:w="346"/>
                  <w:tcBorders>
                    <w:top w:val="none" w:color="000000" w:sz="4"/>
                    <w:left w:val="single" w:color="000000" w:sz="4"/>
                    <w:bottom w:val="single" w:color="000000" w:sz="4"/>
                    <w:right w:val="single" w:color="000000" w:sz="4"/>
                  </w:tcBorders>
                </w:tcPr>
                <w:p>
                  <w:pPr>
                    <w:jc w:val="center"/>
                  </w:pPr>
                  <w:r>
                    <w:rPr>
                      <w:sz w:val="21"/>
                    </w:rPr>
                    <w:t>31</w:t>
                  </w:r>
                </w:p>
              </w:tc>
              <w:tc>
                <w:tcPr>
                  <w:tcW w:type="dxa" w:w="635"/>
                  <w:vMerge w:val="restart"/>
                  <w:tcBorders>
                    <w:top w:val="none" w:color="000000" w:sz="4"/>
                    <w:left w:val="none" w:color="000000" w:sz="4"/>
                    <w:bottom w:val="single" w:color="000000" w:sz="4"/>
                    <w:right w:val="single" w:color="000000" w:sz="4"/>
                  </w:tcBorders>
                </w:tcPr>
                <w:p>
                  <w:pPr>
                    <w:jc w:val="center"/>
                  </w:pPr>
                  <w:r>
                    <w:rPr>
                      <w:b/>
                      <w:sz w:val="21"/>
                    </w:rPr>
                    <w:t>（六）技术指导</w:t>
                  </w:r>
                </w:p>
              </w:tc>
              <w:tc>
                <w:tcPr>
                  <w:tcW w:type="dxa" w:w="462"/>
                  <w:tcBorders>
                    <w:top w:val="none" w:color="000000" w:sz="4"/>
                    <w:left w:val="none" w:color="000000" w:sz="4"/>
                    <w:bottom w:val="single" w:color="000000" w:sz="4"/>
                    <w:right w:val="single" w:color="000000" w:sz="4"/>
                  </w:tcBorders>
                </w:tcPr>
                <w:p>
                  <w:pPr>
                    <w:jc w:val="center"/>
                  </w:pPr>
                  <w:r>
                    <w:rPr>
                      <w:b/>
                      <w:sz w:val="21"/>
                    </w:rPr>
                    <w:t>技术指导服务和配合</w:t>
                  </w:r>
                </w:p>
              </w:tc>
              <w:tc>
                <w:tcPr>
                  <w:tcW w:type="dxa" w:w="2714"/>
                  <w:tcBorders>
                    <w:top w:val="none" w:color="000000" w:sz="4"/>
                    <w:left w:val="none" w:color="000000" w:sz="4"/>
                    <w:bottom w:val="single" w:color="000000" w:sz="4"/>
                    <w:right w:val="single" w:color="000000" w:sz="4"/>
                  </w:tcBorders>
                </w:tcPr>
                <w:p>
                  <w:pPr>
                    <w:jc w:val="left"/>
                  </w:pPr>
                  <w:r>
                    <w:rPr>
                      <w:sz w:val="21"/>
                    </w:rPr>
                    <w:t>针对自然资源局不定期数据对接、系统对接服务需求，提供系统的技术指导服务和配合工作，配合解决服务器运行维护、功能更新、系统更新、疑难问题排查解决等技术问题。</w:t>
                  </w:r>
                </w:p>
              </w:tc>
              <w:tc>
                <w:tcPr>
                  <w:tcW w:type="dxa" w:w="866"/>
                  <w:tcBorders>
                    <w:top w:val="none" w:color="000000" w:sz="4"/>
                    <w:left w:val="none" w:color="000000" w:sz="4"/>
                    <w:bottom w:val="single" w:color="000000" w:sz="4"/>
                    <w:right w:val="single" w:color="000000" w:sz="4"/>
                  </w:tcBorders>
                </w:tcPr>
                <w:p>
                  <w:pPr>
                    <w:jc w:val="center"/>
                  </w:pPr>
                  <w:r>
                    <w:rPr>
                      <w:sz w:val="21"/>
                    </w:rPr>
                    <w:t>延续性运维</w:t>
                  </w:r>
                </w:p>
              </w:tc>
              <w:tc>
                <w:tcPr>
                  <w:tcW w:type="dxa" w:w="520"/>
                  <w:tcBorders>
                    <w:top w:val="none" w:color="000000" w:sz="4"/>
                    <w:left w:val="none" w:color="000000" w:sz="4"/>
                    <w:bottom w:val="single" w:color="000000" w:sz="4"/>
                    <w:right w:val="single" w:color="000000" w:sz="4"/>
                  </w:tcBorders>
                </w:tcPr>
                <w:p>
                  <w:pPr>
                    <w:jc w:val="center"/>
                  </w:pPr>
                  <w:r>
                    <w:rPr>
                      <w:sz w:val="21"/>
                    </w:rPr>
                    <w:t>　</w:t>
                  </w:r>
                </w:p>
              </w:tc>
            </w:tr>
            <w:tr>
              <w:tc>
                <w:tcPr>
                  <w:tcW w:type="dxa" w:w="346"/>
                  <w:tcBorders>
                    <w:top w:val="none" w:color="000000" w:sz="4"/>
                    <w:left w:val="single" w:color="000000" w:sz="4"/>
                    <w:bottom w:val="single" w:color="000000" w:sz="4"/>
                    <w:right w:val="single" w:color="000000" w:sz="4"/>
                  </w:tcBorders>
                </w:tcPr>
                <w:p>
                  <w:pPr>
                    <w:jc w:val="center"/>
                  </w:pPr>
                  <w:r>
                    <w:rPr>
                      <w:sz w:val="21"/>
                    </w:rPr>
                    <w:t>32</w:t>
                  </w:r>
                </w:p>
              </w:tc>
              <w:tc>
                <w:tcPr>
                  <w:tcW w:type="dxa" w:w="635"/>
                  <w:vMerge/>
                  <w:tcBorders>
                    <w:top w:val="none" w:color="000000" w:sz="4"/>
                    <w:left w:val="none" w:color="000000" w:sz="4"/>
                    <w:bottom w:val="single" w:color="000000" w:sz="4"/>
                    <w:right w:val="single" w:color="000000" w:sz="4"/>
                  </w:tcBorders>
                </w:tcPr>
                <w:p/>
              </w:tc>
              <w:tc>
                <w:tcPr>
                  <w:tcW w:type="dxa" w:w="462"/>
                  <w:tcBorders>
                    <w:top w:val="none" w:color="000000" w:sz="4"/>
                    <w:left w:val="none" w:color="000000" w:sz="4"/>
                    <w:bottom w:val="single" w:color="000000" w:sz="4"/>
                    <w:right w:val="single" w:color="000000" w:sz="4"/>
                  </w:tcBorders>
                </w:tcPr>
                <w:p>
                  <w:pPr>
                    <w:jc w:val="center"/>
                  </w:pPr>
                  <w:r>
                    <w:rPr>
                      <w:b/>
                      <w:sz w:val="21"/>
                    </w:rPr>
                    <w:t>系统维护技术指导</w:t>
                  </w:r>
                </w:p>
              </w:tc>
              <w:tc>
                <w:tcPr>
                  <w:tcW w:type="dxa" w:w="2714"/>
                  <w:tcBorders>
                    <w:top w:val="none" w:color="000000" w:sz="4"/>
                    <w:left w:val="none" w:color="000000" w:sz="4"/>
                    <w:bottom w:val="single" w:color="000000" w:sz="4"/>
                    <w:right w:val="single" w:color="000000" w:sz="4"/>
                  </w:tcBorders>
                </w:tcPr>
                <w:p>
                  <w:pPr>
                    <w:jc w:val="left"/>
                  </w:pPr>
                  <w:r>
                    <w:rPr>
                      <w:sz w:val="21"/>
                    </w:rPr>
                    <w:t>针对系统维护工作，安排现场人员进行临时配合开展，并提供技术支持及指导。</w:t>
                  </w:r>
                </w:p>
              </w:tc>
              <w:tc>
                <w:tcPr>
                  <w:tcW w:type="dxa" w:w="866"/>
                  <w:tcBorders>
                    <w:top w:val="none" w:color="000000" w:sz="4"/>
                    <w:left w:val="none" w:color="000000" w:sz="4"/>
                    <w:bottom w:val="single" w:color="000000" w:sz="4"/>
                    <w:right w:val="single" w:color="000000" w:sz="4"/>
                  </w:tcBorders>
                </w:tcPr>
                <w:p>
                  <w:pPr>
                    <w:jc w:val="center"/>
                  </w:pPr>
                  <w:r>
                    <w:rPr>
                      <w:sz w:val="21"/>
                    </w:rPr>
                    <w:t>延续性运维</w:t>
                  </w:r>
                </w:p>
              </w:tc>
              <w:tc>
                <w:tcPr>
                  <w:tcW w:type="dxa" w:w="520"/>
                  <w:tcBorders>
                    <w:top w:val="none" w:color="000000" w:sz="4"/>
                    <w:left w:val="none" w:color="000000" w:sz="4"/>
                    <w:bottom w:val="single" w:color="000000" w:sz="4"/>
                    <w:right w:val="single" w:color="000000" w:sz="4"/>
                  </w:tcBorders>
                </w:tcPr>
                <w:p>
                  <w:pPr>
                    <w:jc w:val="center"/>
                  </w:pPr>
                  <w:r>
                    <w:rPr>
                      <w:sz w:val="21"/>
                    </w:rPr>
                    <w:t>　</w:t>
                  </w:r>
                </w:p>
              </w:tc>
            </w:tr>
          </w:tbl>
          <w:p>
            <w:r>
              <w:rPr/>
              <w:t xml:space="preserve"> </w:t>
            </w:r>
          </w:p>
          <w:p>
            <w:pPr>
              <w:jc w:val="both"/>
            </w:pPr>
            <w:r>
              <w:rPr/>
              <w:t xml:space="preserve"> </w:t>
            </w:r>
          </w:p>
          <w:p>
            <w:pPr>
              <w:jc w:val="both"/>
            </w:pPr>
            <w:r>
              <w:rPr>
                <w:b/>
                <w:sz w:val="21"/>
              </w:rPr>
              <w:t>3.2.1.3.</w:t>
            </w:r>
            <w:r>
              <w:rPr>
                <w:b/>
                <w:sz w:val="21"/>
              </w:rPr>
              <w:t>网络与信息安全运维</w:t>
            </w:r>
          </w:p>
          <w:tbl>
            <w:tblPr>
              <w:tblBorders>
                <w:top w:val="none" w:color="000000" w:sz="4"/>
                <w:left w:val="none" w:color="000000" w:sz="4"/>
                <w:bottom w:val="none" w:color="000000" w:sz="4"/>
                <w:right w:val="none" w:color="000000" w:sz="4"/>
                <w:insideH w:val="none"/>
                <w:insideV w:val="none"/>
              </w:tblBorders>
            </w:tblPr>
            <w:tblGrid>
              <w:gridCol w:w="426"/>
              <w:gridCol w:w="634"/>
              <w:gridCol w:w="535"/>
              <w:gridCol w:w="2556"/>
              <w:gridCol w:w="961"/>
              <w:gridCol w:w="485"/>
            </w:tblGrid>
            <w:tr>
              <w:tc>
                <w:tcPr>
                  <w:tcW w:type="dxa" w:w="426"/>
                  <w:tcBorders>
                    <w:top w:val="single" w:color="000000" w:sz="4"/>
                    <w:left w:val="single" w:color="000000" w:sz="4"/>
                    <w:bottom w:val="single" w:color="000000" w:sz="4"/>
                    <w:right w:val="single" w:color="000000" w:sz="4"/>
                  </w:tcBorders>
                </w:tcPr>
                <w:p>
                  <w:pPr>
                    <w:jc w:val="both"/>
                  </w:pPr>
                  <w:r>
                    <w:rPr>
                      <w:b/>
                      <w:sz w:val="21"/>
                    </w:rPr>
                    <w:t>序号</w:t>
                  </w:r>
                </w:p>
              </w:tc>
              <w:tc>
                <w:tcPr>
                  <w:tcW w:type="dxa" w:w="1169"/>
                  <w:gridSpan w:val="2"/>
                  <w:tcBorders>
                    <w:top w:val="single" w:color="000000" w:sz="4"/>
                    <w:left w:val="none" w:color="000000" w:sz="4"/>
                    <w:bottom w:val="single" w:color="000000" w:sz="4"/>
                    <w:right w:val="single" w:color="000000" w:sz="4"/>
                  </w:tcBorders>
                </w:tcPr>
                <w:p>
                  <w:pPr>
                    <w:jc w:val="both"/>
                  </w:pPr>
                  <w:r>
                    <w:rPr>
                      <w:b/>
                      <w:sz w:val="21"/>
                    </w:rPr>
                    <w:t>运维事项</w:t>
                  </w:r>
                </w:p>
              </w:tc>
              <w:tc>
                <w:tcPr>
                  <w:tcW w:type="dxa" w:w="2556"/>
                  <w:tcBorders>
                    <w:top w:val="single" w:color="000000" w:sz="4"/>
                    <w:left w:val="none" w:color="000000" w:sz="4"/>
                    <w:bottom w:val="single" w:color="000000" w:sz="4"/>
                    <w:right w:val="single" w:color="000000" w:sz="4"/>
                  </w:tcBorders>
                </w:tcPr>
                <w:p>
                  <w:pPr>
                    <w:jc w:val="both"/>
                  </w:pPr>
                  <w:r>
                    <w:rPr>
                      <w:b/>
                      <w:sz w:val="21"/>
                    </w:rPr>
                    <w:t>运维内容与要求</w:t>
                  </w:r>
                </w:p>
              </w:tc>
              <w:tc>
                <w:tcPr>
                  <w:tcW w:type="dxa" w:w="961"/>
                  <w:tcBorders>
                    <w:top w:val="single" w:color="000000" w:sz="4"/>
                    <w:left w:val="none" w:color="000000" w:sz="4"/>
                    <w:bottom w:val="single" w:color="000000" w:sz="4"/>
                    <w:right w:val="single" w:color="000000" w:sz="4"/>
                  </w:tcBorders>
                </w:tcPr>
                <w:p>
                  <w:pPr>
                    <w:jc w:val="both"/>
                  </w:pPr>
                  <w:r>
                    <w:rPr>
                      <w:b/>
                      <w:sz w:val="21"/>
                    </w:rPr>
                    <w:t>运维性质</w:t>
                  </w:r>
                </w:p>
              </w:tc>
              <w:tc>
                <w:tcPr>
                  <w:tcW w:type="dxa" w:w="485"/>
                  <w:tcBorders>
                    <w:top w:val="single" w:color="000000" w:sz="4"/>
                    <w:left w:val="none" w:color="000000" w:sz="4"/>
                    <w:bottom w:val="single" w:color="000000" w:sz="4"/>
                    <w:right w:val="single" w:color="000000" w:sz="4"/>
                  </w:tcBorders>
                </w:tcPr>
                <w:p>
                  <w:pPr>
                    <w:jc w:val="both"/>
                  </w:pPr>
                  <w:r>
                    <w:rPr>
                      <w:b/>
                      <w:sz w:val="21"/>
                    </w:rPr>
                    <w:t>备注说明</w:t>
                  </w:r>
                </w:p>
              </w:tc>
            </w:tr>
            <w:tr>
              <w:tc>
                <w:tcPr>
                  <w:tcW w:type="dxa" w:w="426"/>
                  <w:tcBorders>
                    <w:top w:val="none" w:color="000000" w:sz="4"/>
                    <w:left w:val="single" w:color="000000" w:sz="4"/>
                    <w:bottom w:val="single" w:color="000000" w:sz="4"/>
                    <w:right w:val="single" w:color="000000" w:sz="4"/>
                  </w:tcBorders>
                </w:tcPr>
                <w:p>
                  <w:pPr>
                    <w:jc w:val="both"/>
                  </w:pPr>
                  <w:r>
                    <w:rPr>
                      <w:sz w:val="21"/>
                    </w:rPr>
                    <w:t>1</w:t>
                  </w:r>
                </w:p>
              </w:tc>
              <w:tc>
                <w:tcPr>
                  <w:tcW w:type="dxa" w:w="634"/>
                  <w:vMerge w:val="restart"/>
                  <w:tcBorders>
                    <w:top w:val="none" w:color="000000" w:sz="4"/>
                    <w:left w:val="none" w:color="000000" w:sz="4"/>
                    <w:bottom w:val="single" w:color="000000" w:sz="4"/>
                    <w:right w:val="single" w:color="000000" w:sz="4"/>
                  </w:tcBorders>
                </w:tcPr>
                <w:p>
                  <w:pPr>
                    <w:jc w:val="both"/>
                  </w:pPr>
                  <w:r>
                    <w:rPr>
                      <w:b/>
                      <w:sz w:val="21"/>
                    </w:rPr>
                    <w:t>（一）网络安全</w:t>
                  </w:r>
                </w:p>
              </w:tc>
              <w:tc>
                <w:tcPr>
                  <w:tcW w:type="dxa" w:w="535"/>
                  <w:tcBorders>
                    <w:top w:val="none" w:color="000000" w:sz="4"/>
                    <w:left w:val="none" w:color="000000" w:sz="4"/>
                    <w:bottom w:val="single" w:color="000000" w:sz="4"/>
                    <w:right w:val="single" w:color="000000" w:sz="4"/>
                  </w:tcBorders>
                </w:tcPr>
                <w:p>
                  <w:pPr>
                    <w:jc w:val="both"/>
                  </w:pPr>
                  <w:r>
                    <w:rPr>
                      <w:b/>
                      <w:sz w:val="21"/>
                    </w:rPr>
                    <w:t>网络安全监控维护</w:t>
                  </w:r>
                </w:p>
              </w:tc>
              <w:tc>
                <w:tcPr>
                  <w:tcW w:type="dxa" w:w="2556"/>
                  <w:tcBorders>
                    <w:top w:val="none" w:color="000000" w:sz="4"/>
                    <w:left w:val="none" w:color="000000" w:sz="4"/>
                    <w:bottom w:val="single" w:color="000000" w:sz="4"/>
                    <w:right w:val="single" w:color="000000" w:sz="4"/>
                  </w:tcBorders>
                  <w:vAlign w:val="top"/>
                </w:tcPr>
                <w:p>
                  <w:pPr>
                    <w:jc w:val="both"/>
                  </w:pPr>
                  <w:r>
                    <w:rPr>
                      <w:sz w:val="21"/>
                    </w:rPr>
                    <w:t>安排专人对网络进行管理，负责运行日志、网络监控记录的日常维护和报警信息分析和处理工作。</w:t>
                  </w:r>
                </w:p>
              </w:tc>
              <w:tc>
                <w:tcPr>
                  <w:tcW w:type="dxa" w:w="961"/>
                  <w:tcBorders>
                    <w:top w:val="none" w:color="000000" w:sz="4"/>
                    <w:left w:val="none" w:color="000000" w:sz="4"/>
                    <w:bottom w:val="single" w:color="000000" w:sz="4"/>
                    <w:right w:val="single" w:color="000000" w:sz="4"/>
                  </w:tcBorders>
                </w:tcPr>
                <w:p>
                  <w:pPr>
                    <w:jc w:val="both"/>
                  </w:pPr>
                  <w:r>
                    <w:rPr>
                      <w:sz w:val="21"/>
                    </w:rPr>
                    <w:t>延续性运维</w:t>
                  </w:r>
                </w:p>
              </w:tc>
              <w:tc>
                <w:tcPr>
                  <w:tcW w:type="dxa" w:w="485"/>
                  <w:tcBorders>
                    <w:top w:val="none" w:color="000000" w:sz="4"/>
                    <w:left w:val="none" w:color="000000" w:sz="4"/>
                    <w:bottom w:val="single" w:color="000000" w:sz="4"/>
                    <w:right w:val="single" w:color="000000" w:sz="4"/>
                  </w:tcBorders>
                </w:tcPr>
                <w:p>
                  <w:pPr>
                    <w:jc w:val="both"/>
                  </w:pPr>
                  <w:r>
                    <w:rPr>
                      <w:sz w:val="21"/>
                    </w:rPr>
                    <w:t>　</w:t>
                  </w:r>
                </w:p>
              </w:tc>
            </w:tr>
            <w:tr>
              <w:tc>
                <w:tcPr>
                  <w:tcW w:type="dxa" w:w="426"/>
                  <w:tcBorders>
                    <w:top w:val="none" w:color="000000" w:sz="4"/>
                    <w:left w:val="single" w:color="000000" w:sz="4"/>
                    <w:bottom w:val="single" w:color="000000" w:sz="4"/>
                    <w:right w:val="single" w:color="000000" w:sz="4"/>
                  </w:tcBorders>
                </w:tcPr>
                <w:p>
                  <w:pPr>
                    <w:jc w:val="both"/>
                  </w:pPr>
                  <w:r>
                    <w:rPr>
                      <w:sz w:val="21"/>
                    </w:rPr>
                    <w:t>2</w:t>
                  </w:r>
                </w:p>
              </w:tc>
              <w:tc>
                <w:tcPr>
                  <w:tcW w:type="dxa" w:w="634"/>
                  <w:vMerge/>
                  <w:tcBorders>
                    <w:top w:val="none" w:color="000000" w:sz="4"/>
                    <w:left w:val="none" w:color="000000" w:sz="4"/>
                    <w:bottom w:val="single" w:color="000000" w:sz="4"/>
                    <w:right w:val="single" w:color="000000" w:sz="4"/>
                  </w:tcBorders>
                </w:tcPr>
                <w:p/>
              </w:tc>
              <w:tc>
                <w:tcPr>
                  <w:tcW w:type="dxa" w:w="535"/>
                  <w:tcBorders>
                    <w:top w:val="none" w:color="000000" w:sz="4"/>
                    <w:left w:val="none" w:color="000000" w:sz="4"/>
                    <w:bottom w:val="single" w:color="000000" w:sz="4"/>
                    <w:right w:val="single" w:color="000000" w:sz="4"/>
                  </w:tcBorders>
                </w:tcPr>
                <w:p>
                  <w:pPr>
                    <w:jc w:val="both"/>
                  </w:pPr>
                  <w:r>
                    <w:rPr>
                      <w:b/>
                      <w:sz w:val="21"/>
                    </w:rPr>
                    <w:t>制定网络安全管理方案</w:t>
                  </w:r>
                </w:p>
              </w:tc>
              <w:tc>
                <w:tcPr>
                  <w:tcW w:type="dxa" w:w="2556"/>
                  <w:tcBorders>
                    <w:top w:val="none" w:color="000000" w:sz="4"/>
                    <w:left w:val="none" w:color="000000" w:sz="4"/>
                    <w:bottom w:val="single" w:color="000000" w:sz="4"/>
                    <w:right w:val="single" w:color="000000" w:sz="4"/>
                  </w:tcBorders>
                  <w:vAlign w:val="top"/>
                </w:tcPr>
                <w:p>
                  <w:pPr>
                    <w:jc w:val="both"/>
                  </w:pPr>
                  <w:r>
                    <w:rPr>
                      <w:sz w:val="21"/>
                    </w:rPr>
                    <w:t>制定网络安全管理方案，落实网络安全配置、日志保存时间、安全策略、升级与打补丁、口令更新周期等方面安全措施。</w:t>
                  </w:r>
                </w:p>
              </w:tc>
              <w:tc>
                <w:tcPr>
                  <w:tcW w:type="dxa" w:w="961"/>
                  <w:tcBorders>
                    <w:top w:val="none" w:color="000000" w:sz="4"/>
                    <w:left w:val="none" w:color="000000" w:sz="4"/>
                    <w:bottom w:val="single" w:color="000000" w:sz="4"/>
                    <w:right w:val="single" w:color="000000" w:sz="4"/>
                  </w:tcBorders>
                </w:tcPr>
                <w:p>
                  <w:pPr>
                    <w:jc w:val="both"/>
                  </w:pPr>
                  <w:r>
                    <w:rPr>
                      <w:sz w:val="21"/>
                    </w:rPr>
                    <w:t>延续性运维</w:t>
                  </w:r>
                </w:p>
              </w:tc>
              <w:tc>
                <w:tcPr>
                  <w:tcW w:type="dxa" w:w="485"/>
                  <w:tcBorders>
                    <w:top w:val="none" w:color="000000" w:sz="4"/>
                    <w:left w:val="none" w:color="000000" w:sz="4"/>
                    <w:bottom w:val="single" w:color="000000" w:sz="4"/>
                    <w:right w:val="single" w:color="000000" w:sz="4"/>
                  </w:tcBorders>
                </w:tcPr>
                <w:p>
                  <w:pPr>
                    <w:jc w:val="both"/>
                  </w:pPr>
                  <w:r>
                    <w:rPr>
                      <w:sz w:val="21"/>
                    </w:rPr>
                    <w:t>　</w:t>
                  </w:r>
                </w:p>
              </w:tc>
            </w:tr>
            <w:tr>
              <w:tc>
                <w:tcPr>
                  <w:tcW w:type="dxa" w:w="426"/>
                  <w:tcBorders>
                    <w:top w:val="none" w:color="000000" w:sz="4"/>
                    <w:left w:val="single" w:color="000000" w:sz="4"/>
                    <w:bottom w:val="single" w:color="000000" w:sz="4"/>
                    <w:right w:val="single" w:color="000000" w:sz="4"/>
                  </w:tcBorders>
                </w:tcPr>
                <w:p>
                  <w:pPr>
                    <w:jc w:val="both"/>
                  </w:pPr>
                  <w:r>
                    <w:rPr>
                      <w:sz w:val="21"/>
                    </w:rPr>
                    <w:t>3</w:t>
                  </w:r>
                </w:p>
              </w:tc>
              <w:tc>
                <w:tcPr>
                  <w:tcW w:type="dxa" w:w="634"/>
                  <w:vMerge/>
                  <w:tcBorders>
                    <w:top w:val="none" w:color="000000" w:sz="4"/>
                    <w:left w:val="none" w:color="000000" w:sz="4"/>
                    <w:bottom w:val="single" w:color="000000" w:sz="4"/>
                    <w:right w:val="single" w:color="000000" w:sz="4"/>
                  </w:tcBorders>
                </w:tcPr>
                <w:p/>
              </w:tc>
              <w:tc>
                <w:tcPr>
                  <w:tcW w:type="dxa" w:w="535"/>
                  <w:tcBorders>
                    <w:top w:val="none" w:color="000000" w:sz="4"/>
                    <w:left w:val="none" w:color="000000" w:sz="4"/>
                    <w:bottom w:val="single" w:color="000000" w:sz="4"/>
                    <w:right w:val="single" w:color="000000" w:sz="4"/>
                  </w:tcBorders>
                </w:tcPr>
                <w:p>
                  <w:pPr>
                    <w:jc w:val="both"/>
                  </w:pPr>
                  <w:r>
                    <w:rPr>
                      <w:b/>
                      <w:sz w:val="21"/>
                    </w:rPr>
                    <w:t>网络安全漏洞修补</w:t>
                  </w:r>
                </w:p>
              </w:tc>
              <w:tc>
                <w:tcPr>
                  <w:tcW w:type="dxa" w:w="2556"/>
                  <w:tcBorders>
                    <w:top w:val="none" w:color="000000" w:sz="4"/>
                    <w:left w:val="none" w:color="000000" w:sz="4"/>
                    <w:bottom w:val="single" w:color="000000" w:sz="4"/>
                    <w:right w:val="single" w:color="000000" w:sz="4"/>
                  </w:tcBorders>
                  <w:vAlign w:val="top"/>
                </w:tcPr>
                <w:p>
                  <w:pPr>
                    <w:jc w:val="both"/>
                  </w:pPr>
                  <w:r>
                    <w:rPr>
                      <w:sz w:val="21"/>
                    </w:rPr>
                    <w:t>定期主动对系统服务器进行漏洞扫描，对发现的应用系统、数据库和操作系统安全漏洞进行及时的修补，定期检查违反规定拨号上网或其他违反网络安全策略的行为。配合进行系统安全等保年度检测及漏洞修复整改，按用户要求对系统开展等保级别优化调整，根据等保三级测评标准对系统进行相应改造。</w:t>
                  </w:r>
                </w:p>
              </w:tc>
              <w:tc>
                <w:tcPr>
                  <w:tcW w:type="dxa" w:w="961"/>
                  <w:tcBorders>
                    <w:top w:val="none" w:color="000000" w:sz="4"/>
                    <w:left w:val="none" w:color="000000" w:sz="4"/>
                    <w:bottom w:val="single" w:color="000000" w:sz="4"/>
                    <w:right w:val="single" w:color="000000" w:sz="4"/>
                  </w:tcBorders>
                </w:tcPr>
                <w:p>
                  <w:pPr>
                    <w:jc w:val="both"/>
                  </w:pPr>
                  <w:r>
                    <w:rPr>
                      <w:sz w:val="21"/>
                    </w:rPr>
                    <w:t>延续性运维</w:t>
                  </w:r>
                </w:p>
              </w:tc>
              <w:tc>
                <w:tcPr>
                  <w:tcW w:type="dxa" w:w="485"/>
                  <w:tcBorders>
                    <w:top w:val="none" w:color="000000" w:sz="4"/>
                    <w:left w:val="none" w:color="000000" w:sz="4"/>
                    <w:bottom w:val="single" w:color="000000" w:sz="4"/>
                    <w:right w:val="single" w:color="000000" w:sz="4"/>
                  </w:tcBorders>
                </w:tcPr>
                <w:p>
                  <w:pPr>
                    <w:jc w:val="both"/>
                  </w:pPr>
                  <w:r>
                    <w:rPr>
                      <w:sz w:val="21"/>
                    </w:rPr>
                    <w:t>　</w:t>
                  </w:r>
                </w:p>
              </w:tc>
            </w:tr>
            <w:tr>
              <w:tc>
                <w:tcPr>
                  <w:tcW w:type="dxa" w:w="426"/>
                  <w:tcBorders>
                    <w:top w:val="none" w:color="000000" w:sz="4"/>
                    <w:left w:val="single" w:color="000000" w:sz="4"/>
                    <w:bottom w:val="single" w:color="000000" w:sz="4"/>
                    <w:right w:val="single" w:color="000000" w:sz="4"/>
                  </w:tcBorders>
                </w:tcPr>
                <w:p>
                  <w:pPr>
                    <w:jc w:val="both"/>
                  </w:pPr>
                  <w:r>
                    <w:rPr>
                      <w:sz w:val="21"/>
                    </w:rPr>
                    <w:t>4</w:t>
                  </w:r>
                </w:p>
              </w:tc>
              <w:tc>
                <w:tcPr>
                  <w:tcW w:type="dxa" w:w="634"/>
                  <w:vMerge w:val="restart"/>
                  <w:tcBorders>
                    <w:top w:val="none" w:color="000000" w:sz="4"/>
                    <w:left w:val="none" w:color="000000" w:sz="4"/>
                    <w:bottom w:val="single" w:color="000000" w:sz="4"/>
                    <w:right w:val="single" w:color="000000" w:sz="4"/>
                  </w:tcBorders>
                </w:tcPr>
                <w:p>
                  <w:pPr>
                    <w:jc w:val="both"/>
                  </w:pPr>
                  <w:r>
                    <w:rPr>
                      <w:b/>
                      <w:sz w:val="21"/>
                    </w:rPr>
                    <w:t>（二）数据安全</w:t>
                  </w:r>
                </w:p>
              </w:tc>
              <w:tc>
                <w:tcPr>
                  <w:tcW w:type="dxa" w:w="535"/>
                  <w:tcBorders>
                    <w:top w:val="none" w:color="000000" w:sz="4"/>
                    <w:left w:val="none" w:color="000000" w:sz="4"/>
                    <w:bottom w:val="single" w:color="000000" w:sz="4"/>
                    <w:right w:val="single" w:color="000000" w:sz="4"/>
                  </w:tcBorders>
                </w:tcPr>
                <w:p>
                  <w:pPr>
                    <w:jc w:val="both"/>
                  </w:pPr>
                  <w:r>
                    <w:rPr>
                      <w:b/>
                      <w:sz w:val="21"/>
                    </w:rPr>
                    <w:t>数据加密</w:t>
                  </w:r>
                </w:p>
              </w:tc>
              <w:tc>
                <w:tcPr>
                  <w:tcW w:type="dxa" w:w="2556"/>
                  <w:tcBorders>
                    <w:top w:val="none" w:color="000000" w:sz="4"/>
                    <w:left w:val="none" w:color="000000" w:sz="4"/>
                    <w:bottom w:val="single" w:color="000000" w:sz="4"/>
                    <w:right w:val="single" w:color="000000" w:sz="4"/>
                  </w:tcBorders>
                  <w:vAlign w:val="top"/>
                </w:tcPr>
                <w:p>
                  <w:pPr>
                    <w:jc w:val="both"/>
                  </w:pPr>
                  <w:r>
                    <w:rPr>
                      <w:sz w:val="21"/>
                    </w:rPr>
                    <w:t>随着国土空间基础信息系统平台的功能叠加，涉及的数据体量大、权限复杂，从安全风险角度出发，实现数据的机密性保护，对需要对接的业务系统数据进行加密管理，并提供数据应用秘钥，管理各接入系统数据；定期对数据库密码进行修改，避免密码泄露。通过分配</w:t>
                  </w:r>
                  <w:r>
                    <w:rPr>
                      <w:sz w:val="21"/>
                    </w:rPr>
                    <w:t>ID</w:t>
                  </w:r>
                  <w:r>
                    <w:rPr>
                      <w:sz w:val="21"/>
                    </w:rPr>
                    <w:t>、采用不同的公私钥对进行数据加密，保证数据安全。</w:t>
                  </w:r>
                </w:p>
              </w:tc>
              <w:tc>
                <w:tcPr>
                  <w:tcW w:type="dxa" w:w="961"/>
                  <w:tcBorders>
                    <w:top w:val="none" w:color="000000" w:sz="4"/>
                    <w:left w:val="none" w:color="000000" w:sz="4"/>
                    <w:bottom w:val="single" w:color="000000" w:sz="4"/>
                    <w:right w:val="single" w:color="000000" w:sz="4"/>
                  </w:tcBorders>
                </w:tcPr>
                <w:p>
                  <w:pPr>
                    <w:jc w:val="both"/>
                  </w:pPr>
                  <w:r>
                    <w:rPr>
                      <w:sz w:val="21"/>
                    </w:rPr>
                    <w:t>延续性运维</w:t>
                  </w:r>
                </w:p>
              </w:tc>
              <w:tc>
                <w:tcPr>
                  <w:tcW w:type="dxa" w:w="485"/>
                  <w:tcBorders>
                    <w:top w:val="none" w:color="000000" w:sz="4"/>
                    <w:left w:val="none" w:color="000000" w:sz="4"/>
                    <w:bottom w:val="single" w:color="000000" w:sz="4"/>
                    <w:right w:val="single" w:color="000000" w:sz="4"/>
                  </w:tcBorders>
                </w:tcPr>
                <w:p>
                  <w:pPr>
                    <w:jc w:val="both"/>
                  </w:pPr>
                  <w:r>
                    <w:rPr>
                      <w:sz w:val="21"/>
                    </w:rPr>
                    <w:t>　</w:t>
                  </w:r>
                </w:p>
              </w:tc>
            </w:tr>
            <w:tr>
              <w:tc>
                <w:tcPr>
                  <w:tcW w:type="dxa" w:w="426"/>
                  <w:tcBorders>
                    <w:top w:val="none" w:color="000000" w:sz="4"/>
                    <w:left w:val="single" w:color="000000" w:sz="4"/>
                    <w:bottom w:val="single" w:color="000000" w:sz="4"/>
                    <w:right w:val="single" w:color="000000" w:sz="4"/>
                  </w:tcBorders>
                </w:tcPr>
                <w:p>
                  <w:pPr>
                    <w:jc w:val="both"/>
                  </w:pPr>
                  <w:r>
                    <w:rPr>
                      <w:sz w:val="21"/>
                    </w:rPr>
                    <w:t>5</w:t>
                  </w:r>
                </w:p>
              </w:tc>
              <w:tc>
                <w:tcPr>
                  <w:tcW w:type="dxa" w:w="634"/>
                  <w:vMerge/>
                  <w:tcBorders>
                    <w:top w:val="none" w:color="000000" w:sz="4"/>
                    <w:left w:val="none" w:color="000000" w:sz="4"/>
                    <w:bottom w:val="single" w:color="000000" w:sz="4"/>
                    <w:right w:val="single" w:color="000000" w:sz="4"/>
                  </w:tcBorders>
                </w:tcPr>
                <w:p/>
              </w:tc>
              <w:tc>
                <w:tcPr>
                  <w:tcW w:type="dxa" w:w="535"/>
                  <w:tcBorders>
                    <w:top w:val="none" w:color="000000" w:sz="4"/>
                    <w:left w:val="none" w:color="000000" w:sz="4"/>
                    <w:bottom w:val="single" w:color="000000" w:sz="4"/>
                    <w:right w:val="single" w:color="000000" w:sz="4"/>
                  </w:tcBorders>
                </w:tcPr>
                <w:p>
                  <w:pPr>
                    <w:jc w:val="both"/>
                  </w:pPr>
                  <w:r>
                    <w:rPr>
                      <w:b/>
                      <w:sz w:val="21"/>
                    </w:rPr>
                    <w:t>数据申请</w:t>
                  </w:r>
                </w:p>
              </w:tc>
              <w:tc>
                <w:tcPr>
                  <w:tcW w:type="dxa" w:w="2556"/>
                  <w:tcBorders>
                    <w:top w:val="none" w:color="000000" w:sz="4"/>
                    <w:left w:val="none" w:color="000000" w:sz="4"/>
                    <w:bottom w:val="single" w:color="000000" w:sz="4"/>
                    <w:right w:val="single" w:color="000000" w:sz="4"/>
                  </w:tcBorders>
                  <w:vAlign w:val="top"/>
                </w:tcPr>
                <w:p>
                  <w:pPr>
                    <w:jc w:val="both"/>
                  </w:pPr>
                  <w:r>
                    <w:rPr>
                      <w:sz w:val="21"/>
                    </w:rPr>
                    <w:t>数据申请调用运维人员保证不允许对任何文件进行任何形式的拷贝、复制。如有相关数据申请需求，必须向上申请审批，申请内容必须指明数据具体的内容、用途、使用人员，经过审批通过后才允许拷贝。</w:t>
                  </w:r>
                </w:p>
              </w:tc>
              <w:tc>
                <w:tcPr>
                  <w:tcW w:type="dxa" w:w="961"/>
                  <w:tcBorders>
                    <w:top w:val="none" w:color="000000" w:sz="4"/>
                    <w:left w:val="none" w:color="000000" w:sz="4"/>
                    <w:bottom w:val="single" w:color="000000" w:sz="4"/>
                    <w:right w:val="single" w:color="000000" w:sz="4"/>
                  </w:tcBorders>
                </w:tcPr>
                <w:p>
                  <w:pPr>
                    <w:jc w:val="both"/>
                  </w:pPr>
                  <w:r>
                    <w:rPr>
                      <w:sz w:val="21"/>
                    </w:rPr>
                    <w:t>延续性运维</w:t>
                  </w:r>
                </w:p>
              </w:tc>
              <w:tc>
                <w:tcPr>
                  <w:tcW w:type="dxa" w:w="485"/>
                  <w:tcBorders>
                    <w:top w:val="none" w:color="000000" w:sz="4"/>
                    <w:left w:val="none" w:color="000000" w:sz="4"/>
                    <w:bottom w:val="single" w:color="000000" w:sz="4"/>
                    <w:right w:val="single" w:color="000000" w:sz="4"/>
                  </w:tcBorders>
                </w:tcPr>
                <w:p>
                  <w:pPr>
                    <w:jc w:val="both"/>
                  </w:pPr>
                  <w:r>
                    <w:rPr>
                      <w:sz w:val="21"/>
                    </w:rPr>
                    <w:t>　</w:t>
                  </w:r>
                </w:p>
              </w:tc>
            </w:tr>
            <w:tr>
              <w:tc>
                <w:tcPr>
                  <w:tcW w:type="dxa" w:w="426"/>
                  <w:tcBorders>
                    <w:top w:val="none" w:color="000000" w:sz="4"/>
                    <w:left w:val="single" w:color="000000" w:sz="4"/>
                    <w:bottom w:val="single" w:color="000000" w:sz="4"/>
                    <w:right w:val="single" w:color="000000" w:sz="4"/>
                  </w:tcBorders>
                </w:tcPr>
                <w:p>
                  <w:pPr>
                    <w:jc w:val="both"/>
                  </w:pPr>
                  <w:r>
                    <w:rPr>
                      <w:sz w:val="21"/>
                    </w:rPr>
                    <w:t>6</w:t>
                  </w:r>
                </w:p>
              </w:tc>
              <w:tc>
                <w:tcPr>
                  <w:tcW w:type="dxa" w:w="634"/>
                  <w:vMerge/>
                  <w:tcBorders>
                    <w:top w:val="none" w:color="000000" w:sz="4"/>
                    <w:left w:val="none" w:color="000000" w:sz="4"/>
                    <w:bottom w:val="single" w:color="000000" w:sz="4"/>
                    <w:right w:val="single" w:color="000000" w:sz="4"/>
                  </w:tcBorders>
                </w:tcPr>
                <w:p/>
              </w:tc>
              <w:tc>
                <w:tcPr>
                  <w:tcW w:type="dxa" w:w="535"/>
                  <w:tcBorders>
                    <w:top w:val="none" w:color="000000" w:sz="4"/>
                    <w:left w:val="none" w:color="000000" w:sz="4"/>
                    <w:bottom w:val="single" w:color="000000" w:sz="4"/>
                    <w:right w:val="single" w:color="000000" w:sz="4"/>
                  </w:tcBorders>
                </w:tcPr>
                <w:p>
                  <w:pPr>
                    <w:jc w:val="both"/>
                  </w:pPr>
                  <w:r>
                    <w:rPr>
                      <w:b/>
                      <w:sz w:val="21"/>
                    </w:rPr>
                    <w:t>数据脱敏</w:t>
                  </w:r>
                </w:p>
              </w:tc>
              <w:tc>
                <w:tcPr>
                  <w:tcW w:type="dxa" w:w="2556"/>
                  <w:tcBorders>
                    <w:top w:val="none" w:color="000000" w:sz="4"/>
                    <w:left w:val="none" w:color="000000" w:sz="4"/>
                    <w:bottom w:val="single" w:color="000000" w:sz="4"/>
                    <w:right w:val="single" w:color="000000" w:sz="4"/>
                  </w:tcBorders>
                  <w:vAlign w:val="top"/>
                </w:tcPr>
                <w:p>
                  <w:pPr>
                    <w:jc w:val="both"/>
                  </w:pPr>
                  <w:r>
                    <w:rPr>
                      <w:sz w:val="21"/>
                    </w:rPr>
                    <w:t>敏感数据根据用户要求进行数据脱敏，提供支持符合要求的脱敏算法，包括：动态脱敏和静态脱敏，脱敏操作提供完整的数据使用日志记录。记录包括：共享人、时间、</w:t>
                  </w:r>
                  <w:r>
                    <w:rPr>
                      <w:sz w:val="21"/>
                    </w:rPr>
                    <w:t>IP</w:t>
                  </w:r>
                  <w:r>
                    <w:rPr>
                      <w:sz w:val="21"/>
                    </w:rPr>
                    <w:t>等；对日志中的敏感数据已进行脱敏保存，日志至少保存</w:t>
                  </w:r>
                  <w:r>
                    <w:rPr>
                      <w:sz w:val="21"/>
                    </w:rPr>
                    <w:t>6</w:t>
                  </w:r>
                  <w:r>
                    <w:rPr>
                      <w:sz w:val="21"/>
                    </w:rPr>
                    <w:t>个月。</w:t>
                  </w:r>
                </w:p>
              </w:tc>
              <w:tc>
                <w:tcPr>
                  <w:tcW w:type="dxa" w:w="961"/>
                  <w:tcBorders>
                    <w:top w:val="none" w:color="000000" w:sz="4"/>
                    <w:left w:val="none" w:color="000000" w:sz="4"/>
                    <w:bottom w:val="single" w:color="000000" w:sz="4"/>
                    <w:right w:val="single" w:color="000000" w:sz="4"/>
                  </w:tcBorders>
                </w:tcPr>
                <w:p>
                  <w:pPr>
                    <w:jc w:val="both"/>
                  </w:pPr>
                  <w:r>
                    <w:rPr>
                      <w:sz w:val="21"/>
                    </w:rPr>
                    <w:t>延续性运维</w:t>
                  </w:r>
                </w:p>
              </w:tc>
              <w:tc>
                <w:tcPr>
                  <w:tcW w:type="dxa" w:w="485"/>
                  <w:tcBorders>
                    <w:top w:val="none" w:color="000000" w:sz="4"/>
                    <w:left w:val="none" w:color="000000" w:sz="4"/>
                    <w:bottom w:val="single" w:color="000000" w:sz="4"/>
                    <w:right w:val="single" w:color="000000" w:sz="4"/>
                  </w:tcBorders>
                </w:tcPr>
                <w:p>
                  <w:pPr>
                    <w:jc w:val="both"/>
                  </w:pPr>
                  <w:r>
                    <w:rPr>
                      <w:sz w:val="21"/>
                    </w:rPr>
                    <w:t>　</w:t>
                  </w:r>
                </w:p>
              </w:tc>
            </w:tr>
            <w:tr>
              <w:tc>
                <w:tcPr>
                  <w:tcW w:type="dxa" w:w="426"/>
                  <w:tcBorders>
                    <w:top w:val="none" w:color="000000" w:sz="4"/>
                    <w:left w:val="single" w:color="000000" w:sz="4"/>
                    <w:bottom w:val="single" w:color="000000" w:sz="4"/>
                    <w:right w:val="single" w:color="000000" w:sz="4"/>
                  </w:tcBorders>
                </w:tcPr>
                <w:p>
                  <w:pPr>
                    <w:jc w:val="both"/>
                  </w:pPr>
                  <w:r>
                    <w:rPr>
                      <w:sz w:val="21"/>
                    </w:rPr>
                    <w:t>7</w:t>
                  </w:r>
                </w:p>
              </w:tc>
              <w:tc>
                <w:tcPr>
                  <w:tcW w:type="dxa" w:w="634"/>
                  <w:vMerge/>
                  <w:tcBorders>
                    <w:top w:val="none" w:color="000000" w:sz="4"/>
                    <w:left w:val="none" w:color="000000" w:sz="4"/>
                    <w:bottom w:val="single" w:color="000000" w:sz="4"/>
                    <w:right w:val="single" w:color="000000" w:sz="4"/>
                  </w:tcBorders>
                </w:tcPr>
                <w:p/>
              </w:tc>
              <w:tc>
                <w:tcPr>
                  <w:tcW w:type="dxa" w:w="535"/>
                  <w:tcBorders>
                    <w:top w:val="none" w:color="000000" w:sz="4"/>
                    <w:left w:val="none" w:color="000000" w:sz="4"/>
                    <w:bottom w:val="single" w:color="000000" w:sz="4"/>
                    <w:right w:val="single" w:color="000000" w:sz="4"/>
                  </w:tcBorders>
                </w:tcPr>
                <w:p>
                  <w:pPr>
                    <w:jc w:val="both"/>
                  </w:pPr>
                  <w:r>
                    <w:rPr>
                      <w:b/>
                      <w:sz w:val="21"/>
                    </w:rPr>
                    <w:t>数据传输</w:t>
                  </w:r>
                </w:p>
              </w:tc>
              <w:tc>
                <w:tcPr>
                  <w:tcW w:type="dxa" w:w="2556"/>
                  <w:tcBorders>
                    <w:top w:val="none" w:color="000000" w:sz="4"/>
                    <w:left w:val="none" w:color="000000" w:sz="4"/>
                    <w:bottom w:val="single" w:color="000000" w:sz="4"/>
                    <w:right w:val="single" w:color="000000" w:sz="4"/>
                  </w:tcBorders>
                  <w:vAlign w:val="top"/>
                </w:tcPr>
                <w:p>
                  <w:pPr>
                    <w:jc w:val="both"/>
                  </w:pPr>
                  <w:r>
                    <w:rPr>
                      <w:sz w:val="21"/>
                    </w:rPr>
                    <w:t>在数据流转过程中，定期检查和评估数据传输的安全性和可靠性。提供采集数据的完整性校验功能，同时采用访问控制机制保证用户重要数据不会被非法访问和篡改，确保采集的数据安全可靠。提供网络数据泄露检测功能，根据配置规则对网络协议内发现的敏感数据进行检测、拦截、审计等操作，并对检测功能进行展示。</w:t>
                  </w:r>
                </w:p>
              </w:tc>
              <w:tc>
                <w:tcPr>
                  <w:tcW w:type="dxa" w:w="961"/>
                  <w:tcBorders>
                    <w:top w:val="none" w:color="000000" w:sz="4"/>
                    <w:left w:val="none" w:color="000000" w:sz="4"/>
                    <w:bottom w:val="single" w:color="000000" w:sz="4"/>
                    <w:right w:val="single" w:color="000000" w:sz="4"/>
                  </w:tcBorders>
                </w:tcPr>
                <w:p>
                  <w:pPr>
                    <w:jc w:val="both"/>
                  </w:pPr>
                  <w:r>
                    <w:rPr>
                      <w:sz w:val="21"/>
                    </w:rPr>
                    <w:t>延续性运维</w:t>
                  </w:r>
                </w:p>
              </w:tc>
              <w:tc>
                <w:tcPr>
                  <w:tcW w:type="dxa" w:w="485"/>
                  <w:tcBorders>
                    <w:top w:val="none" w:color="000000" w:sz="4"/>
                    <w:left w:val="none" w:color="000000" w:sz="4"/>
                    <w:bottom w:val="single" w:color="000000" w:sz="4"/>
                    <w:right w:val="single" w:color="000000" w:sz="4"/>
                  </w:tcBorders>
                </w:tcPr>
                <w:p>
                  <w:pPr>
                    <w:jc w:val="both"/>
                  </w:pPr>
                  <w:r>
                    <w:rPr>
                      <w:sz w:val="21"/>
                    </w:rPr>
                    <w:t>　</w:t>
                  </w:r>
                </w:p>
              </w:tc>
            </w:tr>
            <w:tr>
              <w:tc>
                <w:tcPr>
                  <w:tcW w:type="dxa" w:w="426"/>
                  <w:tcBorders>
                    <w:top w:val="none" w:color="000000" w:sz="4"/>
                    <w:left w:val="single" w:color="000000" w:sz="4"/>
                    <w:bottom w:val="single" w:color="000000" w:sz="4"/>
                    <w:right w:val="single" w:color="000000" w:sz="4"/>
                  </w:tcBorders>
                </w:tcPr>
                <w:p>
                  <w:pPr>
                    <w:jc w:val="both"/>
                  </w:pPr>
                  <w:r>
                    <w:rPr>
                      <w:sz w:val="21"/>
                    </w:rPr>
                    <w:t>8</w:t>
                  </w:r>
                </w:p>
              </w:tc>
              <w:tc>
                <w:tcPr>
                  <w:tcW w:type="dxa" w:w="634"/>
                  <w:vMerge/>
                  <w:tcBorders>
                    <w:top w:val="none" w:color="000000" w:sz="4"/>
                    <w:left w:val="none" w:color="000000" w:sz="4"/>
                    <w:bottom w:val="single" w:color="000000" w:sz="4"/>
                    <w:right w:val="single" w:color="000000" w:sz="4"/>
                  </w:tcBorders>
                </w:tcPr>
                <w:p/>
              </w:tc>
              <w:tc>
                <w:tcPr>
                  <w:tcW w:type="dxa" w:w="535"/>
                  <w:tcBorders>
                    <w:top w:val="none" w:color="000000" w:sz="4"/>
                    <w:left w:val="none" w:color="000000" w:sz="4"/>
                    <w:bottom w:val="single" w:color="000000" w:sz="4"/>
                    <w:right w:val="single" w:color="000000" w:sz="4"/>
                  </w:tcBorders>
                </w:tcPr>
                <w:p>
                  <w:pPr>
                    <w:jc w:val="both"/>
                  </w:pPr>
                  <w:r>
                    <w:rPr>
                      <w:b/>
                      <w:sz w:val="21"/>
                    </w:rPr>
                    <w:t>数据备份</w:t>
                  </w:r>
                </w:p>
              </w:tc>
              <w:tc>
                <w:tcPr>
                  <w:tcW w:type="dxa" w:w="2556"/>
                  <w:tcBorders>
                    <w:top w:val="none" w:color="000000" w:sz="4"/>
                    <w:left w:val="none" w:color="000000" w:sz="4"/>
                    <w:bottom w:val="single" w:color="000000" w:sz="4"/>
                    <w:right w:val="single" w:color="000000" w:sz="4"/>
                  </w:tcBorders>
                  <w:vAlign w:val="top"/>
                </w:tcPr>
                <w:p>
                  <w:pPr>
                    <w:jc w:val="both"/>
                  </w:pPr>
                  <w:r>
                    <w:rPr>
                      <w:sz w:val="21"/>
                    </w:rPr>
                    <w:t>在数据流转过程中，定期检查和评估数据传输的安全性和可靠性。提供采集数据的完整性校验功能，同时采用访问控制机制保证用户重要数据不会被非法访问和篡改，确保采集的数据安全可靠。提供网络数据泄露检测功能，根据配置规则对网络协议内发现的敏感数据进行检测、拦截、审计等操作，并对检测功能进行展示。</w:t>
                  </w:r>
                </w:p>
              </w:tc>
              <w:tc>
                <w:tcPr>
                  <w:tcW w:type="dxa" w:w="961"/>
                  <w:tcBorders>
                    <w:top w:val="none" w:color="000000" w:sz="4"/>
                    <w:left w:val="none" w:color="000000" w:sz="4"/>
                    <w:bottom w:val="single" w:color="000000" w:sz="4"/>
                    <w:right w:val="single" w:color="000000" w:sz="4"/>
                  </w:tcBorders>
                </w:tcPr>
                <w:p>
                  <w:pPr>
                    <w:jc w:val="both"/>
                  </w:pPr>
                  <w:r>
                    <w:rPr>
                      <w:sz w:val="21"/>
                    </w:rPr>
                    <w:t>延续性运维</w:t>
                  </w:r>
                </w:p>
              </w:tc>
              <w:tc>
                <w:tcPr>
                  <w:tcW w:type="dxa" w:w="485"/>
                  <w:tcBorders>
                    <w:top w:val="none" w:color="000000" w:sz="4"/>
                    <w:left w:val="none" w:color="000000" w:sz="4"/>
                    <w:bottom w:val="single" w:color="000000" w:sz="4"/>
                    <w:right w:val="single" w:color="000000" w:sz="4"/>
                  </w:tcBorders>
                </w:tcPr>
                <w:p>
                  <w:pPr>
                    <w:jc w:val="both"/>
                  </w:pPr>
                  <w:r>
                    <w:rPr>
                      <w:sz w:val="21"/>
                    </w:rPr>
                    <w:t>　</w:t>
                  </w:r>
                </w:p>
              </w:tc>
            </w:tr>
            <w:tr>
              <w:tc>
                <w:tcPr>
                  <w:tcW w:type="dxa" w:w="426"/>
                  <w:tcBorders>
                    <w:top w:val="none" w:color="000000" w:sz="4"/>
                    <w:left w:val="single" w:color="000000" w:sz="4"/>
                    <w:bottom w:val="single" w:color="000000" w:sz="4"/>
                    <w:right w:val="single" w:color="000000" w:sz="4"/>
                  </w:tcBorders>
                </w:tcPr>
                <w:p>
                  <w:pPr>
                    <w:jc w:val="both"/>
                  </w:pPr>
                  <w:r>
                    <w:rPr>
                      <w:sz w:val="21"/>
                    </w:rPr>
                    <w:t>9</w:t>
                  </w:r>
                </w:p>
              </w:tc>
              <w:tc>
                <w:tcPr>
                  <w:tcW w:type="dxa" w:w="634"/>
                  <w:vMerge w:val="restart"/>
                  <w:tcBorders>
                    <w:top w:val="none" w:color="000000" w:sz="4"/>
                    <w:left w:val="none" w:color="000000" w:sz="4"/>
                    <w:bottom w:val="single" w:color="000000" w:sz="4"/>
                    <w:right w:val="single" w:color="000000" w:sz="4"/>
                  </w:tcBorders>
                </w:tcPr>
                <w:p>
                  <w:pPr>
                    <w:jc w:val="both"/>
                  </w:pPr>
                  <w:r>
                    <w:rPr>
                      <w:b/>
                      <w:sz w:val="21"/>
                    </w:rPr>
                    <w:t>（三）系统安全防护</w:t>
                  </w:r>
                </w:p>
              </w:tc>
              <w:tc>
                <w:tcPr>
                  <w:tcW w:type="dxa" w:w="535"/>
                  <w:tcBorders>
                    <w:top w:val="none" w:color="000000" w:sz="4"/>
                    <w:left w:val="none" w:color="000000" w:sz="4"/>
                    <w:bottom w:val="single" w:color="000000" w:sz="4"/>
                    <w:right w:val="single" w:color="000000" w:sz="4"/>
                  </w:tcBorders>
                </w:tcPr>
                <w:p>
                  <w:pPr>
                    <w:jc w:val="both"/>
                  </w:pPr>
                  <w:r>
                    <w:rPr>
                      <w:b/>
                      <w:sz w:val="21"/>
                    </w:rPr>
                    <w:t>漏洞修复</w:t>
                  </w:r>
                </w:p>
              </w:tc>
              <w:tc>
                <w:tcPr>
                  <w:tcW w:type="dxa" w:w="2556"/>
                  <w:tcBorders>
                    <w:top w:val="none" w:color="000000" w:sz="4"/>
                    <w:left w:val="none" w:color="000000" w:sz="4"/>
                    <w:bottom w:val="single" w:color="000000" w:sz="4"/>
                    <w:right w:val="single" w:color="000000" w:sz="4"/>
                  </w:tcBorders>
                  <w:vAlign w:val="top"/>
                </w:tcPr>
                <w:p>
                  <w:pPr>
                    <w:jc w:val="both"/>
                  </w:pPr>
                  <w:r>
                    <w:rPr>
                      <w:sz w:val="21"/>
                    </w:rPr>
                    <w:t>对国土空间基础信息平台进行定期扫描，对发现新的漏洞及时进行修复，保证系统应用的安全、稳定。定期对系统进行关键性位置扫描，以及在特定时间对系统进行全盘扫描，查找漏洞，主动修复漏洞。对中山自然资源政务信息平台相关服务器进行漏洞检测并响应修复。例如开源组件漏洞、登录页面没有使用验证码作为增强验证方式、密码错误次数限制或双因子认证等缺乏防暴力破解机制等中高危漏洞，将快速修复漏洞并记录漏洞修复情况。并且根据安全漏洞检测结果，进行应用系统、数据库和操作系统漏洞修复</w:t>
                  </w:r>
                </w:p>
              </w:tc>
              <w:tc>
                <w:tcPr>
                  <w:tcW w:type="dxa" w:w="961"/>
                  <w:tcBorders>
                    <w:top w:val="none" w:color="000000" w:sz="4"/>
                    <w:left w:val="none" w:color="000000" w:sz="4"/>
                    <w:bottom w:val="single" w:color="000000" w:sz="4"/>
                    <w:right w:val="single" w:color="000000" w:sz="4"/>
                  </w:tcBorders>
                </w:tcPr>
                <w:p>
                  <w:pPr>
                    <w:jc w:val="both"/>
                  </w:pPr>
                  <w:r>
                    <w:rPr>
                      <w:sz w:val="21"/>
                    </w:rPr>
                    <w:t>延续性运维</w:t>
                  </w:r>
                </w:p>
              </w:tc>
              <w:tc>
                <w:tcPr>
                  <w:tcW w:type="dxa" w:w="485"/>
                  <w:tcBorders>
                    <w:top w:val="none" w:color="000000" w:sz="4"/>
                    <w:left w:val="none" w:color="000000" w:sz="4"/>
                    <w:bottom w:val="single" w:color="000000" w:sz="4"/>
                    <w:right w:val="single" w:color="000000" w:sz="4"/>
                  </w:tcBorders>
                </w:tcPr>
                <w:p>
                  <w:pPr>
                    <w:jc w:val="both"/>
                  </w:pPr>
                  <w:r>
                    <w:rPr>
                      <w:sz w:val="21"/>
                    </w:rPr>
                    <w:t>　</w:t>
                  </w:r>
                </w:p>
              </w:tc>
            </w:tr>
            <w:tr>
              <w:tc>
                <w:tcPr>
                  <w:tcW w:type="dxa" w:w="426"/>
                  <w:tcBorders>
                    <w:top w:val="none" w:color="000000" w:sz="4"/>
                    <w:left w:val="single" w:color="000000" w:sz="4"/>
                    <w:bottom w:val="single" w:color="000000" w:sz="4"/>
                    <w:right w:val="single" w:color="000000" w:sz="4"/>
                  </w:tcBorders>
                </w:tcPr>
                <w:p>
                  <w:pPr>
                    <w:jc w:val="both"/>
                  </w:pPr>
                  <w:r>
                    <w:rPr>
                      <w:sz w:val="21"/>
                    </w:rPr>
                    <w:t>10</w:t>
                  </w:r>
                </w:p>
              </w:tc>
              <w:tc>
                <w:tcPr>
                  <w:tcW w:type="dxa" w:w="634"/>
                  <w:vMerge/>
                  <w:tcBorders>
                    <w:top w:val="none" w:color="000000" w:sz="4"/>
                    <w:left w:val="none" w:color="000000" w:sz="4"/>
                    <w:bottom w:val="single" w:color="000000" w:sz="4"/>
                    <w:right w:val="single" w:color="000000" w:sz="4"/>
                  </w:tcBorders>
                </w:tcPr>
                <w:p/>
              </w:tc>
              <w:tc>
                <w:tcPr>
                  <w:tcW w:type="dxa" w:w="535"/>
                  <w:tcBorders>
                    <w:top w:val="none" w:color="000000" w:sz="4"/>
                    <w:left w:val="none" w:color="000000" w:sz="4"/>
                    <w:bottom w:val="single" w:color="000000" w:sz="4"/>
                    <w:right w:val="single" w:color="000000" w:sz="4"/>
                  </w:tcBorders>
                </w:tcPr>
                <w:p>
                  <w:pPr>
                    <w:jc w:val="both"/>
                  </w:pPr>
                  <w:r>
                    <w:rPr>
                      <w:b/>
                      <w:sz w:val="21"/>
                    </w:rPr>
                    <w:t>系统安全配置</w:t>
                  </w:r>
                </w:p>
              </w:tc>
              <w:tc>
                <w:tcPr>
                  <w:tcW w:type="dxa" w:w="2556"/>
                  <w:tcBorders>
                    <w:top w:val="none" w:color="000000" w:sz="4"/>
                    <w:left w:val="none" w:color="000000" w:sz="4"/>
                    <w:bottom w:val="single" w:color="000000" w:sz="4"/>
                    <w:right w:val="single" w:color="000000" w:sz="4"/>
                  </w:tcBorders>
                  <w:vAlign w:val="top"/>
                </w:tcPr>
                <w:p>
                  <w:pPr>
                    <w:jc w:val="both"/>
                  </w:pPr>
                  <w:r>
                    <w:rPr>
                      <w:sz w:val="21"/>
                    </w:rPr>
                    <w:t>对中山市国土空间基础信息平台的安全进行合规性检查和配置，通过检查安全配置参数是否符合安全标准来度量，包括进行账户与口令检查、日志配置检查、系统内核配置检查、信息隐藏检查、服务端口启动项检查、文件目录权限、访问权限、其他安全检查配置工作。确保账号配置安全、口令配置安全、授权配置安全、日志配置安全、</w:t>
                  </w:r>
                  <w:r>
                    <w:rPr>
                      <w:sz w:val="21"/>
                    </w:rPr>
                    <w:t>IP</w:t>
                  </w:r>
                  <w:r>
                    <w:rPr>
                      <w:sz w:val="21"/>
                    </w:rPr>
                    <w:t>通信配置安全。</w:t>
                  </w:r>
                </w:p>
              </w:tc>
              <w:tc>
                <w:tcPr>
                  <w:tcW w:type="dxa" w:w="961"/>
                  <w:tcBorders>
                    <w:top w:val="none" w:color="000000" w:sz="4"/>
                    <w:left w:val="none" w:color="000000" w:sz="4"/>
                    <w:bottom w:val="single" w:color="000000" w:sz="4"/>
                    <w:right w:val="single" w:color="000000" w:sz="4"/>
                  </w:tcBorders>
                </w:tcPr>
                <w:p>
                  <w:pPr>
                    <w:jc w:val="both"/>
                  </w:pPr>
                  <w:r>
                    <w:rPr>
                      <w:sz w:val="21"/>
                    </w:rPr>
                    <w:t>延续性运维</w:t>
                  </w:r>
                </w:p>
              </w:tc>
              <w:tc>
                <w:tcPr>
                  <w:tcW w:type="dxa" w:w="485"/>
                  <w:tcBorders>
                    <w:top w:val="none" w:color="000000" w:sz="4"/>
                    <w:left w:val="none" w:color="000000" w:sz="4"/>
                    <w:bottom w:val="single" w:color="000000" w:sz="4"/>
                    <w:right w:val="single" w:color="000000" w:sz="4"/>
                  </w:tcBorders>
                </w:tcPr>
                <w:p>
                  <w:pPr>
                    <w:jc w:val="both"/>
                  </w:pPr>
                  <w:r>
                    <w:rPr>
                      <w:sz w:val="21"/>
                    </w:rPr>
                    <w:t>　</w:t>
                  </w:r>
                </w:p>
              </w:tc>
            </w:tr>
            <w:tr>
              <w:tc>
                <w:tcPr>
                  <w:tcW w:type="dxa" w:w="426"/>
                  <w:tcBorders>
                    <w:top w:val="none" w:color="000000" w:sz="4"/>
                    <w:left w:val="single" w:color="000000" w:sz="4"/>
                    <w:bottom w:val="single" w:color="000000" w:sz="4"/>
                    <w:right w:val="single" w:color="000000" w:sz="4"/>
                  </w:tcBorders>
                </w:tcPr>
                <w:p>
                  <w:pPr>
                    <w:jc w:val="both"/>
                  </w:pPr>
                  <w:r>
                    <w:rPr>
                      <w:sz w:val="21"/>
                    </w:rPr>
                    <w:t>11</w:t>
                  </w:r>
                </w:p>
              </w:tc>
              <w:tc>
                <w:tcPr>
                  <w:tcW w:type="dxa" w:w="634"/>
                  <w:vMerge/>
                  <w:tcBorders>
                    <w:top w:val="none" w:color="000000" w:sz="4"/>
                    <w:left w:val="none" w:color="000000" w:sz="4"/>
                    <w:bottom w:val="single" w:color="000000" w:sz="4"/>
                    <w:right w:val="single" w:color="000000" w:sz="4"/>
                  </w:tcBorders>
                </w:tcPr>
                <w:p/>
              </w:tc>
              <w:tc>
                <w:tcPr>
                  <w:tcW w:type="dxa" w:w="535"/>
                  <w:tcBorders>
                    <w:top w:val="none" w:color="000000" w:sz="4"/>
                    <w:left w:val="none" w:color="000000" w:sz="4"/>
                    <w:bottom w:val="single" w:color="000000" w:sz="4"/>
                    <w:right w:val="single" w:color="000000" w:sz="4"/>
                  </w:tcBorders>
                </w:tcPr>
                <w:p>
                  <w:pPr>
                    <w:jc w:val="both"/>
                  </w:pPr>
                  <w:r>
                    <w:rPr>
                      <w:b/>
                      <w:sz w:val="21"/>
                    </w:rPr>
                    <w:t>病毒检测</w:t>
                  </w:r>
                </w:p>
              </w:tc>
              <w:tc>
                <w:tcPr>
                  <w:tcW w:type="dxa" w:w="2556"/>
                  <w:tcBorders>
                    <w:top w:val="none" w:color="000000" w:sz="4"/>
                    <w:left w:val="none" w:color="000000" w:sz="4"/>
                    <w:bottom w:val="single" w:color="000000" w:sz="4"/>
                    <w:right w:val="single" w:color="000000" w:sz="4"/>
                  </w:tcBorders>
                  <w:vAlign w:val="top"/>
                </w:tcPr>
                <w:p>
                  <w:pPr>
                    <w:jc w:val="both"/>
                  </w:pPr>
                  <w:r>
                    <w:rPr>
                      <w:sz w:val="21"/>
                    </w:rPr>
                    <w:t>定期进行病毒检测，发现病毒立即处理。经远程通信传送的程序或数据，经过检测确认无病毒后方使用。发现系统遭到严重病毒攻击并形成一定破坏时，立即报告，并尽快采取有效措施组织抢救。</w:t>
                  </w:r>
                </w:p>
              </w:tc>
              <w:tc>
                <w:tcPr>
                  <w:tcW w:type="dxa" w:w="961"/>
                  <w:tcBorders>
                    <w:top w:val="none" w:color="000000" w:sz="4"/>
                    <w:left w:val="none" w:color="000000" w:sz="4"/>
                    <w:bottom w:val="single" w:color="000000" w:sz="4"/>
                    <w:right w:val="single" w:color="000000" w:sz="4"/>
                  </w:tcBorders>
                </w:tcPr>
                <w:p>
                  <w:pPr>
                    <w:jc w:val="both"/>
                  </w:pPr>
                  <w:r>
                    <w:rPr>
                      <w:sz w:val="21"/>
                    </w:rPr>
                    <w:t>延续性运维</w:t>
                  </w:r>
                </w:p>
              </w:tc>
              <w:tc>
                <w:tcPr>
                  <w:tcW w:type="dxa" w:w="485"/>
                  <w:tcBorders>
                    <w:top w:val="none" w:color="000000" w:sz="4"/>
                    <w:left w:val="none" w:color="000000" w:sz="4"/>
                    <w:bottom w:val="single" w:color="000000" w:sz="4"/>
                    <w:right w:val="single" w:color="000000" w:sz="4"/>
                  </w:tcBorders>
                </w:tcPr>
                <w:p>
                  <w:pPr>
                    <w:jc w:val="both"/>
                  </w:pPr>
                  <w:r>
                    <w:rPr>
                      <w:sz w:val="21"/>
                    </w:rPr>
                    <w:t>　</w:t>
                  </w:r>
                </w:p>
              </w:tc>
            </w:tr>
            <w:tr>
              <w:tc>
                <w:tcPr>
                  <w:tcW w:type="dxa" w:w="426"/>
                  <w:tcBorders>
                    <w:top w:val="none" w:color="000000" w:sz="4"/>
                    <w:left w:val="single" w:color="000000" w:sz="4"/>
                    <w:bottom w:val="single" w:color="000000" w:sz="4"/>
                    <w:right w:val="single" w:color="000000" w:sz="4"/>
                  </w:tcBorders>
                </w:tcPr>
                <w:p>
                  <w:pPr>
                    <w:jc w:val="both"/>
                  </w:pPr>
                  <w:r>
                    <w:rPr>
                      <w:sz w:val="21"/>
                    </w:rPr>
                    <w:t>12</w:t>
                  </w:r>
                </w:p>
              </w:tc>
              <w:tc>
                <w:tcPr>
                  <w:tcW w:type="dxa" w:w="634"/>
                  <w:vMerge/>
                  <w:tcBorders>
                    <w:top w:val="none" w:color="000000" w:sz="4"/>
                    <w:left w:val="none" w:color="000000" w:sz="4"/>
                    <w:bottom w:val="single" w:color="000000" w:sz="4"/>
                    <w:right w:val="single" w:color="000000" w:sz="4"/>
                  </w:tcBorders>
                </w:tcPr>
                <w:p/>
              </w:tc>
              <w:tc>
                <w:tcPr>
                  <w:tcW w:type="dxa" w:w="535"/>
                  <w:tcBorders>
                    <w:top w:val="none" w:color="000000" w:sz="4"/>
                    <w:left w:val="none" w:color="000000" w:sz="4"/>
                    <w:bottom w:val="single" w:color="000000" w:sz="4"/>
                    <w:right w:val="single" w:color="000000" w:sz="4"/>
                  </w:tcBorders>
                </w:tcPr>
                <w:p>
                  <w:pPr>
                    <w:jc w:val="both"/>
                  </w:pPr>
                  <w:r>
                    <w:rPr>
                      <w:b/>
                      <w:sz w:val="21"/>
                    </w:rPr>
                    <w:t>主机系统渗透测试</w:t>
                  </w:r>
                </w:p>
              </w:tc>
              <w:tc>
                <w:tcPr>
                  <w:tcW w:type="dxa" w:w="2556"/>
                  <w:tcBorders>
                    <w:top w:val="none" w:color="000000" w:sz="4"/>
                    <w:left w:val="none" w:color="000000" w:sz="4"/>
                    <w:bottom w:val="single" w:color="000000" w:sz="4"/>
                    <w:right w:val="single" w:color="000000" w:sz="4"/>
                  </w:tcBorders>
                  <w:vAlign w:val="top"/>
                </w:tcPr>
                <w:p>
                  <w:pPr>
                    <w:jc w:val="both"/>
                  </w:pPr>
                  <w:r>
                    <w:rPr>
                      <w:sz w:val="21"/>
                    </w:rPr>
                    <w:t>对中山市自然资源大数据中心主机系统进行渗透测试，测试远程端口、软件信息、操作系统、</w:t>
                  </w:r>
                  <w:r>
                    <w:rPr>
                      <w:sz w:val="21"/>
                    </w:rPr>
                    <w:t>Banner</w:t>
                  </w:r>
                  <w:r>
                    <w:rPr>
                      <w:sz w:val="21"/>
                    </w:rPr>
                    <w:t>端口等状态，根据主机风险等级评定标准，对主机风险进行评定，并远程扫描存在的漏洞并修复。</w:t>
                  </w:r>
                </w:p>
              </w:tc>
              <w:tc>
                <w:tcPr>
                  <w:tcW w:type="dxa" w:w="961"/>
                  <w:tcBorders>
                    <w:top w:val="none" w:color="000000" w:sz="4"/>
                    <w:left w:val="none" w:color="000000" w:sz="4"/>
                    <w:bottom w:val="single" w:color="000000" w:sz="4"/>
                    <w:right w:val="single" w:color="000000" w:sz="4"/>
                  </w:tcBorders>
                </w:tcPr>
                <w:p>
                  <w:pPr>
                    <w:jc w:val="both"/>
                  </w:pPr>
                  <w:r>
                    <w:rPr>
                      <w:sz w:val="21"/>
                    </w:rPr>
                    <w:t>延续性运维</w:t>
                  </w:r>
                </w:p>
              </w:tc>
              <w:tc>
                <w:tcPr>
                  <w:tcW w:type="dxa" w:w="485"/>
                  <w:tcBorders>
                    <w:top w:val="none" w:color="000000" w:sz="4"/>
                    <w:left w:val="none" w:color="000000" w:sz="4"/>
                    <w:bottom w:val="single" w:color="000000" w:sz="4"/>
                    <w:right w:val="single" w:color="000000" w:sz="4"/>
                  </w:tcBorders>
                </w:tcPr>
                <w:p>
                  <w:pPr>
                    <w:jc w:val="both"/>
                  </w:pPr>
                </w:p>
              </w:tc>
            </w:tr>
            <w:tr>
              <w:tc>
                <w:tcPr>
                  <w:tcW w:type="dxa" w:w="426"/>
                  <w:tcBorders>
                    <w:top w:val="none" w:color="000000" w:sz="4"/>
                    <w:left w:val="single" w:color="000000" w:sz="4"/>
                    <w:bottom w:val="single" w:color="000000" w:sz="4"/>
                    <w:right w:val="single" w:color="000000" w:sz="4"/>
                  </w:tcBorders>
                </w:tcPr>
                <w:p>
                  <w:pPr>
                    <w:jc w:val="both"/>
                  </w:pPr>
                  <w:r>
                    <w:rPr>
                      <w:sz w:val="21"/>
                    </w:rPr>
                    <w:t>13</w:t>
                  </w:r>
                </w:p>
              </w:tc>
              <w:tc>
                <w:tcPr>
                  <w:tcW w:type="dxa" w:w="634"/>
                  <w:vMerge/>
                  <w:tcBorders>
                    <w:top w:val="none" w:color="000000" w:sz="4"/>
                    <w:left w:val="none" w:color="000000" w:sz="4"/>
                    <w:bottom w:val="single" w:color="000000" w:sz="4"/>
                    <w:right w:val="single" w:color="000000" w:sz="4"/>
                  </w:tcBorders>
                </w:tcPr>
                <w:p/>
              </w:tc>
              <w:tc>
                <w:tcPr>
                  <w:tcW w:type="dxa" w:w="535"/>
                  <w:tcBorders>
                    <w:top w:val="none" w:color="000000" w:sz="4"/>
                    <w:left w:val="none" w:color="000000" w:sz="4"/>
                    <w:bottom w:val="single" w:color="000000" w:sz="4"/>
                    <w:right w:val="single" w:color="000000" w:sz="4"/>
                  </w:tcBorders>
                </w:tcPr>
                <w:p>
                  <w:pPr>
                    <w:jc w:val="both"/>
                  </w:pPr>
                  <w:r>
                    <w:rPr>
                      <w:b/>
                      <w:sz w:val="21"/>
                    </w:rPr>
                    <w:t>系统管理员后台配置登录方式改造</w:t>
                  </w:r>
                </w:p>
              </w:tc>
              <w:tc>
                <w:tcPr>
                  <w:tcW w:type="dxa" w:w="2556"/>
                  <w:tcBorders>
                    <w:top w:val="none" w:color="000000" w:sz="4"/>
                    <w:left w:val="none" w:color="000000" w:sz="4"/>
                    <w:bottom w:val="single" w:color="000000" w:sz="4"/>
                    <w:right w:val="single" w:color="000000" w:sz="4"/>
                  </w:tcBorders>
                  <w:vAlign w:val="top"/>
                </w:tcPr>
                <w:p>
                  <w:pPr>
                    <w:jc w:val="both"/>
                  </w:pPr>
                  <w:r>
                    <w:rPr>
                      <w:sz w:val="21"/>
                    </w:rPr>
                    <w:t>按照《中山市政务信息化系统安全认证登录工作方案》要求，系统管理员登录方式如下：用户名</w:t>
                  </w:r>
                  <w:r>
                    <w:rPr>
                      <w:sz w:val="21"/>
                    </w:rPr>
                    <w:t>+</w:t>
                  </w:r>
                  <w:r>
                    <w:rPr>
                      <w:sz w:val="21"/>
                    </w:rPr>
                    <w:t>口令</w:t>
                  </w:r>
                  <w:r>
                    <w:rPr>
                      <w:sz w:val="21"/>
                    </w:rPr>
                    <w:t>+</w:t>
                  </w:r>
                  <w:r>
                    <w:rPr>
                      <w:sz w:val="21"/>
                    </w:rPr>
                    <w:t>短信校验码、密码技术（如基于密钥证书的</w:t>
                  </w:r>
                  <w:r>
                    <w:rPr>
                      <w:sz w:val="21"/>
                    </w:rPr>
                    <w:t>USBKey</w:t>
                  </w:r>
                  <w:r>
                    <w:rPr>
                      <w:sz w:val="21"/>
                    </w:rPr>
                    <w:t>等）、省统一身份认证平台（政务侧），选择两种或两种以上组合的鉴别技术对用户进行身份鉴别，且其中一种鉴别技术至少应使用密码技术来实现。</w:t>
                  </w:r>
                </w:p>
              </w:tc>
              <w:tc>
                <w:tcPr>
                  <w:tcW w:type="dxa" w:w="961"/>
                  <w:tcBorders>
                    <w:top w:val="none" w:color="000000" w:sz="4"/>
                    <w:left w:val="none" w:color="000000" w:sz="4"/>
                    <w:bottom w:val="single" w:color="000000" w:sz="4"/>
                    <w:right w:val="single" w:color="000000" w:sz="4"/>
                  </w:tcBorders>
                </w:tcPr>
                <w:p>
                  <w:pPr>
                    <w:jc w:val="both"/>
                  </w:pPr>
                  <w:r>
                    <w:rPr>
                      <w:sz w:val="21"/>
                    </w:rPr>
                    <w:t>新增运维</w:t>
                  </w:r>
                </w:p>
              </w:tc>
              <w:tc>
                <w:tcPr>
                  <w:tcW w:type="dxa" w:w="485"/>
                  <w:tcBorders>
                    <w:top w:val="none" w:color="000000" w:sz="4"/>
                    <w:left w:val="none" w:color="000000" w:sz="4"/>
                    <w:bottom w:val="single" w:color="000000" w:sz="4"/>
                    <w:right w:val="single" w:color="000000" w:sz="4"/>
                  </w:tcBorders>
                </w:tcPr>
                <w:p>
                  <w:pPr>
                    <w:jc w:val="both"/>
                  </w:pPr>
                </w:p>
              </w:tc>
            </w:tr>
            <w:tr>
              <w:tc>
                <w:tcPr>
                  <w:tcW w:type="dxa" w:w="426"/>
                  <w:tcBorders>
                    <w:top w:val="none" w:color="000000" w:sz="4"/>
                    <w:left w:val="single" w:color="000000" w:sz="4"/>
                    <w:bottom w:val="single" w:color="000000" w:sz="4"/>
                    <w:right w:val="single" w:color="000000" w:sz="4"/>
                  </w:tcBorders>
                </w:tcPr>
                <w:p>
                  <w:pPr>
                    <w:jc w:val="both"/>
                  </w:pPr>
                  <w:r>
                    <w:rPr>
                      <w:sz w:val="21"/>
                    </w:rPr>
                    <w:t>14</w:t>
                  </w:r>
                </w:p>
              </w:tc>
              <w:tc>
                <w:tcPr>
                  <w:tcW w:type="dxa" w:w="634"/>
                  <w:vMerge/>
                  <w:tcBorders>
                    <w:top w:val="none" w:color="000000" w:sz="4"/>
                    <w:left w:val="none" w:color="000000" w:sz="4"/>
                    <w:bottom w:val="single" w:color="000000" w:sz="4"/>
                    <w:right w:val="single" w:color="000000" w:sz="4"/>
                  </w:tcBorders>
                </w:tcPr>
                <w:p/>
              </w:tc>
              <w:tc>
                <w:tcPr>
                  <w:tcW w:type="dxa" w:w="535"/>
                  <w:tcBorders>
                    <w:top w:val="none" w:color="000000" w:sz="4"/>
                    <w:left w:val="none" w:color="000000" w:sz="4"/>
                    <w:bottom w:val="single" w:color="000000" w:sz="4"/>
                    <w:right w:val="single" w:color="000000" w:sz="4"/>
                  </w:tcBorders>
                </w:tcPr>
                <w:p>
                  <w:pPr>
                    <w:jc w:val="both"/>
                  </w:pPr>
                  <w:r>
                    <w:rPr>
                      <w:b/>
                      <w:sz w:val="21"/>
                    </w:rPr>
                    <w:t>系统日志采集与保存</w:t>
                  </w:r>
                </w:p>
              </w:tc>
              <w:tc>
                <w:tcPr>
                  <w:tcW w:type="dxa" w:w="2556"/>
                  <w:tcBorders>
                    <w:top w:val="none" w:color="000000" w:sz="4"/>
                    <w:left w:val="none" w:color="000000" w:sz="4"/>
                    <w:bottom w:val="single" w:color="000000" w:sz="4"/>
                    <w:right w:val="single" w:color="000000" w:sz="4"/>
                  </w:tcBorders>
                  <w:vAlign w:val="top"/>
                </w:tcPr>
                <w:p>
                  <w:pPr>
                    <w:jc w:val="both"/>
                  </w:pPr>
                  <w:r>
                    <w:rPr>
                      <w:sz w:val="21"/>
                    </w:rPr>
                    <w:t>按照《中山市政务信息系统日志采集与保存管理规范》要求，做好系统服务器操作系统日志、应用程序日志、数据库日志的采集和存储</w:t>
                  </w:r>
                </w:p>
              </w:tc>
              <w:tc>
                <w:tcPr>
                  <w:tcW w:type="dxa" w:w="961"/>
                  <w:tcBorders>
                    <w:top w:val="none" w:color="000000" w:sz="4"/>
                    <w:left w:val="none" w:color="000000" w:sz="4"/>
                    <w:bottom w:val="single" w:color="000000" w:sz="4"/>
                    <w:right w:val="single" w:color="000000" w:sz="4"/>
                  </w:tcBorders>
                </w:tcPr>
                <w:p>
                  <w:pPr>
                    <w:jc w:val="both"/>
                  </w:pPr>
                  <w:r>
                    <w:rPr>
                      <w:sz w:val="21"/>
                    </w:rPr>
                    <w:t>延续性运维</w:t>
                  </w:r>
                </w:p>
              </w:tc>
              <w:tc>
                <w:tcPr>
                  <w:tcW w:type="dxa" w:w="485"/>
                  <w:tcBorders>
                    <w:top w:val="none" w:color="000000" w:sz="4"/>
                    <w:left w:val="none" w:color="000000" w:sz="4"/>
                    <w:bottom w:val="single" w:color="000000" w:sz="4"/>
                    <w:right w:val="single" w:color="000000" w:sz="4"/>
                  </w:tcBorders>
                </w:tcPr>
                <w:p>
                  <w:pPr>
                    <w:jc w:val="both"/>
                  </w:pPr>
                  <w:r>
                    <w:rPr>
                      <w:sz w:val="21"/>
                    </w:rPr>
                    <w:t>　</w:t>
                  </w:r>
                </w:p>
              </w:tc>
            </w:tr>
            <w:tr>
              <w:tc>
                <w:tcPr>
                  <w:tcW w:type="dxa" w:w="426"/>
                  <w:tcBorders>
                    <w:top w:val="none" w:color="000000" w:sz="4"/>
                    <w:left w:val="single" w:color="000000" w:sz="4"/>
                    <w:bottom w:val="single" w:color="000000" w:sz="4"/>
                    <w:right w:val="single" w:color="000000" w:sz="4"/>
                  </w:tcBorders>
                </w:tcPr>
                <w:p>
                  <w:pPr>
                    <w:jc w:val="both"/>
                  </w:pPr>
                  <w:r>
                    <w:rPr>
                      <w:sz w:val="21"/>
                    </w:rPr>
                    <w:t>15</w:t>
                  </w:r>
                </w:p>
              </w:tc>
              <w:tc>
                <w:tcPr>
                  <w:tcW w:type="dxa" w:w="634"/>
                  <w:vMerge w:val="restart"/>
                  <w:tcBorders>
                    <w:top w:val="none" w:color="000000" w:sz="4"/>
                    <w:left w:val="none" w:color="000000" w:sz="4"/>
                    <w:bottom w:val="single" w:color="000000" w:sz="4"/>
                    <w:right w:val="single" w:color="000000" w:sz="4"/>
                  </w:tcBorders>
                </w:tcPr>
                <w:p>
                  <w:pPr>
                    <w:jc w:val="both"/>
                  </w:pPr>
                  <w:r>
                    <w:rPr>
                      <w:b/>
                      <w:sz w:val="21"/>
                    </w:rPr>
                    <w:t>（四）软件安全运维</w:t>
                  </w:r>
                </w:p>
              </w:tc>
              <w:tc>
                <w:tcPr>
                  <w:tcW w:type="dxa" w:w="535"/>
                  <w:tcBorders>
                    <w:top w:val="none" w:color="000000" w:sz="4"/>
                    <w:left w:val="none" w:color="000000" w:sz="4"/>
                    <w:bottom w:val="single" w:color="000000" w:sz="4"/>
                    <w:right w:val="single" w:color="000000" w:sz="4"/>
                  </w:tcBorders>
                </w:tcPr>
                <w:p>
                  <w:pPr>
                    <w:jc w:val="both"/>
                  </w:pPr>
                  <w:r>
                    <w:rPr>
                      <w:b/>
                      <w:sz w:val="21"/>
                    </w:rPr>
                    <w:t>软件测试维护</w:t>
                  </w:r>
                </w:p>
              </w:tc>
              <w:tc>
                <w:tcPr>
                  <w:tcW w:type="dxa" w:w="2556"/>
                  <w:tcBorders>
                    <w:top w:val="none" w:color="000000" w:sz="4"/>
                    <w:left w:val="none" w:color="000000" w:sz="4"/>
                    <w:bottom w:val="single" w:color="000000" w:sz="4"/>
                    <w:right w:val="single" w:color="000000" w:sz="4"/>
                  </w:tcBorders>
                  <w:vAlign w:val="top"/>
                </w:tcPr>
                <w:p>
                  <w:pPr>
                    <w:jc w:val="both"/>
                  </w:pPr>
                  <w:r>
                    <w:rPr>
                      <w:sz w:val="21"/>
                    </w:rPr>
                    <w:t>对中山市国土空间基础信息系统平台</w:t>
                  </w:r>
                  <w:r>
                    <w:rPr>
                      <w:sz w:val="21"/>
                    </w:rPr>
                    <w:t>进行功能测试、应用安全测试、兼容性测试、易用性测试等。并根据用户权限管理、验证控制、用户唯一、安全缺陷屏蔽、超时自动退出、日志管理、密码设置等安全需求，对中山市国土空间基础信息系统平台进行安全测试。</w:t>
                  </w:r>
                </w:p>
              </w:tc>
              <w:tc>
                <w:tcPr>
                  <w:tcW w:type="dxa" w:w="961"/>
                  <w:tcBorders>
                    <w:top w:val="none" w:color="000000" w:sz="4"/>
                    <w:left w:val="none" w:color="000000" w:sz="4"/>
                    <w:bottom w:val="single" w:color="000000" w:sz="4"/>
                    <w:right w:val="single" w:color="000000" w:sz="4"/>
                  </w:tcBorders>
                </w:tcPr>
                <w:p>
                  <w:pPr>
                    <w:jc w:val="both"/>
                  </w:pPr>
                  <w:r>
                    <w:rPr>
                      <w:sz w:val="21"/>
                    </w:rPr>
                    <w:t>延续性运维</w:t>
                  </w:r>
                </w:p>
              </w:tc>
              <w:tc>
                <w:tcPr>
                  <w:tcW w:type="dxa" w:w="485"/>
                  <w:tcBorders>
                    <w:top w:val="none" w:color="000000" w:sz="4"/>
                    <w:left w:val="none" w:color="000000" w:sz="4"/>
                    <w:bottom w:val="single" w:color="000000" w:sz="4"/>
                    <w:right w:val="single" w:color="000000" w:sz="4"/>
                  </w:tcBorders>
                </w:tcPr>
                <w:p>
                  <w:pPr>
                    <w:jc w:val="both"/>
                  </w:pPr>
                  <w:r>
                    <w:rPr>
                      <w:sz w:val="21"/>
                    </w:rPr>
                    <w:t>　</w:t>
                  </w:r>
                </w:p>
              </w:tc>
            </w:tr>
            <w:tr>
              <w:tc>
                <w:tcPr>
                  <w:tcW w:type="dxa" w:w="426"/>
                  <w:tcBorders>
                    <w:top w:val="none" w:color="000000" w:sz="4"/>
                    <w:left w:val="single" w:color="000000" w:sz="4"/>
                    <w:bottom w:val="single" w:color="000000" w:sz="4"/>
                    <w:right w:val="single" w:color="000000" w:sz="4"/>
                  </w:tcBorders>
                </w:tcPr>
                <w:p>
                  <w:pPr>
                    <w:jc w:val="both"/>
                  </w:pPr>
                  <w:r>
                    <w:rPr>
                      <w:sz w:val="21"/>
                    </w:rPr>
                    <w:t>16</w:t>
                  </w:r>
                </w:p>
              </w:tc>
              <w:tc>
                <w:tcPr>
                  <w:tcW w:type="dxa" w:w="634"/>
                  <w:vMerge/>
                  <w:tcBorders>
                    <w:top w:val="none" w:color="000000" w:sz="4"/>
                    <w:left w:val="none" w:color="000000" w:sz="4"/>
                    <w:bottom w:val="single" w:color="000000" w:sz="4"/>
                    <w:right w:val="single" w:color="000000" w:sz="4"/>
                  </w:tcBorders>
                </w:tcPr>
                <w:p/>
              </w:tc>
              <w:tc>
                <w:tcPr>
                  <w:tcW w:type="dxa" w:w="535"/>
                  <w:tcBorders>
                    <w:top w:val="none" w:color="000000" w:sz="4"/>
                    <w:left w:val="none" w:color="000000" w:sz="4"/>
                    <w:bottom w:val="single" w:color="000000" w:sz="4"/>
                    <w:right w:val="single" w:color="000000" w:sz="4"/>
                  </w:tcBorders>
                </w:tcPr>
                <w:p>
                  <w:pPr>
                    <w:jc w:val="both"/>
                  </w:pPr>
                  <w:r>
                    <w:rPr>
                      <w:b/>
                      <w:sz w:val="21"/>
                    </w:rPr>
                    <w:t>运维故障排查</w:t>
                  </w:r>
                </w:p>
              </w:tc>
              <w:tc>
                <w:tcPr>
                  <w:tcW w:type="dxa" w:w="2556"/>
                  <w:tcBorders>
                    <w:top w:val="none" w:color="000000" w:sz="4"/>
                    <w:left w:val="none" w:color="000000" w:sz="4"/>
                    <w:bottom w:val="single" w:color="000000" w:sz="4"/>
                    <w:right w:val="single" w:color="000000" w:sz="4"/>
                  </w:tcBorders>
                  <w:vAlign w:val="top"/>
                </w:tcPr>
                <w:p>
                  <w:pPr>
                    <w:jc w:val="both"/>
                  </w:pPr>
                  <w:r>
                    <w:rPr>
                      <w:sz w:val="21"/>
                    </w:rPr>
                    <w:t>对中山市国土空间基础信息平台软件系统常见的故障进行排查处理，对常见的应用系统故障、应用无法加载故障、服务器故障、数据故障、网络故障等问题进行排查处理。</w:t>
                  </w:r>
                </w:p>
              </w:tc>
              <w:tc>
                <w:tcPr>
                  <w:tcW w:type="dxa" w:w="961"/>
                  <w:tcBorders>
                    <w:top w:val="none" w:color="000000" w:sz="4"/>
                    <w:left w:val="none" w:color="000000" w:sz="4"/>
                    <w:bottom w:val="single" w:color="000000" w:sz="4"/>
                    <w:right w:val="single" w:color="000000" w:sz="4"/>
                  </w:tcBorders>
                </w:tcPr>
                <w:p>
                  <w:pPr>
                    <w:jc w:val="both"/>
                  </w:pPr>
                  <w:r>
                    <w:rPr>
                      <w:sz w:val="21"/>
                    </w:rPr>
                    <w:t>延续性运维</w:t>
                  </w:r>
                </w:p>
              </w:tc>
              <w:tc>
                <w:tcPr>
                  <w:tcW w:type="dxa" w:w="485"/>
                  <w:tcBorders>
                    <w:top w:val="none" w:color="000000" w:sz="4"/>
                    <w:left w:val="none" w:color="000000" w:sz="4"/>
                    <w:bottom w:val="single" w:color="000000" w:sz="4"/>
                    <w:right w:val="single" w:color="000000" w:sz="4"/>
                  </w:tcBorders>
                </w:tcPr>
                <w:p>
                  <w:pPr>
                    <w:jc w:val="both"/>
                  </w:pPr>
                  <w:r>
                    <w:rPr>
                      <w:sz w:val="21"/>
                    </w:rPr>
                    <w:t>　</w:t>
                  </w:r>
                </w:p>
              </w:tc>
            </w:tr>
            <w:tr>
              <w:tc>
                <w:tcPr>
                  <w:tcW w:type="dxa" w:w="426"/>
                  <w:tcBorders>
                    <w:top w:val="none" w:color="000000" w:sz="4"/>
                    <w:left w:val="single" w:color="000000" w:sz="4"/>
                    <w:bottom w:val="single" w:color="000000" w:sz="4"/>
                    <w:right w:val="single" w:color="000000" w:sz="4"/>
                  </w:tcBorders>
                </w:tcPr>
                <w:p>
                  <w:pPr>
                    <w:jc w:val="both"/>
                  </w:pPr>
                  <w:r>
                    <w:rPr>
                      <w:sz w:val="21"/>
                    </w:rPr>
                    <w:t>17</w:t>
                  </w:r>
                </w:p>
              </w:tc>
              <w:tc>
                <w:tcPr>
                  <w:tcW w:type="dxa" w:w="634"/>
                  <w:vMerge/>
                  <w:tcBorders>
                    <w:top w:val="none" w:color="000000" w:sz="4"/>
                    <w:left w:val="none" w:color="000000" w:sz="4"/>
                    <w:bottom w:val="single" w:color="000000" w:sz="4"/>
                    <w:right w:val="single" w:color="000000" w:sz="4"/>
                  </w:tcBorders>
                </w:tcPr>
                <w:p/>
              </w:tc>
              <w:tc>
                <w:tcPr>
                  <w:tcW w:type="dxa" w:w="535"/>
                  <w:tcBorders>
                    <w:top w:val="none" w:color="000000" w:sz="4"/>
                    <w:left w:val="none" w:color="000000" w:sz="4"/>
                    <w:bottom w:val="single" w:color="000000" w:sz="4"/>
                    <w:right w:val="single" w:color="000000" w:sz="4"/>
                  </w:tcBorders>
                </w:tcPr>
                <w:p>
                  <w:pPr>
                    <w:jc w:val="both"/>
                  </w:pPr>
                  <w:r>
                    <w:rPr>
                      <w:b/>
                      <w:sz w:val="21"/>
                    </w:rPr>
                    <w:t>日志检查</w:t>
                  </w:r>
                </w:p>
              </w:tc>
              <w:tc>
                <w:tcPr>
                  <w:tcW w:type="dxa" w:w="2556"/>
                  <w:tcBorders>
                    <w:top w:val="none" w:color="000000" w:sz="4"/>
                    <w:left w:val="none" w:color="000000" w:sz="4"/>
                    <w:bottom w:val="single" w:color="000000" w:sz="4"/>
                    <w:right w:val="single" w:color="000000" w:sz="4"/>
                  </w:tcBorders>
                  <w:vAlign w:val="top"/>
                </w:tcPr>
                <w:p>
                  <w:pPr>
                    <w:jc w:val="both"/>
                  </w:pPr>
                  <w:r>
                    <w:rPr>
                      <w:sz w:val="21"/>
                    </w:rPr>
                    <w:t>每周定时检查认证授权中心日志，如果有报错和警告日志，则排查相关问题，并做好相关工作日志记录，防止系统存在安全隐患，并对服务器的相关日志进行维护操作，保证每月对相关日志进行一次清理。</w:t>
                  </w:r>
                </w:p>
              </w:tc>
              <w:tc>
                <w:tcPr>
                  <w:tcW w:type="dxa" w:w="961"/>
                  <w:tcBorders>
                    <w:top w:val="none" w:color="000000" w:sz="4"/>
                    <w:left w:val="none" w:color="000000" w:sz="4"/>
                    <w:bottom w:val="single" w:color="000000" w:sz="4"/>
                    <w:right w:val="single" w:color="000000" w:sz="4"/>
                  </w:tcBorders>
                </w:tcPr>
                <w:p>
                  <w:pPr>
                    <w:jc w:val="both"/>
                  </w:pPr>
                  <w:r>
                    <w:rPr>
                      <w:sz w:val="21"/>
                    </w:rPr>
                    <w:t>延续性运维</w:t>
                  </w:r>
                </w:p>
              </w:tc>
              <w:tc>
                <w:tcPr>
                  <w:tcW w:type="dxa" w:w="485"/>
                  <w:tcBorders>
                    <w:top w:val="none" w:color="000000" w:sz="4"/>
                    <w:left w:val="none" w:color="000000" w:sz="4"/>
                    <w:bottom w:val="single" w:color="000000" w:sz="4"/>
                    <w:right w:val="single" w:color="000000" w:sz="4"/>
                  </w:tcBorders>
                </w:tcPr>
                <w:p>
                  <w:pPr>
                    <w:jc w:val="both"/>
                  </w:pPr>
                  <w:r>
                    <w:rPr>
                      <w:sz w:val="21"/>
                    </w:rPr>
                    <w:t>　</w:t>
                  </w:r>
                </w:p>
              </w:tc>
            </w:tr>
            <w:tr>
              <w:tc>
                <w:tcPr>
                  <w:tcW w:type="dxa" w:w="426"/>
                  <w:tcBorders>
                    <w:top w:val="none" w:color="000000" w:sz="4"/>
                    <w:left w:val="single" w:color="000000" w:sz="4"/>
                    <w:bottom w:val="single" w:color="000000" w:sz="4"/>
                    <w:right w:val="single" w:color="000000" w:sz="4"/>
                  </w:tcBorders>
                </w:tcPr>
                <w:p>
                  <w:pPr>
                    <w:jc w:val="both"/>
                  </w:pPr>
                  <w:r>
                    <w:rPr>
                      <w:sz w:val="21"/>
                    </w:rPr>
                    <w:t>18</w:t>
                  </w:r>
                </w:p>
              </w:tc>
              <w:tc>
                <w:tcPr>
                  <w:tcW w:type="dxa" w:w="634"/>
                  <w:vMerge/>
                  <w:tcBorders>
                    <w:top w:val="none" w:color="000000" w:sz="4"/>
                    <w:left w:val="none" w:color="000000" w:sz="4"/>
                    <w:bottom w:val="single" w:color="000000" w:sz="4"/>
                    <w:right w:val="single" w:color="000000" w:sz="4"/>
                  </w:tcBorders>
                </w:tcPr>
                <w:p/>
              </w:tc>
              <w:tc>
                <w:tcPr>
                  <w:tcW w:type="dxa" w:w="535"/>
                  <w:tcBorders>
                    <w:top w:val="none" w:color="000000" w:sz="4"/>
                    <w:left w:val="none" w:color="000000" w:sz="4"/>
                    <w:bottom w:val="single" w:color="000000" w:sz="4"/>
                    <w:right w:val="single" w:color="000000" w:sz="4"/>
                  </w:tcBorders>
                </w:tcPr>
                <w:p>
                  <w:pPr>
                    <w:jc w:val="both"/>
                  </w:pPr>
                  <w:r>
                    <w:rPr>
                      <w:b/>
                      <w:sz w:val="21"/>
                    </w:rPr>
                    <w:t>账户维护</w:t>
                  </w:r>
                </w:p>
              </w:tc>
              <w:tc>
                <w:tcPr>
                  <w:tcW w:type="dxa" w:w="2556"/>
                  <w:tcBorders>
                    <w:top w:val="none" w:color="000000" w:sz="4"/>
                    <w:left w:val="none" w:color="000000" w:sz="4"/>
                    <w:bottom w:val="single" w:color="000000" w:sz="4"/>
                    <w:right w:val="single" w:color="000000" w:sz="4"/>
                  </w:tcBorders>
                  <w:vAlign w:val="top"/>
                </w:tcPr>
                <w:p>
                  <w:pPr>
                    <w:jc w:val="both"/>
                  </w:pPr>
                  <w:r>
                    <w:rPr>
                      <w:sz w:val="21"/>
                    </w:rPr>
                    <w:t>重要账号的密码每月修改一次，对系统账户与口令应严格保密、定期修改维护，以保证系统安全，防止对系统的非法入侵。定期更改远程连接密码，及时关闭无需的共享。</w:t>
                  </w:r>
                </w:p>
              </w:tc>
              <w:tc>
                <w:tcPr>
                  <w:tcW w:type="dxa" w:w="961"/>
                  <w:tcBorders>
                    <w:top w:val="none" w:color="000000" w:sz="4"/>
                    <w:left w:val="none" w:color="000000" w:sz="4"/>
                    <w:bottom w:val="single" w:color="000000" w:sz="4"/>
                    <w:right w:val="single" w:color="000000" w:sz="4"/>
                  </w:tcBorders>
                </w:tcPr>
                <w:p>
                  <w:pPr>
                    <w:jc w:val="both"/>
                  </w:pPr>
                  <w:r>
                    <w:rPr>
                      <w:sz w:val="21"/>
                    </w:rPr>
                    <w:t>延续性运维</w:t>
                  </w:r>
                </w:p>
              </w:tc>
              <w:tc>
                <w:tcPr>
                  <w:tcW w:type="dxa" w:w="485"/>
                  <w:tcBorders>
                    <w:top w:val="none" w:color="000000" w:sz="4"/>
                    <w:left w:val="none" w:color="000000" w:sz="4"/>
                    <w:bottom w:val="single" w:color="000000" w:sz="4"/>
                    <w:right w:val="single" w:color="000000" w:sz="4"/>
                  </w:tcBorders>
                </w:tcPr>
                <w:p>
                  <w:pPr>
                    <w:jc w:val="both"/>
                  </w:pPr>
                  <w:r>
                    <w:rPr>
                      <w:sz w:val="21"/>
                    </w:rPr>
                    <w:t>　</w:t>
                  </w:r>
                </w:p>
              </w:tc>
            </w:tr>
            <w:tr>
              <w:tc>
                <w:tcPr>
                  <w:tcW w:type="dxa" w:w="426"/>
                  <w:tcBorders>
                    <w:top w:val="none" w:color="000000" w:sz="4"/>
                    <w:left w:val="single" w:color="000000" w:sz="4"/>
                    <w:bottom w:val="single" w:color="000000" w:sz="4"/>
                    <w:right w:val="single" w:color="000000" w:sz="4"/>
                  </w:tcBorders>
                </w:tcPr>
                <w:p>
                  <w:pPr>
                    <w:jc w:val="both"/>
                  </w:pPr>
                  <w:r>
                    <w:rPr>
                      <w:sz w:val="21"/>
                    </w:rPr>
                    <w:t>19</w:t>
                  </w:r>
                </w:p>
              </w:tc>
              <w:tc>
                <w:tcPr>
                  <w:tcW w:type="dxa" w:w="634"/>
                  <w:vMerge w:val="restart"/>
                  <w:tcBorders>
                    <w:top w:val="none" w:color="000000" w:sz="4"/>
                    <w:left w:val="none" w:color="000000" w:sz="4"/>
                    <w:bottom w:val="single" w:color="000000" w:sz="4"/>
                    <w:right w:val="single" w:color="000000" w:sz="4"/>
                  </w:tcBorders>
                </w:tcPr>
                <w:p>
                  <w:pPr>
                    <w:jc w:val="both"/>
                  </w:pPr>
                  <w:r>
                    <w:rPr>
                      <w:b/>
                      <w:sz w:val="21"/>
                    </w:rPr>
                    <w:t>（五）安全应急演练</w:t>
                  </w:r>
                </w:p>
              </w:tc>
              <w:tc>
                <w:tcPr>
                  <w:tcW w:type="dxa" w:w="535"/>
                  <w:tcBorders>
                    <w:top w:val="none" w:color="000000" w:sz="4"/>
                    <w:left w:val="none" w:color="000000" w:sz="4"/>
                    <w:bottom w:val="single" w:color="000000" w:sz="4"/>
                    <w:right w:val="single" w:color="000000" w:sz="4"/>
                  </w:tcBorders>
                </w:tcPr>
                <w:p>
                  <w:pPr>
                    <w:jc w:val="both"/>
                  </w:pPr>
                  <w:r>
                    <w:rPr>
                      <w:b/>
                      <w:sz w:val="21"/>
                    </w:rPr>
                    <w:t>制定安全应急预案</w:t>
                  </w:r>
                </w:p>
              </w:tc>
              <w:tc>
                <w:tcPr>
                  <w:tcW w:type="dxa" w:w="2556"/>
                  <w:tcBorders>
                    <w:top w:val="none" w:color="000000" w:sz="4"/>
                    <w:left w:val="none" w:color="000000" w:sz="4"/>
                    <w:bottom w:val="single" w:color="000000" w:sz="4"/>
                    <w:right w:val="single" w:color="000000" w:sz="4"/>
                  </w:tcBorders>
                  <w:vAlign w:val="top"/>
                </w:tcPr>
                <w:p>
                  <w:pPr>
                    <w:jc w:val="both"/>
                  </w:pPr>
                  <w:r>
                    <w:rPr>
                      <w:sz w:val="21"/>
                    </w:rPr>
                    <w:t>针对数据故障应急问题、应用系统应急问题、硬件问题、服务器故障应急问题、系统遭受攻击问题、网络无法使用问题、</w:t>
                  </w:r>
                  <w:r>
                    <w:rPr>
                      <w:sz w:val="21"/>
                    </w:rPr>
                    <w:t>DDOS</w:t>
                  </w:r>
                  <w:r>
                    <w:rPr>
                      <w:sz w:val="21"/>
                    </w:rPr>
                    <w:t>攻击问题等安全应急问题并及时处理，制定响应的系统安全应急方案及预案。</w:t>
                  </w:r>
                </w:p>
              </w:tc>
              <w:tc>
                <w:tcPr>
                  <w:tcW w:type="dxa" w:w="961"/>
                  <w:tcBorders>
                    <w:top w:val="none" w:color="000000" w:sz="4"/>
                    <w:left w:val="none" w:color="000000" w:sz="4"/>
                    <w:bottom w:val="single" w:color="000000" w:sz="4"/>
                    <w:right w:val="single" w:color="000000" w:sz="4"/>
                  </w:tcBorders>
                </w:tcPr>
                <w:p>
                  <w:pPr>
                    <w:jc w:val="both"/>
                  </w:pPr>
                  <w:r>
                    <w:rPr>
                      <w:sz w:val="21"/>
                    </w:rPr>
                    <w:t>延续性运维</w:t>
                  </w:r>
                </w:p>
              </w:tc>
              <w:tc>
                <w:tcPr>
                  <w:tcW w:type="dxa" w:w="485"/>
                  <w:tcBorders>
                    <w:top w:val="none" w:color="000000" w:sz="4"/>
                    <w:left w:val="none" w:color="000000" w:sz="4"/>
                    <w:bottom w:val="single" w:color="000000" w:sz="4"/>
                    <w:right w:val="single" w:color="000000" w:sz="4"/>
                  </w:tcBorders>
                </w:tcPr>
                <w:p>
                  <w:pPr>
                    <w:jc w:val="both"/>
                  </w:pPr>
                  <w:r>
                    <w:rPr>
                      <w:sz w:val="21"/>
                    </w:rPr>
                    <w:t>　</w:t>
                  </w:r>
                </w:p>
              </w:tc>
            </w:tr>
            <w:tr>
              <w:tc>
                <w:tcPr>
                  <w:tcW w:type="dxa" w:w="426"/>
                  <w:tcBorders>
                    <w:top w:val="none" w:color="000000" w:sz="4"/>
                    <w:left w:val="single" w:color="000000" w:sz="4"/>
                    <w:bottom w:val="single" w:color="000000" w:sz="4"/>
                    <w:right w:val="single" w:color="000000" w:sz="4"/>
                  </w:tcBorders>
                </w:tcPr>
                <w:p>
                  <w:pPr>
                    <w:jc w:val="both"/>
                  </w:pPr>
                  <w:r>
                    <w:rPr>
                      <w:sz w:val="21"/>
                    </w:rPr>
                    <w:t>20</w:t>
                  </w:r>
                </w:p>
              </w:tc>
              <w:tc>
                <w:tcPr>
                  <w:tcW w:type="dxa" w:w="634"/>
                  <w:vMerge/>
                  <w:tcBorders>
                    <w:top w:val="none" w:color="000000" w:sz="4"/>
                    <w:left w:val="none" w:color="000000" w:sz="4"/>
                    <w:bottom w:val="single" w:color="000000" w:sz="4"/>
                    <w:right w:val="single" w:color="000000" w:sz="4"/>
                  </w:tcBorders>
                </w:tcPr>
                <w:p/>
              </w:tc>
              <w:tc>
                <w:tcPr>
                  <w:tcW w:type="dxa" w:w="535"/>
                  <w:tcBorders>
                    <w:top w:val="none" w:color="000000" w:sz="4"/>
                    <w:left w:val="none" w:color="000000" w:sz="4"/>
                    <w:bottom w:val="single" w:color="000000" w:sz="4"/>
                    <w:right w:val="single" w:color="000000" w:sz="4"/>
                  </w:tcBorders>
                </w:tcPr>
                <w:p>
                  <w:pPr>
                    <w:jc w:val="both"/>
                  </w:pPr>
                  <w:r>
                    <w:rPr>
                      <w:b/>
                      <w:sz w:val="21"/>
                    </w:rPr>
                    <w:t>网络攻防演练</w:t>
                  </w:r>
                </w:p>
              </w:tc>
              <w:tc>
                <w:tcPr>
                  <w:tcW w:type="dxa" w:w="2556"/>
                  <w:tcBorders>
                    <w:top w:val="none" w:color="000000" w:sz="4"/>
                    <w:left w:val="none" w:color="000000" w:sz="4"/>
                    <w:bottom w:val="single" w:color="000000" w:sz="4"/>
                    <w:right w:val="single" w:color="000000" w:sz="4"/>
                  </w:tcBorders>
                  <w:vAlign w:val="top"/>
                </w:tcPr>
                <w:p>
                  <w:pPr>
                    <w:jc w:val="both"/>
                  </w:pPr>
                  <w:r>
                    <w:rPr>
                      <w:sz w:val="21"/>
                    </w:rPr>
                    <w:t>配合对系统安全、网络与信息安全的突发事件进行安全演练，以提高相关人员对应急预案的知晓度和流程的熟练程度，加强突发事件的快速反应能力。发现问题及时向领导汇报，防止影响扩大，及时取证，分析，查找原因，严格按流程处理，防止问题进一步扩大，将事件的影响降到最低。提高处理突发故障的应对能力，保证系统安全、高效、有序的运行。在安全演练前做好系统安全检查，封堵系统服务器、应用程序和弱口令等各种漏洞。安全演练过程中及时发现被攻击情况，迅速采取正确处置手段应对攻击行为，并编写《网络安全演练事件调查分析报告》。</w:t>
                  </w:r>
                </w:p>
              </w:tc>
              <w:tc>
                <w:tcPr>
                  <w:tcW w:type="dxa" w:w="961"/>
                  <w:tcBorders>
                    <w:top w:val="none" w:color="000000" w:sz="4"/>
                    <w:left w:val="none" w:color="000000" w:sz="4"/>
                    <w:bottom w:val="single" w:color="000000" w:sz="4"/>
                    <w:right w:val="single" w:color="000000" w:sz="4"/>
                  </w:tcBorders>
                </w:tcPr>
                <w:p>
                  <w:pPr>
                    <w:jc w:val="both"/>
                  </w:pPr>
                  <w:r>
                    <w:rPr>
                      <w:sz w:val="21"/>
                    </w:rPr>
                    <w:t>延续性运维</w:t>
                  </w:r>
                </w:p>
              </w:tc>
              <w:tc>
                <w:tcPr>
                  <w:tcW w:type="dxa" w:w="485"/>
                  <w:tcBorders>
                    <w:top w:val="none" w:color="000000" w:sz="4"/>
                    <w:left w:val="none" w:color="000000" w:sz="4"/>
                    <w:bottom w:val="single" w:color="000000" w:sz="4"/>
                    <w:right w:val="single" w:color="000000" w:sz="4"/>
                  </w:tcBorders>
                </w:tcPr>
                <w:p>
                  <w:pPr>
                    <w:jc w:val="both"/>
                  </w:pPr>
                  <w:r>
                    <w:rPr>
                      <w:sz w:val="21"/>
                    </w:rPr>
                    <w:t>　</w:t>
                  </w:r>
                </w:p>
              </w:tc>
            </w:tr>
            <w:tr>
              <w:tc>
                <w:tcPr>
                  <w:tcW w:type="dxa" w:w="426"/>
                  <w:tcBorders>
                    <w:top w:val="none" w:color="000000" w:sz="4"/>
                    <w:left w:val="single" w:color="000000" w:sz="4"/>
                    <w:bottom w:val="single" w:color="000000" w:sz="4"/>
                    <w:right w:val="single" w:color="000000" w:sz="4"/>
                  </w:tcBorders>
                </w:tcPr>
                <w:p>
                  <w:pPr>
                    <w:jc w:val="both"/>
                  </w:pPr>
                  <w:r>
                    <w:rPr>
                      <w:sz w:val="21"/>
                    </w:rPr>
                    <w:t>21</w:t>
                  </w:r>
                </w:p>
              </w:tc>
              <w:tc>
                <w:tcPr>
                  <w:tcW w:type="dxa" w:w="634"/>
                  <w:vMerge w:val="restart"/>
                  <w:tcBorders>
                    <w:top w:val="none" w:color="000000" w:sz="4"/>
                    <w:left w:val="none" w:color="000000" w:sz="4"/>
                    <w:bottom w:val="single" w:color="000000" w:sz="4"/>
                    <w:right w:val="single" w:color="000000" w:sz="4"/>
                  </w:tcBorders>
                </w:tcPr>
                <w:p>
                  <w:pPr>
                    <w:jc w:val="both"/>
                  </w:pPr>
                  <w:r>
                    <w:rPr>
                      <w:b/>
                      <w:sz w:val="21"/>
                    </w:rPr>
                    <w:t>（六）安全培训</w:t>
                  </w:r>
                </w:p>
              </w:tc>
              <w:tc>
                <w:tcPr>
                  <w:tcW w:type="dxa" w:w="535"/>
                  <w:tcBorders>
                    <w:top w:val="none" w:color="000000" w:sz="4"/>
                    <w:left w:val="none" w:color="000000" w:sz="4"/>
                    <w:bottom w:val="single" w:color="000000" w:sz="4"/>
                    <w:right w:val="single" w:color="000000" w:sz="4"/>
                  </w:tcBorders>
                </w:tcPr>
                <w:p>
                  <w:pPr>
                    <w:jc w:val="both"/>
                  </w:pPr>
                  <w:r>
                    <w:rPr>
                      <w:b/>
                      <w:sz w:val="21"/>
                    </w:rPr>
                    <w:t>安全技术培训</w:t>
                  </w:r>
                </w:p>
              </w:tc>
              <w:tc>
                <w:tcPr>
                  <w:tcW w:type="dxa" w:w="2556"/>
                  <w:tcBorders>
                    <w:top w:val="none" w:color="000000" w:sz="4"/>
                    <w:left w:val="none" w:color="000000" w:sz="4"/>
                    <w:bottom w:val="single" w:color="000000" w:sz="4"/>
                    <w:right w:val="single" w:color="000000" w:sz="4"/>
                  </w:tcBorders>
                  <w:vAlign w:val="bottom"/>
                </w:tcPr>
                <w:p>
                  <w:pPr>
                    <w:jc w:val="both"/>
                  </w:pPr>
                  <w:r>
                    <w:rPr>
                      <w:sz w:val="21"/>
                    </w:rPr>
                    <w:t>通过综合安全培训、演练等多种形式对工作人员进行安全意识教育、技能培训和相关安全技术培训</w:t>
                  </w:r>
                </w:p>
              </w:tc>
              <w:tc>
                <w:tcPr>
                  <w:tcW w:type="dxa" w:w="961"/>
                  <w:tcBorders>
                    <w:top w:val="none" w:color="000000" w:sz="4"/>
                    <w:left w:val="none" w:color="000000" w:sz="4"/>
                    <w:bottom w:val="single" w:color="000000" w:sz="4"/>
                    <w:right w:val="single" w:color="000000" w:sz="4"/>
                  </w:tcBorders>
                </w:tcPr>
                <w:p>
                  <w:pPr>
                    <w:jc w:val="both"/>
                  </w:pPr>
                  <w:r>
                    <w:rPr>
                      <w:sz w:val="21"/>
                    </w:rPr>
                    <w:t>延续性运维</w:t>
                  </w:r>
                </w:p>
              </w:tc>
              <w:tc>
                <w:tcPr>
                  <w:tcW w:type="dxa" w:w="485"/>
                  <w:tcBorders>
                    <w:top w:val="none" w:color="000000" w:sz="4"/>
                    <w:left w:val="none" w:color="000000" w:sz="4"/>
                    <w:bottom w:val="single" w:color="000000" w:sz="4"/>
                    <w:right w:val="single" w:color="000000" w:sz="4"/>
                  </w:tcBorders>
                </w:tcPr>
                <w:p>
                  <w:pPr>
                    <w:jc w:val="both"/>
                  </w:pPr>
                  <w:r>
                    <w:rPr>
                      <w:sz w:val="21"/>
                    </w:rPr>
                    <w:t>　</w:t>
                  </w:r>
                </w:p>
              </w:tc>
            </w:tr>
            <w:tr>
              <w:tc>
                <w:tcPr>
                  <w:tcW w:type="dxa" w:w="426"/>
                  <w:tcBorders>
                    <w:top w:val="none" w:color="000000" w:sz="4"/>
                    <w:left w:val="single" w:color="000000" w:sz="4"/>
                    <w:bottom w:val="single" w:color="000000" w:sz="4"/>
                    <w:right w:val="single" w:color="000000" w:sz="4"/>
                  </w:tcBorders>
                </w:tcPr>
                <w:p>
                  <w:pPr>
                    <w:jc w:val="both"/>
                  </w:pPr>
                  <w:r>
                    <w:rPr>
                      <w:sz w:val="21"/>
                    </w:rPr>
                    <w:t>22</w:t>
                  </w:r>
                </w:p>
              </w:tc>
              <w:tc>
                <w:tcPr>
                  <w:tcW w:type="dxa" w:w="634"/>
                  <w:vMerge/>
                  <w:tcBorders>
                    <w:top w:val="none" w:color="000000" w:sz="4"/>
                    <w:left w:val="none" w:color="000000" w:sz="4"/>
                    <w:bottom w:val="single" w:color="000000" w:sz="4"/>
                    <w:right w:val="single" w:color="000000" w:sz="4"/>
                  </w:tcBorders>
                </w:tcPr>
                <w:p/>
              </w:tc>
              <w:tc>
                <w:tcPr>
                  <w:tcW w:type="dxa" w:w="535"/>
                  <w:tcBorders>
                    <w:top w:val="none" w:color="000000" w:sz="4"/>
                    <w:left w:val="none" w:color="000000" w:sz="4"/>
                    <w:bottom w:val="single" w:color="000000" w:sz="4"/>
                    <w:right w:val="single" w:color="000000" w:sz="4"/>
                  </w:tcBorders>
                </w:tcPr>
                <w:p>
                  <w:pPr>
                    <w:jc w:val="both"/>
                  </w:pPr>
                  <w:r>
                    <w:rPr>
                      <w:b/>
                      <w:sz w:val="21"/>
                    </w:rPr>
                    <w:t>安全知识培训</w:t>
                  </w:r>
                </w:p>
              </w:tc>
              <w:tc>
                <w:tcPr>
                  <w:tcW w:type="dxa" w:w="2556"/>
                  <w:tcBorders>
                    <w:top w:val="none" w:color="000000" w:sz="4"/>
                    <w:left w:val="none" w:color="000000" w:sz="4"/>
                    <w:bottom w:val="single" w:color="000000" w:sz="4"/>
                    <w:right w:val="single" w:color="000000" w:sz="4"/>
                  </w:tcBorders>
                  <w:vAlign w:val="bottom"/>
                </w:tcPr>
                <w:p>
                  <w:pPr>
                    <w:jc w:val="both"/>
                  </w:pPr>
                  <w:r>
                    <w:rPr>
                      <w:sz w:val="21"/>
                    </w:rPr>
                    <w:t>提供网络信息安全风险、非法攻击、数据安全、病毒入侵及管理漏洞风险防控等网络安全知识培训工作，并提供必要的培训资料文件。</w:t>
                  </w:r>
                </w:p>
              </w:tc>
              <w:tc>
                <w:tcPr>
                  <w:tcW w:type="dxa" w:w="961"/>
                  <w:tcBorders>
                    <w:top w:val="none" w:color="000000" w:sz="4"/>
                    <w:left w:val="none" w:color="000000" w:sz="4"/>
                    <w:bottom w:val="single" w:color="000000" w:sz="4"/>
                    <w:right w:val="single" w:color="000000" w:sz="4"/>
                  </w:tcBorders>
                </w:tcPr>
                <w:p>
                  <w:pPr>
                    <w:jc w:val="both"/>
                  </w:pPr>
                  <w:r>
                    <w:rPr>
                      <w:sz w:val="21"/>
                    </w:rPr>
                    <w:t>延续性运维</w:t>
                  </w:r>
                </w:p>
              </w:tc>
              <w:tc>
                <w:tcPr>
                  <w:tcW w:type="dxa" w:w="485"/>
                  <w:tcBorders>
                    <w:top w:val="none" w:color="000000" w:sz="4"/>
                    <w:left w:val="none" w:color="000000" w:sz="4"/>
                    <w:bottom w:val="single" w:color="000000" w:sz="4"/>
                    <w:right w:val="single" w:color="000000" w:sz="4"/>
                  </w:tcBorders>
                </w:tcPr>
                <w:p>
                  <w:pPr>
                    <w:jc w:val="both"/>
                  </w:pPr>
                  <w:r>
                    <w:rPr>
                      <w:sz w:val="21"/>
                    </w:rPr>
                    <w:t>　</w:t>
                  </w:r>
                </w:p>
              </w:tc>
            </w:tr>
          </w:tbl>
          <w:p>
            <w:pPr>
              <w:jc w:val="both"/>
            </w:pPr>
            <w:r>
              <w:rPr/>
              <w:t xml:space="preserve"> </w:t>
            </w:r>
          </w:p>
        </w:tc>
      </w:tr>
      <w:tr>
        <w:tc>
          <w:tcPr>
            <w:tcW w:type="dxa" w:w="2076"/>
          </w:tcPr>
          <w:p/>
        </w:tc>
        <w:tc>
          <w:tcPr>
            <w:tcW w:type="dxa" w:w="415"/>
          </w:tcPr>
          <w:p>
            <w:r>
              <w:rPr/>
              <w:t>4</w:t>
            </w:r>
          </w:p>
        </w:tc>
        <w:tc>
          <w:tcPr>
            <w:tcW w:type="dxa" w:w="5814"/>
          </w:tcPr>
          <w:p>
            <w:pPr>
              <w:jc w:val="both"/>
            </w:pPr>
            <w:r>
              <w:rPr>
                <w:b/>
                <w:sz w:val="21"/>
              </w:rPr>
              <w:t>4.</w:t>
            </w:r>
            <w:r>
              <w:rPr>
                <w:b/>
                <w:sz w:val="21"/>
              </w:rPr>
              <w:t>运维工作机制</w:t>
            </w:r>
          </w:p>
          <w:p>
            <w:pPr>
              <w:jc w:val="both"/>
            </w:pPr>
            <w:r>
              <w:rPr>
                <w:sz w:val="21"/>
              </w:rPr>
              <w:t>运维公司应严格按照《中山市自然资源局软件系统维护管理办法》开展运维工作，并编制详细、可实施的系统运维方案，明确系统运维任务的工作流程，开展系统运行风险评估，提出整改措施并落实，完善系统应急响应方案，健全系统维护响应机制。</w:t>
            </w:r>
          </w:p>
          <w:p>
            <w:pPr>
              <w:jc w:val="both"/>
            </w:pPr>
            <w:r>
              <w:rPr>
                <w:sz w:val="21"/>
              </w:rPr>
              <w:t>对于重要运维任务，如系统迁移、重大版本更新、重大业务流程或功能调整，运维公司在接到运维需求后，应严格按照需求调研、方案设计、编码、测试、功能上线几个阶段来实施。全面开展需求分析，形成需求分析书，经业务科室确认后，深入分析、全面评估、有效防控风险，编制技术方案，并经中山市自然资源信息中心审核和业务科室确认后，方可开展工作。对应功能上线前需进行测试，并经业务科室进行功能确认并进行培训后方可上线。上线初期配置好运维人员保证功能故障能快速响应、及时解决。</w:t>
            </w:r>
          </w:p>
          <w:p>
            <w:pPr>
              <w:jc w:val="both"/>
            </w:pPr>
            <w:r>
              <w:rPr>
                <w:sz w:val="21"/>
              </w:rPr>
              <w:t>项目运维过程中出现故障应立即向局信息化部门上报，由信息化部门统筹故障的处置，根据实际情况启动有关应急响应。运维公司不得瞒报，故障处理进展应及时上报。</w:t>
            </w:r>
          </w:p>
          <w:p>
            <w:pPr>
              <w:jc w:val="both"/>
            </w:pPr>
            <w:r>
              <w:rPr>
                <w:sz w:val="21"/>
              </w:rPr>
              <w:t>运维重点方案和重要运维任务的技术方案，运维团队内部应有审核审批机制。重要方案一般应经过起草、审查、审批三个环节，各环节应由不同的责任人完成，承担相应的责任。</w:t>
            </w:r>
          </w:p>
          <w:p>
            <w:pPr>
              <w:jc w:val="both"/>
            </w:pPr>
            <w:r>
              <w:rPr>
                <w:sz w:val="21"/>
              </w:rPr>
              <w:t>一般运维任务，业务科室和运维公司可直接对接，并做好相关记录。</w:t>
            </w:r>
          </w:p>
          <w:p>
            <w:pPr>
              <w:jc w:val="both"/>
            </w:pPr>
            <w:r>
              <w:rPr>
                <w:sz w:val="21"/>
              </w:rPr>
              <w:t>对于短时无法完成的运维任务，运维公司应及时报告，由中山市自然资源信息中心综合研判，形成运维决定后，方可回复运维需求提出人。</w:t>
            </w:r>
          </w:p>
          <w:p>
            <w:r>
              <w:rPr>
                <w:sz w:val="21"/>
              </w:rPr>
              <w:t>运维公司应建立运维风险定期评估机制，与中山市自然资源局信息化部门和业务科室共同开展运维风险评估，对运维动作带来的风险提前预判，及时完善风险防控措施，明确风险防控工作中运维的责任。</w:t>
            </w:r>
          </w:p>
        </w:tc>
      </w:tr>
      <w:tr>
        <w:tc>
          <w:tcPr>
            <w:tcW w:type="dxa" w:w="2076"/>
          </w:tcPr>
          <w:p/>
        </w:tc>
        <w:tc>
          <w:tcPr>
            <w:tcW w:type="dxa" w:w="415"/>
          </w:tcPr>
          <w:p>
            <w:r>
              <w:rPr/>
              <w:t>5</w:t>
            </w:r>
          </w:p>
        </w:tc>
        <w:tc>
          <w:tcPr>
            <w:tcW w:type="dxa" w:w="5814"/>
          </w:tcPr>
          <w:p>
            <w:pPr>
              <w:jc w:val="both"/>
            </w:pPr>
            <w:r>
              <w:rPr>
                <w:b/>
                <w:sz w:val="21"/>
              </w:rPr>
              <w:t>5.</w:t>
            </w:r>
            <w:r>
              <w:rPr>
                <w:b/>
                <w:sz w:val="21"/>
              </w:rPr>
              <w:t>运维执行的标准规范及政策文件</w:t>
            </w:r>
          </w:p>
          <w:p>
            <w:pPr>
              <w:jc w:val="both"/>
            </w:pPr>
            <w:r>
              <w:rPr>
                <w:sz w:val="21"/>
              </w:rPr>
              <w:t xml:space="preserve">(1)   </w:t>
            </w:r>
            <w:r>
              <w:rPr>
                <w:sz w:val="21"/>
              </w:rPr>
              <w:t>广东省地理空间数据管理办法（试行）</w:t>
            </w:r>
          </w:p>
          <w:p>
            <w:pPr>
              <w:jc w:val="both"/>
            </w:pPr>
            <w:r>
              <w:rPr>
                <w:sz w:val="21"/>
              </w:rPr>
              <w:t xml:space="preserve">(2)   </w:t>
            </w:r>
            <w:r>
              <w:rPr>
                <w:sz w:val="21"/>
              </w:rPr>
              <w:t>广东省自然资源网络安全工作指引</w:t>
            </w:r>
          </w:p>
          <w:p>
            <w:pPr>
              <w:jc w:val="both"/>
            </w:pPr>
            <w:r>
              <w:rPr>
                <w:sz w:val="21"/>
              </w:rPr>
              <w:t xml:space="preserve">(3)   </w:t>
            </w:r>
            <w:r>
              <w:rPr>
                <w:sz w:val="21"/>
              </w:rPr>
              <w:t>广东省自然资源厅政务办公系统运行管理规定（试行）</w:t>
            </w:r>
          </w:p>
          <w:p>
            <w:pPr>
              <w:jc w:val="both"/>
            </w:pPr>
            <w:r>
              <w:rPr>
                <w:sz w:val="21"/>
              </w:rPr>
              <w:t xml:space="preserve">(4)   </w:t>
            </w:r>
            <w:r>
              <w:rPr>
                <w:sz w:val="21"/>
              </w:rPr>
              <w:t>广东省自然资源厅非涉密信息系统网络安全管理规定</w:t>
            </w:r>
          </w:p>
          <w:p>
            <w:pPr>
              <w:jc w:val="both"/>
            </w:pPr>
            <w:r>
              <w:rPr>
                <w:sz w:val="21"/>
              </w:rPr>
              <w:t xml:space="preserve">(5)   </w:t>
            </w:r>
            <w:r>
              <w:rPr>
                <w:sz w:val="21"/>
              </w:rPr>
              <w:t>广东省自然资源厅网络安全事件综合应急预案</w:t>
            </w:r>
          </w:p>
          <w:p>
            <w:pPr>
              <w:jc w:val="both"/>
            </w:pPr>
            <w:r>
              <w:rPr>
                <w:sz w:val="21"/>
              </w:rPr>
              <w:t xml:space="preserve">(6)   </w:t>
            </w:r>
            <w:r>
              <w:rPr>
                <w:sz w:val="21"/>
              </w:rPr>
              <w:t>广东省自然资源网络安全工作指引</w:t>
            </w:r>
          </w:p>
          <w:p>
            <w:pPr>
              <w:jc w:val="both"/>
            </w:pPr>
            <w:r>
              <w:rPr>
                <w:sz w:val="21"/>
              </w:rPr>
              <w:t xml:space="preserve">(7)   </w:t>
            </w:r>
            <w:r>
              <w:rPr>
                <w:sz w:val="21"/>
              </w:rPr>
              <w:t>中山市电子政务云服务平台上云安全审查指引（试行）</w:t>
            </w:r>
          </w:p>
          <w:p>
            <w:pPr>
              <w:jc w:val="both"/>
            </w:pPr>
            <w:r>
              <w:rPr>
                <w:sz w:val="21"/>
              </w:rPr>
              <w:t xml:space="preserve">(8)   </w:t>
            </w:r>
            <w:r>
              <w:rPr>
                <w:sz w:val="21"/>
              </w:rPr>
              <w:t>中山市电子政务云服务平台资源管理实施细则（</w:t>
            </w:r>
            <w:r>
              <w:rPr>
                <w:sz w:val="21"/>
              </w:rPr>
              <w:t>2021</w:t>
            </w:r>
            <w:r>
              <w:rPr>
                <w:sz w:val="21"/>
              </w:rPr>
              <w:t>年修订版）</w:t>
            </w:r>
          </w:p>
          <w:p>
            <w:pPr>
              <w:jc w:val="both"/>
            </w:pPr>
            <w:r>
              <w:rPr>
                <w:sz w:val="21"/>
              </w:rPr>
              <w:t xml:space="preserve">(9)   </w:t>
            </w:r>
            <w:r>
              <w:rPr>
                <w:sz w:val="21"/>
              </w:rPr>
              <w:t>关于进一步加强中山市电子政务外网接入单位内部网络安全管理有关工作的通知</w:t>
            </w:r>
          </w:p>
          <w:p>
            <w:pPr>
              <w:jc w:val="both"/>
            </w:pPr>
            <w:r>
              <w:rPr>
                <w:sz w:val="21"/>
              </w:rPr>
              <w:t xml:space="preserve">(10) </w:t>
            </w:r>
            <w:r>
              <w:rPr>
                <w:sz w:val="21"/>
              </w:rPr>
              <w:t>中山市电子政务外网网络安全管理办法</w:t>
            </w:r>
          </w:p>
          <w:p>
            <w:pPr>
              <w:jc w:val="both"/>
            </w:pPr>
            <w:r>
              <w:rPr>
                <w:sz w:val="21"/>
              </w:rPr>
              <w:t xml:space="preserve">(11) </w:t>
            </w:r>
            <w:r>
              <w:rPr>
                <w:sz w:val="21"/>
              </w:rPr>
              <w:t>中山市电子政务云服务平台管理办法</w:t>
            </w:r>
          </w:p>
          <w:p>
            <w:pPr>
              <w:jc w:val="both"/>
            </w:pPr>
            <w:r>
              <w:rPr>
                <w:sz w:val="21"/>
              </w:rPr>
              <w:t xml:space="preserve">(12) </w:t>
            </w:r>
            <w:r>
              <w:rPr>
                <w:sz w:val="21"/>
              </w:rPr>
              <w:t>中山市政务数据管理办法</w:t>
            </w:r>
          </w:p>
          <w:p>
            <w:pPr>
              <w:jc w:val="both"/>
            </w:pPr>
            <w:r>
              <w:rPr>
                <w:sz w:val="21"/>
              </w:rPr>
              <w:t xml:space="preserve">(13) </w:t>
            </w:r>
            <w:r>
              <w:rPr>
                <w:sz w:val="21"/>
              </w:rPr>
              <w:t>中山市政务信息化项目管理办法</w:t>
            </w:r>
          </w:p>
          <w:p>
            <w:pPr>
              <w:jc w:val="both"/>
            </w:pPr>
            <w:r>
              <w:rPr>
                <w:sz w:val="21"/>
              </w:rPr>
              <w:t xml:space="preserve">(14) </w:t>
            </w:r>
            <w:r>
              <w:rPr>
                <w:sz w:val="21"/>
              </w:rPr>
              <w:t>中山市政务信息化项目管理办法实施细则</w:t>
            </w:r>
          </w:p>
          <w:p>
            <w:pPr>
              <w:jc w:val="both"/>
            </w:pPr>
            <w:r>
              <w:rPr>
                <w:sz w:val="21"/>
              </w:rPr>
              <w:t xml:space="preserve">(15) </w:t>
            </w:r>
            <w:r>
              <w:rPr>
                <w:sz w:val="21"/>
              </w:rPr>
              <w:t>中山市政务信息化系统安全认证登录工作方案</w:t>
            </w:r>
          </w:p>
          <w:p>
            <w:pPr>
              <w:jc w:val="both"/>
            </w:pPr>
            <w:r>
              <w:rPr>
                <w:sz w:val="21"/>
              </w:rPr>
              <w:t xml:space="preserve">(16) </w:t>
            </w:r>
            <w:r>
              <w:rPr>
                <w:sz w:val="21"/>
              </w:rPr>
              <w:t>中山市政务信息系统日志采集与保存管理规范</w:t>
            </w:r>
          </w:p>
          <w:p>
            <w:pPr>
              <w:jc w:val="both"/>
            </w:pPr>
            <w:r>
              <w:rPr>
                <w:sz w:val="21"/>
              </w:rPr>
              <w:t xml:space="preserve">(17) </w:t>
            </w:r>
            <w:r>
              <w:rPr>
                <w:sz w:val="21"/>
              </w:rPr>
              <w:t>中山市政务领域网络与信息安全防护考核机制</w:t>
            </w:r>
          </w:p>
          <w:p>
            <w:pPr>
              <w:jc w:val="both"/>
            </w:pPr>
            <w:r>
              <w:rPr>
                <w:sz w:val="21"/>
              </w:rPr>
              <w:t xml:space="preserve">(18) </w:t>
            </w:r>
            <w:r>
              <w:rPr>
                <w:sz w:val="21"/>
              </w:rPr>
              <w:t>中山市自然资源局计算机网络管理制度</w:t>
            </w:r>
          </w:p>
          <w:p>
            <w:pPr>
              <w:jc w:val="both"/>
            </w:pPr>
            <w:r>
              <w:rPr>
                <w:sz w:val="21"/>
              </w:rPr>
              <w:t xml:space="preserve">(19) </w:t>
            </w:r>
            <w:r>
              <w:rPr>
                <w:sz w:val="21"/>
              </w:rPr>
              <w:t>中山市自然资源局网站运行管理办法</w:t>
            </w:r>
          </w:p>
          <w:p>
            <w:pPr>
              <w:jc w:val="both"/>
            </w:pPr>
            <w:r>
              <w:rPr>
                <w:sz w:val="21"/>
              </w:rPr>
              <w:t xml:space="preserve">(20) </w:t>
            </w:r>
            <w:r>
              <w:rPr>
                <w:sz w:val="21"/>
              </w:rPr>
              <w:t>中山市自然资源局保密自查、自评工作办法（试行）</w:t>
            </w:r>
          </w:p>
          <w:p>
            <w:pPr>
              <w:jc w:val="both"/>
            </w:pPr>
            <w:r>
              <w:rPr>
                <w:sz w:val="21"/>
              </w:rPr>
              <w:t xml:space="preserve">(21) </w:t>
            </w:r>
            <w:r>
              <w:rPr>
                <w:sz w:val="21"/>
              </w:rPr>
              <w:t>中山市自然资源局软件系统维护管理办法</w:t>
            </w:r>
          </w:p>
          <w:p>
            <w:pPr>
              <w:jc w:val="both"/>
            </w:pPr>
            <w:r>
              <w:rPr>
                <w:sz w:val="21"/>
              </w:rPr>
              <w:t xml:space="preserve">(22) </w:t>
            </w:r>
            <w:r>
              <w:rPr>
                <w:sz w:val="21"/>
              </w:rPr>
              <w:t>中山市自然资源局网络安全应急预案（试行）</w:t>
            </w:r>
          </w:p>
          <w:p>
            <w:pPr>
              <w:jc w:val="both"/>
            </w:pPr>
            <w:r>
              <w:rPr>
                <w:sz w:val="21"/>
              </w:rPr>
              <w:t xml:space="preserve">(23) </w:t>
            </w:r>
            <w:r>
              <w:rPr>
                <w:sz w:val="21"/>
              </w:rPr>
              <w:t>中山市自然资源局非涉密信息系统网络安全管理规定（试行）</w:t>
            </w:r>
          </w:p>
          <w:p>
            <w:pPr>
              <w:jc w:val="both"/>
            </w:pPr>
            <w:r>
              <w:rPr>
                <w:sz w:val="21"/>
              </w:rPr>
              <w:t xml:space="preserve">(24) </w:t>
            </w:r>
            <w:r>
              <w:rPr>
                <w:sz w:val="21"/>
              </w:rPr>
              <w:t>中山市自然资源局个人信息安全管理规定</w:t>
            </w:r>
          </w:p>
          <w:p>
            <w:pPr>
              <w:jc w:val="both"/>
            </w:pPr>
            <w:r>
              <w:rPr>
                <w:sz w:val="21"/>
              </w:rPr>
              <w:t xml:space="preserve">(25) </w:t>
            </w:r>
            <w:r>
              <w:rPr>
                <w:sz w:val="21"/>
              </w:rPr>
              <w:t>中山市自然资源局个人信息安全事件应急预案</w:t>
            </w:r>
          </w:p>
          <w:p>
            <w:r>
              <w:rPr>
                <w:sz w:val="21"/>
              </w:rPr>
              <w:t xml:space="preserve">(26) </w:t>
            </w:r>
            <w:r>
              <w:rPr>
                <w:sz w:val="21"/>
              </w:rPr>
              <w:t>项目实施前或实施过程中国家、省、市政务信息化部门及自然资源部门印发的数字政府、电子政务、网络安全等相关法律法规、标准规范、规章制度、政策文件</w:t>
            </w:r>
          </w:p>
        </w:tc>
      </w:tr>
      <w:tr>
        <w:tc>
          <w:tcPr>
            <w:tcW w:type="dxa" w:w="2076"/>
          </w:tcPr>
          <w:p/>
        </w:tc>
        <w:tc>
          <w:tcPr>
            <w:tcW w:type="dxa" w:w="415"/>
          </w:tcPr>
          <w:p>
            <w:r>
              <w:rPr/>
              <w:t>6</w:t>
            </w:r>
          </w:p>
        </w:tc>
        <w:tc>
          <w:tcPr>
            <w:tcW w:type="dxa" w:w="5814"/>
          </w:tcPr>
          <w:p>
            <w:pPr>
              <w:jc w:val="both"/>
            </w:pPr>
            <w:r>
              <w:rPr>
                <w:b/>
                <w:sz w:val="21"/>
              </w:rPr>
              <w:t>6.</w:t>
            </w:r>
            <w:r>
              <w:rPr>
                <w:b/>
                <w:sz w:val="21"/>
              </w:rPr>
              <w:t>考核办法</w:t>
            </w:r>
          </w:p>
          <w:p>
            <w:pPr>
              <w:jc w:val="both"/>
            </w:pPr>
            <w:r>
              <w:rPr>
                <w:sz w:val="21"/>
              </w:rPr>
              <w:t>中山市自然资源信息中心组织开展对成交供应商运维服务的评价工作。总分为</w:t>
            </w:r>
            <w:r>
              <w:rPr>
                <w:sz w:val="21"/>
              </w:rPr>
              <w:t>100</w:t>
            </w:r>
            <w:r>
              <w:rPr>
                <w:sz w:val="21"/>
              </w:rPr>
              <w:t>分，初始分为</w:t>
            </w:r>
            <w:r>
              <w:rPr>
                <w:sz w:val="21"/>
              </w:rPr>
              <w:t>100</w:t>
            </w:r>
            <w:r>
              <w:rPr>
                <w:sz w:val="21"/>
              </w:rPr>
              <w:t>分。评价在项目最后一次款项支付前开展，评价结果作为合同履约情况的依据。若评价分≤</w:t>
            </w:r>
            <w:r>
              <w:rPr>
                <w:sz w:val="21"/>
              </w:rPr>
              <w:t>70</w:t>
            </w:r>
            <w:r>
              <w:rPr>
                <w:sz w:val="21"/>
              </w:rPr>
              <w:t>分，认定为运维服务不合格。评价结果可用于结算运维服务费的依据。服务考核评价细则如下：</w:t>
            </w:r>
          </w:p>
          <w:tbl>
            <w:tblPr>
              <w:tblBorders>
                <w:top w:val="none" w:color="000000" w:sz="4"/>
                <w:left w:val="none" w:color="000000" w:sz="4"/>
                <w:bottom w:val="none" w:color="000000" w:sz="4"/>
                <w:right w:val="none" w:color="000000" w:sz="4"/>
                <w:insideH w:val="none"/>
                <w:insideV w:val="none"/>
              </w:tblBorders>
            </w:tblPr>
            <w:tblGrid>
              <w:gridCol w:w="763"/>
              <w:gridCol w:w="843"/>
              <w:gridCol w:w="1744"/>
              <w:gridCol w:w="957"/>
              <w:gridCol w:w="1288"/>
            </w:tblGrid>
            <w:tr>
              <w:tc>
                <w:tcPr>
                  <w:tcW w:type="dxa" w:w="763"/>
                  <w:tcBorders>
                    <w:top w:val="single" w:color="000000" w:sz="4"/>
                    <w:left w:val="single" w:color="000000" w:sz="4"/>
                    <w:bottom w:val="single" w:color="000000" w:sz="4"/>
                    <w:right w:val="single" w:color="000000" w:sz="4"/>
                  </w:tcBorders>
                </w:tcPr>
                <w:p>
                  <w:pPr>
                    <w:jc w:val="both"/>
                  </w:pPr>
                  <w:r>
                    <w:rPr>
                      <w:sz w:val="21"/>
                    </w:rPr>
                    <w:t>评价类别</w:t>
                  </w:r>
                </w:p>
              </w:tc>
              <w:tc>
                <w:tcPr>
                  <w:tcW w:type="dxa" w:w="843"/>
                  <w:tcBorders>
                    <w:top w:val="single" w:color="000000" w:sz="4"/>
                    <w:left w:val="none" w:color="000000" w:sz="4"/>
                    <w:bottom w:val="single" w:color="000000" w:sz="4"/>
                    <w:right w:val="single" w:color="000000" w:sz="4"/>
                  </w:tcBorders>
                </w:tcPr>
                <w:p>
                  <w:pPr>
                    <w:jc w:val="both"/>
                  </w:pPr>
                  <w:r>
                    <w:rPr>
                      <w:sz w:val="21"/>
                    </w:rPr>
                    <w:t>评价项目</w:t>
                  </w:r>
                </w:p>
              </w:tc>
              <w:tc>
                <w:tcPr>
                  <w:tcW w:type="dxa" w:w="1744"/>
                  <w:tcBorders>
                    <w:top w:val="single" w:color="000000" w:sz="4"/>
                    <w:left w:val="none" w:color="000000" w:sz="4"/>
                    <w:bottom w:val="single" w:color="000000" w:sz="4"/>
                    <w:right w:val="single" w:color="000000" w:sz="4"/>
                  </w:tcBorders>
                </w:tcPr>
                <w:p>
                  <w:pPr>
                    <w:jc w:val="both"/>
                  </w:pPr>
                  <w:r>
                    <w:rPr>
                      <w:sz w:val="21"/>
                    </w:rPr>
                    <w:t>评价标准</w:t>
                  </w:r>
                </w:p>
              </w:tc>
              <w:tc>
                <w:tcPr>
                  <w:tcW w:type="dxa" w:w="957"/>
                  <w:tcBorders>
                    <w:top w:val="single" w:color="000000" w:sz="4"/>
                    <w:left w:val="none" w:color="000000" w:sz="4"/>
                    <w:bottom w:val="single" w:color="000000" w:sz="4"/>
                    <w:right w:val="single" w:color="000000" w:sz="4"/>
                  </w:tcBorders>
                </w:tcPr>
                <w:p>
                  <w:pPr>
                    <w:jc w:val="both"/>
                  </w:pPr>
                  <w:r>
                    <w:rPr>
                      <w:sz w:val="21"/>
                    </w:rPr>
                    <w:t>分值</w:t>
                  </w:r>
                </w:p>
              </w:tc>
              <w:tc>
                <w:tcPr>
                  <w:tcW w:type="dxa" w:w="1288"/>
                  <w:tcBorders>
                    <w:top w:val="single" w:color="000000" w:sz="4"/>
                    <w:left w:val="none" w:color="000000" w:sz="4"/>
                    <w:bottom w:val="single" w:color="000000" w:sz="4"/>
                    <w:right w:val="single" w:color="000000" w:sz="4"/>
                  </w:tcBorders>
                </w:tcPr>
                <w:p>
                  <w:pPr>
                    <w:jc w:val="both"/>
                  </w:pPr>
                  <w:r>
                    <w:rPr>
                      <w:sz w:val="21"/>
                    </w:rPr>
                    <w:t>依据</w:t>
                  </w:r>
                </w:p>
              </w:tc>
            </w:tr>
            <w:tr>
              <w:tc>
                <w:tcPr>
                  <w:tcW w:type="dxa" w:w="763"/>
                  <w:vMerge w:val="restart"/>
                  <w:tcBorders>
                    <w:top w:val="none" w:color="000000" w:sz="4"/>
                    <w:left w:val="single" w:color="000000" w:sz="4"/>
                    <w:bottom w:val="single" w:color="000000" w:sz="4"/>
                    <w:right w:val="single" w:color="000000" w:sz="4"/>
                  </w:tcBorders>
                </w:tcPr>
                <w:p>
                  <w:pPr>
                    <w:jc w:val="both"/>
                  </w:pPr>
                  <w:r>
                    <w:rPr>
                      <w:sz w:val="21"/>
                    </w:rPr>
                    <w:t>故障频次</w:t>
                  </w:r>
                </w:p>
              </w:tc>
              <w:tc>
                <w:tcPr>
                  <w:tcW w:type="dxa" w:w="843"/>
                  <w:tcBorders>
                    <w:top w:val="none" w:color="000000" w:sz="4"/>
                    <w:left w:val="none" w:color="000000" w:sz="4"/>
                    <w:bottom w:val="single" w:color="000000" w:sz="4"/>
                    <w:right w:val="single" w:color="000000" w:sz="4"/>
                  </w:tcBorders>
                </w:tcPr>
                <w:p>
                  <w:pPr>
                    <w:jc w:val="both"/>
                  </w:pPr>
                  <w:r>
                    <w:rPr>
                      <w:sz w:val="21"/>
                    </w:rPr>
                    <w:t>重大故障</w:t>
                  </w:r>
                </w:p>
              </w:tc>
              <w:tc>
                <w:tcPr>
                  <w:tcW w:type="dxa" w:w="1744"/>
                  <w:tcBorders>
                    <w:top w:val="none" w:color="000000" w:sz="4"/>
                    <w:left w:val="none" w:color="000000" w:sz="4"/>
                    <w:bottom w:val="single" w:color="000000" w:sz="4"/>
                    <w:right w:val="single" w:color="000000" w:sz="4"/>
                  </w:tcBorders>
                </w:tcPr>
                <w:p>
                  <w:pPr>
                    <w:jc w:val="both"/>
                  </w:pPr>
                  <w:r>
                    <w:rPr>
                      <w:sz w:val="21"/>
                    </w:rPr>
                    <w:t>被维护某个系统因软件的原因导致服务完全中止无法使用超过</w:t>
                  </w:r>
                  <w:r>
                    <w:rPr>
                      <w:sz w:val="21"/>
                    </w:rPr>
                    <w:t>0.5</w:t>
                  </w:r>
                  <w:r>
                    <w:rPr>
                      <w:sz w:val="21"/>
                    </w:rPr>
                    <w:t>天以上</w:t>
                  </w:r>
                </w:p>
              </w:tc>
              <w:tc>
                <w:tcPr>
                  <w:tcW w:type="dxa" w:w="957"/>
                  <w:tcBorders>
                    <w:top w:val="none" w:color="000000" w:sz="4"/>
                    <w:left w:val="none" w:color="000000" w:sz="4"/>
                    <w:bottom w:val="single" w:color="000000" w:sz="4"/>
                    <w:right w:val="single" w:color="000000" w:sz="4"/>
                  </w:tcBorders>
                </w:tcPr>
                <w:p>
                  <w:pPr>
                    <w:jc w:val="both"/>
                  </w:pPr>
                  <w:r>
                    <w:rPr>
                      <w:sz w:val="21"/>
                    </w:rPr>
                    <w:t>扣</w:t>
                  </w:r>
                  <w:r>
                    <w:rPr>
                      <w:sz w:val="21"/>
                    </w:rPr>
                    <w:t>10</w:t>
                  </w:r>
                  <w:r>
                    <w:rPr>
                      <w:sz w:val="21"/>
                    </w:rPr>
                    <w:t>分</w:t>
                  </w:r>
                  <w:r>
                    <w:rPr>
                      <w:sz w:val="21"/>
                    </w:rPr>
                    <w:t>/</w:t>
                  </w:r>
                  <w:r>
                    <w:rPr>
                      <w:sz w:val="21"/>
                    </w:rPr>
                    <w:t>次</w:t>
                  </w:r>
                </w:p>
              </w:tc>
              <w:tc>
                <w:tcPr>
                  <w:tcW w:type="dxa" w:w="1288"/>
                  <w:tcBorders>
                    <w:top w:val="none" w:color="000000" w:sz="4"/>
                    <w:left w:val="none" w:color="000000" w:sz="4"/>
                    <w:bottom w:val="single" w:color="000000" w:sz="4"/>
                    <w:right w:val="single" w:color="000000" w:sz="4"/>
                  </w:tcBorders>
                </w:tcPr>
                <w:p>
                  <w:pPr>
                    <w:jc w:val="both"/>
                  </w:pPr>
                  <w:r>
                    <w:rPr>
                      <w:sz w:val="21"/>
                    </w:rPr>
                    <w:t>中山市自然资源信息中心故障发生、持续时间记录</w:t>
                  </w:r>
                </w:p>
              </w:tc>
            </w:tr>
            <w:tr>
              <w:tc>
                <w:tcPr>
                  <w:tcW w:type="dxa" w:w="763"/>
                  <w:vMerge/>
                  <w:tcBorders>
                    <w:top w:val="none" w:color="000000" w:sz="4"/>
                    <w:left w:val="single" w:color="000000" w:sz="4"/>
                    <w:bottom w:val="single" w:color="000000" w:sz="4"/>
                    <w:right w:val="single" w:color="000000" w:sz="4"/>
                  </w:tcBorders>
                </w:tcPr>
                <w:p/>
              </w:tc>
              <w:tc>
                <w:tcPr>
                  <w:tcW w:type="dxa" w:w="843"/>
                  <w:tcBorders>
                    <w:top w:val="none" w:color="000000" w:sz="4"/>
                    <w:left w:val="none" w:color="000000" w:sz="4"/>
                    <w:bottom w:val="single" w:color="000000" w:sz="4"/>
                    <w:right w:val="single" w:color="000000" w:sz="4"/>
                  </w:tcBorders>
                </w:tcPr>
                <w:p>
                  <w:pPr>
                    <w:jc w:val="both"/>
                  </w:pPr>
                  <w:r>
                    <w:rPr>
                      <w:sz w:val="21"/>
                    </w:rPr>
                    <w:t>一般故障</w:t>
                  </w:r>
                </w:p>
              </w:tc>
              <w:tc>
                <w:tcPr>
                  <w:tcW w:type="dxa" w:w="1744"/>
                  <w:tcBorders>
                    <w:top w:val="none" w:color="000000" w:sz="4"/>
                    <w:left w:val="none" w:color="000000" w:sz="4"/>
                    <w:bottom w:val="single" w:color="000000" w:sz="4"/>
                    <w:right w:val="single" w:color="000000" w:sz="4"/>
                  </w:tcBorders>
                </w:tcPr>
                <w:p>
                  <w:pPr>
                    <w:jc w:val="both"/>
                  </w:pPr>
                  <w:r>
                    <w:rPr>
                      <w:sz w:val="21"/>
                    </w:rPr>
                    <w:t>被维护某个系统因软件的原因导致</w:t>
                  </w:r>
                  <w:r>
                    <w:rPr>
                      <w:sz w:val="21"/>
                    </w:rPr>
                    <w:t>2</w:t>
                  </w:r>
                  <w:r>
                    <w:rPr>
                      <w:sz w:val="21"/>
                    </w:rPr>
                    <w:t>个及以上功能模块无法使用或</w:t>
                  </w:r>
                  <w:r>
                    <w:rPr>
                      <w:sz w:val="21"/>
                    </w:rPr>
                    <w:t>2</w:t>
                  </w:r>
                  <w:r>
                    <w:rPr>
                      <w:sz w:val="21"/>
                    </w:rPr>
                    <w:t>个以上业务无法办理超过</w:t>
                  </w:r>
                  <w:r>
                    <w:rPr>
                      <w:sz w:val="21"/>
                    </w:rPr>
                    <w:t>0.5</w:t>
                  </w:r>
                  <w:r>
                    <w:rPr>
                      <w:sz w:val="21"/>
                    </w:rPr>
                    <w:t>天以上</w:t>
                  </w:r>
                </w:p>
              </w:tc>
              <w:tc>
                <w:tcPr>
                  <w:tcW w:type="dxa" w:w="957"/>
                  <w:tcBorders>
                    <w:top w:val="none" w:color="000000" w:sz="4"/>
                    <w:left w:val="none" w:color="000000" w:sz="4"/>
                    <w:bottom w:val="single" w:color="000000" w:sz="4"/>
                    <w:right w:val="single" w:color="000000" w:sz="4"/>
                  </w:tcBorders>
                </w:tcPr>
                <w:p>
                  <w:pPr>
                    <w:jc w:val="both"/>
                  </w:pPr>
                  <w:r>
                    <w:rPr>
                      <w:sz w:val="21"/>
                    </w:rPr>
                    <w:t>扣</w:t>
                  </w:r>
                  <w:r>
                    <w:rPr>
                      <w:sz w:val="21"/>
                    </w:rPr>
                    <w:t>5</w:t>
                  </w:r>
                  <w:r>
                    <w:rPr>
                      <w:sz w:val="21"/>
                    </w:rPr>
                    <w:t>分</w:t>
                  </w:r>
                  <w:r>
                    <w:rPr>
                      <w:sz w:val="21"/>
                    </w:rPr>
                    <w:t>/</w:t>
                  </w:r>
                  <w:r>
                    <w:rPr>
                      <w:sz w:val="21"/>
                    </w:rPr>
                    <w:t>次</w:t>
                  </w:r>
                </w:p>
              </w:tc>
              <w:tc>
                <w:tcPr>
                  <w:tcW w:type="dxa" w:w="1288"/>
                  <w:tcBorders>
                    <w:top w:val="none" w:color="000000" w:sz="4"/>
                    <w:left w:val="none" w:color="000000" w:sz="4"/>
                    <w:bottom w:val="single" w:color="000000" w:sz="4"/>
                    <w:right w:val="single" w:color="000000" w:sz="4"/>
                  </w:tcBorders>
                </w:tcPr>
                <w:p>
                  <w:pPr>
                    <w:jc w:val="both"/>
                  </w:pPr>
                  <w:r>
                    <w:rPr>
                      <w:sz w:val="21"/>
                    </w:rPr>
                    <w:t>中山市自然资源信息中心故障发生、持续时间记录</w:t>
                  </w:r>
                </w:p>
              </w:tc>
            </w:tr>
            <w:tr>
              <w:tc>
                <w:tcPr>
                  <w:tcW w:type="dxa" w:w="763"/>
                  <w:vMerge/>
                  <w:tcBorders>
                    <w:top w:val="none" w:color="000000" w:sz="4"/>
                    <w:left w:val="single" w:color="000000" w:sz="4"/>
                    <w:bottom w:val="single" w:color="000000" w:sz="4"/>
                    <w:right w:val="single" w:color="000000" w:sz="4"/>
                  </w:tcBorders>
                </w:tcPr>
                <w:p/>
              </w:tc>
              <w:tc>
                <w:tcPr>
                  <w:tcW w:type="dxa" w:w="843"/>
                  <w:tcBorders>
                    <w:top w:val="none" w:color="000000" w:sz="4"/>
                    <w:left w:val="none" w:color="000000" w:sz="4"/>
                    <w:bottom w:val="single" w:color="000000" w:sz="4"/>
                    <w:right w:val="single" w:color="000000" w:sz="4"/>
                  </w:tcBorders>
                </w:tcPr>
                <w:p>
                  <w:pPr>
                    <w:jc w:val="both"/>
                  </w:pPr>
                  <w:r>
                    <w:rPr>
                      <w:sz w:val="21"/>
                    </w:rPr>
                    <w:t>重大故障</w:t>
                  </w:r>
                </w:p>
              </w:tc>
              <w:tc>
                <w:tcPr>
                  <w:tcW w:type="dxa" w:w="1744"/>
                  <w:tcBorders>
                    <w:top w:val="none" w:color="000000" w:sz="4"/>
                    <w:left w:val="none" w:color="000000" w:sz="4"/>
                    <w:bottom w:val="single" w:color="000000" w:sz="4"/>
                    <w:right w:val="single" w:color="000000" w:sz="4"/>
                  </w:tcBorders>
                </w:tcPr>
                <w:p>
                  <w:pPr>
                    <w:jc w:val="both"/>
                  </w:pPr>
                  <w:r>
                    <w:rPr>
                      <w:sz w:val="21"/>
                    </w:rPr>
                    <w:t>因系统出现故障或运维不及时或错误运维被省自然资源厅、市政务服务数据管理局、市网信办、保密局等部门通报的</w:t>
                  </w:r>
                </w:p>
              </w:tc>
              <w:tc>
                <w:tcPr>
                  <w:tcW w:type="dxa" w:w="957"/>
                  <w:tcBorders>
                    <w:top w:val="none" w:color="000000" w:sz="4"/>
                    <w:left w:val="none" w:color="000000" w:sz="4"/>
                    <w:bottom w:val="single" w:color="000000" w:sz="4"/>
                    <w:right w:val="single" w:color="000000" w:sz="4"/>
                  </w:tcBorders>
                </w:tcPr>
                <w:p>
                  <w:pPr>
                    <w:jc w:val="both"/>
                  </w:pPr>
                  <w:r>
                    <w:rPr>
                      <w:sz w:val="21"/>
                    </w:rPr>
                    <w:t>扣</w:t>
                  </w:r>
                  <w:r>
                    <w:rPr>
                      <w:sz w:val="21"/>
                    </w:rPr>
                    <w:t>10</w:t>
                  </w:r>
                  <w:r>
                    <w:rPr>
                      <w:sz w:val="21"/>
                    </w:rPr>
                    <w:t>分</w:t>
                  </w:r>
                  <w:r>
                    <w:rPr>
                      <w:sz w:val="21"/>
                    </w:rPr>
                    <w:t>/</w:t>
                  </w:r>
                  <w:r>
                    <w:rPr>
                      <w:sz w:val="21"/>
                    </w:rPr>
                    <w:t>次</w:t>
                  </w:r>
                </w:p>
              </w:tc>
              <w:tc>
                <w:tcPr>
                  <w:tcW w:type="dxa" w:w="1288"/>
                  <w:tcBorders>
                    <w:top w:val="none" w:color="000000" w:sz="4"/>
                    <w:left w:val="none" w:color="000000" w:sz="4"/>
                    <w:bottom w:val="single" w:color="000000" w:sz="4"/>
                    <w:right w:val="single" w:color="000000" w:sz="4"/>
                  </w:tcBorders>
                </w:tcPr>
                <w:p>
                  <w:pPr>
                    <w:jc w:val="both"/>
                  </w:pPr>
                  <w:r>
                    <w:rPr>
                      <w:sz w:val="21"/>
                    </w:rPr>
                    <w:t>通报文件</w:t>
                  </w:r>
                </w:p>
              </w:tc>
            </w:tr>
            <w:tr>
              <w:tc>
                <w:tcPr>
                  <w:tcW w:type="dxa" w:w="763"/>
                  <w:vMerge w:val="restart"/>
                  <w:tcBorders>
                    <w:top w:val="none" w:color="000000" w:sz="4"/>
                    <w:left w:val="single" w:color="000000" w:sz="4"/>
                    <w:bottom w:val="single" w:color="000000" w:sz="4"/>
                    <w:right w:val="single" w:color="000000" w:sz="4"/>
                  </w:tcBorders>
                </w:tcPr>
                <w:p>
                  <w:pPr>
                    <w:jc w:val="both"/>
                  </w:pPr>
                  <w:r>
                    <w:rPr>
                      <w:sz w:val="21"/>
                    </w:rPr>
                    <w:t>运维响应</w:t>
                  </w:r>
                </w:p>
              </w:tc>
              <w:tc>
                <w:tcPr>
                  <w:tcW w:type="dxa" w:w="843"/>
                  <w:tcBorders>
                    <w:top w:val="none" w:color="000000" w:sz="4"/>
                    <w:left w:val="none" w:color="000000" w:sz="4"/>
                    <w:bottom w:val="single" w:color="000000" w:sz="4"/>
                    <w:right w:val="single" w:color="000000" w:sz="4"/>
                  </w:tcBorders>
                </w:tcPr>
                <w:p>
                  <w:pPr>
                    <w:jc w:val="both"/>
                  </w:pPr>
                  <w:r>
                    <w:rPr>
                      <w:sz w:val="21"/>
                    </w:rPr>
                    <w:t>故障响应不及时、不专业</w:t>
                  </w:r>
                </w:p>
              </w:tc>
              <w:tc>
                <w:tcPr>
                  <w:tcW w:type="dxa" w:w="1744"/>
                  <w:tcBorders>
                    <w:top w:val="none" w:color="000000" w:sz="4"/>
                    <w:left w:val="none" w:color="000000" w:sz="4"/>
                    <w:bottom w:val="single" w:color="000000" w:sz="4"/>
                    <w:right w:val="single" w:color="000000" w:sz="4"/>
                  </w:tcBorders>
                </w:tcPr>
                <w:p>
                  <w:pPr>
                    <w:jc w:val="both"/>
                  </w:pPr>
                  <w:r>
                    <w:rPr>
                      <w:sz w:val="21"/>
                    </w:rPr>
                    <w:t>未按运维方案或有关规范、文件要求及时响应故障、解决故障的</w:t>
                  </w:r>
                </w:p>
              </w:tc>
              <w:tc>
                <w:tcPr>
                  <w:tcW w:type="dxa" w:w="957"/>
                  <w:tcBorders>
                    <w:top w:val="none" w:color="000000" w:sz="4"/>
                    <w:left w:val="none" w:color="000000" w:sz="4"/>
                    <w:bottom w:val="single" w:color="000000" w:sz="4"/>
                    <w:right w:val="single" w:color="000000" w:sz="4"/>
                  </w:tcBorders>
                </w:tcPr>
                <w:p>
                  <w:pPr>
                    <w:jc w:val="both"/>
                  </w:pPr>
                  <w:r>
                    <w:rPr>
                      <w:sz w:val="21"/>
                    </w:rPr>
                    <w:t>扣</w:t>
                  </w:r>
                  <w:r>
                    <w:rPr>
                      <w:sz w:val="21"/>
                    </w:rPr>
                    <w:t>5</w:t>
                  </w:r>
                  <w:r>
                    <w:rPr>
                      <w:sz w:val="21"/>
                    </w:rPr>
                    <w:t>分</w:t>
                  </w:r>
                  <w:r>
                    <w:rPr>
                      <w:sz w:val="21"/>
                    </w:rPr>
                    <w:t>/</w:t>
                  </w:r>
                  <w:r>
                    <w:rPr>
                      <w:sz w:val="21"/>
                    </w:rPr>
                    <w:t>次</w:t>
                  </w:r>
                </w:p>
              </w:tc>
              <w:tc>
                <w:tcPr>
                  <w:tcW w:type="dxa" w:w="1288"/>
                  <w:tcBorders>
                    <w:top w:val="none" w:color="000000" w:sz="4"/>
                    <w:left w:val="none" w:color="000000" w:sz="4"/>
                    <w:bottom w:val="single" w:color="000000" w:sz="4"/>
                    <w:right w:val="single" w:color="000000" w:sz="4"/>
                  </w:tcBorders>
                </w:tcPr>
                <w:p>
                  <w:pPr>
                    <w:jc w:val="both"/>
                  </w:pPr>
                  <w:r>
                    <w:rPr>
                      <w:sz w:val="21"/>
                    </w:rPr>
                    <w:t>中山市自然资源信息中心故障发生、持续时间记录</w:t>
                  </w:r>
                </w:p>
              </w:tc>
            </w:tr>
            <w:tr>
              <w:tc>
                <w:tcPr>
                  <w:tcW w:type="dxa" w:w="763"/>
                  <w:vMerge/>
                  <w:tcBorders>
                    <w:top w:val="none" w:color="000000" w:sz="4"/>
                    <w:left w:val="single" w:color="000000" w:sz="4"/>
                    <w:bottom w:val="single" w:color="000000" w:sz="4"/>
                    <w:right w:val="single" w:color="000000" w:sz="4"/>
                  </w:tcBorders>
                </w:tcPr>
                <w:p/>
              </w:tc>
              <w:tc>
                <w:tcPr>
                  <w:tcW w:type="dxa" w:w="843"/>
                  <w:tcBorders>
                    <w:top w:val="none" w:color="000000" w:sz="4"/>
                    <w:left w:val="none" w:color="000000" w:sz="4"/>
                    <w:bottom w:val="single" w:color="000000" w:sz="4"/>
                    <w:right w:val="single" w:color="000000" w:sz="4"/>
                  </w:tcBorders>
                </w:tcPr>
                <w:p>
                  <w:pPr>
                    <w:jc w:val="both"/>
                  </w:pPr>
                  <w:r>
                    <w:rPr>
                      <w:sz w:val="21"/>
                    </w:rPr>
                    <w:t>故障响应文档提交不及时或不符合要求</w:t>
                  </w:r>
                </w:p>
              </w:tc>
              <w:tc>
                <w:tcPr>
                  <w:tcW w:type="dxa" w:w="1744"/>
                  <w:tcBorders>
                    <w:top w:val="none" w:color="000000" w:sz="4"/>
                    <w:left w:val="none" w:color="000000" w:sz="4"/>
                    <w:bottom w:val="single" w:color="000000" w:sz="4"/>
                    <w:right w:val="single" w:color="000000" w:sz="4"/>
                  </w:tcBorders>
                </w:tcPr>
                <w:p>
                  <w:pPr>
                    <w:jc w:val="both"/>
                  </w:pPr>
                  <w:r>
                    <w:rPr>
                      <w:sz w:val="21"/>
                    </w:rPr>
                    <w:t>超过预定期限提交故障处理相关材料</w:t>
                  </w:r>
                  <w:r>
                    <w:rPr>
                      <w:sz w:val="21"/>
                    </w:rPr>
                    <w:t>5</w:t>
                  </w:r>
                  <w:r>
                    <w:rPr>
                      <w:sz w:val="21"/>
                    </w:rPr>
                    <w:t>天以上</w:t>
                  </w:r>
                </w:p>
              </w:tc>
              <w:tc>
                <w:tcPr>
                  <w:tcW w:type="dxa" w:w="957"/>
                  <w:tcBorders>
                    <w:top w:val="none" w:color="000000" w:sz="4"/>
                    <w:left w:val="none" w:color="000000" w:sz="4"/>
                    <w:bottom w:val="single" w:color="000000" w:sz="4"/>
                    <w:right w:val="single" w:color="000000" w:sz="4"/>
                  </w:tcBorders>
                </w:tcPr>
                <w:p>
                  <w:pPr>
                    <w:jc w:val="both"/>
                  </w:pPr>
                  <w:r>
                    <w:rPr>
                      <w:sz w:val="21"/>
                    </w:rPr>
                    <w:t>扣</w:t>
                  </w:r>
                  <w:r>
                    <w:rPr>
                      <w:sz w:val="21"/>
                    </w:rPr>
                    <w:t>5</w:t>
                  </w:r>
                  <w:r>
                    <w:rPr>
                      <w:sz w:val="21"/>
                    </w:rPr>
                    <w:t>分</w:t>
                  </w:r>
                  <w:r>
                    <w:rPr>
                      <w:sz w:val="21"/>
                    </w:rPr>
                    <w:t>/</w:t>
                  </w:r>
                  <w:r>
                    <w:rPr>
                      <w:sz w:val="21"/>
                    </w:rPr>
                    <w:t>次</w:t>
                  </w:r>
                </w:p>
              </w:tc>
              <w:tc>
                <w:tcPr>
                  <w:tcW w:type="dxa" w:w="1288"/>
                  <w:tcBorders>
                    <w:top w:val="none" w:color="000000" w:sz="4"/>
                    <w:left w:val="none" w:color="000000" w:sz="4"/>
                    <w:bottom w:val="single" w:color="000000" w:sz="4"/>
                    <w:right w:val="single" w:color="000000" w:sz="4"/>
                  </w:tcBorders>
                </w:tcPr>
                <w:p>
                  <w:pPr>
                    <w:jc w:val="both"/>
                  </w:pPr>
                  <w:r>
                    <w:rPr>
                      <w:sz w:val="21"/>
                    </w:rPr>
                    <w:t>中山市自然资源信息中心认定</w:t>
                  </w:r>
                </w:p>
              </w:tc>
            </w:tr>
            <w:tr>
              <w:tc>
                <w:tcPr>
                  <w:tcW w:type="dxa" w:w="763"/>
                  <w:vMerge/>
                  <w:tcBorders>
                    <w:top w:val="none" w:color="000000" w:sz="4"/>
                    <w:left w:val="single" w:color="000000" w:sz="4"/>
                    <w:bottom w:val="single" w:color="000000" w:sz="4"/>
                    <w:right w:val="single" w:color="000000" w:sz="4"/>
                  </w:tcBorders>
                </w:tcPr>
                <w:p/>
              </w:tc>
              <w:tc>
                <w:tcPr>
                  <w:tcW w:type="dxa" w:w="843"/>
                  <w:tcBorders>
                    <w:top w:val="none" w:color="000000" w:sz="4"/>
                    <w:left w:val="none" w:color="000000" w:sz="4"/>
                    <w:bottom w:val="single" w:color="000000" w:sz="4"/>
                    <w:right w:val="single" w:color="000000" w:sz="4"/>
                  </w:tcBorders>
                </w:tcPr>
                <w:p>
                  <w:pPr>
                    <w:jc w:val="both"/>
                  </w:pPr>
                  <w:r>
                    <w:rPr>
                      <w:sz w:val="21"/>
                    </w:rPr>
                    <w:t>重大运维失误</w:t>
                  </w:r>
                </w:p>
              </w:tc>
              <w:tc>
                <w:tcPr>
                  <w:tcW w:type="dxa" w:w="1744"/>
                  <w:tcBorders>
                    <w:top w:val="none" w:color="000000" w:sz="4"/>
                    <w:left w:val="none" w:color="000000" w:sz="4"/>
                    <w:bottom w:val="single" w:color="000000" w:sz="4"/>
                    <w:right w:val="single" w:color="000000" w:sz="4"/>
                  </w:tcBorders>
                </w:tcPr>
                <w:p>
                  <w:pPr>
                    <w:jc w:val="both"/>
                  </w:pPr>
                  <w:r>
                    <w:rPr>
                      <w:sz w:val="21"/>
                    </w:rPr>
                    <w:t>重大运维发生错误的，且造成了后续不良影响</w:t>
                  </w:r>
                </w:p>
              </w:tc>
              <w:tc>
                <w:tcPr>
                  <w:tcW w:type="dxa" w:w="957"/>
                  <w:tcBorders>
                    <w:top w:val="none" w:color="000000" w:sz="4"/>
                    <w:left w:val="none" w:color="000000" w:sz="4"/>
                    <w:bottom w:val="single" w:color="000000" w:sz="4"/>
                    <w:right w:val="single" w:color="000000" w:sz="4"/>
                  </w:tcBorders>
                </w:tcPr>
                <w:p>
                  <w:pPr>
                    <w:jc w:val="both"/>
                  </w:pPr>
                  <w:r>
                    <w:rPr>
                      <w:sz w:val="21"/>
                    </w:rPr>
                    <w:t>扣</w:t>
                  </w:r>
                  <w:r>
                    <w:rPr>
                      <w:sz w:val="21"/>
                    </w:rPr>
                    <w:t>10</w:t>
                  </w:r>
                  <w:r>
                    <w:rPr>
                      <w:sz w:val="21"/>
                    </w:rPr>
                    <w:t>分</w:t>
                  </w:r>
                  <w:r>
                    <w:rPr>
                      <w:sz w:val="21"/>
                    </w:rPr>
                    <w:t>/</w:t>
                  </w:r>
                  <w:r>
                    <w:rPr>
                      <w:sz w:val="21"/>
                    </w:rPr>
                    <w:t>次</w:t>
                  </w:r>
                </w:p>
              </w:tc>
              <w:tc>
                <w:tcPr>
                  <w:tcW w:type="dxa" w:w="1288"/>
                  <w:tcBorders>
                    <w:top w:val="none" w:color="000000" w:sz="4"/>
                    <w:left w:val="none" w:color="000000" w:sz="4"/>
                    <w:bottom w:val="single" w:color="000000" w:sz="4"/>
                    <w:right w:val="single" w:color="000000" w:sz="4"/>
                  </w:tcBorders>
                </w:tcPr>
                <w:p>
                  <w:pPr>
                    <w:jc w:val="both"/>
                  </w:pPr>
                  <w:r>
                    <w:rPr>
                      <w:sz w:val="21"/>
                    </w:rPr>
                    <w:t>中山市自然资源信息中心及业务科室认定</w:t>
                  </w:r>
                </w:p>
              </w:tc>
            </w:tr>
            <w:tr>
              <w:tc>
                <w:tcPr>
                  <w:tcW w:type="dxa" w:w="763"/>
                  <w:vMerge/>
                  <w:tcBorders>
                    <w:top w:val="none" w:color="000000" w:sz="4"/>
                    <w:left w:val="single" w:color="000000" w:sz="4"/>
                    <w:bottom w:val="single" w:color="000000" w:sz="4"/>
                    <w:right w:val="single" w:color="000000" w:sz="4"/>
                  </w:tcBorders>
                </w:tcPr>
                <w:p/>
              </w:tc>
              <w:tc>
                <w:tcPr>
                  <w:tcW w:type="dxa" w:w="843"/>
                  <w:tcBorders>
                    <w:top w:val="none" w:color="000000" w:sz="4"/>
                    <w:left w:val="none" w:color="000000" w:sz="4"/>
                    <w:bottom w:val="single" w:color="000000" w:sz="4"/>
                    <w:right w:val="single" w:color="000000" w:sz="4"/>
                  </w:tcBorders>
                </w:tcPr>
                <w:p>
                  <w:pPr>
                    <w:jc w:val="both"/>
                  </w:pPr>
                  <w:r>
                    <w:rPr>
                      <w:sz w:val="21"/>
                    </w:rPr>
                    <w:t>一般运维失误</w:t>
                  </w:r>
                </w:p>
              </w:tc>
              <w:tc>
                <w:tcPr>
                  <w:tcW w:type="dxa" w:w="1744"/>
                  <w:tcBorders>
                    <w:top w:val="none" w:color="000000" w:sz="4"/>
                    <w:left w:val="none" w:color="000000" w:sz="4"/>
                    <w:bottom w:val="single" w:color="000000" w:sz="4"/>
                    <w:right w:val="single" w:color="000000" w:sz="4"/>
                  </w:tcBorders>
                </w:tcPr>
                <w:p>
                  <w:pPr>
                    <w:jc w:val="both"/>
                  </w:pPr>
                  <w:r>
                    <w:rPr>
                      <w:sz w:val="21"/>
                    </w:rPr>
                    <w:t>一般运维关键环节未经确认，且上线后出现</w:t>
                  </w:r>
                  <w:r>
                    <w:rPr>
                      <w:sz w:val="21"/>
                    </w:rPr>
                    <w:t>bug</w:t>
                  </w:r>
                  <w:r>
                    <w:rPr>
                      <w:sz w:val="21"/>
                    </w:rPr>
                    <w:t>的</w:t>
                  </w:r>
                </w:p>
              </w:tc>
              <w:tc>
                <w:tcPr>
                  <w:tcW w:type="dxa" w:w="957"/>
                  <w:tcBorders>
                    <w:top w:val="none" w:color="000000" w:sz="4"/>
                    <w:left w:val="none" w:color="000000" w:sz="4"/>
                    <w:bottom w:val="single" w:color="000000" w:sz="4"/>
                    <w:right w:val="single" w:color="000000" w:sz="4"/>
                  </w:tcBorders>
                </w:tcPr>
                <w:p>
                  <w:pPr>
                    <w:jc w:val="both"/>
                  </w:pPr>
                  <w:r>
                    <w:rPr>
                      <w:sz w:val="21"/>
                    </w:rPr>
                    <w:t>扣</w:t>
                  </w:r>
                  <w:r>
                    <w:rPr>
                      <w:sz w:val="21"/>
                    </w:rPr>
                    <w:t>5</w:t>
                  </w:r>
                  <w:r>
                    <w:rPr>
                      <w:sz w:val="21"/>
                    </w:rPr>
                    <w:t>分</w:t>
                  </w:r>
                  <w:r>
                    <w:rPr>
                      <w:sz w:val="21"/>
                    </w:rPr>
                    <w:t>/</w:t>
                  </w:r>
                  <w:r>
                    <w:rPr>
                      <w:sz w:val="21"/>
                    </w:rPr>
                    <w:t>次</w:t>
                  </w:r>
                </w:p>
              </w:tc>
              <w:tc>
                <w:tcPr>
                  <w:tcW w:type="dxa" w:w="1288"/>
                  <w:tcBorders>
                    <w:top w:val="none" w:color="000000" w:sz="4"/>
                    <w:left w:val="none" w:color="000000" w:sz="4"/>
                    <w:bottom w:val="single" w:color="000000" w:sz="4"/>
                    <w:right w:val="single" w:color="000000" w:sz="4"/>
                  </w:tcBorders>
                </w:tcPr>
                <w:p>
                  <w:pPr>
                    <w:jc w:val="both"/>
                  </w:pPr>
                  <w:r>
                    <w:rPr>
                      <w:sz w:val="21"/>
                    </w:rPr>
                    <w:t>中山市自然资源信息中心及业务科室认定</w:t>
                  </w:r>
                </w:p>
              </w:tc>
            </w:tr>
            <w:tr>
              <w:tc>
                <w:tcPr>
                  <w:tcW w:type="dxa" w:w="763"/>
                  <w:vMerge/>
                  <w:tcBorders>
                    <w:top w:val="none" w:color="000000" w:sz="4"/>
                    <w:left w:val="single" w:color="000000" w:sz="4"/>
                    <w:bottom w:val="single" w:color="000000" w:sz="4"/>
                    <w:right w:val="single" w:color="000000" w:sz="4"/>
                  </w:tcBorders>
                </w:tcPr>
                <w:p/>
              </w:tc>
              <w:tc>
                <w:tcPr>
                  <w:tcW w:type="dxa" w:w="843"/>
                  <w:tcBorders>
                    <w:top w:val="none" w:color="000000" w:sz="4"/>
                    <w:left w:val="none" w:color="000000" w:sz="4"/>
                    <w:bottom w:val="single" w:color="000000" w:sz="4"/>
                    <w:right w:val="single" w:color="000000" w:sz="4"/>
                  </w:tcBorders>
                </w:tcPr>
                <w:p>
                  <w:pPr>
                    <w:jc w:val="both"/>
                  </w:pPr>
                  <w:r>
                    <w:rPr>
                      <w:sz w:val="21"/>
                    </w:rPr>
                    <w:t>一般运维失误</w:t>
                  </w:r>
                </w:p>
              </w:tc>
              <w:tc>
                <w:tcPr>
                  <w:tcW w:type="dxa" w:w="1744"/>
                  <w:tcBorders>
                    <w:top w:val="none" w:color="000000" w:sz="4"/>
                    <w:left w:val="none" w:color="000000" w:sz="4"/>
                    <w:bottom w:val="single" w:color="000000" w:sz="4"/>
                    <w:right w:val="single" w:color="000000" w:sz="4"/>
                  </w:tcBorders>
                </w:tcPr>
                <w:p>
                  <w:pPr>
                    <w:jc w:val="both"/>
                  </w:pPr>
                  <w:r>
                    <w:rPr>
                      <w:sz w:val="21"/>
                    </w:rPr>
                    <w:t>人为数据修改错误且未及时纠正带来不良后果的</w:t>
                  </w:r>
                </w:p>
              </w:tc>
              <w:tc>
                <w:tcPr>
                  <w:tcW w:type="dxa" w:w="957"/>
                  <w:tcBorders>
                    <w:top w:val="none" w:color="000000" w:sz="4"/>
                    <w:left w:val="none" w:color="000000" w:sz="4"/>
                    <w:bottom w:val="single" w:color="000000" w:sz="4"/>
                    <w:right w:val="single" w:color="000000" w:sz="4"/>
                  </w:tcBorders>
                </w:tcPr>
                <w:p>
                  <w:pPr>
                    <w:jc w:val="both"/>
                  </w:pPr>
                  <w:r>
                    <w:rPr>
                      <w:sz w:val="21"/>
                    </w:rPr>
                    <w:t>扣</w:t>
                  </w:r>
                  <w:r>
                    <w:rPr>
                      <w:sz w:val="21"/>
                    </w:rPr>
                    <w:t>2</w:t>
                  </w:r>
                  <w:r>
                    <w:rPr>
                      <w:sz w:val="21"/>
                    </w:rPr>
                    <w:t>分</w:t>
                  </w:r>
                  <w:r>
                    <w:rPr>
                      <w:sz w:val="21"/>
                    </w:rPr>
                    <w:t>/</w:t>
                  </w:r>
                  <w:r>
                    <w:rPr>
                      <w:sz w:val="21"/>
                    </w:rPr>
                    <w:t>条</w:t>
                  </w:r>
                </w:p>
              </w:tc>
              <w:tc>
                <w:tcPr>
                  <w:tcW w:type="dxa" w:w="1288"/>
                  <w:tcBorders>
                    <w:top w:val="none" w:color="000000" w:sz="4"/>
                    <w:left w:val="none" w:color="000000" w:sz="4"/>
                    <w:bottom w:val="single" w:color="000000" w:sz="4"/>
                    <w:right w:val="single" w:color="000000" w:sz="4"/>
                  </w:tcBorders>
                </w:tcPr>
                <w:p>
                  <w:pPr>
                    <w:jc w:val="both"/>
                  </w:pPr>
                  <w:r>
                    <w:rPr>
                      <w:sz w:val="21"/>
                    </w:rPr>
                    <w:t>中山市自然资源信息中心及业务科室认定</w:t>
                  </w:r>
                </w:p>
              </w:tc>
            </w:tr>
            <w:tr>
              <w:tc>
                <w:tcPr>
                  <w:tcW w:type="dxa" w:w="763"/>
                  <w:vMerge/>
                  <w:tcBorders>
                    <w:top w:val="none" w:color="000000" w:sz="4"/>
                    <w:left w:val="single" w:color="000000" w:sz="4"/>
                    <w:bottom w:val="single" w:color="000000" w:sz="4"/>
                    <w:right w:val="single" w:color="000000" w:sz="4"/>
                  </w:tcBorders>
                </w:tcPr>
                <w:p/>
              </w:tc>
              <w:tc>
                <w:tcPr>
                  <w:tcW w:type="dxa" w:w="843"/>
                  <w:tcBorders>
                    <w:top w:val="none" w:color="000000" w:sz="4"/>
                    <w:left w:val="none" w:color="000000" w:sz="4"/>
                    <w:bottom w:val="single" w:color="000000" w:sz="4"/>
                    <w:right w:val="single" w:color="000000" w:sz="4"/>
                  </w:tcBorders>
                </w:tcPr>
                <w:p>
                  <w:pPr>
                    <w:jc w:val="both"/>
                  </w:pPr>
                  <w:r>
                    <w:rPr>
                      <w:sz w:val="21"/>
                    </w:rPr>
                    <w:t>重大运维不及时</w:t>
                  </w:r>
                </w:p>
              </w:tc>
              <w:tc>
                <w:tcPr>
                  <w:tcW w:type="dxa" w:w="1744"/>
                  <w:tcBorders>
                    <w:top w:val="none" w:color="000000" w:sz="4"/>
                    <w:left w:val="none" w:color="000000" w:sz="4"/>
                    <w:bottom w:val="single" w:color="000000" w:sz="4"/>
                    <w:right w:val="single" w:color="000000" w:sz="4"/>
                  </w:tcBorders>
                </w:tcPr>
                <w:p>
                  <w:pPr>
                    <w:jc w:val="both"/>
                  </w:pPr>
                  <w:r>
                    <w:rPr>
                      <w:sz w:val="21"/>
                    </w:rPr>
                    <w:t>未在规定时间内完成政策文件要求的考核任务或上级指派的运维任务。</w:t>
                  </w:r>
                </w:p>
              </w:tc>
              <w:tc>
                <w:tcPr>
                  <w:tcW w:type="dxa" w:w="957"/>
                  <w:tcBorders>
                    <w:top w:val="none" w:color="000000" w:sz="4"/>
                    <w:left w:val="none" w:color="000000" w:sz="4"/>
                    <w:bottom w:val="single" w:color="000000" w:sz="4"/>
                    <w:right w:val="single" w:color="000000" w:sz="4"/>
                  </w:tcBorders>
                </w:tcPr>
                <w:p>
                  <w:pPr>
                    <w:jc w:val="both"/>
                  </w:pPr>
                  <w:r>
                    <w:rPr>
                      <w:sz w:val="21"/>
                    </w:rPr>
                    <w:t>扣</w:t>
                  </w:r>
                  <w:r>
                    <w:rPr>
                      <w:sz w:val="21"/>
                    </w:rPr>
                    <w:t>10</w:t>
                  </w:r>
                  <w:r>
                    <w:rPr>
                      <w:sz w:val="21"/>
                    </w:rPr>
                    <w:t>分</w:t>
                  </w:r>
                  <w:r>
                    <w:rPr>
                      <w:sz w:val="21"/>
                    </w:rPr>
                    <w:t>/</w:t>
                  </w:r>
                  <w:r>
                    <w:rPr>
                      <w:sz w:val="21"/>
                    </w:rPr>
                    <w:t>次</w:t>
                  </w:r>
                </w:p>
              </w:tc>
              <w:tc>
                <w:tcPr>
                  <w:tcW w:type="dxa" w:w="1288"/>
                  <w:tcBorders>
                    <w:top w:val="none" w:color="000000" w:sz="4"/>
                    <w:left w:val="none" w:color="000000" w:sz="4"/>
                    <w:bottom w:val="single" w:color="000000" w:sz="4"/>
                    <w:right w:val="single" w:color="000000" w:sz="4"/>
                  </w:tcBorders>
                </w:tcPr>
                <w:p>
                  <w:pPr>
                    <w:jc w:val="both"/>
                  </w:pPr>
                  <w:r>
                    <w:rPr>
                      <w:sz w:val="21"/>
                    </w:rPr>
                    <w:t>自然资源信息中心认定</w:t>
                  </w:r>
                </w:p>
              </w:tc>
            </w:tr>
            <w:tr>
              <w:tc>
                <w:tcPr>
                  <w:tcW w:type="dxa" w:w="763"/>
                  <w:vMerge/>
                  <w:tcBorders>
                    <w:top w:val="none" w:color="000000" w:sz="4"/>
                    <w:left w:val="single" w:color="000000" w:sz="4"/>
                    <w:bottom w:val="single" w:color="000000" w:sz="4"/>
                    <w:right w:val="single" w:color="000000" w:sz="4"/>
                  </w:tcBorders>
                </w:tcPr>
                <w:p/>
              </w:tc>
              <w:tc>
                <w:tcPr>
                  <w:tcW w:type="dxa" w:w="843"/>
                  <w:tcBorders>
                    <w:top w:val="none" w:color="000000" w:sz="4"/>
                    <w:left w:val="none" w:color="000000" w:sz="4"/>
                    <w:bottom w:val="single" w:color="000000" w:sz="4"/>
                    <w:right w:val="single" w:color="000000" w:sz="4"/>
                  </w:tcBorders>
                </w:tcPr>
                <w:p>
                  <w:pPr>
                    <w:jc w:val="both"/>
                  </w:pPr>
                  <w:r>
                    <w:rPr>
                      <w:sz w:val="21"/>
                    </w:rPr>
                    <w:t>服务效率</w:t>
                  </w:r>
                </w:p>
              </w:tc>
              <w:tc>
                <w:tcPr>
                  <w:tcW w:type="dxa" w:w="1744"/>
                  <w:tcBorders>
                    <w:top w:val="none" w:color="000000" w:sz="4"/>
                    <w:left w:val="none" w:color="000000" w:sz="4"/>
                    <w:bottom w:val="single" w:color="000000" w:sz="4"/>
                    <w:right w:val="single" w:color="000000" w:sz="4"/>
                  </w:tcBorders>
                </w:tcPr>
                <w:p>
                  <w:pPr>
                    <w:jc w:val="both"/>
                  </w:pPr>
                  <w:r>
                    <w:rPr>
                      <w:sz w:val="21"/>
                    </w:rPr>
                    <w:t>沟通效率低下或推诿扯皮，被业务部门或对接单位投诉</w:t>
                  </w:r>
                </w:p>
              </w:tc>
              <w:tc>
                <w:tcPr>
                  <w:tcW w:type="dxa" w:w="957"/>
                  <w:tcBorders>
                    <w:top w:val="none" w:color="000000" w:sz="4"/>
                    <w:left w:val="none" w:color="000000" w:sz="4"/>
                    <w:bottom w:val="single" w:color="000000" w:sz="4"/>
                    <w:right w:val="single" w:color="000000" w:sz="4"/>
                  </w:tcBorders>
                </w:tcPr>
                <w:p>
                  <w:pPr>
                    <w:jc w:val="both"/>
                  </w:pPr>
                  <w:r>
                    <w:rPr>
                      <w:sz w:val="21"/>
                    </w:rPr>
                    <w:t>扣</w:t>
                  </w:r>
                  <w:r>
                    <w:rPr>
                      <w:sz w:val="21"/>
                    </w:rPr>
                    <w:t>5</w:t>
                  </w:r>
                  <w:r>
                    <w:rPr>
                      <w:sz w:val="21"/>
                    </w:rPr>
                    <w:t>分</w:t>
                  </w:r>
                  <w:r>
                    <w:rPr>
                      <w:sz w:val="21"/>
                    </w:rPr>
                    <w:t>/</w:t>
                  </w:r>
                  <w:r>
                    <w:rPr>
                      <w:sz w:val="21"/>
                    </w:rPr>
                    <w:t>次</w:t>
                  </w:r>
                </w:p>
              </w:tc>
              <w:tc>
                <w:tcPr>
                  <w:tcW w:type="dxa" w:w="1288"/>
                  <w:tcBorders>
                    <w:top w:val="none" w:color="000000" w:sz="4"/>
                    <w:left w:val="none" w:color="000000" w:sz="4"/>
                    <w:bottom w:val="single" w:color="000000" w:sz="4"/>
                    <w:right w:val="single" w:color="000000" w:sz="4"/>
                  </w:tcBorders>
                </w:tcPr>
                <w:p>
                  <w:pPr>
                    <w:jc w:val="both"/>
                  </w:pPr>
                  <w:r>
                    <w:rPr>
                      <w:sz w:val="21"/>
                    </w:rPr>
                    <w:t>自然资源信息中心认定</w:t>
                  </w:r>
                </w:p>
              </w:tc>
            </w:tr>
            <w:tr>
              <w:tc>
                <w:tcPr>
                  <w:tcW w:type="dxa" w:w="763"/>
                  <w:vMerge w:val="restart"/>
                  <w:tcBorders>
                    <w:top w:val="none" w:color="000000" w:sz="4"/>
                    <w:left w:val="single" w:color="000000" w:sz="4"/>
                    <w:bottom w:val="single" w:color="000000" w:sz="4"/>
                    <w:right w:val="single" w:color="000000" w:sz="4"/>
                  </w:tcBorders>
                </w:tcPr>
                <w:p>
                  <w:pPr>
                    <w:jc w:val="both"/>
                  </w:pPr>
                  <w:r>
                    <w:rPr>
                      <w:sz w:val="21"/>
                    </w:rPr>
                    <w:t>运维内容完成率</w:t>
                  </w:r>
                </w:p>
              </w:tc>
              <w:tc>
                <w:tcPr>
                  <w:tcW w:type="dxa" w:w="843"/>
                  <w:vMerge w:val="restart"/>
                  <w:tcBorders>
                    <w:top w:val="none" w:color="000000" w:sz="4"/>
                    <w:left w:val="none" w:color="000000" w:sz="4"/>
                    <w:bottom w:val="single" w:color="000000" w:sz="4"/>
                    <w:right w:val="single" w:color="000000" w:sz="4"/>
                  </w:tcBorders>
                </w:tcPr>
                <w:p>
                  <w:pPr>
                    <w:jc w:val="both"/>
                  </w:pPr>
                  <w:r>
                    <w:rPr>
                      <w:sz w:val="21"/>
                    </w:rPr>
                    <w:t>运维工作详细内容完成率不高</w:t>
                  </w:r>
                </w:p>
              </w:tc>
              <w:tc>
                <w:tcPr>
                  <w:tcW w:type="dxa" w:w="1744"/>
                  <w:tcBorders>
                    <w:top w:val="none" w:color="000000" w:sz="4"/>
                    <w:left w:val="none" w:color="000000" w:sz="4"/>
                    <w:bottom w:val="single" w:color="000000" w:sz="4"/>
                    <w:right w:val="single" w:color="000000" w:sz="4"/>
                  </w:tcBorders>
                </w:tcPr>
                <w:p>
                  <w:pPr>
                    <w:jc w:val="both"/>
                  </w:pPr>
                  <w:r>
                    <w:rPr>
                      <w:sz w:val="21"/>
                    </w:rPr>
                    <w:t>未完成任务</w:t>
                  </w:r>
                  <w:r>
                    <w:rPr>
                      <w:sz w:val="21"/>
                    </w:rPr>
                    <w:t>1-2</w:t>
                  </w:r>
                  <w:r>
                    <w:rPr>
                      <w:sz w:val="21"/>
                    </w:rPr>
                    <w:t>项的</w:t>
                  </w:r>
                </w:p>
              </w:tc>
              <w:tc>
                <w:tcPr>
                  <w:tcW w:type="dxa" w:w="957"/>
                  <w:tcBorders>
                    <w:top w:val="none" w:color="000000" w:sz="4"/>
                    <w:left w:val="none" w:color="000000" w:sz="4"/>
                    <w:bottom w:val="single" w:color="000000" w:sz="4"/>
                    <w:right w:val="single" w:color="000000" w:sz="4"/>
                  </w:tcBorders>
                </w:tcPr>
                <w:p>
                  <w:pPr>
                    <w:jc w:val="both"/>
                  </w:pPr>
                  <w:r>
                    <w:rPr>
                      <w:sz w:val="21"/>
                    </w:rPr>
                    <w:t>扣</w:t>
                  </w:r>
                  <w:r>
                    <w:rPr>
                      <w:sz w:val="21"/>
                    </w:rPr>
                    <w:t>5</w:t>
                  </w:r>
                  <w:r>
                    <w:rPr>
                      <w:sz w:val="21"/>
                    </w:rPr>
                    <w:t>分</w:t>
                  </w:r>
                </w:p>
              </w:tc>
              <w:tc>
                <w:tcPr>
                  <w:tcW w:type="dxa" w:w="1288"/>
                  <w:vMerge w:val="restart"/>
                  <w:tcBorders>
                    <w:top w:val="none" w:color="000000" w:sz="4"/>
                    <w:left w:val="none" w:color="000000" w:sz="4"/>
                    <w:bottom w:val="single" w:color="000000" w:sz="4"/>
                    <w:right w:val="single" w:color="000000" w:sz="4"/>
                  </w:tcBorders>
                </w:tcPr>
                <w:p>
                  <w:pPr>
                    <w:jc w:val="both"/>
                  </w:pPr>
                  <w:r>
                    <w:rPr>
                      <w:sz w:val="21"/>
                    </w:rPr>
                    <w:t>市自然资源局根据实际情况认为考核期内不需要完成的除外</w:t>
                  </w:r>
                </w:p>
              </w:tc>
            </w:tr>
            <w:tr>
              <w:tc>
                <w:tcPr>
                  <w:tcW w:type="dxa" w:w="763"/>
                  <w:vMerge/>
                  <w:tcBorders>
                    <w:top w:val="none" w:color="000000" w:sz="4"/>
                    <w:left w:val="single" w:color="000000" w:sz="4"/>
                    <w:bottom w:val="single" w:color="000000" w:sz="4"/>
                    <w:right w:val="single" w:color="000000" w:sz="4"/>
                  </w:tcBorders>
                </w:tcPr>
                <w:p/>
              </w:tc>
              <w:tc>
                <w:tcPr>
                  <w:tcW w:type="dxa" w:w="843"/>
                  <w:vMerge/>
                  <w:tcBorders>
                    <w:top w:val="none" w:color="000000" w:sz="4"/>
                    <w:left w:val="none" w:color="000000" w:sz="4"/>
                    <w:bottom w:val="single" w:color="000000" w:sz="4"/>
                    <w:right w:val="single" w:color="000000" w:sz="4"/>
                  </w:tcBorders>
                </w:tcPr>
                <w:p/>
              </w:tc>
              <w:tc>
                <w:tcPr>
                  <w:tcW w:type="dxa" w:w="1744"/>
                  <w:tcBorders>
                    <w:top w:val="none" w:color="000000" w:sz="4"/>
                    <w:left w:val="none" w:color="000000" w:sz="4"/>
                    <w:bottom w:val="single" w:color="000000" w:sz="4"/>
                    <w:right w:val="single" w:color="000000" w:sz="4"/>
                  </w:tcBorders>
                </w:tcPr>
                <w:p>
                  <w:pPr>
                    <w:jc w:val="both"/>
                  </w:pPr>
                  <w:r>
                    <w:rPr>
                      <w:sz w:val="21"/>
                    </w:rPr>
                    <w:t>未完成任务</w:t>
                  </w:r>
                  <w:r>
                    <w:rPr>
                      <w:sz w:val="21"/>
                    </w:rPr>
                    <w:t>3-4</w:t>
                  </w:r>
                  <w:r>
                    <w:rPr>
                      <w:sz w:val="21"/>
                    </w:rPr>
                    <w:t>项的</w:t>
                  </w:r>
                </w:p>
              </w:tc>
              <w:tc>
                <w:tcPr>
                  <w:tcW w:type="dxa" w:w="957"/>
                  <w:tcBorders>
                    <w:top w:val="none" w:color="000000" w:sz="4"/>
                    <w:left w:val="none" w:color="000000" w:sz="4"/>
                    <w:bottom w:val="single" w:color="000000" w:sz="4"/>
                    <w:right w:val="single" w:color="000000" w:sz="4"/>
                  </w:tcBorders>
                </w:tcPr>
                <w:p>
                  <w:pPr>
                    <w:jc w:val="both"/>
                  </w:pPr>
                  <w:r>
                    <w:rPr>
                      <w:sz w:val="21"/>
                    </w:rPr>
                    <w:t>扣</w:t>
                  </w:r>
                  <w:r>
                    <w:rPr>
                      <w:sz w:val="21"/>
                    </w:rPr>
                    <w:t>10</w:t>
                  </w:r>
                  <w:r>
                    <w:rPr>
                      <w:sz w:val="21"/>
                    </w:rPr>
                    <w:t>分</w:t>
                  </w:r>
                </w:p>
              </w:tc>
            </w:tr>
            <w:tr>
              <w:tc>
                <w:tcPr>
                  <w:tcW w:type="dxa" w:w="763"/>
                  <w:vMerge/>
                  <w:tcBorders>
                    <w:top w:val="none" w:color="000000" w:sz="4"/>
                    <w:left w:val="single" w:color="000000" w:sz="4"/>
                    <w:bottom w:val="single" w:color="000000" w:sz="4"/>
                    <w:right w:val="single" w:color="000000" w:sz="4"/>
                  </w:tcBorders>
                </w:tcPr>
                <w:p/>
              </w:tc>
              <w:tc>
                <w:tcPr>
                  <w:tcW w:type="dxa" w:w="843"/>
                  <w:vMerge/>
                  <w:tcBorders>
                    <w:top w:val="none" w:color="000000" w:sz="4"/>
                    <w:left w:val="none" w:color="000000" w:sz="4"/>
                    <w:bottom w:val="single" w:color="000000" w:sz="4"/>
                    <w:right w:val="single" w:color="000000" w:sz="4"/>
                  </w:tcBorders>
                </w:tcPr>
                <w:p/>
              </w:tc>
              <w:tc>
                <w:tcPr>
                  <w:tcW w:type="dxa" w:w="1744"/>
                  <w:tcBorders>
                    <w:top w:val="none" w:color="000000" w:sz="4"/>
                    <w:left w:val="none" w:color="000000" w:sz="4"/>
                    <w:bottom w:val="single" w:color="000000" w:sz="4"/>
                    <w:right w:val="single" w:color="000000" w:sz="4"/>
                  </w:tcBorders>
                </w:tcPr>
                <w:p>
                  <w:pPr>
                    <w:jc w:val="both"/>
                  </w:pPr>
                  <w:r>
                    <w:rPr>
                      <w:sz w:val="21"/>
                    </w:rPr>
                    <w:t>未完成任务</w:t>
                  </w:r>
                  <w:r>
                    <w:rPr>
                      <w:sz w:val="21"/>
                    </w:rPr>
                    <w:t>5-8</w:t>
                  </w:r>
                  <w:r>
                    <w:rPr>
                      <w:sz w:val="21"/>
                    </w:rPr>
                    <w:t>项的</w:t>
                  </w:r>
                </w:p>
              </w:tc>
              <w:tc>
                <w:tcPr>
                  <w:tcW w:type="dxa" w:w="957"/>
                  <w:tcBorders>
                    <w:top w:val="none" w:color="000000" w:sz="4"/>
                    <w:left w:val="none" w:color="000000" w:sz="4"/>
                    <w:bottom w:val="single" w:color="000000" w:sz="4"/>
                    <w:right w:val="single" w:color="000000" w:sz="4"/>
                  </w:tcBorders>
                </w:tcPr>
                <w:p>
                  <w:pPr>
                    <w:jc w:val="both"/>
                  </w:pPr>
                  <w:r>
                    <w:rPr>
                      <w:sz w:val="21"/>
                    </w:rPr>
                    <w:t>扣</w:t>
                  </w:r>
                  <w:r>
                    <w:rPr>
                      <w:sz w:val="21"/>
                    </w:rPr>
                    <w:t>20</w:t>
                  </w:r>
                  <w:r>
                    <w:rPr>
                      <w:sz w:val="21"/>
                    </w:rPr>
                    <w:t>分</w:t>
                  </w:r>
                </w:p>
              </w:tc>
            </w:tr>
            <w:tr>
              <w:tc>
                <w:tcPr>
                  <w:tcW w:type="dxa" w:w="763"/>
                  <w:vMerge/>
                  <w:tcBorders>
                    <w:top w:val="none" w:color="000000" w:sz="4"/>
                    <w:left w:val="single" w:color="000000" w:sz="4"/>
                    <w:bottom w:val="single" w:color="000000" w:sz="4"/>
                    <w:right w:val="single" w:color="000000" w:sz="4"/>
                  </w:tcBorders>
                </w:tcPr>
                <w:p/>
              </w:tc>
              <w:tc>
                <w:tcPr>
                  <w:tcW w:type="dxa" w:w="843"/>
                  <w:vMerge/>
                  <w:tcBorders>
                    <w:top w:val="none" w:color="000000" w:sz="4"/>
                    <w:left w:val="none" w:color="000000" w:sz="4"/>
                    <w:bottom w:val="single" w:color="000000" w:sz="4"/>
                    <w:right w:val="single" w:color="000000" w:sz="4"/>
                  </w:tcBorders>
                </w:tcPr>
                <w:p/>
              </w:tc>
              <w:tc>
                <w:tcPr>
                  <w:tcW w:type="dxa" w:w="1744"/>
                  <w:tcBorders>
                    <w:top w:val="none" w:color="000000" w:sz="4"/>
                    <w:left w:val="none" w:color="000000" w:sz="4"/>
                    <w:bottom w:val="single" w:color="000000" w:sz="4"/>
                    <w:right w:val="single" w:color="000000" w:sz="4"/>
                  </w:tcBorders>
                </w:tcPr>
                <w:p>
                  <w:pPr>
                    <w:jc w:val="both"/>
                  </w:pPr>
                  <w:r>
                    <w:rPr>
                      <w:sz w:val="21"/>
                    </w:rPr>
                    <w:t>未完成任务</w:t>
                  </w:r>
                  <w:r>
                    <w:rPr>
                      <w:sz w:val="21"/>
                    </w:rPr>
                    <w:t>9</w:t>
                  </w:r>
                  <w:r>
                    <w:rPr>
                      <w:sz w:val="21"/>
                    </w:rPr>
                    <w:t>项以上的</w:t>
                  </w:r>
                </w:p>
              </w:tc>
              <w:tc>
                <w:tcPr>
                  <w:tcW w:type="dxa" w:w="957"/>
                  <w:tcBorders>
                    <w:top w:val="none" w:color="000000" w:sz="4"/>
                    <w:left w:val="none" w:color="000000" w:sz="4"/>
                    <w:bottom w:val="single" w:color="000000" w:sz="4"/>
                    <w:right w:val="single" w:color="000000" w:sz="4"/>
                  </w:tcBorders>
                </w:tcPr>
                <w:p>
                  <w:pPr>
                    <w:jc w:val="both"/>
                  </w:pPr>
                  <w:r>
                    <w:rPr>
                      <w:sz w:val="21"/>
                    </w:rPr>
                    <w:t>扣</w:t>
                  </w:r>
                  <w:r>
                    <w:rPr>
                      <w:sz w:val="21"/>
                    </w:rPr>
                    <w:t>40</w:t>
                  </w:r>
                  <w:r>
                    <w:rPr>
                      <w:sz w:val="21"/>
                    </w:rPr>
                    <w:t>分</w:t>
                  </w:r>
                </w:p>
              </w:tc>
            </w:tr>
            <w:tr>
              <w:tc>
                <w:tcPr>
                  <w:tcW w:type="dxa" w:w="763"/>
                  <w:vMerge w:val="restart"/>
                  <w:tcBorders>
                    <w:top w:val="none" w:color="000000" w:sz="4"/>
                    <w:left w:val="single" w:color="000000" w:sz="4"/>
                    <w:bottom w:val="single" w:color="000000" w:sz="4"/>
                    <w:right w:val="single" w:color="000000" w:sz="4"/>
                  </w:tcBorders>
                </w:tcPr>
                <w:p>
                  <w:pPr>
                    <w:jc w:val="both"/>
                  </w:pPr>
                  <w:r>
                    <w:rPr>
                      <w:sz w:val="21"/>
                    </w:rPr>
                    <w:t>局信息化部门及用户评价</w:t>
                  </w:r>
                </w:p>
              </w:tc>
              <w:tc>
                <w:tcPr>
                  <w:tcW w:type="dxa" w:w="843"/>
                  <w:tcBorders>
                    <w:top w:val="none" w:color="000000" w:sz="4"/>
                    <w:left w:val="none" w:color="000000" w:sz="4"/>
                    <w:bottom w:val="single" w:color="000000" w:sz="4"/>
                    <w:right w:val="single" w:color="000000" w:sz="4"/>
                  </w:tcBorders>
                </w:tcPr>
                <w:p>
                  <w:pPr>
                    <w:jc w:val="both"/>
                  </w:pPr>
                  <w:r>
                    <w:rPr>
                      <w:sz w:val="21"/>
                    </w:rPr>
                    <w:t>测信科评价</w:t>
                  </w:r>
                </w:p>
              </w:tc>
              <w:tc>
                <w:tcPr>
                  <w:tcW w:type="dxa" w:w="1744"/>
                  <w:tcBorders>
                    <w:top w:val="none" w:color="000000" w:sz="4"/>
                    <w:left w:val="none" w:color="000000" w:sz="4"/>
                    <w:bottom w:val="single" w:color="000000" w:sz="4"/>
                    <w:right w:val="single" w:color="000000" w:sz="4"/>
                  </w:tcBorders>
                </w:tcPr>
                <w:p>
                  <w:pPr>
                    <w:jc w:val="both"/>
                  </w:pPr>
                  <w:r>
                    <w:rPr>
                      <w:sz w:val="21"/>
                    </w:rPr>
                    <w:t>服务综合评价不满意</w:t>
                  </w:r>
                </w:p>
              </w:tc>
              <w:tc>
                <w:tcPr>
                  <w:tcW w:type="dxa" w:w="957"/>
                  <w:tcBorders>
                    <w:top w:val="none" w:color="000000" w:sz="4"/>
                    <w:left w:val="none" w:color="000000" w:sz="4"/>
                    <w:bottom w:val="single" w:color="000000" w:sz="4"/>
                    <w:right w:val="single" w:color="000000" w:sz="4"/>
                  </w:tcBorders>
                </w:tcPr>
                <w:p>
                  <w:pPr>
                    <w:jc w:val="both"/>
                  </w:pPr>
                  <w:r>
                    <w:rPr>
                      <w:sz w:val="21"/>
                    </w:rPr>
                    <w:t>扣</w:t>
                  </w:r>
                  <w:r>
                    <w:rPr>
                      <w:sz w:val="21"/>
                    </w:rPr>
                    <w:t>10</w:t>
                  </w:r>
                  <w:r>
                    <w:rPr>
                      <w:sz w:val="21"/>
                    </w:rPr>
                    <w:t>分</w:t>
                  </w:r>
                </w:p>
              </w:tc>
              <w:tc>
                <w:tcPr>
                  <w:tcW w:type="dxa" w:w="1288"/>
                  <w:tcBorders>
                    <w:top w:val="none" w:color="000000" w:sz="4"/>
                    <w:left w:val="none" w:color="000000" w:sz="4"/>
                    <w:bottom w:val="single" w:color="000000" w:sz="4"/>
                    <w:right w:val="single" w:color="000000" w:sz="4"/>
                  </w:tcBorders>
                </w:tcPr>
                <w:p>
                  <w:pPr>
                    <w:jc w:val="both"/>
                  </w:pPr>
                  <w:r>
                    <w:rPr>
                      <w:sz w:val="21"/>
                    </w:rPr>
                    <w:t>评价问卷</w:t>
                  </w:r>
                </w:p>
              </w:tc>
            </w:tr>
            <w:tr>
              <w:tc>
                <w:tcPr>
                  <w:tcW w:type="dxa" w:w="763"/>
                  <w:vMerge/>
                  <w:tcBorders>
                    <w:top w:val="none" w:color="000000" w:sz="4"/>
                    <w:left w:val="single" w:color="000000" w:sz="4"/>
                    <w:bottom w:val="single" w:color="000000" w:sz="4"/>
                    <w:right w:val="single" w:color="000000" w:sz="4"/>
                  </w:tcBorders>
                </w:tcPr>
                <w:p/>
              </w:tc>
              <w:tc>
                <w:tcPr>
                  <w:tcW w:type="dxa" w:w="843"/>
                  <w:tcBorders>
                    <w:top w:val="none" w:color="000000" w:sz="4"/>
                    <w:left w:val="none" w:color="000000" w:sz="4"/>
                    <w:bottom w:val="single" w:color="000000" w:sz="4"/>
                    <w:right w:val="single" w:color="000000" w:sz="4"/>
                  </w:tcBorders>
                </w:tcPr>
                <w:p>
                  <w:pPr>
                    <w:jc w:val="both"/>
                  </w:pPr>
                  <w:r>
                    <w:rPr>
                      <w:sz w:val="21"/>
                    </w:rPr>
                    <w:t>信息中心评价</w:t>
                  </w:r>
                </w:p>
              </w:tc>
              <w:tc>
                <w:tcPr>
                  <w:tcW w:type="dxa" w:w="1744"/>
                  <w:tcBorders>
                    <w:top w:val="none" w:color="000000" w:sz="4"/>
                    <w:left w:val="none" w:color="000000" w:sz="4"/>
                    <w:bottom w:val="single" w:color="000000" w:sz="4"/>
                    <w:right w:val="single" w:color="000000" w:sz="4"/>
                  </w:tcBorders>
                </w:tcPr>
                <w:p>
                  <w:pPr>
                    <w:jc w:val="both"/>
                  </w:pPr>
                  <w:r>
                    <w:rPr>
                      <w:sz w:val="21"/>
                    </w:rPr>
                    <w:t>服务综合评价不满意</w:t>
                  </w:r>
                </w:p>
              </w:tc>
              <w:tc>
                <w:tcPr>
                  <w:tcW w:type="dxa" w:w="957"/>
                  <w:tcBorders>
                    <w:top w:val="none" w:color="000000" w:sz="4"/>
                    <w:left w:val="none" w:color="000000" w:sz="4"/>
                    <w:bottom w:val="single" w:color="000000" w:sz="4"/>
                    <w:right w:val="single" w:color="000000" w:sz="4"/>
                  </w:tcBorders>
                </w:tcPr>
                <w:p>
                  <w:pPr>
                    <w:jc w:val="both"/>
                  </w:pPr>
                  <w:r>
                    <w:rPr>
                      <w:sz w:val="21"/>
                    </w:rPr>
                    <w:t>扣</w:t>
                  </w:r>
                  <w:r>
                    <w:rPr>
                      <w:sz w:val="21"/>
                    </w:rPr>
                    <w:t>10</w:t>
                  </w:r>
                  <w:r>
                    <w:rPr>
                      <w:sz w:val="21"/>
                    </w:rPr>
                    <w:t>分</w:t>
                  </w:r>
                </w:p>
              </w:tc>
              <w:tc>
                <w:tcPr>
                  <w:tcW w:type="dxa" w:w="1288"/>
                  <w:tcBorders>
                    <w:top w:val="none" w:color="000000" w:sz="4"/>
                    <w:left w:val="none" w:color="000000" w:sz="4"/>
                    <w:bottom w:val="single" w:color="000000" w:sz="4"/>
                    <w:right w:val="single" w:color="000000" w:sz="4"/>
                  </w:tcBorders>
                </w:tcPr>
                <w:p>
                  <w:pPr>
                    <w:jc w:val="both"/>
                  </w:pPr>
                  <w:r>
                    <w:rPr>
                      <w:sz w:val="21"/>
                    </w:rPr>
                    <w:t>评价问卷</w:t>
                  </w:r>
                </w:p>
              </w:tc>
            </w:tr>
            <w:tr>
              <w:tc>
                <w:tcPr>
                  <w:tcW w:type="dxa" w:w="763"/>
                  <w:vMerge/>
                  <w:tcBorders>
                    <w:top w:val="none" w:color="000000" w:sz="4"/>
                    <w:left w:val="single" w:color="000000" w:sz="4"/>
                    <w:bottom w:val="single" w:color="000000" w:sz="4"/>
                    <w:right w:val="single" w:color="000000" w:sz="4"/>
                  </w:tcBorders>
                </w:tcPr>
                <w:p/>
              </w:tc>
              <w:tc>
                <w:tcPr>
                  <w:tcW w:type="dxa" w:w="843"/>
                  <w:tcBorders>
                    <w:top w:val="none" w:color="000000" w:sz="4"/>
                    <w:left w:val="none" w:color="000000" w:sz="4"/>
                    <w:bottom w:val="single" w:color="000000" w:sz="4"/>
                    <w:right w:val="single" w:color="000000" w:sz="4"/>
                  </w:tcBorders>
                </w:tcPr>
                <w:p>
                  <w:pPr>
                    <w:jc w:val="both"/>
                  </w:pPr>
                  <w:r>
                    <w:rPr>
                      <w:sz w:val="21"/>
                    </w:rPr>
                    <w:t>业务科室评价</w:t>
                  </w:r>
                </w:p>
              </w:tc>
              <w:tc>
                <w:tcPr>
                  <w:tcW w:type="dxa" w:w="1744"/>
                  <w:tcBorders>
                    <w:top w:val="none" w:color="000000" w:sz="4"/>
                    <w:left w:val="none" w:color="000000" w:sz="4"/>
                    <w:bottom w:val="single" w:color="000000" w:sz="4"/>
                    <w:right w:val="single" w:color="000000" w:sz="4"/>
                  </w:tcBorders>
                </w:tcPr>
                <w:p>
                  <w:pPr>
                    <w:jc w:val="both"/>
                  </w:pPr>
                  <w:r>
                    <w:rPr>
                      <w:sz w:val="21"/>
                    </w:rPr>
                    <w:t>服务综合评价不满意</w:t>
                  </w:r>
                </w:p>
              </w:tc>
              <w:tc>
                <w:tcPr>
                  <w:tcW w:type="dxa" w:w="957"/>
                  <w:tcBorders>
                    <w:top w:val="none" w:color="000000" w:sz="4"/>
                    <w:left w:val="none" w:color="000000" w:sz="4"/>
                    <w:bottom w:val="single" w:color="000000" w:sz="4"/>
                    <w:right w:val="single" w:color="000000" w:sz="4"/>
                  </w:tcBorders>
                </w:tcPr>
                <w:p>
                  <w:pPr>
                    <w:jc w:val="both"/>
                  </w:pPr>
                  <w:r>
                    <w:rPr>
                      <w:sz w:val="21"/>
                    </w:rPr>
                    <w:t>扣</w:t>
                  </w:r>
                  <w:r>
                    <w:rPr>
                      <w:sz w:val="21"/>
                    </w:rPr>
                    <w:t>10</w:t>
                  </w:r>
                  <w:r>
                    <w:rPr>
                      <w:sz w:val="21"/>
                    </w:rPr>
                    <w:t>分</w:t>
                  </w:r>
                  <w:r>
                    <w:rPr>
                      <w:sz w:val="21"/>
                    </w:rPr>
                    <w:t>/</w:t>
                  </w:r>
                  <w:r>
                    <w:rPr>
                      <w:sz w:val="21"/>
                    </w:rPr>
                    <w:t>份</w:t>
                  </w:r>
                </w:p>
              </w:tc>
              <w:tc>
                <w:tcPr>
                  <w:tcW w:type="dxa" w:w="1288"/>
                  <w:tcBorders>
                    <w:top w:val="none" w:color="000000" w:sz="4"/>
                    <w:left w:val="none" w:color="000000" w:sz="4"/>
                    <w:bottom w:val="single" w:color="000000" w:sz="4"/>
                    <w:right w:val="single" w:color="000000" w:sz="4"/>
                  </w:tcBorders>
                </w:tcPr>
                <w:p>
                  <w:pPr>
                    <w:jc w:val="both"/>
                  </w:pPr>
                  <w:r>
                    <w:rPr>
                      <w:sz w:val="21"/>
                    </w:rPr>
                    <w:t>评价问卷</w:t>
                  </w:r>
                </w:p>
              </w:tc>
            </w:tr>
            <w:tr>
              <w:tc>
                <w:tcPr>
                  <w:tcW w:type="dxa" w:w="763"/>
                  <w:vMerge/>
                  <w:tcBorders>
                    <w:top w:val="none" w:color="000000" w:sz="4"/>
                    <w:left w:val="single" w:color="000000" w:sz="4"/>
                    <w:bottom w:val="single" w:color="000000" w:sz="4"/>
                    <w:right w:val="single" w:color="000000" w:sz="4"/>
                  </w:tcBorders>
                </w:tcPr>
                <w:p/>
              </w:tc>
              <w:tc>
                <w:tcPr>
                  <w:tcW w:type="dxa" w:w="843"/>
                  <w:tcBorders>
                    <w:top w:val="none" w:color="000000" w:sz="4"/>
                    <w:left w:val="none" w:color="000000" w:sz="4"/>
                    <w:bottom w:val="single" w:color="000000" w:sz="4"/>
                    <w:right w:val="single" w:color="000000" w:sz="4"/>
                  </w:tcBorders>
                </w:tcPr>
                <w:p>
                  <w:pPr>
                    <w:jc w:val="both"/>
                  </w:pPr>
                  <w:r>
                    <w:rPr>
                      <w:sz w:val="21"/>
                    </w:rPr>
                    <w:t>监管部门通报或批评</w:t>
                  </w:r>
                </w:p>
              </w:tc>
              <w:tc>
                <w:tcPr>
                  <w:tcW w:type="dxa" w:w="1744"/>
                  <w:tcBorders>
                    <w:top w:val="none" w:color="000000" w:sz="4"/>
                    <w:left w:val="none" w:color="000000" w:sz="4"/>
                    <w:bottom w:val="single" w:color="000000" w:sz="4"/>
                    <w:right w:val="single" w:color="000000" w:sz="4"/>
                  </w:tcBorders>
                </w:tcPr>
                <w:p>
                  <w:pPr>
                    <w:jc w:val="both"/>
                  </w:pPr>
                  <w:r>
                    <w:rPr>
                      <w:sz w:val="21"/>
                    </w:rPr>
                    <w:t>机关党委、纪检组、局办公室、局安全生产办公室等监管部门的通报或批次</w:t>
                  </w:r>
                </w:p>
              </w:tc>
              <w:tc>
                <w:tcPr>
                  <w:tcW w:type="dxa" w:w="957"/>
                  <w:tcBorders>
                    <w:top w:val="none" w:color="000000" w:sz="4"/>
                    <w:left w:val="none" w:color="000000" w:sz="4"/>
                    <w:bottom w:val="single" w:color="000000" w:sz="4"/>
                    <w:right w:val="single" w:color="000000" w:sz="4"/>
                  </w:tcBorders>
                </w:tcPr>
                <w:p>
                  <w:pPr>
                    <w:jc w:val="both"/>
                  </w:pPr>
                  <w:r>
                    <w:rPr>
                      <w:sz w:val="21"/>
                    </w:rPr>
                    <w:t>扣</w:t>
                  </w:r>
                  <w:r>
                    <w:rPr>
                      <w:sz w:val="21"/>
                    </w:rPr>
                    <w:t>5</w:t>
                  </w:r>
                  <w:r>
                    <w:rPr>
                      <w:sz w:val="21"/>
                    </w:rPr>
                    <w:t>分</w:t>
                  </w:r>
                  <w:r>
                    <w:rPr>
                      <w:sz w:val="21"/>
                    </w:rPr>
                    <w:t>/</w:t>
                  </w:r>
                  <w:r>
                    <w:rPr>
                      <w:sz w:val="21"/>
                    </w:rPr>
                    <w:t>次</w:t>
                  </w:r>
                </w:p>
              </w:tc>
              <w:tc>
                <w:tcPr>
                  <w:tcW w:type="dxa" w:w="1288"/>
                  <w:tcBorders>
                    <w:top w:val="none" w:color="000000" w:sz="4"/>
                    <w:left w:val="none" w:color="000000" w:sz="4"/>
                    <w:bottom w:val="single" w:color="000000" w:sz="4"/>
                    <w:right w:val="single" w:color="000000" w:sz="4"/>
                  </w:tcBorders>
                </w:tcPr>
                <w:p>
                  <w:pPr>
                    <w:jc w:val="both"/>
                  </w:pPr>
                  <w:r>
                    <w:rPr>
                      <w:sz w:val="21"/>
                    </w:rPr>
                    <w:t>相关佐证材料</w:t>
                  </w:r>
                </w:p>
              </w:tc>
            </w:tr>
            <w:tr>
              <w:tc>
                <w:tcPr>
                  <w:tcW w:type="dxa" w:w="763"/>
                  <w:vMerge/>
                  <w:tcBorders>
                    <w:top w:val="none" w:color="000000" w:sz="4"/>
                    <w:left w:val="single" w:color="000000" w:sz="4"/>
                    <w:bottom w:val="single" w:color="000000" w:sz="4"/>
                    <w:right w:val="single" w:color="000000" w:sz="4"/>
                  </w:tcBorders>
                </w:tcPr>
                <w:p/>
              </w:tc>
              <w:tc>
                <w:tcPr>
                  <w:tcW w:type="dxa" w:w="843"/>
                  <w:tcBorders>
                    <w:top w:val="none" w:color="000000" w:sz="4"/>
                    <w:left w:val="none" w:color="000000" w:sz="4"/>
                    <w:bottom w:val="single" w:color="000000" w:sz="4"/>
                    <w:right w:val="single" w:color="000000" w:sz="4"/>
                  </w:tcBorders>
                </w:tcPr>
                <w:p>
                  <w:pPr>
                    <w:jc w:val="both"/>
                  </w:pPr>
                  <w:r>
                    <w:rPr>
                      <w:sz w:val="21"/>
                    </w:rPr>
                    <w:t>群众投诉</w:t>
                  </w:r>
                </w:p>
              </w:tc>
              <w:tc>
                <w:tcPr>
                  <w:tcW w:type="dxa" w:w="1744"/>
                  <w:tcBorders>
                    <w:top w:val="none" w:color="000000" w:sz="4"/>
                    <w:left w:val="none" w:color="000000" w:sz="4"/>
                    <w:bottom w:val="single" w:color="000000" w:sz="4"/>
                    <w:right w:val="single" w:color="000000" w:sz="4"/>
                  </w:tcBorders>
                </w:tcPr>
                <w:p>
                  <w:pPr>
                    <w:jc w:val="both"/>
                  </w:pPr>
                  <w:r>
                    <w:rPr>
                      <w:sz w:val="21"/>
                    </w:rPr>
                    <w:t>好差评、</w:t>
                  </w:r>
                  <w:r>
                    <w:rPr>
                      <w:sz w:val="21"/>
                    </w:rPr>
                    <w:t>12345</w:t>
                  </w:r>
                  <w:r>
                    <w:rPr>
                      <w:sz w:val="21"/>
                    </w:rPr>
                    <w:t>、码上反映等群众投诉渠道反馈</w:t>
                  </w:r>
                </w:p>
              </w:tc>
              <w:tc>
                <w:tcPr>
                  <w:tcW w:type="dxa" w:w="957"/>
                  <w:tcBorders>
                    <w:top w:val="none" w:color="000000" w:sz="4"/>
                    <w:left w:val="none" w:color="000000" w:sz="4"/>
                    <w:bottom w:val="single" w:color="000000" w:sz="4"/>
                    <w:right w:val="single" w:color="000000" w:sz="4"/>
                  </w:tcBorders>
                </w:tcPr>
                <w:p>
                  <w:pPr>
                    <w:jc w:val="both"/>
                  </w:pPr>
                  <w:r>
                    <w:rPr>
                      <w:sz w:val="21"/>
                    </w:rPr>
                    <w:t>扣</w:t>
                  </w:r>
                  <w:r>
                    <w:rPr>
                      <w:sz w:val="21"/>
                    </w:rPr>
                    <w:t>3</w:t>
                  </w:r>
                  <w:r>
                    <w:rPr>
                      <w:sz w:val="21"/>
                    </w:rPr>
                    <w:t>分</w:t>
                  </w:r>
                  <w:r>
                    <w:rPr>
                      <w:sz w:val="21"/>
                    </w:rPr>
                    <w:t>/</w:t>
                  </w:r>
                  <w:r>
                    <w:rPr>
                      <w:sz w:val="21"/>
                    </w:rPr>
                    <w:t>次</w:t>
                  </w:r>
                </w:p>
              </w:tc>
              <w:tc>
                <w:tcPr>
                  <w:tcW w:type="dxa" w:w="1288"/>
                  <w:tcBorders>
                    <w:top w:val="none" w:color="000000" w:sz="4"/>
                    <w:left w:val="none" w:color="000000" w:sz="4"/>
                    <w:bottom w:val="single" w:color="000000" w:sz="4"/>
                    <w:right w:val="single" w:color="000000" w:sz="4"/>
                  </w:tcBorders>
                </w:tcPr>
                <w:p>
                  <w:pPr>
                    <w:jc w:val="both"/>
                  </w:pPr>
                  <w:r>
                    <w:rPr>
                      <w:sz w:val="21"/>
                    </w:rPr>
                    <w:t>相关佐证材料</w:t>
                  </w:r>
                </w:p>
              </w:tc>
            </w:tr>
            <w:tr>
              <w:tc>
                <w:tcPr>
                  <w:tcW w:type="dxa" w:w="763"/>
                  <w:vMerge w:val="restart"/>
                  <w:tcBorders>
                    <w:top w:val="none" w:color="000000" w:sz="4"/>
                    <w:left w:val="single" w:color="000000" w:sz="4"/>
                    <w:bottom w:val="single" w:color="000000" w:sz="4"/>
                    <w:right w:val="single" w:color="000000" w:sz="4"/>
                  </w:tcBorders>
                </w:tcPr>
                <w:p>
                  <w:pPr>
                    <w:jc w:val="both"/>
                  </w:pPr>
                  <w:r>
                    <w:rPr>
                      <w:sz w:val="21"/>
                    </w:rPr>
                    <w:t>人</w:t>
                  </w:r>
                  <w:r>
                    <w:rPr>
                      <w:sz w:val="21"/>
                    </w:rPr>
                    <w:t xml:space="preserve"> </w:t>
                  </w:r>
                  <w:r>
                    <w:rPr>
                      <w:sz w:val="21"/>
                    </w:rPr>
                    <w:t>员</w:t>
                  </w:r>
                </w:p>
              </w:tc>
              <w:tc>
                <w:tcPr>
                  <w:tcW w:type="dxa" w:w="843"/>
                  <w:tcBorders>
                    <w:top w:val="none" w:color="000000" w:sz="4"/>
                    <w:left w:val="none" w:color="000000" w:sz="4"/>
                    <w:bottom w:val="single" w:color="000000" w:sz="4"/>
                    <w:right w:val="single" w:color="000000" w:sz="4"/>
                  </w:tcBorders>
                </w:tcPr>
                <w:p>
                  <w:pPr>
                    <w:jc w:val="both"/>
                  </w:pPr>
                  <w:r>
                    <w:rPr>
                      <w:sz w:val="21"/>
                    </w:rPr>
                    <w:t>数量不足</w:t>
                  </w:r>
                </w:p>
              </w:tc>
              <w:tc>
                <w:tcPr>
                  <w:tcW w:type="dxa" w:w="1744"/>
                  <w:tcBorders>
                    <w:top w:val="none" w:color="000000" w:sz="4"/>
                    <w:left w:val="none" w:color="000000" w:sz="4"/>
                    <w:bottom w:val="single" w:color="000000" w:sz="4"/>
                    <w:right w:val="single" w:color="000000" w:sz="4"/>
                  </w:tcBorders>
                </w:tcPr>
                <w:p>
                  <w:pPr>
                    <w:jc w:val="both"/>
                  </w:pPr>
                  <w:r>
                    <w:rPr>
                      <w:sz w:val="21"/>
                    </w:rPr>
                    <w:t>未按要求配足驻场人员</w:t>
                  </w:r>
                </w:p>
              </w:tc>
              <w:tc>
                <w:tcPr>
                  <w:tcW w:type="dxa" w:w="957"/>
                  <w:tcBorders>
                    <w:top w:val="none" w:color="000000" w:sz="4"/>
                    <w:left w:val="none" w:color="000000" w:sz="4"/>
                    <w:bottom w:val="single" w:color="000000" w:sz="4"/>
                    <w:right w:val="single" w:color="000000" w:sz="4"/>
                  </w:tcBorders>
                </w:tcPr>
                <w:p>
                  <w:pPr>
                    <w:jc w:val="both"/>
                  </w:pPr>
                  <w:r>
                    <w:rPr>
                      <w:sz w:val="21"/>
                    </w:rPr>
                    <w:t>少</w:t>
                  </w:r>
                  <w:r>
                    <w:rPr>
                      <w:sz w:val="21"/>
                    </w:rPr>
                    <w:t>1</w:t>
                  </w:r>
                  <w:r>
                    <w:rPr>
                      <w:sz w:val="21"/>
                    </w:rPr>
                    <w:t>人扣</w:t>
                  </w:r>
                  <w:r>
                    <w:rPr>
                      <w:sz w:val="21"/>
                    </w:rPr>
                    <w:t>5</w:t>
                  </w:r>
                  <w:r>
                    <w:rPr>
                      <w:sz w:val="21"/>
                    </w:rPr>
                    <w:t>分</w:t>
                  </w:r>
                </w:p>
              </w:tc>
              <w:tc>
                <w:tcPr>
                  <w:tcW w:type="dxa" w:w="1288"/>
                  <w:tcBorders>
                    <w:top w:val="none" w:color="000000" w:sz="4"/>
                    <w:left w:val="none" w:color="000000" w:sz="4"/>
                    <w:bottom w:val="single" w:color="000000" w:sz="4"/>
                    <w:right w:val="single" w:color="000000" w:sz="4"/>
                  </w:tcBorders>
                </w:tcPr>
                <w:p>
                  <w:pPr>
                    <w:jc w:val="both"/>
                  </w:pPr>
                  <w:r>
                    <w:rPr>
                      <w:sz w:val="21"/>
                    </w:rPr>
                    <w:t>人员相关材料</w:t>
                  </w:r>
                </w:p>
              </w:tc>
            </w:tr>
            <w:tr>
              <w:tc>
                <w:tcPr>
                  <w:tcW w:type="dxa" w:w="763"/>
                  <w:vMerge/>
                  <w:tcBorders>
                    <w:top w:val="none" w:color="000000" w:sz="4"/>
                    <w:left w:val="single" w:color="000000" w:sz="4"/>
                    <w:bottom w:val="single" w:color="000000" w:sz="4"/>
                    <w:right w:val="single" w:color="000000" w:sz="4"/>
                  </w:tcBorders>
                </w:tcPr>
                <w:p/>
              </w:tc>
              <w:tc>
                <w:tcPr>
                  <w:tcW w:type="dxa" w:w="843"/>
                  <w:tcBorders>
                    <w:top w:val="none" w:color="000000" w:sz="4"/>
                    <w:left w:val="none" w:color="000000" w:sz="4"/>
                    <w:bottom w:val="single" w:color="000000" w:sz="4"/>
                    <w:right w:val="single" w:color="000000" w:sz="4"/>
                  </w:tcBorders>
                </w:tcPr>
                <w:p>
                  <w:pPr>
                    <w:jc w:val="both"/>
                  </w:pPr>
                  <w:r>
                    <w:rPr>
                      <w:sz w:val="21"/>
                    </w:rPr>
                    <w:t>素质未达标</w:t>
                  </w:r>
                </w:p>
              </w:tc>
              <w:tc>
                <w:tcPr>
                  <w:tcW w:type="dxa" w:w="1744"/>
                  <w:tcBorders>
                    <w:top w:val="none" w:color="000000" w:sz="4"/>
                    <w:left w:val="none" w:color="000000" w:sz="4"/>
                    <w:bottom w:val="single" w:color="000000" w:sz="4"/>
                    <w:right w:val="single" w:color="000000" w:sz="4"/>
                  </w:tcBorders>
                </w:tcPr>
                <w:p>
                  <w:pPr>
                    <w:jc w:val="both"/>
                  </w:pPr>
                  <w:r>
                    <w:rPr>
                      <w:sz w:val="21"/>
                    </w:rPr>
                    <w:t>人员学历、经验、职称未达到要求</w:t>
                  </w:r>
                </w:p>
              </w:tc>
              <w:tc>
                <w:tcPr>
                  <w:tcW w:type="dxa" w:w="957"/>
                  <w:tcBorders>
                    <w:top w:val="none" w:color="000000" w:sz="4"/>
                    <w:left w:val="none" w:color="000000" w:sz="4"/>
                    <w:bottom w:val="single" w:color="000000" w:sz="4"/>
                    <w:right w:val="single" w:color="000000" w:sz="4"/>
                  </w:tcBorders>
                </w:tcPr>
                <w:p>
                  <w:pPr>
                    <w:jc w:val="both"/>
                  </w:pPr>
                  <w:r>
                    <w:rPr>
                      <w:sz w:val="21"/>
                    </w:rPr>
                    <w:t>少</w:t>
                  </w:r>
                  <w:r>
                    <w:rPr>
                      <w:sz w:val="21"/>
                    </w:rPr>
                    <w:t>1</w:t>
                  </w:r>
                  <w:r>
                    <w:rPr>
                      <w:sz w:val="21"/>
                    </w:rPr>
                    <w:t>人扣</w:t>
                  </w:r>
                  <w:r>
                    <w:rPr>
                      <w:sz w:val="21"/>
                    </w:rPr>
                    <w:t>5</w:t>
                  </w:r>
                  <w:r>
                    <w:rPr>
                      <w:sz w:val="21"/>
                    </w:rPr>
                    <w:t>分</w:t>
                  </w:r>
                </w:p>
              </w:tc>
              <w:tc>
                <w:tcPr>
                  <w:tcW w:type="dxa" w:w="1288"/>
                  <w:tcBorders>
                    <w:top w:val="none" w:color="000000" w:sz="4"/>
                    <w:left w:val="none" w:color="000000" w:sz="4"/>
                    <w:bottom w:val="single" w:color="000000" w:sz="4"/>
                    <w:right w:val="single" w:color="000000" w:sz="4"/>
                  </w:tcBorders>
                </w:tcPr>
                <w:p>
                  <w:pPr>
                    <w:jc w:val="both"/>
                  </w:pPr>
                  <w:r>
                    <w:rPr>
                      <w:sz w:val="21"/>
                    </w:rPr>
                    <w:t>人员相关材料</w:t>
                  </w:r>
                </w:p>
              </w:tc>
            </w:tr>
            <w:tr>
              <w:tc>
                <w:tcPr>
                  <w:tcW w:type="dxa" w:w="763"/>
                  <w:vMerge/>
                  <w:tcBorders>
                    <w:top w:val="none" w:color="000000" w:sz="4"/>
                    <w:left w:val="single" w:color="000000" w:sz="4"/>
                    <w:bottom w:val="single" w:color="000000" w:sz="4"/>
                    <w:right w:val="single" w:color="000000" w:sz="4"/>
                  </w:tcBorders>
                </w:tcPr>
                <w:p/>
              </w:tc>
              <w:tc>
                <w:tcPr>
                  <w:tcW w:type="dxa" w:w="843"/>
                  <w:tcBorders>
                    <w:top w:val="none" w:color="000000" w:sz="4"/>
                    <w:left w:val="none" w:color="000000" w:sz="4"/>
                    <w:bottom w:val="single" w:color="000000" w:sz="4"/>
                    <w:right w:val="single" w:color="000000" w:sz="4"/>
                  </w:tcBorders>
                </w:tcPr>
                <w:p>
                  <w:pPr>
                    <w:jc w:val="both"/>
                  </w:pPr>
                  <w:r>
                    <w:rPr>
                      <w:sz w:val="21"/>
                    </w:rPr>
                    <w:t>考</w:t>
                  </w:r>
                  <w:r>
                    <w:rPr>
                      <w:sz w:val="21"/>
                    </w:rPr>
                    <w:t xml:space="preserve"> </w:t>
                  </w:r>
                  <w:r>
                    <w:rPr>
                      <w:sz w:val="21"/>
                    </w:rPr>
                    <w:t>勤</w:t>
                  </w:r>
                </w:p>
              </w:tc>
              <w:tc>
                <w:tcPr>
                  <w:tcW w:type="dxa" w:w="1744"/>
                  <w:tcBorders>
                    <w:top w:val="none" w:color="000000" w:sz="4"/>
                    <w:left w:val="none" w:color="000000" w:sz="4"/>
                    <w:bottom w:val="single" w:color="000000" w:sz="4"/>
                    <w:right w:val="single" w:color="000000" w:sz="4"/>
                  </w:tcBorders>
                </w:tcPr>
                <w:p>
                  <w:pPr>
                    <w:jc w:val="both"/>
                  </w:pPr>
                  <w:r>
                    <w:rPr>
                      <w:sz w:val="21"/>
                    </w:rPr>
                    <w:t>休假未按规定请假、报备或旷工，开会无故缺席或迟到</w:t>
                  </w:r>
                  <w:r>
                    <w:rPr>
                      <w:sz w:val="21"/>
                    </w:rPr>
                    <w:t>10</w:t>
                  </w:r>
                  <w:r>
                    <w:rPr>
                      <w:sz w:val="21"/>
                    </w:rPr>
                    <w:t>分钟以上</w:t>
                  </w:r>
                </w:p>
              </w:tc>
              <w:tc>
                <w:tcPr>
                  <w:tcW w:type="dxa" w:w="957"/>
                  <w:tcBorders>
                    <w:top w:val="none" w:color="000000" w:sz="4"/>
                    <w:left w:val="none" w:color="000000" w:sz="4"/>
                    <w:bottom w:val="single" w:color="000000" w:sz="4"/>
                    <w:right w:val="single" w:color="000000" w:sz="4"/>
                  </w:tcBorders>
                </w:tcPr>
                <w:p>
                  <w:pPr>
                    <w:jc w:val="both"/>
                  </w:pPr>
                  <w:r>
                    <w:rPr>
                      <w:sz w:val="21"/>
                    </w:rPr>
                    <w:t>扣</w:t>
                  </w:r>
                  <w:r>
                    <w:rPr>
                      <w:sz w:val="21"/>
                    </w:rPr>
                    <w:t>2</w:t>
                  </w:r>
                  <w:r>
                    <w:rPr>
                      <w:sz w:val="21"/>
                    </w:rPr>
                    <w:t>分</w:t>
                  </w:r>
                  <w:r>
                    <w:rPr>
                      <w:sz w:val="21"/>
                    </w:rPr>
                    <w:t>/</w:t>
                  </w:r>
                  <w:r>
                    <w:rPr>
                      <w:sz w:val="21"/>
                    </w:rPr>
                    <w:t>人次</w:t>
                  </w:r>
                </w:p>
              </w:tc>
              <w:tc>
                <w:tcPr>
                  <w:tcW w:type="dxa" w:w="1288"/>
                  <w:tcBorders>
                    <w:top w:val="none" w:color="000000" w:sz="4"/>
                    <w:left w:val="none" w:color="000000" w:sz="4"/>
                    <w:bottom w:val="single" w:color="000000" w:sz="4"/>
                    <w:right w:val="single" w:color="000000" w:sz="4"/>
                  </w:tcBorders>
                </w:tcPr>
                <w:p>
                  <w:pPr>
                    <w:jc w:val="both"/>
                  </w:pPr>
                  <w:r>
                    <w:rPr>
                      <w:sz w:val="21"/>
                    </w:rPr>
                    <w:t>考勤记录及查岗材料</w:t>
                  </w:r>
                </w:p>
              </w:tc>
            </w:tr>
            <w:tr>
              <w:tc>
                <w:tcPr>
                  <w:tcW w:type="dxa" w:w="763"/>
                  <w:vMerge/>
                  <w:tcBorders>
                    <w:top w:val="none" w:color="000000" w:sz="4"/>
                    <w:left w:val="single" w:color="000000" w:sz="4"/>
                    <w:bottom w:val="single" w:color="000000" w:sz="4"/>
                    <w:right w:val="single" w:color="000000" w:sz="4"/>
                  </w:tcBorders>
                </w:tcPr>
                <w:p/>
              </w:tc>
              <w:tc>
                <w:tcPr>
                  <w:tcW w:type="dxa" w:w="843"/>
                  <w:tcBorders>
                    <w:top w:val="none" w:color="000000" w:sz="4"/>
                    <w:left w:val="none" w:color="000000" w:sz="4"/>
                    <w:bottom w:val="single" w:color="000000" w:sz="4"/>
                    <w:right w:val="single" w:color="000000" w:sz="4"/>
                  </w:tcBorders>
                </w:tcPr>
                <w:p>
                  <w:pPr>
                    <w:jc w:val="both"/>
                  </w:pPr>
                  <w:r>
                    <w:rPr>
                      <w:sz w:val="21"/>
                    </w:rPr>
                    <w:t>随意更换项目人员</w:t>
                  </w:r>
                </w:p>
              </w:tc>
              <w:tc>
                <w:tcPr>
                  <w:tcW w:type="dxa" w:w="1744"/>
                  <w:tcBorders>
                    <w:top w:val="none" w:color="000000" w:sz="4"/>
                    <w:left w:val="none" w:color="000000" w:sz="4"/>
                    <w:bottom w:val="single" w:color="000000" w:sz="4"/>
                    <w:right w:val="single" w:color="000000" w:sz="4"/>
                  </w:tcBorders>
                </w:tcPr>
                <w:p>
                  <w:pPr>
                    <w:jc w:val="both"/>
                  </w:pPr>
                  <w:r>
                    <w:rPr>
                      <w:sz w:val="21"/>
                    </w:rPr>
                    <w:t>更换人员不符合本方案或未按本方案工作的要求进行更换</w:t>
                  </w:r>
                </w:p>
              </w:tc>
              <w:tc>
                <w:tcPr>
                  <w:tcW w:type="dxa" w:w="957"/>
                  <w:tcBorders>
                    <w:top w:val="none" w:color="000000" w:sz="4"/>
                    <w:left w:val="none" w:color="000000" w:sz="4"/>
                    <w:bottom w:val="single" w:color="000000" w:sz="4"/>
                    <w:right w:val="single" w:color="000000" w:sz="4"/>
                  </w:tcBorders>
                </w:tcPr>
                <w:p>
                  <w:pPr>
                    <w:jc w:val="both"/>
                  </w:pPr>
                  <w:r>
                    <w:rPr>
                      <w:sz w:val="21"/>
                    </w:rPr>
                    <w:t>扣</w:t>
                  </w:r>
                  <w:r>
                    <w:rPr>
                      <w:sz w:val="21"/>
                    </w:rPr>
                    <w:t>20</w:t>
                  </w:r>
                  <w:r>
                    <w:rPr>
                      <w:sz w:val="21"/>
                    </w:rPr>
                    <w:t>分</w:t>
                  </w:r>
                </w:p>
              </w:tc>
              <w:tc>
                <w:tcPr>
                  <w:tcW w:type="dxa" w:w="1288"/>
                  <w:tcBorders>
                    <w:top w:val="none" w:color="000000" w:sz="4"/>
                    <w:left w:val="none" w:color="000000" w:sz="4"/>
                    <w:bottom w:val="single" w:color="000000" w:sz="4"/>
                    <w:right w:val="single" w:color="000000" w:sz="4"/>
                  </w:tcBorders>
                </w:tcPr>
                <w:p>
                  <w:pPr>
                    <w:jc w:val="both"/>
                  </w:pPr>
                  <w:r>
                    <w:rPr>
                      <w:sz w:val="21"/>
                    </w:rPr>
                    <w:t>自然资源信息中心认定</w:t>
                  </w:r>
                </w:p>
              </w:tc>
            </w:tr>
            <w:tr>
              <w:tc>
                <w:tcPr>
                  <w:tcW w:type="dxa" w:w="763"/>
                  <w:vMerge/>
                  <w:tcBorders>
                    <w:top w:val="none" w:color="000000" w:sz="4"/>
                    <w:left w:val="single" w:color="000000" w:sz="4"/>
                    <w:bottom w:val="single" w:color="000000" w:sz="4"/>
                    <w:right w:val="single" w:color="000000" w:sz="4"/>
                  </w:tcBorders>
                </w:tcPr>
                <w:p/>
              </w:tc>
              <w:tc>
                <w:tcPr>
                  <w:tcW w:type="dxa" w:w="843"/>
                  <w:tcBorders>
                    <w:top w:val="none" w:color="000000" w:sz="4"/>
                    <w:left w:val="none" w:color="000000" w:sz="4"/>
                    <w:bottom w:val="single" w:color="000000" w:sz="4"/>
                    <w:right w:val="single" w:color="000000" w:sz="4"/>
                  </w:tcBorders>
                </w:tcPr>
                <w:p>
                  <w:pPr>
                    <w:jc w:val="both"/>
                  </w:pPr>
                  <w:r>
                    <w:rPr>
                      <w:sz w:val="21"/>
                    </w:rPr>
                    <w:t>更换项目负责人</w:t>
                  </w:r>
                </w:p>
              </w:tc>
              <w:tc>
                <w:tcPr>
                  <w:tcW w:type="dxa" w:w="1744"/>
                  <w:tcBorders>
                    <w:top w:val="none" w:color="000000" w:sz="4"/>
                    <w:left w:val="none" w:color="000000" w:sz="4"/>
                    <w:bottom w:val="single" w:color="000000" w:sz="4"/>
                    <w:right w:val="single" w:color="000000" w:sz="4"/>
                  </w:tcBorders>
                </w:tcPr>
                <w:p>
                  <w:pPr>
                    <w:jc w:val="both"/>
                  </w:pPr>
                  <w:r>
                    <w:rPr>
                      <w:sz w:val="21"/>
                    </w:rPr>
                    <w:t>更换项目负责人或项目负责人与投标文件不一致</w:t>
                  </w:r>
                </w:p>
              </w:tc>
              <w:tc>
                <w:tcPr>
                  <w:tcW w:type="dxa" w:w="957"/>
                  <w:tcBorders>
                    <w:top w:val="none" w:color="000000" w:sz="4"/>
                    <w:left w:val="none" w:color="000000" w:sz="4"/>
                    <w:bottom w:val="single" w:color="000000" w:sz="4"/>
                    <w:right w:val="single" w:color="000000" w:sz="4"/>
                  </w:tcBorders>
                </w:tcPr>
                <w:p>
                  <w:pPr>
                    <w:jc w:val="both"/>
                  </w:pPr>
                  <w:r>
                    <w:rPr>
                      <w:sz w:val="21"/>
                    </w:rPr>
                    <w:t>扣</w:t>
                  </w:r>
                  <w:r>
                    <w:rPr>
                      <w:sz w:val="21"/>
                    </w:rPr>
                    <w:t>20</w:t>
                  </w:r>
                  <w:r>
                    <w:rPr>
                      <w:sz w:val="21"/>
                    </w:rPr>
                    <w:t>分</w:t>
                  </w:r>
                </w:p>
              </w:tc>
              <w:tc>
                <w:tcPr>
                  <w:tcW w:type="dxa" w:w="1288"/>
                  <w:tcBorders>
                    <w:top w:val="none" w:color="000000" w:sz="4"/>
                    <w:left w:val="none" w:color="000000" w:sz="4"/>
                    <w:bottom w:val="single" w:color="000000" w:sz="4"/>
                    <w:right w:val="single" w:color="000000" w:sz="4"/>
                  </w:tcBorders>
                </w:tcPr>
                <w:p>
                  <w:pPr>
                    <w:jc w:val="both"/>
                  </w:pPr>
                  <w:r>
                    <w:rPr>
                      <w:sz w:val="21"/>
                    </w:rPr>
                    <w:t>自然资源信息中心认定</w:t>
                  </w:r>
                </w:p>
              </w:tc>
            </w:tr>
            <w:tr>
              <w:tc>
                <w:tcPr>
                  <w:tcW w:type="dxa" w:w="763"/>
                  <w:vMerge/>
                  <w:tcBorders>
                    <w:top w:val="none" w:color="000000" w:sz="4"/>
                    <w:left w:val="single" w:color="000000" w:sz="4"/>
                    <w:bottom w:val="single" w:color="000000" w:sz="4"/>
                    <w:right w:val="single" w:color="000000" w:sz="4"/>
                  </w:tcBorders>
                </w:tcPr>
                <w:p/>
              </w:tc>
              <w:tc>
                <w:tcPr>
                  <w:tcW w:type="dxa" w:w="843"/>
                  <w:tcBorders>
                    <w:top w:val="none" w:color="000000" w:sz="4"/>
                    <w:left w:val="none" w:color="000000" w:sz="4"/>
                    <w:bottom w:val="single" w:color="000000" w:sz="4"/>
                    <w:right w:val="single" w:color="000000" w:sz="4"/>
                  </w:tcBorders>
                </w:tcPr>
                <w:p>
                  <w:pPr>
                    <w:jc w:val="both"/>
                  </w:pPr>
                  <w:r>
                    <w:rPr>
                      <w:sz w:val="21"/>
                    </w:rPr>
                    <w:t>更换运维人员</w:t>
                  </w:r>
                </w:p>
              </w:tc>
              <w:tc>
                <w:tcPr>
                  <w:tcW w:type="dxa" w:w="1744"/>
                  <w:tcBorders>
                    <w:top w:val="none" w:color="000000" w:sz="4"/>
                    <w:left w:val="none" w:color="000000" w:sz="4"/>
                    <w:bottom w:val="single" w:color="000000" w:sz="4"/>
                    <w:right w:val="single" w:color="000000" w:sz="4"/>
                  </w:tcBorders>
                </w:tcPr>
                <w:p>
                  <w:pPr>
                    <w:jc w:val="both"/>
                  </w:pPr>
                  <w:r>
                    <w:rPr>
                      <w:sz w:val="21"/>
                    </w:rPr>
                    <w:t>更换运维人员</w:t>
                  </w:r>
                </w:p>
              </w:tc>
              <w:tc>
                <w:tcPr>
                  <w:tcW w:type="dxa" w:w="957"/>
                  <w:tcBorders>
                    <w:top w:val="none" w:color="000000" w:sz="4"/>
                    <w:left w:val="none" w:color="000000" w:sz="4"/>
                    <w:bottom w:val="single" w:color="000000" w:sz="4"/>
                    <w:right w:val="single" w:color="000000" w:sz="4"/>
                  </w:tcBorders>
                </w:tcPr>
                <w:p>
                  <w:pPr>
                    <w:jc w:val="both"/>
                  </w:pPr>
                  <w:r>
                    <w:rPr>
                      <w:sz w:val="21"/>
                    </w:rPr>
                    <w:t>扣</w:t>
                  </w:r>
                  <w:r>
                    <w:rPr>
                      <w:sz w:val="21"/>
                    </w:rPr>
                    <w:t>5</w:t>
                  </w:r>
                  <w:r>
                    <w:rPr>
                      <w:sz w:val="21"/>
                    </w:rPr>
                    <w:t>分</w:t>
                  </w:r>
                  <w:r>
                    <w:rPr>
                      <w:sz w:val="21"/>
                    </w:rPr>
                    <w:t>/</w:t>
                  </w:r>
                  <w:r>
                    <w:rPr>
                      <w:sz w:val="21"/>
                    </w:rPr>
                    <w:t>人次</w:t>
                  </w:r>
                </w:p>
              </w:tc>
              <w:tc>
                <w:tcPr>
                  <w:tcW w:type="dxa" w:w="1288"/>
                  <w:tcBorders>
                    <w:top w:val="none" w:color="000000" w:sz="4"/>
                    <w:left w:val="none" w:color="000000" w:sz="4"/>
                    <w:bottom w:val="single" w:color="000000" w:sz="4"/>
                    <w:right w:val="single" w:color="000000" w:sz="4"/>
                  </w:tcBorders>
                </w:tcPr>
                <w:p>
                  <w:pPr>
                    <w:jc w:val="both"/>
                  </w:pPr>
                  <w:r>
                    <w:rPr>
                      <w:sz w:val="21"/>
                    </w:rPr>
                    <w:t>自然资源信息中心认定</w:t>
                  </w:r>
                </w:p>
              </w:tc>
            </w:tr>
            <w:tr>
              <w:tc>
                <w:tcPr>
                  <w:tcW w:type="dxa" w:w="763"/>
                  <w:vMerge w:val="restart"/>
                  <w:tcBorders>
                    <w:top w:val="none" w:color="000000" w:sz="4"/>
                    <w:left w:val="single" w:color="000000" w:sz="4"/>
                    <w:bottom w:val="single" w:color="000000" w:sz="4"/>
                    <w:right w:val="single" w:color="000000" w:sz="4"/>
                  </w:tcBorders>
                </w:tcPr>
                <w:p>
                  <w:pPr>
                    <w:jc w:val="both"/>
                  </w:pPr>
                  <w:r>
                    <w:rPr>
                      <w:sz w:val="21"/>
                    </w:rPr>
                    <w:t>安全事故</w:t>
                  </w:r>
                </w:p>
              </w:tc>
              <w:tc>
                <w:tcPr>
                  <w:tcW w:type="dxa" w:w="843"/>
                  <w:tcBorders>
                    <w:top w:val="none" w:color="000000" w:sz="4"/>
                    <w:left w:val="none" w:color="000000" w:sz="4"/>
                    <w:bottom w:val="single" w:color="000000" w:sz="4"/>
                    <w:right w:val="single" w:color="000000" w:sz="4"/>
                  </w:tcBorders>
                </w:tcPr>
                <w:p>
                  <w:pPr>
                    <w:jc w:val="both"/>
                  </w:pPr>
                  <w:r>
                    <w:rPr>
                      <w:sz w:val="21"/>
                    </w:rPr>
                    <w:t>发生泄密、敏感数据泄露等安全事故</w:t>
                  </w:r>
                </w:p>
              </w:tc>
              <w:tc>
                <w:tcPr>
                  <w:tcW w:type="dxa" w:w="1744"/>
                  <w:tcBorders>
                    <w:top w:val="none" w:color="000000" w:sz="4"/>
                    <w:left w:val="none" w:color="000000" w:sz="4"/>
                    <w:bottom w:val="single" w:color="000000" w:sz="4"/>
                    <w:right w:val="single" w:color="000000" w:sz="4"/>
                  </w:tcBorders>
                </w:tcPr>
                <w:p>
                  <w:pPr>
                    <w:jc w:val="both"/>
                  </w:pPr>
                  <w:r>
                    <w:rPr>
                      <w:sz w:val="21"/>
                    </w:rPr>
                    <w:t>违规使用账号、权限，违规查找相关信息或发生泄密等安全事故</w:t>
                  </w:r>
                </w:p>
              </w:tc>
              <w:tc>
                <w:tcPr>
                  <w:tcW w:type="dxa" w:w="957"/>
                  <w:tcBorders>
                    <w:top w:val="none" w:color="000000" w:sz="4"/>
                    <w:left w:val="none" w:color="000000" w:sz="4"/>
                    <w:bottom w:val="single" w:color="000000" w:sz="4"/>
                    <w:right w:val="single" w:color="000000" w:sz="4"/>
                  </w:tcBorders>
                </w:tcPr>
                <w:p>
                  <w:pPr>
                    <w:jc w:val="both"/>
                  </w:pPr>
                  <w:r>
                    <w:rPr>
                      <w:sz w:val="21"/>
                    </w:rPr>
                    <w:t>扣</w:t>
                  </w:r>
                  <w:r>
                    <w:rPr>
                      <w:sz w:val="21"/>
                    </w:rPr>
                    <w:t>20</w:t>
                  </w:r>
                  <w:r>
                    <w:rPr>
                      <w:sz w:val="21"/>
                    </w:rPr>
                    <w:t>分</w:t>
                  </w:r>
                  <w:r>
                    <w:rPr>
                      <w:sz w:val="21"/>
                    </w:rPr>
                    <w:t>/</w:t>
                  </w:r>
                  <w:r>
                    <w:rPr>
                      <w:sz w:val="21"/>
                    </w:rPr>
                    <w:t>次</w:t>
                  </w:r>
                </w:p>
              </w:tc>
              <w:tc>
                <w:tcPr>
                  <w:tcW w:type="dxa" w:w="1288"/>
                  <w:tcBorders>
                    <w:top w:val="none" w:color="000000" w:sz="4"/>
                    <w:left w:val="none" w:color="000000" w:sz="4"/>
                    <w:bottom w:val="single" w:color="000000" w:sz="4"/>
                    <w:right w:val="single" w:color="000000" w:sz="4"/>
                  </w:tcBorders>
                </w:tcPr>
                <w:p>
                  <w:pPr>
                    <w:jc w:val="both"/>
                  </w:pPr>
                  <w:r>
                    <w:rPr>
                      <w:sz w:val="21"/>
                    </w:rPr>
                    <w:t>局保密部门检查或上级保密主管部门检查，数据责任部门反馈</w:t>
                  </w:r>
                </w:p>
              </w:tc>
            </w:tr>
            <w:tr>
              <w:tc>
                <w:tcPr>
                  <w:tcW w:type="dxa" w:w="763"/>
                  <w:vMerge/>
                  <w:tcBorders>
                    <w:top w:val="none" w:color="000000" w:sz="4"/>
                    <w:left w:val="single" w:color="000000" w:sz="4"/>
                    <w:bottom w:val="single" w:color="000000" w:sz="4"/>
                    <w:right w:val="single" w:color="000000" w:sz="4"/>
                  </w:tcBorders>
                </w:tcPr>
                <w:p/>
              </w:tc>
              <w:tc>
                <w:tcPr>
                  <w:tcW w:type="dxa" w:w="843"/>
                  <w:tcBorders>
                    <w:top w:val="none" w:color="000000" w:sz="4"/>
                    <w:left w:val="none" w:color="000000" w:sz="4"/>
                    <w:bottom w:val="single" w:color="000000" w:sz="4"/>
                    <w:right w:val="single" w:color="000000" w:sz="4"/>
                  </w:tcBorders>
                </w:tcPr>
                <w:p>
                  <w:pPr>
                    <w:jc w:val="both"/>
                  </w:pPr>
                  <w:r>
                    <w:rPr>
                      <w:sz w:val="21"/>
                    </w:rPr>
                    <w:t>发生网络安全事故</w:t>
                  </w:r>
                </w:p>
              </w:tc>
              <w:tc>
                <w:tcPr>
                  <w:tcW w:type="dxa" w:w="1744"/>
                  <w:tcBorders>
                    <w:top w:val="none" w:color="000000" w:sz="4"/>
                    <w:left w:val="none" w:color="000000" w:sz="4"/>
                    <w:bottom w:val="single" w:color="000000" w:sz="4"/>
                    <w:right w:val="single" w:color="000000" w:sz="4"/>
                  </w:tcBorders>
                </w:tcPr>
                <w:p>
                  <w:pPr>
                    <w:jc w:val="both"/>
                  </w:pPr>
                  <w:r>
                    <w:rPr>
                      <w:sz w:val="21"/>
                    </w:rPr>
                    <w:t>违规使用网络或发生网络安全事故，被网络安全部门通报、批评或造成较大影响</w:t>
                  </w:r>
                </w:p>
              </w:tc>
              <w:tc>
                <w:tcPr>
                  <w:tcW w:type="dxa" w:w="957"/>
                  <w:tcBorders>
                    <w:top w:val="none" w:color="000000" w:sz="4"/>
                    <w:left w:val="none" w:color="000000" w:sz="4"/>
                    <w:bottom w:val="single" w:color="000000" w:sz="4"/>
                    <w:right w:val="single" w:color="000000" w:sz="4"/>
                  </w:tcBorders>
                </w:tcPr>
                <w:p>
                  <w:pPr>
                    <w:jc w:val="both"/>
                  </w:pPr>
                  <w:r>
                    <w:rPr>
                      <w:sz w:val="21"/>
                    </w:rPr>
                    <w:t>扣</w:t>
                  </w:r>
                  <w:r>
                    <w:rPr>
                      <w:sz w:val="21"/>
                    </w:rPr>
                    <w:t>20</w:t>
                  </w:r>
                  <w:r>
                    <w:rPr>
                      <w:sz w:val="21"/>
                    </w:rPr>
                    <w:t>分</w:t>
                  </w:r>
                  <w:r>
                    <w:rPr>
                      <w:sz w:val="21"/>
                    </w:rPr>
                    <w:t>/</w:t>
                  </w:r>
                  <w:r>
                    <w:rPr>
                      <w:sz w:val="21"/>
                    </w:rPr>
                    <w:t>次</w:t>
                  </w:r>
                </w:p>
              </w:tc>
              <w:tc>
                <w:tcPr>
                  <w:tcW w:type="dxa" w:w="1288"/>
                  <w:tcBorders>
                    <w:top w:val="none" w:color="000000" w:sz="4"/>
                    <w:left w:val="none" w:color="000000" w:sz="4"/>
                    <w:bottom w:val="single" w:color="000000" w:sz="4"/>
                    <w:right w:val="single" w:color="000000" w:sz="4"/>
                  </w:tcBorders>
                </w:tcPr>
                <w:p>
                  <w:pPr>
                    <w:jc w:val="both"/>
                  </w:pPr>
                  <w:r>
                    <w:rPr>
                      <w:sz w:val="21"/>
                    </w:rPr>
                    <w:t>局网信办及上级网信办的反馈</w:t>
                  </w:r>
                </w:p>
              </w:tc>
            </w:tr>
            <w:tr>
              <w:tc>
                <w:tcPr>
                  <w:tcW w:type="dxa" w:w="763"/>
                  <w:vMerge/>
                  <w:tcBorders>
                    <w:top w:val="none" w:color="000000" w:sz="4"/>
                    <w:left w:val="single" w:color="000000" w:sz="4"/>
                    <w:bottom w:val="single" w:color="000000" w:sz="4"/>
                    <w:right w:val="single" w:color="000000" w:sz="4"/>
                  </w:tcBorders>
                </w:tcPr>
                <w:p/>
              </w:tc>
              <w:tc>
                <w:tcPr>
                  <w:tcW w:type="dxa" w:w="843"/>
                  <w:tcBorders>
                    <w:top w:val="none" w:color="000000" w:sz="4"/>
                    <w:left w:val="none" w:color="000000" w:sz="4"/>
                    <w:bottom w:val="single" w:color="000000" w:sz="4"/>
                    <w:right w:val="single" w:color="000000" w:sz="4"/>
                  </w:tcBorders>
                </w:tcPr>
                <w:p>
                  <w:pPr>
                    <w:jc w:val="both"/>
                  </w:pPr>
                  <w:r>
                    <w:rPr>
                      <w:sz w:val="21"/>
                    </w:rPr>
                    <w:t>安全演练</w:t>
                  </w:r>
                </w:p>
              </w:tc>
              <w:tc>
                <w:tcPr>
                  <w:tcW w:type="dxa" w:w="1744"/>
                  <w:tcBorders>
                    <w:top w:val="none" w:color="000000" w:sz="4"/>
                    <w:left w:val="none" w:color="000000" w:sz="4"/>
                    <w:bottom w:val="single" w:color="000000" w:sz="4"/>
                    <w:right w:val="single" w:color="000000" w:sz="4"/>
                  </w:tcBorders>
                </w:tcPr>
                <w:p>
                  <w:pPr>
                    <w:jc w:val="both"/>
                  </w:pPr>
                  <w:r>
                    <w:rPr>
                      <w:sz w:val="21"/>
                    </w:rPr>
                    <w:t>在各级网络安全攻防演练中系统被攻破</w:t>
                  </w:r>
                </w:p>
              </w:tc>
              <w:tc>
                <w:tcPr>
                  <w:tcW w:type="dxa" w:w="957"/>
                  <w:tcBorders>
                    <w:top w:val="none" w:color="000000" w:sz="4"/>
                    <w:left w:val="none" w:color="000000" w:sz="4"/>
                    <w:bottom w:val="single" w:color="000000" w:sz="4"/>
                    <w:right w:val="single" w:color="000000" w:sz="4"/>
                  </w:tcBorders>
                </w:tcPr>
                <w:p>
                  <w:pPr>
                    <w:jc w:val="both"/>
                  </w:pPr>
                  <w:r>
                    <w:rPr>
                      <w:sz w:val="21"/>
                    </w:rPr>
                    <w:t>扣</w:t>
                  </w:r>
                  <w:r>
                    <w:rPr>
                      <w:sz w:val="21"/>
                    </w:rPr>
                    <w:t>15</w:t>
                  </w:r>
                  <w:r>
                    <w:rPr>
                      <w:sz w:val="21"/>
                    </w:rPr>
                    <w:t>分</w:t>
                  </w:r>
                  <w:r>
                    <w:rPr>
                      <w:sz w:val="21"/>
                    </w:rPr>
                    <w:t>/</w:t>
                  </w:r>
                  <w:r>
                    <w:rPr>
                      <w:sz w:val="21"/>
                    </w:rPr>
                    <w:t>次</w:t>
                  </w:r>
                </w:p>
              </w:tc>
              <w:tc>
                <w:tcPr>
                  <w:tcW w:type="dxa" w:w="1288"/>
                  <w:tcBorders>
                    <w:top w:val="none" w:color="000000" w:sz="4"/>
                    <w:left w:val="none" w:color="000000" w:sz="4"/>
                    <w:bottom w:val="single" w:color="000000" w:sz="4"/>
                    <w:right w:val="single" w:color="000000" w:sz="4"/>
                  </w:tcBorders>
                </w:tcPr>
                <w:p>
                  <w:pPr>
                    <w:jc w:val="both"/>
                  </w:pPr>
                  <w:r>
                    <w:rPr>
                      <w:sz w:val="21"/>
                    </w:rPr>
                    <w:t>安全攻防演练中攻击方提交的佐证材料</w:t>
                  </w:r>
                </w:p>
              </w:tc>
            </w:tr>
            <w:tr>
              <w:tc>
                <w:tcPr>
                  <w:tcW w:type="dxa" w:w="763"/>
                  <w:vMerge/>
                  <w:tcBorders>
                    <w:top w:val="none" w:color="000000" w:sz="4"/>
                    <w:left w:val="single" w:color="000000" w:sz="4"/>
                    <w:bottom w:val="single" w:color="000000" w:sz="4"/>
                    <w:right w:val="single" w:color="000000" w:sz="4"/>
                  </w:tcBorders>
                </w:tcPr>
                <w:p/>
              </w:tc>
              <w:tc>
                <w:tcPr>
                  <w:tcW w:type="dxa" w:w="843"/>
                  <w:tcBorders>
                    <w:top w:val="none" w:color="000000" w:sz="4"/>
                    <w:left w:val="none" w:color="000000" w:sz="4"/>
                    <w:bottom w:val="single" w:color="000000" w:sz="4"/>
                    <w:right w:val="single" w:color="000000" w:sz="4"/>
                  </w:tcBorders>
                </w:tcPr>
                <w:p>
                  <w:pPr>
                    <w:jc w:val="both"/>
                  </w:pPr>
                  <w:r>
                    <w:rPr>
                      <w:sz w:val="21"/>
                    </w:rPr>
                    <w:t>安全演练</w:t>
                  </w:r>
                </w:p>
              </w:tc>
              <w:tc>
                <w:tcPr>
                  <w:tcW w:type="dxa" w:w="1744"/>
                  <w:tcBorders>
                    <w:top w:val="none" w:color="000000" w:sz="4"/>
                    <w:left w:val="none" w:color="000000" w:sz="4"/>
                    <w:bottom w:val="single" w:color="000000" w:sz="4"/>
                    <w:right w:val="single" w:color="000000" w:sz="4"/>
                  </w:tcBorders>
                </w:tcPr>
                <w:p>
                  <w:pPr>
                    <w:jc w:val="both"/>
                  </w:pPr>
                  <w:r>
                    <w:rPr>
                      <w:sz w:val="21"/>
                    </w:rPr>
                    <w:t>安全演练中系统被攻破后，未及时编写《网络安全演练事件调查分析报告》或《防守方演练总结报告》</w:t>
                  </w:r>
                </w:p>
              </w:tc>
              <w:tc>
                <w:tcPr>
                  <w:tcW w:type="dxa" w:w="957"/>
                  <w:tcBorders>
                    <w:top w:val="none" w:color="000000" w:sz="4"/>
                    <w:left w:val="none" w:color="000000" w:sz="4"/>
                    <w:bottom w:val="single" w:color="000000" w:sz="4"/>
                    <w:right w:val="single" w:color="000000" w:sz="4"/>
                  </w:tcBorders>
                </w:tcPr>
                <w:p>
                  <w:pPr>
                    <w:jc w:val="both"/>
                  </w:pPr>
                  <w:r>
                    <w:rPr>
                      <w:sz w:val="21"/>
                    </w:rPr>
                    <w:t>扣</w:t>
                  </w:r>
                  <w:r>
                    <w:rPr>
                      <w:sz w:val="21"/>
                    </w:rPr>
                    <w:t>10</w:t>
                  </w:r>
                  <w:r>
                    <w:rPr>
                      <w:sz w:val="21"/>
                    </w:rPr>
                    <w:t>分</w:t>
                  </w:r>
                  <w:r>
                    <w:rPr>
                      <w:sz w:val="21"/>
                    </w:rPr>
                    <w:t>/</w:t>
                  </w:r>
                  <w:r>
                    <w:rPr>
                      <w:sz w:val="21"/>
                    </w:rPr>
                    <w:t>次</w:t>
                  </w:r>
                </w:p>
              </w:tc>
              <w:tc>
                <w:tcPr>
                  <w:tcW w:type="dxa" w:w="1288"/>
                  <w:tcBorders>
                    <w:top w:val="none" w:color="000000" w:sz="4"/>
                    <w:left w:val="none" w:color="000000" w:sz="4"/>
                    <w:bottom w:val="single" w:color="000000" w:sz="4"/>
                    <w:right w:val="single" w:color="000000" w:sz="4"/>
                  </w:tcBorders>
                </w:tcPr>
                <w:p>
                  <w:pPr>
                    <w:jc w:val="both"/>
                  </w:pPr>
                  <w:r>
                    <w:rPr>
                      <w:sz w:val="21"/>
                    </w:rPr>
                    <w:t>自然资源信息中心认定</w:t>
                  </w:r>
                </w:p>
              </w:tc>
            </w:tr>
            <w:tr>
              <w:tc>
                <w:tcPr>
                  <w:tcW w:type="dxa" w:w="763"/>
                  <w:vMerge/>
                  <w:tcBorders>
                    <w:top w:val="none" w:color="000000" w:sz="4"/>
                    <w:left w:val="single" w:color="000000" w:sz="4"/>
                    <w:bottom w:val="single" w:color="000000" w:sz="4"/>
                    <w:right w:val="single" w:color="000000" w:sz="4"/>
                  </w:tcBorders>
                </w:tcPr>
                <w:p/>
              </w:tc>
              <w:tc>
                <w:tcPr>
                  <w:tcW w:type="dxa" w:w="843"/>
                  <w:tcBorders>
                    <w:top w:val="none" w:color="000000" w:sz="4"/>
                    <w:left w:val="none" w:color="000000" w:sz="4"/>
                    <w:bottom w:val="single" w:color="000000" w:sz="4"/>
                    <w:right w:val="single" w:color="000000" w:sz="4"/>
                  </w:tcBorders>
                </w:tcPr>
                <w:p>
                  <w:pPr>
                    <w:jc w:val="both"/>
                  </w:pPr>
                  <w:r>
                    <w:rPr>
                      <w:sz w:val="21"/>
                    </w:rPr>
                    <w:t>病毒木马防治</w:t>
                  </w:r>
                </w:p>
              </w:tc>
              <w:tc>
                <w:tcPr>
                  <w:tcW w:type="dxa" w:w="1744"/>
                  <w:tcBorders>
                    <w:top w:val="none" w:color="000000" w:sz="4"/>
                    <w:left w:val="none" w:color="000000" w:sz="4"/>
                    <w:bottom w:val="single" w:color="000000" w:sz="4"/>
                    <w:right w:val="single" w:color="000000" w:sz="4"/>
                  </w:tcBorders>
                </w:tcPr>
                <w:p>
                  <w:pPr>
                    <w:jc w:val="both"/>
                  </w:pPr>
                  <w:r>
                    <w:rPr>
                      <w:sz w:val="21"/>
                    </w:rPr>
                    <w:t>未及时查杀木马病毒，造成数据丢失、中病毒或影响系统正常运行的</w:t>
                  </w:r>
                </w:p>
              </w:tc>
              <w:tc>
                <w:tcPr>
                  <w:tcW w:type="dxa" w:w="957"/>
                  <w:tcBorders>
                    <w:top w:val="none" w:color="000000" w:sz="4"/>
                    <w:left w:val="none" w:color="000000" w:sz="4"/>
                    <w:bottom w:val="single" w:color="000000" w:sz="4"/>
                    <w:right w:val="single" w:color="000000" w:sz="4"/>
                  </w:tcBorders>
                </w:tcPr>
                <w:p>
                  <w:pPr>
                    <w:jc w:val="both"/>
                  </w:pPr>
                  <w:r>
                    <w:rPr>
                      <w:sz w:val="21"/>
                    </w:rPr>
                    <w:t>扣</w:t>
                  </w:r>
                  <w:r>
                    <w:rPr>
                      <w:sz w:val="21"/>
                    </w:rPr>
                    <w:t>10</w:t>
                  </w:r>
                  <w:r>
                    <w:rPr>
                      <w:sz w:val="21"/>
                    </w:rPr>
                    <w:t>分</w:t>
                  </w:r>
                  <w:r>
                    <w:rPr>
                      <w:sz w:val="21"/>
                    </w:rPr>
                    <w:t>/</w:t>
                  </w:r>
                  <w:r>
                    <w:rPr>
                      <w:sz w:val="21"/>
                    </w:rPr>
                    <w:t>次</w:t>
                  </w:r>
                </w:p>
              </w:tc>
              <w:tc>
                <w:tcPr>
                  <w:tcW w:type="dxa" w:w="1288"/>
                  <w:tcBorders>
                    <w:top w:val="none" w:color="000000" w:sz="4"/>
                    <w:left w:val="none" w:color="000000" w:sz="4"/>
                    <w:bottom w:val="single" w:color="000000" w:sz="4"/>
                    <w:right w:val="single" w:color="000000" w:sz="4"/>
                  </w:tcBorders>
                </w:tcPr>
                <w:p>
                  <w:pPr>
                    <w:jc w:val="both"/>
                  </w:pPr>
                  <w:r>
                    <w:rPr>
                      <w:sz w:val="21"/>
                    </w:rPr>
                    <w:t>局网信办、上级网信办、政数局、公安局的反馈</w:t>
                  </w:r>
                </w:p>
              </w:tc>
            </w:tr>
            <w:tr>
              <w:tc>
                <w:tcPr>
                  <w:tcW w:type="dxa" w:w="763"/>
                  <w:vMerge/>
                  <w:tcBorders>
                    <w:top w:val="none" w:color="000000" w:sz="4"/>
                    <w:left w:val="single" w:color="000000" w:sz="4"/>
                    <w:bottom w:val="single" w:color="000000" w:sz="4"/>
                    <w:right w:val="single" w:color="000000" w:sz="4"/>
                  </w:tcBorders>
                </w:tcPr>
                <w:p/>
              </w:tc>
              <w:tc>
                <w:tcPr>
                  <w:tcW w:type="dxa" w:w="843"/>
                  <w:tcBorders>
                    <w:top w:val="none" w:color="000000" w:sz="4"/>
                    <w:left w:val="none" w:color="000000" w:sz="4"/>
                    <w:bottom w:val="single" w:color="000000" w:sz="4"/>
                    <w:right w:val="single" w:color="000000" w:sz="4"/>
                  </w:tcBorders>
                </w:tcPr>
                <w:p>
                  <w:pPr>
                    <w:jc w:val="both"/>
                  </w:pPr>
                  <w:r>
                    <w:rPr>
                      <w:sz w:val="21"/>
                    </w:rPr>
                    <w:t>数据备份</w:t>
                  </w:r>
                </w:p>
              </w:tc>
              <w:tc>
                <w:tcPr>
                  <w:tcW w:type="dxa" w:w="1744"/>
                  <w:tcBorders>
                    <w:top w:val="none" w:color="000000" w:sz="4"/>
                    <w:left w:val="none" w:color="000000" w:sz="4"/>
                    <w:bottom w:val="single" w:color="000000" w:sz="4"/>
                    <w:right w:val="single" w:color="000000" w:sz="4"/>
                  </w:tcBorders>
                </w:tcPr>
                <w:p>
                  <w:pPr>
                    <w:jc w:val="both"/>
                  </w:pPr>
                  <w:r>
                    <w:rPr>
                      <w:sz w:val="21"/>
                    </w:rPr>
                    <w:t>数据未按时备份，造成数据丢失的</w:t>
                  </w:r>
                </w:p>
              </w:tc>
              <w:tc>
                <w:tcPr>
                  <w:tcW w:type="dxa" w:w="957"/>
                  <w:tcBorders>
                    <w:top w:val="none" w:color="000000" w:sz="4"/>
                    <w:left w:val="none" w:color="000000" w:sz="4"/>
                    <w:bottom w:val="single" w:color="000000" w:sz="4"/>
                    <w:right w:val="single" w:color="000000" w:sz="4"/>
                  </w:tcBorders>
                </w:tcPr>
                <w:p>
                  <w:pPr>
                    <w:jc w:val="both"/>
                  </w:pPr>
                  <w:r>
                    <w:rPr>
                      <w:sz w:val="21"/>
                    </w:rPr>
                    <w:t>扣</w:t>
                  </w:r>
                  <w:r>
                    <w:rPr>
                      <w:sz w:val="21"/>
                    </w:rPr>
                    <w:t>20</w:t>
                  </w:r>
                  <w:r>
                    <w:rPr>
                      <w:sz w:val="21"/>
                    </w:rPr>
                    <w:t>分</w:t>
                  </w:r>
                  <w:r>
                    <w:rPr>
                      <w:sz w:val="21"/>
                    </w:rPr>
                    <w:t>/</w:t>
                  </w:r>
                  <w:r>
                    <w:rPr>
                      <w:sz w:val="21"/>
                    </w:rPr>
                    <w:t>次</w:t>
                  </w:r>
                </w:p>
              </w:tc>
              <w:tc>
                <w:tcPr>
                  <w:tcW w:type="dxa" w:w="1288"/>
                  <w:tcBorders>
                    <w:top w:val="none" w:color="000000" w:sz="4"/>
                    <w:left w:val="none" w:color="000000" w:sz="4"/>
                    <w:bottom w:val="single" w:color="000000" w:sz="4"/>
                    <w:right w:val="single" w:color="000000" w:sz="4"/>
                  </w:tcBorders>
                </w:tcPr>
                <w:p>
                  <w:pPr>
                    <w:jc w:val="both"/>
                  </w:pPr>
                  <w:r>
                    <w:rPr>
                      <w:sz w:val="21"/>
                    </w:rPr>
                    <w:t>自然资源信息中心认定</w:t>
                  </w:r>
                </w:p>
              </w:tc>
            </w:tr>
            <w:tr>
              <w:tc>
                <w:tcPr>
                  <w:tcW w:type="dxa" w:w="763"/>
                  <w:vMerge w:val="restart"/>
                  <w:tcBorders>
                    <w:top w:val="none" w:color="000000" w:sz="4"/>
                    <w:left w:val="single" w:color="000000" w:sz="4"/>
                    <w:bottom w:val="single" w:color="000000" w:sz="4"/>
                    <w:right w:val="single" w:color="000000" w:sz="4"/>
                  </w:tcBorders>
                </w:tcPr>
                <w:p>
                  <w:pPr>
                    <w:jc w:val="both"/>
                  </w:pPr>
                  <w:r>
                    <w:rPr>
                      <w:sz w:val="21"/>
                    </w:rPr>
                    <w:t>成果提交</w:t>
                  </w:r>
                </w:p>
              </w:tc>
              <w:tc>
                <w:tcPr>
                  <w:tcW w:type="dxa" w:w="843"/>
                  <w:tcBorders>
                    <w:top w:val="none" w:color="000000" w:sz="4"/>
                    <w:left w:val="none" w:color="000000" w:sz="4"/>
                    <w:bottom w:val="single" w:color="000000" w:sz="4"/>
                    <w:right w:val="single" w:color="000000" w:sz="4"/>
                  </w:tcBorders>
                </w:tcPr>
                <w:p>
                  <w:pPr>
                    <w:jc w:val="both"/>
                  </w:pPr>
                  <w:r>
                    <w:rPr>
                      <w:sz w:val="21"/>
                    </w:rPr>
                    <w:t>重要成果</w:t>
                  </w:r>
                </w:p>
              </w:tc>
              <w:tc>
                <w:tcPr>
                  <w:tcW w:type="dxa" w:w="1744"/>
                  <w:tcBorders>
                    <w:top w:val="none" w:color="000000" w:sz="4"/>
                    <w:left w:val="none" w:color="000000" w:sz="4"/>
                    <w:bottom w:val="single" w:color="000000" w:sz="4"/>
                    <w:right w:val="single" w:color="000000" w:sz="4"/>
                  </w:tcBorders>
                </w:tcPr>
                <w:p>
                  <w:pPr>
                    <w:jc w:val="both"/>
                  </w:pPr>
                  <w:r>
                    <w:rPr>
                      <w:sz w:val="21"/>
                    </w:rPr>
                    <w:t>源代码、部署文档、数据库设计等关键成果未按时提交或不符合要求</w:t>
                  </w:r>
                </w:p>
              </w:tc>
              <w:tc>
                <w:tcPr>
                  <w:tcW w:type="dxa" w:w="957"/>
                  <w:tcBorders>
                    <w:top w:val="none" w:color="000000" w:sz="4"/>
                    <w:left w:val="none" w:color="000000" w:sz="4"/>
                    <w:bottom w:val="single" w:color="000000" w:sz="4"/>
                    <w:right w:val="single" w:color="000000" w:sz="4"/>
                  </w:tcBorders>
                </w:tcPr>
                <w:p>
                  <w:pPr>
                    <w:jc w:val="both"/>
                  </w:pPr>
                  <w:r>
                    <w:rPr>
                      <w:sz w:val="21"/>
                    </w:rPr>
                    <w:t>扣</w:t>
                  </w:r>
                  <w:r>
                    <w:rPr>
                      <w:sz w:val="21"/>
                    </w:rPr>
                    <w:t>20</w:t>
                  </w:r>
                  <w:r>
                    <w:rPr>
                      <w:sz w:val="21"/>
                    </w:rPr>
                    <w:t>分</w:t>
                  </w:r>
                  <w:r>
                    <w:rPr>
                      <w:sz w:val="21"/>
                    </w:rPr>
                    <w:t>/</w:t>
                  </w:r>
                  <w:r>
                    <w:rPr>
                      <w:sz w:val="21"/>
                    </w:rPr>
                    <w:t>个</w:t>
                  </w:r>
                </w:p>
              </w:tc>
              <w:tc>
                <w:tcPr>
                  <w:tcW w:type="dxa" w:w="1288"/>
                  <w:tcBorders>
                    <w:top w:val="none" w:color="000000" w:sz="4"/>
                    <w:left w:val="none" w:color="000000" w:sz="4"/>
                    <w:bottom w:val="single" w:color="000000" w:sz="4"/>
                    <w:right w:val="single" w:color="000000" w:sz="4"/>
                  </w:tcBorders>
                </w:tcPr>
                <w:p>
                  <w:pPr>
                    <w:jc w:val="both"/>
                  </w:pPr>
                  <w:r>
                    <w:rPr>
                      <w:sz w:val="21"/>
                    </w:rPr>
                    <w:t>自然资源信息中心认定</w:t>
                  </w:r>
                </w:p>
              </w:tc>
            </w:tr>
            <w:tr>
              <w:tc>
                <w:tcPr>
                  <w:tcW w:type="dxa" w:w="763"/>
                  <w:vMerge/>
                  <w:tcBorders>
                    <w:top w:val="none" w:color="000000" w:sz="4"/>
                    <w:left w:val="single" w:color="000000" w:sz="4"/>
                    <w:bottom w:val="single" w:color="000000" w:sz="4"/>
                    <w:right w:val="single" w:color="000000" w:sz="4"/>
                  </w:tcBorders>
                </w:tcPr>
                <w:p/>
              </w:tc>
              <w:tc>
                <w:tcPr>
                  <w:tcW w:type="dxa" w:w="843"/>
                  <w:tcBorders>
                    <w:top w:val="none" w:color="000000" w:sz="4"/>
                    <w:left w:val="none" w:color="000000" w:sz="4"/>
                    <w:bottom w:val="single" w:color="000000" w:sz="4"/>
                    <w:right w:val="single" w:color="000000" w:sz="4"/>
                  </w:tcBorders>
                </w:tcPr>
                <w:p>
                  <w:pPr>
                    <w:jc w:val="both"/>
                  </w:pPr>
                  <w:r>
                    <w:rPr>
                      <w:sz w:val="21"/>
                    </w:rPr>
                    <w:t>一般成果</w:t>
                  </w:r>
                </w:p>
              </w:tc>
              <w:tc>
                <w:tcPr>
                  <w:tcW w:type="dxa" w:w="1744"/>
                  <w:tcBorders>
                    <w:top w:val="none" w:color="000000" w:sz="4"/>
                    <w:left w:val="none" w:color="000000" w:sz="4"/>
                    <w:bottom w:val="single" w:color="000000" w:sz="4"/>
                    <w:right w:val="single" w:color="000000" w:sz="4"/>
                  </w:tcBorders>
                </w:tcPr>
                <w:p>
                  <w:pPr>
                    <w:jc w:val="both"/>
                  </w:pPr>
                  <w:r>
                    <w:rPr>
                      <w:sz w:val="21"/>
                    </w:rPr>
                    <w:t>未按时提交或成果质量存在较大问题的</w:t>
                  </w:r>
                </w:p>
              </w:tc>
              <w:tc>
                <w:tcPr>
                  <w:tcW w:type="dxa" w:w="957"/>
                  <w:tcBorders>
                    <w:top w:val="none" w:color="000000" w:sz="4"/>
                    <w:left w:val="none" w:color="000000" w:sz="4"/>
                    <w:bottom w:val="single" w:color="000000" w:sz="4"/>
                    <w:right w:val="single" w:color="000000" w:sz="4"/>
                  </w:tcBorders>
                </w:tcPr>
                <w:p>
                  <w:pPr>
                    <w:jc w:val="both"/>
                  </w:pPr>
                  <w:r>
                    <w:rPr>
                      <w:sz w:val="21"/>
                    </w:rPr>
                    <w:t>扣</w:t>
                  </w:r>
                  <w:r>
                    <w:rPr>
                      <w:sz w:val="21"/>
                    </w:rPr>
                    <w:t>5</w:t>
                  </w:r>
                  <w:r>
                    <w:rPr>
                      <w:sz w:val="21"/>
                    </w:rPr>
                    <w:t>分</w:t>
                  </w:r>
                  <w:r>
                    <w:rPr>
                      <w:sz w:val="21"/>
                    </w:rPr>
                    <w:t>/</w:t>
                  </w:r>
                  <w:r>
                    <w:rPr>
                      <w:sz w:val="21"/>
                    </w:rPr>
                    <w:t>个</w:t>
                  </w:r>
                </w:p>
              </w:tc>
              <w:tc>
                <w:tcPr>
                  <w:tcW w:type="dxa" w:w="1288"/>
                  <w:tcBorders>
                    <w:top w:val="none" w:color="000000" w:sz="4"/>
                    <w:left w:val="none" w:color="000000" w:sz="4"/>
                    <w:bottom w:val="single" w:color="000000" w:sz="4"/>
                    <w:right w:val="single" w:color="000000" w:sz="4"/>
                  </w:tcBorders>
                </w:tcPr>
                <w:p>
                  <w:pPr>
                    <w:jc w:val="both"/>
                  </w:pPr>
                  <w:r>
                    <w:rPr>
                      <w:sz w:val="21"/>
                    </w:rPr>
                    <w:t>自然资源信息中心认定</w:t>
                  </w:r>
                </w:p>
              </w:tc>
            </w:tr>
            <w:tr>
              <w:tc>
                <w:tcPr>
                  <w:tcW w:type="dxa" w:w="763"/>
                  <w:vMerge w:val="restart"/>
                  <w:tcBorders>
                    <w:top w:val="none" w:color="000000" w:sz="4"/>
                    <w:left w:val="single" w:color="000000" w:sz="4"/>
                    <w:bottom w:val="single" w:color="000000" w:sz="4"/>
                    <w:right w:val="single" w:color="000000" w:sz="4"/>
                  </w:tcBorders>
                </w:tcPr>
                <w:p>
                  <w:pPr>
                    <w:jc w:val="both"/>
                  </w:pPr>
                  <w:r>
                    <w:rPr>
                      <w:sz w:val="21"/>
                    </w:rPr>
                    <w:t>其他事项</w:t>
                  </w:r>
                </w:p>
              </w:tc>
              <w:tc>
                <w:tcPr>
                  <w:tcW w:type="dxa" w:w="843"/>
                  <w:tcBorders>
                    <w:top w:val="none" w:color="000000" w:sz="4"/>
                    <w:left w:val="none" w:color="000000" w:sz="4"/>
                    <w:bottom w:val="single" w:color="000000" w:sz="4"/>
                    <w:right w:val="single" w:color="000000" w:sz="4"/>
                  </w:tcBorders>
                </w:tcPr>
                <w:p>
                  <w:pPr>
                    <w:jc w:val="both"/>
                  </w:pPr>
                  <w:r>
                    <w:rPr>
                      <w:sz w:val="21"/>
                    </w:rPr>
                    <w:t>主观恶性行为</w:t>
                  </w:r>
                </w:p>
              </w:tc>
              <w:tc>
                <w:tcPr>
                  <w:tcW w:type="dxa" w:w="1744"/>
                  <w:tcBorders>
                    <w:top w:val="none" w:color="000000" w:sz="4"/>
                    <w:left w:val="none" w:color="000000" w:sz="4"/>
                    <w:bottom w:val="single" w:color="000000" w:sz="4"/>
                    <w:right w:val="single" w:color="000000" w:sz="4"/>
                  </w:tcBorders>
                </w:tcPr>
                <w:p>
                  <w:pPr>
                    <w:jc w:val="both"/>
                  </w:pPr>
                  <w:r>
                    <w:rPr>
                      <w:sz w:val="21"/>
                    </w:rPr>
                    <w:t>运维公司或运维人员主观恶意泄露工作秘密、设置</w:t>
                  </w:r>
                  <w:r>
                    <w:rPr>
                      <w:sz w:val="21"/>
                    </w:rPr>
                    <w:t>bug</w:t>
                  </w:r>
                  <w:r>
                    <w:rPr>
                      <w:sz w:val="21"/>
                    </w:rPr>
                    <w:t>，对系统人为设置障碍、滥用运维权限，侵犯系统版权或授权，消极怠工、拒不配合的，影响系统正常使用、本系统业务及相关业务办理的</w:t>
                  </w:r>
                </w:p>
              </w:tc>
              <w:tc>
                <w:tcPr>
                  <w:tcW w:type="dxa" w:w="957"/>
                  <w:tcBorders>
                    <w:top w:val="none" w:color="000000" w:sz="4"/>
                    <w:left w:val="none" w:color="000000" w:sz="4"/>
                    <w:bottom w:val="single" w:color="000000" w:sz="4"/>
                    <w:right w:val="single" w:color="000000" w:sz="4"/>
                  </w:tcBorders>
                </w:tcPr>
                <w:p>
                  <w:pPr>
                    <w:jc w:val="both"/>
                  </w:pPr>
                  <w:r>
                    <w:rPr>
                      <w:sz w:val="21"/>
                    </w:rPr>
                    <w:t>扣</w:t>
                  </w:r>
                  <w:r>
                    <w:rPr>
                      <w:sz w:val="21"/>
                    </w:rPr>
                    <w:t>50</w:t>
                  </w:r>
                  <w:r>
                    <w:rPr>
                      <w:sz w:val="21"/>
                    </w:rPr>
                    <w:t>分</w:t>
                  </w:r>
                  <w:r>
                    <w:rPr>
                      <w:sz w:val="21"/>
                    </w:rPr>
                    <w:t>/</w:t>
                  </w:r>
                  <w:r>
                    <w:rPr>
                      <w:sz w:val="21"/>
                    </w:rPr>
                    <w:t>次</w:t>
                  </w:r>
                </w:p>
              </w:tc>
              <w:tc>
                <w:tcPr>
                  <w:tcW w:type="dxa" w:w="1288"/>
                  <w:tcBorders>
                    <w:top w:val="none" w:color="000000" w:sz="4"/>
                    <w:left w:val="none" w:color="000000" w:sz="4"/>
                    <w:bottom w:val="single" w:color="000000" w:sz="4"/>
                    <w:right w:val="single" w:color="000000" w:sz="4"/>
                  </w:tcBorders>
                </w:tcPr>
                <w:p>
                  <w:pPr>
                    <w:jc w:val="both"/>
                  </w:pPr>
                  <w:r>
                    <w:rPr>
                      <w:sz w:val="21"/>
                    </w:rPr>
                    <w:t>市自然资源局认定</w:t>
                  </w:r>
                </w:p>
              </w:tc>
            </w:tr>
            <w:tr>
              <w:tc>
                <w:tcPr>
                  <w:tcW w:type="dxa" w:w="763"/>
                  <w:vMerge/>
                  <w:tcBorders>
                    <w:top w:val="none" w:color="000000" w:sz="4"/>
                    <w:left w:val="single" w:color="000000" w:sz="4"/>
                    <w:bottom w:val="single" w:color="000000" w:sz="4"/>
                    <w:right w:val="single" w:color="000000" w:sz="4"/>
                  </w:tcBorders>
                </w:tcPr>
                <w:p/>
              </w:tc>
              <w:tc>
                <w:tcPr>
                  <w:tcW w:type="dxa" w:w="843"/>
                  <w:tcBorders>
                    <w:top w:val="none" w:color="000000" w:sz="4"/>
                    <w:left w:val="none" w:color="000000" w:sz="4"/>
                    <w:bottom w:val="single" w:color="000000" w:sz="4"/>
                    <w:right w:val="single" w:color="000000" w:sz="4"/>
                  </w:tcBorders>
                </w:tcPr>
                <w:p>
                  <w:pPr>
                    <w:jc w:val="both"/>
                  </w:pPr>
                  <w:r>
                    <w:rPr>
                      <w:sz w:val="21"/>
                    </w:rPr>
                    <w:t>协调管理</w:t>
                  </w:r>
                </w:p>
              </w:tc>
              <w:tc>
                <w:tcPr>
                  <w:tcW w:type="dxa" w:w="1744"/>
                  <w:tcBorders>
                    <w:top w:val="none" w:color="000000" w:sz="4"/>
                    <w:left w:val="none" w:color="000000" w:sz="4"/>
                    <w:bottom w:val="single" w:color="000000" w:sz="4"/>
                    <w:right w:val="single" w:color="000000" w:sz="4"/>
                  </w:tcBorders>
                </w:tcPr>
                <w:p>
                  <w:r>
                    <w:rPr/>
                    <w:t>若项目由联合体承担，联合体成员间出现推诿扯皮，导致无法及时提供运维服务的；或由于运维公司对外采购问题，导致无法及时提供运维服务的。</w:t>
                  </w:r>
                </w:p>
              </w:tc>
              <w:tc>
                <w:tcPr>
                  <w:tcW w:type="dxa" w:w="957"/>
                  <w:tcBorders>
                    <w:top w:val="none" w:color="000000" w:sz="4"/>
                    <w:left w:val="none" w:color="000000" w:sz="4"/>
                    <w:bottom w:val="single" w:color="000000" w:sz="4"/>
                    <w:right w:val="single" w:color="000000" w:sz="4"/>
                  </w:tcBorders>
                </w:tcPr>
                <w:p>
                  <w:pPr>
                    <w:jc w:val="both"/>
                  </w:pPr>
                  <w:r>
                    <w:rPr>
                      <w:sz w:val="21"/>
                    </w:rPr>
                    <w:t xml:space="preserve">  扣</w:t>
                  </w:r>
                  <w:r>
                    <w:rPr>
                      <w:sz w:val="21"/>
                    </w:rPr>
                    <w:t>10-30</w:t>
                  </w:r>
                  <w:r>
                    <w:rPr>
                      <w:sz w:val="21"/>
                    </w:rPr>
                    <w:t>分</w:t>
                  </w:r>
                  <w:r>
                    <w:rPr>
                      <w:sz w:val="21"/>
                    </w:rPr>
                    <w:t>/</w:t>
                  </w:r>
                  <w:r>
                    <w:rPr>
                      <w:sz w:val="21"/>
                    </w:rPr>
                    <w:t>次</w:t>
                  </w:r>
                </w:p>
              </w:tc>
              <w:tc>
                <w:tcPr>
                  <w:tcW w:type="dxa" w:w="1288"/>
                  <w:tcBorders>
                    <w:top w:val="none" w:color="000000" w:sz="4"/>
                    <w:left w:val="none" w:color="000000" w:sz="4"/>
                    <w:bottom w:val="single" w:color="000000" w:sz="4"/>
                    <w:right w:val="single" w:color="000000" w:sz="4"/>
                  </w:tcBorders>
                </w:tcPr>
                <w:p>
                  <w:pPr>
                    <w:jc w:val="both"/>
                  </w:pPr>
                  <w:r>
                    <w:rPr>
                      <w:sz w:val="21"/>
                    </w:rPr>
                    <w:t>自然资源信息中心及业务部门认定</w:t>
                  </w:r>
                </w:p>
              </w:tc>
            </w:tr>
            <w:tr>
              <w:tc>
                <w:tcPr>
                  <w:tcW w:type="dxa" w:w="763"/>
                  <w:vMerge w:val="restart"/>
                  <w:tcBorders>
                    <w:top w:val="none" w:color="000000" w:sz="4"/>
                    <w:left w:val="single" w:color="000000" w:sz="4"/>
                    <w:bottom w:val="single" w:color="000000" w:sz="4"/>
                    <w:right w:val="single" w:color="000000" w:sz="4"/>
                  </w:tcBorders>
                </w:tcPr>
                <w:p>
                  <w:pPr>
                    <w:jc w:val="both"/>
                  </w:pPr>
                  <w:r>
                    <w:rPr>
                      <w:sz w:val="21"/>
                    </w:rPr>
                    <w:t>加分</w:t>
                  </w:r>
                </w:p>
              </w:tc>
              <w:tc>
                <w:tcPr>
                  <w:tcW w:type="dxa" w:w="843"/>
                  <w:tcBorders>
                    <w:top w:val="none" w:color="000000" w:sz="4"/>
                    <w:left w:val="none" w:color="000000" w:sz="4"/>
                    <w:bottom w:val="single" w:color="000000" w:sz="4"/>
                    <w:right w:val="single" w:color="000000" w:sz="4"/>
                  </w:tcBorders>
                </w:tcPr>
                <w:p>
                  <w:pPr>
                    <w:jc w:val="both"/>
                  </w:pPr>
                  <w:r>
                    <w:rPr>
                      <w:sz w:val="21"/>
                    </w:rPr>
                    <w:t>故障处理</w:t>
                  </w:r>
                </w:p>
              </w:tc>
              <w:tc>
                <w:tcPr>
                  <w:tcW w:type="dxa" w:w="1744"/>
                  <w:tcBorders>
                    <w:top w:val="none" w:color="000000" w:sz="4"/>
                    <w:left w:val="none" w:color="000000" w:sz="4"/>
                    <w:bottom w:val="single" w:color="000000" w:sz="4"/>
                    <w:right w:val="single" w:color="000000" w:sz="4"/>
                  </w:tcBorders>
                  <w:vAlign w:val="top"/>
                </w:tcPr>
                <w:p>
                  <w:pPr>
                    <w:jc w:val="both"/>
                  </w:pPr>
                  <w:r>
                    <w:rPr>
                      <w:sz w:val="21"/>
                    </w:rPr>
                    <w:t>在处理复杂故障过程中，主动增派力量，及时修复故障，且有效控制了故障负面影响的。</w:t>
                  </w:r>
                </w:p>
              </w:tc>
              <w:tc>
                <w:tcPr>
                  <w:tcW w:type="dxa" w:w="957"/>
                  <w:tcBorders>
                    <w:top w:val="none" w:color="000000" w:sz="4"/>
                    <w:left w:val="none" w:color="000000" w:sz="4"/>
                    <w:bottom w:val="single" w:color="000000" w:sz="4"/>
                    <w:right w:val="single" w:color="000000" w:sz="4"/>
                  </w:tcBorders>
                  <w:vAlign w:val="top"/>
                </w:tcPr>
                <w:p>
                  <w:pPr>
                    <w:jc w:val="both"/>
                  </w:pPr>
                  <w:r>
                    <w:rPr>
                      <w:sz w:val="21"/>
                    </w:rPr>
                    <w:t>加</w:t>
                  </w:r>
                  <w:r>
                    <w:rPr>
                      <w:sz w:val="21"/>
                    </w:rPr>
                    <w:t>5-10</w:t>
                  </w:r>
                  <w:r>
                    <w:rPr>
                      <w:sz w:val="21"/>
                    </w:rPr>
                    <w:t>分</w:t>
                  </w:r>
                  <w:r>
                    <w:rPr>
                      <w:sz w:val="21"/>
                    </w:rPr>
                    <w:t>/</w:t>
                  </w:r>
                  <w:r>
                    <w:rPr>
                      <w:sz w:val="21"/>
                    </w:rPr>
                    <w:t>次</w:t>
                  </w:r>
                </w:p>
              </w:tc>
              <w:tc>
                <w:tcPr>
                  <w:tcW w:type="dxa" w:w="1288"/>
                  <w:tcBorders>
                    <w:top w:val="none" w:color="000000" w:sz="4"/>
                    <w:left w:val="none" w:color="000000" w:sz="4"/>
                    <w:bottom w:val="single" w:color="000000" w:sz="4"/>
                    <w:right w:val="single" w:color="000000" w:sz="4"/>
                  </w:tcBorders>
                  <w:vAlign w:val="top"/>
                </w:tcPr>
                <w:p>
                  <w:pPr>
                    <w:jc w:val="both"/>
                  </w:pPr>
                  <w:r>
                    <w:rPr>
                      <w:sz w:val="21"/>
                    </w:rPr>
                    <w:t>自然资源信息中心认定</w:t>
                  </w:r>
                </w:p>
              </w:tc>
            </w:tr>
            <w:tr>
              <w:tc>
                <w:tcPr>
                  <w:tcW w:type="dxa" w:w="763"/>
                  <w:vMerge/>
                  <w:tcBorders>
                    <w:top w:val="none" w:color="000000" w:sz="4"/>
                    <w:left w:val="single" w:color="000000" w:sz="4"/>
                    <w:bottom w:val="single" w:color="000000" w:sz="4"/>
                    <w:right w:val="single" w:color="000000" w:sz="4"/>
                  </w:tcBorders>
                </w:tcPr>
                <w:p/>
              </w:tc>
              <w:tc>
                <w:tcPr>
                  <w:tcW w:type="dxa" w:w="843"/>
                  <w:tcBorders>
                    <w:top w:val="none" w:color="000000" w:sz="4"/>
                    <w:left w:val="none" w:color="000000" w:sz="4"/>
                    <w:bottom w:val="single" w:color="000000" w:sz="4"/>
                    <w:right w:val="single" w:color="000000" w:sz="4"/>
                  </w:tcBorders>
                </w:tcPr>
                <w:p>
                  <w:pPr>
                    <w:jc w:val="both"/>
                  </w:pPr>
                  <w:r>
                    <w:rPr>
                      <w:sz w:val="21"/>
                    </w:rPr>
                    <w:t>支撑有力</w:t>
                  </w:r>
                </w:p>
              </w:tc>
              <w:tc>
                <w:tcPr>
                  <w:tcW w:type="dxa" w:w="1744"/>
                  <w:tcBorders>
                    <w:top w:val="none" w:color="000000" w:sz="4"/>
                    <w:left w:val="none" w:color="000000" w:sz="4"/>
                    <w:bottom w:val="single" w:color="000000" w:sz="4"/>
                    <w:right w:val="single" w:color="000000" w:sz="4"/>
                  </w:tcBorders>
                  <w:vAlign w:val="top"/>
                </w:tcPr>
                <w:p>
                  <w:pPr>
                    <w:jc w:val="both"/>
                  </w:pPr>
                  <w:r>
                    <w:rPr>
                      <w:sz w:val="21"/>
                    </w:rPr>
                    <w:t>根据上级部门下发的专项工作通知开展相应工作，并进行支撑保障，得到业务科室或第三方认可的。</w:t>
                  </w:r>
                </w:p>
              </w:tc>
              <w:tc>
                <w:tcPr>
                  <w:tcW w:type="dxa" w:w="957"/>
                  <w:tcBorders>
                    <w:top w:val="none" w:color="000000" w:sz="4"/>
                    <w:left w:val="none" w:color="000000" w:sz="4"/>
                    <w:bottom w:val="single" w:color="000000" w:sz="4"/>
                    <w:right w:val="single" w:color="000000" w:sz="4"/>
                  </w:tcBorders>
                  <w:vAlign w:val="top"/>
                </w:tcPr>
                <w:p>
                  <w:pPr>
                    <w:jc w:val="both"/>
                  </w:pPr>
                  <w:r>
                    <w:rPr>
                      <w:sz w:val="21"/>
                    </w:rPr>
                    <w:t>加5-</w:t>
                  </w:r>
                  <w:r>
                    <w:rPr>
                      <w:sz w:val="21"/>
                    </w:rPr>
                    <w:t>20</w:t>
                  </w:r>
                  <w:r>
                    <w:rPr>
                      <w:sz w:val="21"/>
                    </w:rPr>
                    <w:t>分</w:t>
                  </w:r>
                  <w:r>
                    <w:rPr>
                      <w:sz w:val="21"/>
                    </w:rPr>
                    <w:t>/</w:t>
                  </w:r>
                  <w:r>
                    <w:rPr>
                      <w:sz w:val="21"/>
                    </w:rPr>
                    <w:t>次</w:t>
                  </w:r>
                </w:p>
              </w:tc>
              <w:tc>
                <w:tcPr>
                  <w:tcW w:type="dxa" w:w="1288"/>
                  <w:tcBorders>
                    <w:top w:val="none" w:color="000000" w:sz="4"/>
                    <w:left w:val="none" w:color="000000" w:sz="4"/>
                    <w:bottom w:val="single" w:color="000000" w:sz="4"/>
                    <w:right w:val="single" w:color="000000" w:sz="4"/>
                  </w:tcBorders>
                  <w:vAlign w:val="top"/>
                </w:tcPr>
                <w:p>
                  <w:pPr>
                    <w:jc w:val="both"/>
                  </w:pPr>
                  <w:r>
                    <w:rPr>
                      <w:sz w:val="21"/>
                    </w:rPr>
                    <w:t>自然资源信息中心认定</w:t>
                  </w:r>
                </w:p>
              </w:tc>
            </w:tr>
            <w:tr>
              <w:tc>
                <w:tcPr>
                  <w:tcW w:type="dxa" w:w="763"/>
                  <w:vMerge/>
                  <w:tcBorders>
                    <w:top w:val="none" w:color="000000" w:sz="4"/>
                    <w:left w:val="single" w:color="000000" w:sz="4"/>
                    <w:bottom w:val="single" w:color="000000" w:sz="4"/>
                    <w:right w:val="single" w:color="000000" w:sz="4"/>
                  </w:tcBorders>
                </w:tcPr>
                <w:p/>
              </w:tc>
              <w:tc>
                <w:tcPr>
                  <w:tcW w:type="dxa" w:w="843"/>
                  <w:tcBorders>
                    <w:top w:val="none" w:color="000000" w:sz="4"/>
                    <w:left w:val="none" w:color="000000" w:sz="4"/>
                    <w:bottom w:val="single" w:color="000000" w:sz="4"/>
                    <w:right w:val="single" w:color="000000" w:sz="4"/>
                  </w:tcBorders>
                </w:tcPr>
                <w:p>
                  <w:pPr>
                    <w:jc w:val="both"/>
                  </w:pPr>
                  <w:r>
                    <w:rPr>
                      <w:sz w:val="21"/>
                    </w:rPr>
                    <w:t>主动作为</w:t>
                  </w:r>
                </w:p>
              </w:tc>
              <w:tc>
                <w:tcPr>
                  <w:tcW w:type="dxa" w:w="1744"/>
                  <w:tcBorders>
                    <w:top w:val="none" w:color="000000" w:sz="4"/>
                    <w:left w:val="none" w:color="000000" w:sz="4"/>
                    <w:bottom w:val="single" w:color="000000" w:sz="4"/>
                    <w:right w:val="single" w:color="000000" w:sz="4"/>
                  </w:tcBorders>
                  <w:vAlign w:val="top"/>
                </w:tcPr>
                <w:p>
                  <w:pPr>
                    <w:jc w:val="both"/>
                  </w:pPr>
                  <w:r>
                    <w:rPr>
                      <w:sz w:val="21"/>
                    </w:rPr>
                    <w:t>提出了有利于故障或工程、技术、管理等方面改进的建设性意见或建议，并得到采纳的。</w:t>
                  </w:r>
                </w:p>
              </w:tc>
              <w:tc>
                <w:tcPr>
                  <w:tcW w:type="dxa" w:w="957"/>
                  <w:tcBorders>
                    <w:top w:val="none" w:color="000000" w:sz="4"/>
                    <w:left w:val="none" w:color="000000" w:sz="4"/>
                    <w:bottom w:val="single" w:color="000000" w:sz="4"/>
                    <w:right w:val="single" w:color="000000" w:sz="4"/>
                  </w:tcBorders>
                  <w:vAlign w:val="top"/>
                </w:tcPr>
                <w:p>
                  <w:pPr>
                    <w:jc w:val="both"/>
                  </w:pPr>
                  <w:r>
                    <w:rPr>
                      <w:sz w:val="21"/>
                    </w:rPr>
                    <w:t>加5-</w:t>
                  </w:r>
                  <w:r>
                    <w:rPr>
                      <w:sz w:val="21"/>
                    </w:rPr>
                    <w:t>20</w:t>
                  </w:r>
                  <w:r>
                    <w:rPr>
                      <w:sz w:val="21"/>
                    </w:rPr>
                    <w:t>分</w:t>
                  </w:r>
                  <w:r>
                    <w:rPr>
                      <w:sz w:val="21"/>
                    </w:rPr>
                    <w:t>/</w:t>
                  </w:r>
                  <w:r>
                    <w:rPr>
                      <w:sz w:val="21"/>
                    </w:rPr>
                    <w:t>次</w:t>
                  </w:r>
                </w:p>
              </w:tc>
              <w:tc>
                <w:tcPr>
                  <w:tcW w:type="dxa" w:w="1288"/>
                  <w:tcBorders>
                    <w:top w:val="none" w:color="000000" w:sz="4"/>
                    <w:left w:val="none" w:color="000000" w:sz="4"/>
                    <w:bottom w:val="single" w:color="000000" w:sz="4"/>
                    <w:right w:val="single" w:color="000000" w:sz="4"/>
                  </w:tcBorders>
                  <w:vAlign w:val="top"/>
                </w:tcPr>
                <w:p>
                  <w:pPr>
                    <w:jc w:val="both"/>
                  </w:pPr>
                  <w:r>
                    <w:rPr>
                      <w:sz w:val="21"/>
                    </w:rPr>
                    <w:t>自然资源信息中心认定</w:t>
                  </w:r>
                </w:p>
              </w:tc>
            </w:tr>
            <w:tr>
              <w:tc>
                <w:tcPr>
                  <w:tcW w:type="dxa" w:w="763"/>
                  <w:vMerge/>
                  <w:tcBorders>
                    <w:top w:val="none" w:color="000000" w:sz="4"/>
                    <w:left w:val="single" w:color="000000" w:sz="4"/>
                    <w:bottom w:val="single" w:color="000000" w:sz="4"/>
                    <w:right w:val="single" w:color="000000" w:sz="4"/>
                  </w:tcBorders>
                </w:tcPr>
                <w:p/>
              </w:tc>
              <w:tc>
                <w:tcPr>
                  <w:tcW w:type="dxa" w:w="843"/>
                  <w:tcBorders>
                    <w:top w:val="none" w:color="000000" w:sz="4"/>
                    <w:left w:val="none" w:color="000000" w:sz="4"/>
                    <w:bottom w:val="single" w:color="000000" w:sz="4"/>
                    <w:right w:val="single" w:color="000000" w:sz="4"/>
                  </w:tcBorders>
                </w:tcPr>
                <w:p>
                  <w:pPr>
                    <w:jc w:val="both"/>
                  </w:pPr>
                  <w:r>
                    <w:rPr>
                      <w:sz w:val="21"/>
                    </w:rPr>
                    <w:t>勇于担当</w:t>
                  </w:r>
                </w:p>
              </w:tc>
              <w:tc>
                <w:tcPr>
                  <w:tcW w:type="dxa" w:w="1744"/>
                  <w:tcBorders>
                    <w:top w:val="none" w:color="000000" w:sz="4"/>
                    <w:left w:val="none" w:color="000000" w:sz="4"/>
                    <w:bottom w:val="single" w:color="000000" w:sz="4"/>
                    <w:right w:val="single" w:color="000000" w:sz="4"/>
                  </w:tcBorders>
                  <w:vAlign w:val="top"/>
                </w:tcPr>
                <w:p>
                  <w:pPr>
                    <w:jc w:val="both"/>
                  </w:pPr>
                  <w:r>
                    <w:rPr>
                      <w:sz w:val="21"/>
                    </w:rPr>
                    <w:t>重大运维保障期工作出色</w:t>
                  </w:r>
                </w:p>
              </w:tc>
              <w:tc>
                <w:tcPr>
                  <w:tcW w:type="dxa" w:w="957"/>
                  <w:tcBorders>
                    <w:top w:val="none" w:color="000000" w:sz="4"/>
                    <w:left w:val="none" w:color="000000" w:sz="4"/>
                    <w:bottom w:val="single" w:color="000000" w:sz="4"/>
                    <w:right w:val="single" w:color="000000" w:sz="4"/>
                  </w:tcBorders>
                  <w:vAlign w:val="top"/>
                </w:tcPr>
                <w:p>
                  <w:pPr>
                    <w:jc w:val="both"/>
                  </w:pPr>
                  <w:r>
                    <w:rPr>
                      <w:sz w:val="21"/>
                    </w:rPr>
                    <w:t>加</w:t>
                  </w:r>
                  <w:r>
                    <w:rPr>
                      <w:sz w:val="21"/>
                    </w:rPr>
                    <w:t>10-20</w:t>
                  </w:r>
                  <w:r>
                    <w:rPr>
                      <w:sz w:val="21"/>
                    </w:rPr>
                    <w:t>分</w:t>
                  </w:r>
                  <w:r>
                    <w:rPr>
                      <w:sz w:val="21"/>
                    </w:rPr>
                    <w:t>/</w:t>
                  </w:r>
                  <w:r>
                    <w:rPr>
                      <w:sz w:val="21"/>
                    </w:rPr>
                    <w:t>次</w:t>
                  </w:r>
                </w:p>
              </w:tc>
              <w:tc>
                <w:tcPr>
                  <w:tcW w:type="dxa" w:w="1288"/>
                  <w:tcBorders>
                    <w:top w:val="none" w:color="000000" w:sz="4"/>
                    <w:left w:val="none" w:color="000000" w:sz="4"/>
                    <w:bottom w:val="single" w:color="000000" w:sz="4"/>
                    <w:right w:val="single" w:color="000000" w:sz="4"/>
                  </w:tcBorders>
                  <w:vAlign w:val="top"/>
                </w:tcPr>
                <w:p>
                  <w:pPr>
                    <w:jc w:val="both"/>
                  </w:pPr>
                  <w:r>
                    <w:rPr>
                      <w:sz w:val="21"/>
                    </w:rPr>
                    <w:t>自然资源信息中心认定</w:t>
                  </w:r>
                </w:p>
              </w:tc>
            </w:tr>
            <w:tr>
              <w:tc>
                <w:tcPr>
                  <w:tcW w:type="dxa" w:w="763"/>
                  <w:vMerge/>
                  <w:tcBorders>
                    <w:top w:val="none" w:color="000000" w:sz="4"/>
                    <w:left w:val="single" w:color="000000" w:sz="4"/>
                    <w:bottom w:val="single" w:color="000000" w:sz="4"/>
                    <w:right w:val="single" w:color="000000" w:sz="4"/>
                  </w:tcBorders>
                </w:tcPr>
                <w:p/>
              </w:tc>
              <w:tc>
                <w:tcPr>
                  <w:tcW w:type="dxa" w:w="843"/>
                  <w:tcBorders>
                    <w:top w:val="none" w:color="000000" w:sz="4"/>
                    <w:left w:val="none" w:color="000000" w:sz="4"/>
                    <w:bottom w:val="single" w:color="000000" w:sz="4"/>
                    <w:right w:val="single" w:color="000000" w:sz="4"/>
                  </w:tcBorders>
                </w:tcPr>
                <w:p>
                  <w:pPr>
                    <w:jc w:val="both"/>
                  </w:pPr>
                  <w:r>
                    <w:rPr>
                      <w:sz w:val="21"/>
                    </w:rPr>
                    <w:t>嘉奖表扬</w:t>
                  </w:r>
                </w:p>
              </w:tc>
              <w:tc>
                <w:tcPr>
                  <w:tcW w:type="dxa" w:w="1744"/>
                  <w:tcBorders>
                    <w:top w:val="none" w:color="000000" w:sz="4"/>
                    <w:left w:val="none" w:color="000000" w:sz="4"/>
                    <w:bottom w:val="single" w:color="000000" w:sz="4"/>
                    <w:right w:val="single" w:color="000000" w:sz="4"/>
                  </w:tcBorders>
                  <w:vAlign w:val="top"/>
                </w:tcPr>
                <w:p>
                  <w:pPr>
                    <w:jc w:val="both"/>
                  </w:pPr>
                  <w:r>
                    <w:rPr>
                      <w:sz w:val="21"/>
                    </w:rPr>
                    <w:t>系统对应的业务工作因信息化保障有力得到上级部门、政数局、网信办、公安等表扬或肯定的</w:t>
                  </w:r>
                </w:p>
              </w:tc>
              <w:tc>
                <w:tcPr>
                  <w:tcW w:type="dxa" w:w="957"/>
                  <w:tcBorders>
                    <w:top w:val="none" w:color="000000" w:sz="4"/>
                    <w:left w:val="none" w:color="000000" w:sz="4"/>
                    <w:bottom w:val="single" w:color="000000" w:sz="4"/>
                    <w:right w:val="single" w:color="000000" w:sz="4"/>
                  </w:tcBorders>
                  <w:vAlign w:val="top"/>
                </w:tcPr>
                <w:p>
                  <w:pPr>
                    <w:jc w:val="both"/>
                  </w:pPr>
                  <w:r>
                    <w:rPr>
                      <w:sz w:val="21"/>
                    </w:rPr>
                    <w:t>加</w:t>
                  </w:r>
                  <w:r>
                    <w:rPr>
                      <w:sz w:val="21"/>
                    </w:rPr>
                    <w:t>20</w:t>
                  </w:r>
                  <w:r>
                    <w:rPr>
                      <w:sz w:val="21"/>
                    </w:rPr>
                    <w:t>分</w:t>
                  </w:r>
                  <w:r>
                    <w:rPr>
                      <w:sz w:val="21"/>
                    </w:rPr>
                    <w:t>/</w:t>
                  </w:r>
                  <w:r>
                    <w:rPr>
                      <w:sz w:val="21"/>
                    </w:rPr>
                    <w:t>次</w:t>
                  </w:r>
                </w:p>
              </w:tc>
              <w:tc>
                <w:tcPr>
                  <w:tcW w:type="dxa" w:w="1288"/>
                  <w:tcBorders>
                    <w:top w:val="none" w:color="000000" w:sz="4"/>
                    <w:left w:val="none" w:color="000000" w:sz="4"/>
                    <w:bottom w:val="single" w:color="000000" w:sz="4"/>
                    <w:right w:val="single" w:color="000000" w:sz="4"/>
                  </w:tcBorders>
                  <w:vAlign w:val="top"/>
                </w:tcPr>
                <w:p>
                  <w:pPr>
                    <w:jc w:val="both"/>
                  </w:pPr>
                  <w:r>
                    <w:rPr>
                      <w:sz w:val="21"/>
                    </w:rPr>
                    <w:t>自然资源信息中心认定</w:t>
                  </w:r>
                </w:p>
              </w:tc>
            </w:tr>
            <w:tr>
              <w:tc>
                <w:tcPr>
                  <w:tcW w:type="dxa" w:w="763"/>
                  <w:vMerge/>
                  <w:tcBorders>
                    <w:top w:val="none" w:color="000000" w:sz="4"/>
                    <w:left w:val="single" w:color="000000" w:sz="4"/>
                    <w:bottom w:val="single" w:color="000000" w:sz="4"/>
                    <w:right w:val="single" w:color="000000" w:sz="4"/>
                  </w:tcBorders>
                </w:tcPr>
                <w:p/>
              </w:tc>
              <w:tc>
                <w:tcPr>
                  <w:tcW w:type="dxa" w:w="843"/>
                  <w:tcBorders>
                    <w:top w:val="none" w:color="000000" w:sz="4"/>
                    <w:left w:val="none" w:color="000000" w:sz="4"/>
                    <w:bottom w:val="single" w:color="000000" w:sz="4"/>
                    <w:right w:val="single" w:color="000000" w:sz="4"/>
                  </w:tcBorders>
                </w:tcPr>
                <w:p>
                  <w:pPr>
                    <w:jc w:val="both"/>
                  </w:pPr>
                  <w:r>
                    <w:rPr>
                      <w:sz w:val="21"/>
                    </w:rPr>
                    <w:t>风险防控扎实</w:t>
                  </w:r>
                </w:p>
              </w:tc>
              <w:tc>
                <w:tcPr>
                  <w:tcW w:type="dxa" w:w="1744"/>
                  <w:tcBorders>
                    <w:top w:val="none" w:color="000000" w:sz="4"/>
                    <w:left w:val="none" w:color="000000" w:sz="4"/>
                    <w:bottom w:val="single" w:color="000000" w:sz="4"/>
                    <w:right w:val="single" w:color="000000" w:sz="4"/>
                  </w:tcBorders>
                  <w:vAlign w:val="top"/>
                </w:tcPr>
                <w:p>
                  <w:pPr>
                    <w:jc w:val="both"/>
                  </w:pPr>
                  <w:r>
                    <w:rPr>
                      <w:sz w:val="21"/>
                    </w:rPr>
                    <w:t>创新工作方法，开展风险评估及时，结果可靠，措施有力，整改到位，成效显著，得到业务部门、人事纪检部门或信息化部门高度认可</w:t>
                  </w:r>
                </w:p>
              </w:tc>
              <w:tc>
                <w:tcPr>
                  <w:tcW w:type="dxa" w:w="957"/>
                  <w:tcBorders>
                    <w:top w:val="none" w:color="000000" w:sz="4"/>
                    <w:left w:val="none" w:color="000000" w:sz="4"/>
                    <w:bottom w:val="single" w:color="000000" w:sz="4"/>
                    <w:right w:val="single" w:color="000000" w:sz="4"/>
                  </w:tcBorders>
                  <w:vAlign w:val="top"/>
                </w:tcPr>
                <w:p>
                  <w:pPr>
                    <w:jc w:val="both"/>
                  </w:pPr>
                  <w:r>
                    <w:rPr>
                      <w:sz w:val="21"/>
                    </w:rPr>
                    <w:t>加</w:t>
                  </w:r>
                  <w:r>
                    <w:rPr>
                      <w:sz w:val="21"/>
                    </w:rPr>
                    <w:t>20</w:t>
                  </w:r>
                  <w:r>
                    <w:rPr>
                      <w:sz w:val="21"/>
                    </w:rPr>
                    <w:t>分</w:t>
                  </w:r>
                  <w:r>
                    <w:rPr>
                      <w:sz w:val="21"/>
                    </w:rPr>
                    <w:t>/</w:t>
                  </w:r>
                  <w:r>
                    <w:rPr>
                      <w:sz w:val="21"/>
                    </w:rPr>
                    <w:t>次</w:t>
                  </w:r>
                </w:p>
              </w:tc>
              <w:tc>
                <w:tcPr>
                  <w:tcW w:type="dxa" w:w="1288"/>
                  <w:tcBorders>
                    <w:top w:val="none" w:color="000000" w:sz="4"/>
                    <w:left w:val="none" w:color="000000" w:sz="4"/>
                    <w:bottom w:val="single" w:color="000000" w:sz="4"/>
                    <w:right w:val="single" w:color="000000" w:sz="4"/>
                  </w:tcBorders>
                  <w:vAlign w:val="top"/>
                </w:tcPr>
                <w:p>
                  <w:pPr>
                    <w:jc w:val="both"/>
                  </w:pPr>
                  <w:r>
                    <w:rPr>
                      <w:sz w:val="21"/>
                    </w:rPr>
                    <w:t>相关部门</w:t>
                  </w:r>
                </w:p>
              </w:tc>
            </w:tr>
          </w:tbl>
        </w:tc>
      </w:tr>
      <w:tr>
        <w:tc>
          <w:tcPr>
            <w:tcW w:type="dxa" w:w="2076"/>
          </w:tcPr>
          <w:p/>
        </w:tc>
        <w:tc>
          <w:tcPr>
            <w:tcW w:type="dxa" w:w="415"/>
          </w:tcPr>
          <w:p>
            <w:r>
              <w:rPr/>
              <w:t>7</w:t>
            </w:r>
          </w:p>
        </w:tc>
        <w:tc>
          <w:tcPr>
            <w:tcW w:type="dxa" w:w="5814"/>
          </w:tcPr>
          <w:p>
            <w:pPr>
              <w:jc w:val="both"/>
            </w:pPr>
            <w:r>
              <w:rPr>
                <w:b/>
                <w:sz w:val="21"/>
              </w:rPr>
              <w:t>7.</w:t>
            </w:r>
            <w:r>
              <w:rPr>
                <w:b/>
                <w:sz w:val="21"/>
              </w:rPr>
              <w:t>运维绩效指标</w:t>
            </w:r>
          </w:p>
          <w:p>
            <w:pPr>
              <w:jc w:val="both"/>
            </w:pPr>
            <w:r>
              <w:rPr>
                <w:sz w:val="21"/>
              </w:rPr>
              <w:t>运维绩效是衡量运维工作成效的重要标准之一，中山市自然资源局将依据以下标准，根据运维成果开展运维绩效分析，并根据分析结果的反馈落实改进措施。</w:t>
            </w:r>
          </w:p>
          <w:p>
            <w:pPr>
              <w:jc w:val="both"/>
            </w:pPr>
            <w:r>
              <w:rPr>
                <w:b/>
                <w:sz w:val="21"/>
              </w:rPr>
              <w:t>故障率</w:t>
            </w:r>
          </w:p>
          <w:p>
            <w:pPr>
              <w:jc w:val="both"/>
            </w:pPr>
            <w:r>
              <w:rPr>
                <w:sz w:val="21"/>
              </w:rPr>
              <w:t>故障率是衡量系统可靠性和运维工作质量的重要指标，高故障率可能意味着运维单位对维护系统和及时处理问题的能力有限。</w:t>
            </w:r>
          </w:p>
          <w:p>
            <w:pPr>
              <w:jc w:val="both"/>
            </w:pPr>
            <w:r>
              <w:rPr>
                <w:b/>
                <w:sz w:val="21"/>
              </w:rPr>
              <w:t>处理时间</w:t>
            </w:r>
          </w:p>
          <w:p>
            <w:pPr>
              <w:jc w:val="both"/>
            </w:pPr>
            <w:r>
              <w:rPr>
                <w:sz w:val="21"/>
              </w:rPr>
              <w:t>故障处理时间是处理故障并恢复系统正常运行所花费的时间。较短的响应时间和处理时间表明运维单位能够迅速识别、反应和解决问题。</w:t>
            </w:r>
          </w:p>
          <w:p>
            <w:pPr>
              <w:jc w:val="both"/>
            </w:pPr>
            <w:r>
              <w:rPr>
                <w:b/>
                <w:sz w:val="21"/>
              </w:rPr>
              <w:t>可用性</w:t>
            </w:r>
          </w:p>
          <w:p>
            <w:pPr>
              <w:jc w:val="both"/>
            </w:pPr>
            <w:r>
              <w:rPr>
                <w:sz w:val="21"/>
              </w:rPr>
              <w:t>系统可用性是衡量系统稳定性和可靠性的指标，表示系统正常运行时间与总运行时间之比。高可用性表明系统运维单位对系统及时维护、调优和问题解决能力的高效性能。</w:t>
            </w:r>
          </w:p>
          <w:p>
            <w:pPr>
              <w:jc w:val="both"/>
            </w:pPr>
            <w:r>
              <w:rPr>
                <w:b/>
                <w:sz w:val="21"/>
              </w:rPr>
              <w:t>安全性</w:t>
            </w:r>
          </w:p>
          <w:p>
            <w:pPr>
              <w:jc w:val="both"/>
            </w:pPr>
            <w:r>
              <w:rPr>
                <w:sz w:val="21"/>
              </w:rPr>
              <w:t>安全性是衡量系统防御能力和信息安全的重要指标。运维单位需要采取有效的措施确保系统和数据的保密性、完整性和可用性，以及防止安全漏洞和攻击。安全性指标包括漏洞数量、漏洞修复率、攻击发现率等。</w:t>
            </w:r>
          </w:p>
          <w:p>
            <w:pPr>
              <w:jc w:val="both"/>
            </w:pPr>
            <w:r>
              <w:rPr>
                <w:b/>
                <w:sz w:val="21"/>
              </w:rPr>
              <w:t>用户满意度</w:t>
            </w:r>
          </w:p>
          <w:p>
            <w:r>
              <w:rPr>
                <w:sz w:val="21"/>
              </w:rPr>
              <w:t>用户满意度是衡量系统使用体验和服务质量的指标。运维单位需要保证系统能够满足用户需求，以及提供及时、高效的技术支持服务，提高用户满意度。</w:t>
            </w:r>
          </w:p>
        </w:tc>
      </w:tr>
      <w:tr>
        <w:tc>
          <w:tcPr>
            <w:tcW w:type="dxa" w:w="2076"/>
          </w:tcPr>
          <w:p/>
        </w:tc>
        <w:tc>
          <w:tcPr>
            <w:tcW w:type="dxa" w:w="415"/>
          </w:tcPr>
          <w:p>
            <w:r>
              <w:rPr/>
              <w:t>8</w:t>
            </w:r>
          </w:p>
        </w:tc>
        <w:tc>
          <w:tcPr>
            <w:tcW w:type="dxa" w:w="5814"/>
          </w:tcPr>
          <w:p>
            <w:pPr>
              <w:jc w:val="both"/>
            </w:pPr>
            <w:r>
              <w:rPr>
                <w:b/>
                <w:sz w:val="21"/>
              </w:rPr>
              <w:t>8.</w:t>
            </w:r>
            <w:r>
              <w:rPr>
                <w:b/>
                <w:sz w:val="21"/>
              </w:rPr>
              <w:t>安全生产要求</w:t>
            </w:r>
          </w:p>
          <w:p>
            <w:pPr>
              <w:jc w:val="both"/>
            </w:pPr>
            <w:r>
              <w:rPr>
                <w:sz w:val="21"/>
              </w:rPr>
              <w:t>运维单位是外包业务安全生产管理主体，对所承包业务安全生产管理工作负全责。运维单位负责日常安全生产管理，中山市自然资源局只负责对运维单位进行考核和必要的监督检查。按“谁聘用、谁负责”原则，运维单位负责从业人员安全教育培训工作。若运维业务发生生产安全事故，事故处理及赔偿由运维单位负责，中山市自然资源局予以必要协助。运维业务所涉及的驻点场地租赁费用、水电费和安全生产费用由运维单位负责，本项目费用已含从业人员安全教育培训、劳动防护用品费用等。</w:t>
            </w:r>
          </w:p>
          <w:p>
            <w:r>
              <w:rPr>
                <w:sz w:val="21"/>
              </w:rPr>
              <w:t>运维单位驻场和来访人员进出办公场所应遵守相关制度，服从有关行为规范的管理。驻场负责人休假或离开驻场地点一天以上应经中山市自然资源局运维项目管理部门书面审批同意，一般运维人员休假应提前报项目管理部门备案。根据市自然资源局的要求制作并佩戴工牌出入驻点办公场所。</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r>
        <w:rPr/>
        <w:t>采购包2（中山市自然资源综合业务平台及自然资源决策支持平台维护）</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2023年11月6日至2024年6月30日。</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25%,完成合同签订及必要的运维准备工作，在中山市财政局安排落实项目进度对应经费后，中山市自然资源局收到运维单位完税发票之日起30个工作日内，中山市自然资源局向运维单位支付合同总额的25%；</w:t>
            </w:r>
          </w:p>
          <w:p/>
          <w:p>
            <w:r>
              <w:rPr/>
              <w:t>2期：支付比例50%,2024年4月底之前，在中山市财政局安排落实项目进度对应经费后，中山市自然资源局收到运维单位完税发票之日起30个工作日内，且对处于运维服务期系统的运维服务季度（2023年11月至2024年3月）考核合格，中山市自然资源局向运维单位支付合同总金额的50％；</w:t>
            </w:r>
          </w:p>
          <w:p/>
          <w:p>
            <w:r>
              <w:rPr/>
              <w:t>3期：支付比例25%,项目运维服务期满且全部成果提交后，在中山市财政局安排落实项目进度对应经费后，且项目整个服务期（2023年11月6日-2024年6月30日）考核合格，中山市自然资源局收到运维单位完税发票之日起30个工作日内，中山市自然资源局向运维单位支付合同总金额的25％。</w:t>
            </w:r>
          </w:p>
        </w:tc>
      </w:tr>
      <w:tr>
        <w:tc>
          <w:tcPr>
            <w:tcW w:type="dxa" w:w="4153"/>
          </w:tcPr>
          <w:p>
            <w:r>
              <w:rPr/>
              <w:t>验收要求</w:t>
            </w:r>
          </w:p>
        </w:tc>
        <w:tc>
          <w:tcPr>
            <w:tcW w:type="dxa" w:w="4153"/>
          </w:tcPr>
          <w:p/>
          <w:p/>
          <w:p/>
          <w:p>
            <w:r>
              <w:rPr/>
              <w:t>1期：项目验收是核查项目计划规定范围内各项工作或活动是否已经全部完成，可交付成果是否达到交付质量标准，并将核查结果记录在验收文件中的一系列活动。应当采取有效措施，切实做好项目的验收工作。 （1）验收范围为本项目涉及的运维内容； （2）验收应在运维单位和中山市自然资源局的共同参与下进行，按照项目成果要求进行验收； （4）过渡支持期：运维单位需从项目运维期满之日起，在新运维单位到位前继续提供不少于两个月的系统基础运维支持服务，同时提供与新运维单位的交接工作服务，期限不少于两个月。（费用已包含在报价中）     验收以项目合同、国家相应的标准、规范等为依据，系统维护期满后由中山市自然资源局负责组织验收；通过验收的填写项目验收报告单，并交接全部项目资料。 （一）文档验收标准 文档交付物的验收必须满足以下标准： （1）内容：确保实现交付物的业务目标。 （2）布局和格式：确保文档的风格一致，便于阅读和易于管理。 （3）语言：确保清晰的传达各项内容。 审查人员将被要求对交付物进行签收，以确保所有的审查人员都理解和同意交付物中的每项内容。 （二）软件验收标准 软件的验收必须满足以下标准： （1）确保其功能满足用户需求。 （2）确保它们是采用如下方式进行建设的。 它们都遵循开发标准，并且是按照标准进行程序设计的。 可以方便地进行持续的维护。 （3）确保其文档符合相应的文档标准。 （4）确保这些软件组件均根据它们在系统中的类型和功能通过相应的测试。 （5）确保它们满足技术设计文档中提出的要求。 （三）验收流程 验收工作将按照以下步骤进行： 成交供应商按照项目成果要求进行系统交付工作，并按照合同要求提供项目相关文档。 成交供应商向采购人提出验收申请与相关材料，采购人认可后组织验收。 采购人对成交供应商提交的所有材料进行审查，确保项目提交成果真实和完整。 对项目成果不符合要求的部分，成交供应商应在采购人规定时间内及时整改完善直至验收合格。 采购人根据项目成果审查结果和系统维护考核评分出具正式验收报告。</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关于付款方式的补充说明，1、以上2、3期付款中若当期运维考核不合格，中山市自然资源局有权根据考核结果扣减当期付款金额，扣减比例根据当期运维工作完成情况决定，最低扣减额为当期应付款金额的30%。每期扣减金额将从合同总金额中累计扣减，中山市自然资源局将不再支付给运维单位。2、因本项目使用的是市财政资金，前款规定的付款时间为中山市自然资源局向政府采购支付部门办理财政支付手续的时间（不含政府财政支付部门审核的时间），在规定的时间内提交支付申请即视为中山市自然资源局已经按期支付。3、中山市自然资源局按照付款约定支付给运维单位的所有合同款只能用于本项目，运维单位不得转移用于其他用途。运维单位不得拖欠本项目运维人员（包括驻点和非驻点人员）工资。如发现有违反上述约定的，中山市自然资源局有权延迟或减少当期合同款支付。</w:t>
            </w:r>
          </w:p>
        </w:tc>
      </w:tr>
    </w:tbl>
    <w:p>
      <w:r>
        <w:rPr>
          <w:b/>
        </w:rPr>
        <w:t>2.技术标准与要求</w:t>
      </w:r>
    </w:p>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软件运维服务</w:t>
            </w:r>
          </w:p>
        </w:tc>
        <w:tc>
          <w:tcPr>
            <w:tcW w:type="dxa" w:w="933"/>
          </w:tcPr>
          <w:p>
            <w:pPr>
              <w:jc w:val="left"/>
            </w:pPr>
            <w:r>
              <w:rPr/>
              <w:t>中山市自然资源综合业务平台及自然资源决策支持平台维护</w:t>
            </w:r>
          </w:p>
        </w:tc>
        <w:tc>
          <w:tcPr>
            <w:tcW w:type="dxa" w:w="933"/>
          </w:tcPr>
          <w:p>
            <w:pPr>
              <w:jc w:val="left"/>
            </w:pPr>
            <w:r>
              <w:rPr/>
              <w:t>宗</w:t>
            </w:r>
          </w:p>
        </w:tc>
        <w:tc>
          <w:tcPr>
            <w:tcW w:type="dxa" w:w="933"/>
          </w:tcPr>
          <w:p>
            <w:pPr>
              <w:jc w:val="right"/>
            </w:pPr>
            <w:r>
              <w:rPr/>
              <w:t>1.00</w:t>
            </w:r>
          </w:p>
        </w:tc>
        <w:tc>
          <w:tcPr>
            <w:tcW w:type="dxa" w:w="933"/>
          </w:tcPr>
          <w:p>
            <w:pPr>
              <w:jc w:val="right"/>
            </w:pPr>
            <w:r>
              <w:rPr/>
              <w:t>549,300.00</w:t>
            </w:r>
          </w:p>
        </w:tc>
        <w:tc>
          <w:tcPr>
            <w:tcW w:type="dxa" w:w="933"/>
          </w:tcPr>
          <w:p>
            <w:pPr>
              <w:jc w:val="right"/>
            </w:pPr>
            <w:r>
              <w:rPr/>
              <w:t>549,300.00</w:t>
            </w:r>
          </w:p>
        </w:tc>
        <w:tc>
          <w:tcPr>
            <w:tcW w:type="dxa" w:w="840"/>
          </w:tcPr>
          <w:p>
            <w:r>
              <w:rPr/>
              <w:t>软件和信息技术服务业</w:t>
            </w:r>
          </w:p>
        </w:tc>
        <w:tc>
          <w:tcPr>
            <w:tcW w:type="dxa" w:w="933"/>
          </w:tcPr>
          <w:p>
            <w:r>
              <w:rPr/>
              <w:t>详见附表一</w:t>
            </w:r>
          </w:p>
        </w:tc>
      </w:tr>
    </w:tbl>
    <w:p/>
    <w:p>
      <w:r>
        <w:rPr>
          <w:b/>
        </w:rPr>
        <w:t>附表</w:t>
      </w:r>
      <w:r>
        <w:rPr>
          <w:b/>
        </w:rPr>
        <w:t>一</w:t>
      </w:r>
      <w:r>
        <w:rPr>
          <w:b/>
        </w:rPr>
        <w:t>：</w:t>
      </w:r>
      <w:r>
        <w:rPr>
          <w:b/>
        </w:rPr>
        <w:t>中山市自然资源综合业务平台及自然资源决策支持平台维护</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b/>
                <w:sz w:val="21"/>
              </w:rPr>
              <w:t>1.</w:t>
            </w:r>
            <w:r>
              <w:rPr>
                <w:b/>
                <w:sz w:val="21"/>
              </w:rPr>
              <w:t>概述</w:t>
            </w:r>
          </w:p>
          <w:p>
            <w:pPr>
              <w:jc w:val="both"/>
            </w:pPr>
            <w:r>
              <w:rPr>
                <w:b/>
                <w:sz w:val="21"/>
              </w:rPr>
              <w:t>1.1.</w:t>
            </w:r>
            <w:r>
              <w:rPr>
                <w:b/>
                <w:sz w:val="21"/>
              </w:rPr>
              <w:t>项目目标</w:t>
            </w:r>
          </w:p>
          <w:p>
            <w:pPr>
              <w:jc w:val="both"/>
            </w:pPr>
            <w:r>
              <w:rPr>
                <w:sz w:val="21"/>
              </w:rPr>
              <w:t>保障项目范围内所有信息系统在维护期限内整体、稳定、协同、持续、高效地运行，全面及时掌握平台建设和运行情况，根据自然资源服务提升需求进行系统配置和功能调整，主要实现以下目标：</w:t>
            </w:r>
          </w:p>
          <w:p>
            <w:pPr>
              <w:jc w:val="both"/>
            </w:pPr>
            <w:r>
              <w:rPr>
                <w:b/>
                <w:sz w:val="21"/>
              </w:rPr>
              <w:t>1）保障系统基础运行支撑服务，保障平台安全稳定运行</w:t>
            </w:r>
          </w:p>
          <w:p>
            <w:pPr>
              <w:jc w:val="both"/>
            </w:pPr>
            <w:r>
              <w:rPr>
                <w:sz w:val="21"/>
              </w:rPr>
              <w:t>通过强化中山市自然资源综合业务平台、中山市自然资源决策支持平台等系统运维，提高安全保障能力及数据服务支撑能力，为自然资源管理与服务提供坚强保障，落实系统软件日常运维服务及技术支持等工作，保障项目范围内系统平台在维护期限内的稳定、高效、安全运行。</w:t>
            </w:r>
          </w:p>
          <w:p>
            <w:pPr>
              <w:jc w:val="both"/>
            </w:pPr>
            <w:r>
              <w:rPr>
                <w:b/>
                <w:sz w:val="21"/>
              </w:rPr>
              <w:t>2）加强网络与信息安全运维保障服务</w:t>
            </w:r>
          </w:p>
          <w:p>
            <w:pPr>
              <w:jc w:val="both"/>
            </w:pPr>
            <w:r>
              <w:rPr>
                <w:sz w:val="21"/>
              </w:rPr>
              <w:t>为深度融入数字政府网络安全体系，以“实战化，体系化，常态化”为新理念，以“动态防御，主动防御，纵深防御，精准防护，整体防护，联防联控”为新举措，整体上利用数字政府公共安全服务组件对中山市自然资源数据和应用进行护航。提供数据加密、数据脱敏、数据备份等数据安全管理手段，提供漏洞扫描、系统安全配置、病毒检测、主机系统渗透测试、软件测试、故障排查、日志检查、账号维护等软件、系统安全防护措施，制定安全应急预案、网络攻防演练等安全防护手段，对平台系统安全的状态进行实时监控评估，全方位提升网络安全、数据安全、系统安全、软件安全防护能力，推进自然资源网络安全治理能力现代化。最大程度地解决平台所面临的应用安全问题，从根本上提升安全防护能力。</w:t>
            </w:r>
          </w:p>
          <w:p>
            <w:pPr>
              <w:jc w:val="both"/>
            </w:pPr>
            <w:r>
              <w:rPr>
                <w:b/>
                <w:sz w:val="21"/>
              </w:rPr>
              <w:t>1.2.</w:t>
            </w:r>
            <w:r>
              <w:rPr>
                <w:b/>
                <w:sz w:val="21"/>
              </w:rPr>
              <w:t>主要服务内容</w:t>
            </w:r>
          </w:p>
          <w:p>
            <w:r>
              <w:rPr>
                <w:sz w:val="21"/>
              </w:rPr>
              <w:t>中山市自然资源综合业务平台及自然资源决策支持平台服务内容包括系统运维服务及网络与信息安全运维服务，包括纳入本项目范围的中山市自然资源综合业务平台及自然资源决策支持平台等信息化系统的系统运维服务。</w:t>
            </w:r>
          </w:p>
        </w:tc>
      </w:tr>
      <w:tr>
        <w:tc>
          <w:tcPr>
            <w:tcW w:type="dxa" w:w="2076"/>
          </w:tcPr>
          <w:p/>
        </w:tc>
        <w:tc>
          <w:tcPr>
            <w:tcW w:type="dxa" w:w="415"/>
          </w:tcPr>
          <w:p>
            <w:r>
              <w:rPr/>
              <w:t>2</w:t>
            </w:r>
          </w:p>
        </w:tc>
        <w:tc>
          <w:tcPr>
            <w:tcW w:type="dxa" w:w="5814"/>
          </w:tcPr>
          <w:p>
            <w:pPr>
              <w:jc w:val="both"/>
            </w:pPr>
            <w:r>
              <w:rPr>
                <w:b/>
                <w:sz w:val="21"/>
              </w:rPr>
              <w:t>2.</w:t>
            </w:r>
            <w:r>
              <w:rPr>
                <w:b/>
                <w:sz w:val="21"/>
              </w:rPr>
              <w:t>项目总体要求</w:t>
            </w:r>
          </w:p>
          <w:p>
            <w:pPr>
              <w:jc w:val="both"/>
            </w:pPr>
            <w:r>
              <w:rPr>
                <w:b/>
                <w:sz w:val="21"/>
              </w:rPr>
              <w:t>2.1.</w:t>
            </w:r>
            <w:r>
              <w:rPr>
                <w:b/>
                <w:sz w:val="21"/>
              </w:rPr>
              <w:t>服务方式</w:t>
            </w:r>
          </w:p>
          <w:p>
            <w:pPr>
              <w:jc w:val="both"/>
            </w:pPr>
            <w:r>
              <w:rPr>
                <w:sz w:val="21"/>
              </w:rPr>
              <w:t xml:space="preserve">1)     </w:t>
            </w:r>
            <w:r>
              <w:rPr>
                <w:sz w:val="21"/>
              </w:rPr>
              <w:t>驻场服务</w:t>
            </w:r>
          </w:p>
          <w:p>
            <w:pPr>
              <w:jc w:val="both"/>
            </w:pPr>
            <w:r>
              <w:rPr>
                <w:sz w:val="21"/>
              </w:rPr>
              <w:t>按照各信息系统实际运维需求为系统用户、局信息化部门、业务科室提供驻场服务，包括技术支持、日常运维、故障处理、系统巡检、性能优化、纠错性修改、安全加固、部分功能点优化升级及调整完善、数据整理与勘误、系统监控、数据资源维护、接口调试及其他相关服务。</w:t>
            </w:r>
          </w:p>
          <w:p>
            <w:pPr>
              <w:jc w:val="both"/>
            </w:pPr>
            <w:r>
              <w:rPr>
                <w:sz w:val="21"/>
              </w:rPr>
              <w:t xml:space="preserve">2)     </w:t>
            </w:r>
            <w:r>
              <w:rPr>
                <w:sz w:val="21"/>
              </w:rPr>
              <w:t>远程支持</w:t>
            </w:r>
          </w:p>
          <w:p>
            <w:pPr>
              <w:jc w:val="both"/>
            </w:pPr>
            <w:r>
              <w:rPr>
                <w:sz w:val="21"/>
              </w:rPr>
              <w:t>按照各信息系统运维需求为系统用户、局信息化部门、业务科室通过电话、远程协助等方式，提供问题咨询、故障定位、故障排除及其他相关服务。</w:t>
            </w:r>
          </w:p>
          <w:p>
            <w:pPr>
              <w:jc w:val="both"/>
            </w:pPr>
            <w:r>
              <w:rPr>
                <w:sz w:val="21"/>
              </w:rPr>
              <w:t xml:space="preserve">3)     </w:t>
            </w:r>
            <w:r>
              <w:rPr>
                <w:sz w:val="21"/>
              </w:rPr>
              <w:t>紧急现场服务</w:t>
            </w:r>
          </w:p>
          <w:p>
            <w:pPr>
              <w:jc w:val="both"/>
            </w:pPr>
            <w:r>
              <w:rPr>
                <w:sz w:val="21"/>
              </w:rPr>
              <w:t>在服务期内系统出现重大故障或需现场解决的重大运维需求时，增派具有快速解决问题能力的高层次技术专家，在紧急现场服务需求提出后</w:t>
            </w:r>
            <w:r>
              <w:rPr>
                <w:sz w:val="21"/>
              </w:rPr>
              <w:t>24</w:t>
            </w:r>
            <w:r>
              <w:rPr>
                <w:sz w:val="21"/>
              </w:rPr>
              <w:t>小时内，到达中山市自然资源局开展紧急现场服务，直至故障修复、问题完全解决。</w:t>
            </w:r>
          </w:p>
          <w:p>
            <w:pPr>
              <w:jc w:val="both"/>
            </w:pPr>
          </w:p>
          <w:p>
            <w:pPr>
              <w:jc w:val="both"/>
            </w:pPr>
            <w:r>
              <w:rPr>
                <w:b/>
                <w:sz w:val="21"/>
              </w:rPr>
              <w:t>2.2.</w:t>
            </w:r>
            <w:r>
              <w:rPr>
                <w:b/>
                <w:sz w:val="21"/>
              </w:rPr>
              <w:t>人员要求</w:t>
            </w:r>
          </w:p>
          <w:p>
            <w:pPr>
              <w:jc w:val="both"/>
            </w:pPr>
            <w:r>
              <w:rPr>
                <w:sz w:val="21"/>
              </w:rPr>
              <w:t>运维单位应根据运维需要安排足够数量的维护人员，包括驻场人员和二线支持人员。</w:t>
            </w:r>
          </w:p>
          <w:p>
            <w:pPr>
              <w:jc w:val="both"/>
            </w:pPr>
            <w:r>
              <w:rPr>
                <w:sz w:val="21"/>
              </w:rPr>
              <w:t>★建立相对独立的管理技术团队，并指定一名高管作为网络安全负责人。</w:t>
            </w:r>
          </w:p>
          <w:p>
            <w:pPr>
              <w:jc w:val="both"/>
            </w:pPr>
            <w:r>
              <w:rPr>
                <w:sz w:val="21"/>
              </w:rPr>
              <w:t>运维单位要明确组织结构、岗位设置和岗位职责和人员安排的方案，项目实施前提交中山市自然资源局备案。驻场人员应长期驻场，遵守市自然资源局有关工作纪律要求。除法律法规规定的假期或事假外，应在中山市自然资源局上班。驻场负责人休假需经管理部门书面审批同意，其他人员休假应提前报备。非特殊情况，全年事假不得每人不得超过</w:t>
            </w:r>
            <w:r>
              <w:rPr>
                <w:sz w:val="21"/>
              </w:rPr>
              <w:t>15</w:t>
            </w:r>
            <w:r>
              <w:rPr>
                <w:sz w:val="21"/>
              </w:rPr>
              <w:t>天，否则视作旷工。休假应合理安排，不得影响正常运维工作。</w:t>
            </w:r>
          </w:p>
          <w:p>
            <w:pPr>
              <w:jc w:val="both"/>
            </w:pPr>
            <w:r>
              <w:rPr>
                <w:sz w:val="21"/>
              </w:rPr>
              <w:t>当驻场人员不足或发生紧急故障等时，应立即协调二线人员介入支持。运维单位须保证维护实施人员充足、队伍稳定。全部维护人员（括驻场人员和二线支持人员）的相关专业、资格证书复印和扫描件需在核查原件后交中山市自然资源局备案。</w:t>
            </w:r>
          </w:p>
          <w:p>
            <w:pPr>
              <w:jc w:val="both"/>
            </w:pPr>
            <w:r>
              <w:rPr>
                <w:sz w:val="21"/>
              </w:rPr>
              <w:t>未经中山市自然资源局同意，不得更换驻场技术人员。更换后人员经验、学历、能力不得低于被更换人员，所学专业应符合对应岗位的要求。项目启动后不得随意更换人员。更换人员与被更换人员应有不少于</w:t>
            </w:r>
            <w:r>
              <w:rPr>
                <w:sz w:val="21"/>
              </w:rPr>
              <w:t>1</w:t>
            </w:r>
            <w:r>
              <w:rPr>
                <w:sz w:val="21"/>
              </w:rPr>
              <w:t>月的交接过渡期。项目实施期间，更换驻场人员的累计比例不得超过驻场人员总数的</w:t>
            </w:r>
            <w:r>
              <w:rPr>
                <w:sz w:val="21"/>
              </w:rPr>
              <w:t>45%</w:t>
            </w:r>
            <w:r>
              <w:rPr>
                <w:sz w:val="21"/>
              </w:rPr>
              <w:t>。</w:t>
            </w:r>
          </w:p>
          <w:p>
            <w:pPr>
              <w:jc w:val="both"/>
            </w:pPr>
            <w:r>
              <w:rPr>
                <w:sz w:val="21"/>
              </w:rPr>
              <w:t>运维单位投标时需列明各系统投入驻场人员的姓名、学历、职称和工作经验，明确何人担任项目负责人和现场负责人，承诺项目实际投入人员与投标时承诺的保持一致（要求是同一人）。</w:t>
            </w:r>
          </w:p>
          <w:p>
            <w:r>
              <w:rPr>
                <w:sz w:val="21"/>
              </w:rPr>
              <w:t>以下为各系统需要的维护人员及驻场人员人数要求（驻场人员计入维护人员数量内）：</w:t>
            </w:r>
          </w:p>
          <w:tbl>
            <w:tblPr>
              <w:tblBorders>
                <w:top w:val="none" w:color="000000" w:sz="4"/>
                <w:left w:val="none" w:color="000000" w:sz="4"/>
                <w:bottom w:val="none" w:color="000000" w:sz="4"/>
                <w:right w:val="none" w:color="000000" w:sz="4"/>
                <w:insideH w:val="none"/>
                <w:insideV w:val="none"/>
              </w:tblBorders>
            </w:tblPr>
            <w:tblGrid>
              <w:gridCol w:w="2340"/>
              <w:gridCol w:w="1552"/>
              <w:gridCol w:w="1705"/>
            </w:tblGrid>
            <w:tr>
              <w:tc>
                <w:tcPr>
                  <w:tcW w:type="dxa" w:w="2340"/>
                  <w:tcBorders>
                    <w:top w:val="single" w:color="000000" w:sz="4"/>
                    <w:left w:val="single" w:color="000000" w:sz="4"/>
                    <w:bottom w:val="single" w:color="000000" w:sz="4"/>
                    <w:right w:val="single" w:color="000000" w:sz="4"/>
                  </w:tcBorders>
                </w:tcPr>
                <w:p>
                  <w:pPr>
                    <w:jc w:val="both"/>
                  </w:pPr>
                  <w:r>
                    <w:rPr>
                      <w:sz w:val="21"/>
                    </w:rPr>
                    <w:t>系统名称</w:t>
                  </w:r>
                </w:p>
              </w:tc>
              <w:tc>
                <w:tcPr>
                  <w:tcW w:type="dxa" w:w="1552"/>
                  <w:tcBorders>
                    <w:top w:val="single" w:color="000000" w:sz="4"/>
                    <w:left w:val="none" w:color="000000" w:sz="4"/>
                    <w:bottom w:val="single" w:color="000000" w:sz="4"/>
                    <w:right w:val="single" w:color="000000" w:sz="4"/>
                  </w:tcBorders>
                  <w:vAlign w:val="top"/>
                </w:tcPr>
                <w:p>
                  <w:pPr>
                    <w:jc w:val="both"/>
                  </w:pPr>
                  <w:r>
                    <w:rPr>
                      <w:sz w:val="21"/>
                    </w:rPr>
                    <w:t>★</w:t>
                  </w:r>
                  <w:r>
                    <w:rPr>
                      <w:sz w:val="21"/>
                    </w:rPr>
                    <w:t>维护人员数量</w:t>
                  </w:r>
                </w:p>
                <w:p>
                  <w:pPr>
                    <w:jc w:val="both"/>
                  </w:pPr>
                  <w:r>
                    <w:rPr>
                      <w:sz w:val="21"/>
                    </w:rPr>
                    <w:t>（不少于）</w:t>
                  </w:r>
                </w:p>
              </w:tc>
              <w:tc>
                <w:tcPr>
                  <w:tcW w:type="dxa" w:w="1705"/>
                  <w:tcBorders>
                    <w:top w:val="single" w:color="000000" w:sz="4"/>
                    <w:left w:val="none" w:color="000000" w:sz="4"/>
                    <w:bottom w:val="single" w:color="000000" w:sz="4"/>
                    <w:right w:val="single" w:color="000000" w:sz="4"/>
                  </w:tcBorders>
                  <w:vAlign w:val="top"/>
                </w:tcPr>
                <w:p>
                  <w:pPr>
                    <w:jc w:val="both"/>
                  </w:pPr>
                  <w:r>
                    <w:rPr>
                      <w:sz w:val="21"/>
                    </w:rPr>
                    <w:t>★</w:t>
                  </w:r>
                  <w:r>
                    <w:rPr>
                      <w:sz w:val="21"/>
                    </w:rPr>
                    <w:t>其中驻场人员数量</w:t>
                  </w:r>
                </w:p>
                <w:p>
                  <w:pPr>
                    <w:jc w:val="both"/>
                  </w:pPr>
                  <w:r>
                    <w:rPr>
                      <w:sz w:val="21"/>
                    </w:rPr>
                    <w:t>（不少于）</w:t>
                  </w:r>
                </w:p>
              </w:tc>
            </w:tr>
            <w:tr>
              <w:tc>
                <w:tcPr>
                  <w:tcW w:type="dxa" w:w="2340"/>
                  <w:tcBorders>
                    <w:top w:val="none" w:color="000000" w:sz="4"/>
                    <w:left w:val="single" w:color="000000" w:sz="4"/>
                    <w:bottom w:val="single" w:color="000000" w:sz="4"/>
                    <w:right w:val="single" w:color="000000" w:sz="4"/>
                  </w:tcBorders>
                  <w:vAlign w:val="top"/>
                </w:tcPr>
                <w:p>
                  <w:pPr>
                    <w:jc w:val="both"/>
                  </w:pPr>
                  <w:r>
                    <w:rPr>
                      <w:sz w:val="21"/>
                    </w:rPr>
                    <w:t>中山市自然资源综合业务平台及自然资源决策支持平台</w:t>
                  </w:r>
                </w:p>
              </w:tc>
              <w:tc>
                <w:tcPr>
                  <w:tcW w:type="dxa" w:w="1552"/>
                  <w:tcBorders>
                    <w:top w:val="none" w:color="000000" w:sz="4"/>
                    <w:left w:val="none" w:color="000000" w:sz="4"/>
                    <w:bottom w:val="single" w:color="000000" w:sz="4"/>
                    <w:right w:val="single" w:color="000000" w:sz="4"/>
                  </w:tcBorders>
                  <w:vAlign w:val="top"/>
                </w:tcPr>
                <w:p>
                  <w:pPr>
                    <w:jc w:val="both"/>
                  </w:pPr>
                  <w:r>
                    <w:rPr>
                      <w:sz w:val="21"/>
                    </w:rPr>
                    <w:t>6</w:t>
                  </w:r>
                  <w:r>
                    <w:rPr>
                      <w:sz w:val="21"/>
                    </w:rPr>
                    <w:t>人</w:t>
                  </w:r>
                </w:p>
              </w:tc>
              <w:tc>
                <w:tcPr>
                  <w:tcW w:type="dxa" w:w="1705"/>
                  <w:tcBorders>
                    <w:top w:val="none" w:color="000000" w:sz="4"/>
                    <w:left w:val="none" w:color="000000" w:sz="4"/>
                    <w:bottom w:val="single" w:color="000000" w:sz="4"/>
                    <w:right w:val="single" w:color="000000" w:sz="4"/>
                  </w:tcBorders>
                  <w:vAlign w:val="top"/>
                </w:tcPr>
                <w:p>
                  <w:pPr>
                    <w:jc w:val="both"/>
                  </w:pPr>
                  <w:r>
                    <w:rPr>
                      <w:sz w:val="21"/>
                    </w:rPr>
                    <w:t>4</w:t>
                  </w:r>
                  <w:r>
                    <w:rPr>
                      <w:sz w:val="21"/>
                    </w:rPr>
                    <w:t>人</w:t>
                  </w:r>
                </w:p>
              </w:tc>
            </w:tr>
          </w:tbl>
          <w:p>
            <w:pPr>
              <w:jc w:val="both"/>
            </w:pPr>
            <w:r>
              <w:rPr>
                <w:sz w:val="21"/>
              </w:rPr>
              <w:t>注：承担运维工作的驻场人员中：具有全日制本科学历的人员不少于</w:t>
            </w:r>
            <w:r>
              <w:rPr>
                <w:sz w:val="21"/>
              </w:rPr>
              <w:t>1</w:t>
            </w:r>
            <w:r>
              <w:rPr>
                <w:sz w:val="21"/>
              </w:rPr>
              <w:t>人，具有与岗位相适应的中级技术职称的人员不少于</w:t>
            </w:r>
            <w:r>
              <w:rPr>
                <w:sz w:val="21"/>
              </w:rPr>
              <w:t>1</w:t>
            </w:r>
            <w:r>
              <w:rPr>
                <w:sz w:val="21"/>
              </w:rPr>
              <w:t>人，具有</w:t>
            </w:r>
            <w:r>
              <w:rPr>
                <w:sz w:val="21"/>
              </w:rPr>
              <w:t>3</w:t>
            </w:r>
            <w:r>
              <w:rPr>
                <w:sz w:val="21"/>
              </w:rPr>
              <w:t>年以上政务信息化系统维护或开发经验的人员占比不少于</w:t>
            </w:r>
            <w:r>
              <w:rPr>
                <w:sz w:val="21"/>
              </w:rPr>
              <w:t>2</w:t>
            </w:r>
            <w:r>
              <w:rPr>
                <w:sz w:val="21"/>
              </w:rPr>
              <w:t>人。</w:t>
            </w:r>
          </w:p>
          <w:p>
            <w:r>
              <w:rPr>
                <w:sz w:val="21"/>
              </w:rPr>
              <w:t>承担运维工作的人员岗位设置要求：驻场人员包括（不少于）：驻场负责人</w:t>
            </w:r>
            <w:r>
              <w:rPr>
                <w:sz w:val="21"/>
              </w:rPr>
              <w:t>1</w:t>
            </w:r>
            <w:r>
              <w:rPr>
                <w:sz w:val="21"/>
              </w:rPr>
              <w:t>人，日常运维工程师</w:t>
            </w:r>
            <w:r>
              <w:rPr>
                <w:sz w:val="21"/>
              </w:rPr>
              <w:t>1</w:t>
            </w:r>
            <w:r>
              <w:rPr>
                <w:sz w:val="21"/>
              </w:rPr>
              <w:t>人，系统优化工程师</w:t>
            </w:r>
            <w:r>
              <w:rPr>
                <w:sz w:val="21"/>
              </w:rPr>
              <w:t>1</w:t>
            </w:r>
            <w:r>
              <w:rPr>
                <w:sz w:val="21"/>
              </w:rPr>
              <w:t>人，安全运维工程师</w:t>
            </w:r>
            <w:r>
              <w:rPr>
                <w:sz w:val="21"/>
              </w:rPr>
              <w:t>1</w:t>
            </w:r>
            <w:r>
              <w:rPr>
                <w:sz w:val="21"/>
              </w:rPr>
              <w:t>人。非驻场人员包括（不少于）：系统程序开发人员</w:t>
            </w:r>
            <w:r>
              <w:rPr>
                <w:sz w:val="21"/>
              </w:rPr>
              <w:t>2</w:t>
            </w:r>
            <w:r>
              <w:rPr>
                <w:sz w:val="21"/>
              </w:rPr>
              <w:t>人。</w:t>
            </w:r>
          </w:p>
          <w:p>
            <w:pPr>
              <w:jc w:val="both"/>
            </w:pPr>
            <w:r>
              <w:rPr>
                <w:b/>
                <w:sz w:val="21"/>
              </w:rPr>
              <w:t>2.3.</w:t>
            </w:r>
            <w:r>
              <w:rPr>
                <w:b/>
                <w:sz w:val="21"/>
              </w:rPr>
              <w:t>运维响应要求</w:t>
            </w:r>
          </w:p>
          <w:p>
            <w:pPr>
              <w:jc w:val="both"/>
            </w:pPr>
            <w:r>
              <w:rPr>
                <w:sz w:val="21"/>
              </w:rPr>
              <w:t>运维公司应按中山市自然资源局的要求编制、完善运维方案，制定应急响应预案，建立详细的系统维护响应机制。</w:t>
            </w:r>
          </w:p>
          <w:p>
            <w:pPr>
              <w:jc w:val="both"/>
            </w:pPr>
            <w:r>
              <w:rPr>
                <w:sz w:val="21"/>
              </w:rPr>
              <w:t>运维公司应建立运维</w:t>
            </w:r>
            <w:r>
              <w:rPr>
                <w:sz w:val="21"/>
              </w:rPr>
              <w:t>AB</w:t>
            </w:r>
            <w:r>
              <w:rPr>
                <w:sz w:val="21"/>
              </w:rPr>
              <w:t>角制度，确保紧急情况备角能有效应对运维工作。</w:t>
            </w:r>
          </w:p>
          <w:p>
            <w:pPr>
              <w:jc w:val="both"/>
            </w:pPr>
            <w:r>
              <w:rPr>
                <w:sz w:val="21"/>
              </w:rPr>
              <w:t>在发现系统发生异常时和紧急运维需求提出后，运维单位需组织驻场人员或远程技术支持人员，给予立即响应。运维公司需提供</w:t>
            </w:r>
            <w:r>
              <w:rPr>
                <w:sz w:val="21"/>
              </w:rPr>
              <w:t>7</w:t>
            </w:r>
            <w:r>
              <w:rPr>
                <w:sz w:val="21"/>
              </w:rPr>
              <w:t>×</w:t>
            </w:r>
            <w:r>
              <w:rPr>
                <w:sz w:val="21"/>
              </w:rPr>
              <w:t>24</w:t>
            </w:r>
            <w:r>
              <w:rPr>
                <w:sz w:val="21"/>
              </w:rPr>
              <w:t>小时的应急服务，驻点维护人员需</w:t>
            </w:r>
            <w:r>
              <w:rPr>
                <w:sz w:val="21"/>
              </w:rPr>
              <w:t>2</w:t>
            </w:r>
            <w:r>
              <w:rPr>
                <w:sz w:val="21"/>
              </w:rPr>
              <w:t>小时以内到达现场。运维单位应根据下表的故障事件等级及系统修复时限开展应急响应。不能按时解决的，运维单位必须协调一切资源，采取对应措施，在</w:t>
            </w:r>
            <w:r>
              <w:rPr>
                <w:sz w:val="21"/>
              </w:rPr>
              <w:t>24</w:t>
            </w:r>
            <w:r>
              <w:rPr>
                <w:sz w:val="21"/>
              </w:rPr>
              <w:t>小时内保证系统恢复正常运行。</w:t>
            </w:r>
          </w:p>
          <w:p>
            <w:r>
              <w:rPr>
                <w:sz w:val="21"/>
              </w:rPr>
              <w:t>对于一般运维工作，运维公司需按照中山市自然资源局运维管理有关制度的要求及时响应。不能按时完成的，应提前向中山市自然资源信息中心报告。</w:t>
            </w:r>
          </w:p>
          <w:tbl>
            <w:tblPr>
              <w:tblBorders>
                <w:top w:val="none" w:color="000000" w:sz="4"/>
                <w:left w:val="none" w:color="000000" w:sz="4"/>
                <w:bottom w:val="none" w:color="000000" w:sz="4"/>
                <w:right w:val="none" w:color="000000" w:sz="4"/>
                <w:insideH w:val="none"/>
                <w:insideV w:val="none"/>
              </w:tblBorders>
            </w:tblPr>
            <w:tblGrid>
              <w:gridCol w:w="457"/>
              <w:gridCol w:w="1828"/>
              <w:gridCol w:w="1428"/>
              <w:gridCol w:w="1885"/>
            </w:tblGrid>
            <w:tr>
              <w:tc>
                <w:tcPr>
                  <w:tcW w:type="dxa" w:w="457"/>
                  <w:tcBorders>
                    <w:top w:val="single" w:color="000000" w:sz="4"/>
                    <w:left w:val="single" w:color="000000" w:sz="4"/>
                    <w:bottom w:val="single" w:color="000000" w:sz="4"/>
                    <w:right w:val="single" w:color="000000" w:sz="4"/>
                  </w:tcBorders>
                </w:tcPr>
                <w:p>
                  <w:pPr>
                    <w:jc w:val="center"/>
                  </w:pPr>
                  <w:r>
                    <w:rPr>
                      <w:b/>
                    </w:rPr>
                    <w:t>事件等级</w:t>
                  </w:r>
                </w:p>
              </w:tc>
              <w:tc>
                <w:tcPr>
                  <w:tcW w:type="dxa" w:w="1828"/>
                  <w:tcBorders>
                    <w:top w:val="single" w:color="000000" w:sz="4"/>
                    <w:left w:val="none" w:color="000000" w:sz="4"/>
                    <w:bottom w:val="single" w:color="000000" w:sz="4"/>
                    <w:right w:val="single" w:color="000000" w:sz="4"/>
                  </w:tcBorders>
                </w:tcPr>
                <w:p>
                  <w:pPr>
                    <w:jc w:val="center"/>
                  </w:pPr>
                  <w:r>
                    <w:rPr>
                      <w:b/>
                    </w:rPr>
                    <w:t>事件定义</w:t>
                  </w:r>
                </w:p>
              </w:tc>
              <w:tc>
                <w:tcPr>
                  <w:tcW w:type="dxa" w:w="1428"/>
                  <w:tcBorders>
                    <w:top w:val="single" w:color="000000" w:sz="4"/>
                    <w:left w:val="none" w:color="000000" w:sz="4"/>
                    <w:bottom w:val="single" w:color="000000" w:sz="4"/>
                    <w:right w:val="single" w:color="000000" w:sz="4"/>
                  </w:tcBorders>
                </w:tcPr>
                <w:p>
                  <w:pPr>
                    <w:jc w:val="center"/>
                  </w:pPr>
                  <w:r>
                    <w:rPr>
                      <w:b/>
                    </w:rPr>
                    <w:t>系统修复时间</w:t>
                  </w:r>
                </w:p>
              </w:tc>
              <w:tc>
                <w:tcPr>
                  <w:tcW w:type="dxa" w:w="1885"/>
                  <w:tcBorders>
                    <w:top w:val="single" w:color="000000" w:sz="4"/>
                    <w:left w:val="none" w:color="000000" w:sz="4"/>
                    <w:bottom w:val="single" w:color="000000" w:sz="4"/>
                    <w:right w:val="single" w:color="000000" w:sz="4"/>
                  </w:tcBorders>
                </w:tcPr>
                <w:p>
                  <w:pPr>
                    <w:jc w:val="center"/>
                  </w:pPr>
                  <w:r>
                    <w:rPr>
                      <w:b/>
                    </w:rPr>
                    <w:t>解决时间</w:t>
                  </w:r>
                </w:p>
              </w:tc>
            </w:tr>
            <w:tr>
              <w:tc>
                <w:tcPr>
                  <w:tcW w:type="dxa" w:w="457"/>
                  <w:tcBorders>
                    <w:top w:val="none" w:color="000000" w:sz="4"/>
                    <w:left w:val="single" w:color="000000" w:sz="4"/>
                    <w:bottom w:val="single" w:color="000000" w:sz="4"/>
                    <w:right w:val="single" w:color="000000" w:sz="4"/>
                  </w:tcBorders>
                </w:tcPr>
                <w:p>
                  <w:pPr>
                    <w:jc w:val="center"/>
                  </w:pPr>
                  <w:r>
                    <w:rPr/>
                    <w:t>1</w:t>
                  </w:r>
                  <w:r>
                    <w:rPr/>
                    <w:t>级事件</w:t>
                  </w:r>
                </w:p>
              </w:tc>
              <w:tc>
                <w:tcPr>
                  <w:tcW w:type="dxa" w:w="1828"/>
                  <w:tcBorders>
                    <w:top w:val="none" w:color="000000" w:sz="4"/>
                    <w:left w:val="none" w:color="000000" w:sz="4"/>
                    <w:bottom w:val="single" w:color="000000" w:sz="4"/>
                    <w:right w:val="single" w:color="000000" w:sz="4"/>
                  </w:tcBorders>
                </w:tcPr>
                <w:p>
                  <w:r>
                    <w:rPr/>
                    <w:t>发生安全事故或系统数据泄露，造成严重影响</w:t>
                  </w:r>
                </w:p>
              </w:tc>
              <w:tc>
                <w:tcPr>
                  <w:tcW w:type="dxa" w:w="1428"/>
                  <w:tcBorders>
                    <w:top w:val="none" w:color="000000" w:sz="4"/>
                    <w:left w:val="none" w:color="000000" w:sz="4"/>
                    <w:bottom w:val="single" w:color="000000" w:sz="4"/>
                    <w:right w:val="single" w:color="000000" w:sz="4"/>
                  </w:tcBorders>
                </w:tcPr>
                <w:p>
                  <w:r>
                    <w:rPr/>
                    <w:t>30</w:t>
                  </w:r>
                  <w:r>
                    <w:rPr/>
                    <w:t>分钟恢复系统正常</w:t>
                  </w:r>
                </w:p>
              </w:tc>
              <w:tc>
                <w:tcPr>
                  <w:tcW w:type="dxa" w:w="1885"/>
                  <w:tcBorders>
                    <w:top w:val="none" w:color="000000" w:sz="4"/>
                    <w:left w:val="none" w:color="000000" w:sz="4"/>
                    <w:bottom w:val="single" w:color="000000" w:sz="4"/>
                    <w:right w:val="single" w:color="000000" w:sz="4"/>
                  </w:tcBorders>
                </w:tcPr>
                <w:p>
                  <w:r>
                    <w:rPr/>
                    <w:t>8</w:t>
                  </w:r>
                  <w:r>
                    <w:rPr/>
                    <w:t>小时内分析故障原因，提出问题分析报告和整改方案</w:t>
                  </w:r>
                </w:p>
              </w:tc>
            </w:tr>
            <w:tr>
              <w:tc>
                <w:tcPr>
                  <w:tcW w:type="dxa" w:w="457"/>
                  <w:tcBorders>
                    <w:top w:val="none" w:color="000000" w:sz="4"/>
                    <w:left w:val="single" w:color="000000" w:sz="4"/>
                    <w:bottom w:val="single" w:color="000000" w:sz="4"/>
                    <w:right w:val="single" w:color="000000" w:sz="4"/>
                  </w:tcBorders>
                </w:tcPr>
                <w:p>
                  <w:pPr>
                    <w:jc w:val="center"/>
                  </w:pPr>
                  <w:r>
                    <w:rPr/>
                    <w:t>2</w:t>
                  </w:r>
                  <w:r>
                    <w:rPr/>
                    <w:t>级事件</w:t>
                  </w:r>
                </w:p>
              </w:tc>
              <w:tc>
                <w:tcPr>
                  <w:tcW w:type="dxa" w:w="1828"/>
                  <w:tcBorders>
                    <w:top w:val="none" w:color="000000" w:sz="4"/>
                    <w:left w:val="none" w:color="000000" w:sz="4"/>
                    <w:bottom w:val="single" w:color="000000" w:sz="4"/>
                    <w:right w:val="single" w:color="000000" w:sz="4"/>
                  </w:tcBorders>
                </w:tcPr>
                <w:p>
                  <w:r>
                    <w:rPr/>
                    <w:t>信息系统崩溃，系统所有业务无法进行，造成较大影响</w:t>
                  </w:r>
                </w:p>
              </w:tc>
              <w:tc>
                <w:tcPr>
                  <w:tcW w:type="dxa" w:w="1428"/>
                  <w:tcBorders>
                    <w:top w:val="none" w:color="000000" w:sz="4"/>
                    <w:left w:val="none" w:color="000000" w:sz="4"/>
                    <w:bottom w:val="single" w:color="000000" w:sz="4"/>
                    <w:right w:val="single" w:color="000000" w:sz="4"/>
                  </w:tcBorders>
                </w:tcPr>
                <w:p>
                  <w:r>
                    <w:rPr/>
                    <w:t>1</w:t>
                  </w:r>
                  <w:r>
                    <w:rPr/>
                    <w:t>小时内恢复系统正常</w:t>
                  </w:r>
                </w:p>
              </w:tc>
              <w:tc>
                <w:tcPr>
                  <w:tcW w:type="dxa" w:w="1885"/>
                  <w:tcBorders>
                    <w:top w:val="none" w:color="000000" w:sz="4"/>
                    <w:left w:val="none" w:color="000000" w:sz="4"/>
                    <w:bottom w:val="single" w:color="000000" w:sz="4"/>
                    <w:right w:val="single" w:color="000000" w:sz="4"/>
                  </w:tcBorders>
                </w:tcPr>
                <w:p>
                  <w:r>
                    <w:rPr/>
                    <w:t>24</w:t>
                  </w:r>
                  <w:r>
                    <w:rPr/>
                    <w:t>小时内分析故障原因，提出问题分析报告和整改方案</w:t>
                  </w:r>
                </w:p>
              </w:tc>
            </w:tr>
            <w:tr>
              <w:tc>
                <w:tcPr>
                  <w:tcW w:type="dxa" w:w="457"/>
                  <w:tcBorders>
                    <w:top w:val="none" w:color="000000" w:sz="4"/>
                    <w:left w:val="single" w:color="000000" w:sz="4"/>
                    <w:bottom w:val="single" w:color="000000" w:sz="4"/>
                    <w:right w:val="single" w:color="000000" w:sz="4"/>
                  </w:tcBorders>
                </w:tcPr>
                <w:p>
                  <w:pPr>
                    <w:jc w:val="center"/>
                  </w:pPr>
                  <w:r>
                    <w:rPr/>
                    <w:t>3</w:t>
                  </w:r>
                  <w:r>
                    <w:rPr/>
                    <w:t>级事件</w:t>
                  </w:r>
                </w:p>
              </w:tc>
              <w:tc>
                <w:tcPr>
                  <w:tcW w:type="dxa" w:w="1828"/>
                  <w:tcBorders>
                    <w:top w:val="none" w:color="000000" w:sz="4"/>
                    <w:left w:val="none" w:color="000000" w:sz="4"/>
                    <w:bottom w:val="single" w:color="000000" w:sz="4"/>
                    <w:right w:val="single" w:color="000000" w:sz="4"/>
                  </w:tcBorders>
                </w:tcPr>
                <w:p>
                  <w:r>
                    <w:rPr/>
                    <w:t>发生故障，部分业务无法开展，影响外单位业务开展</w:t>
                  </w:r>
                </w:p>
              </w:tc>
              <w:tc>
                <w:tcPr>
                  <w:tcW w:type="dxa" w:w="1428"/>
                  <w:tcBorders>
                    <w:top w:val="none" w:color="000000" w:sz="4"/>
                    <w:left w:val="none" w:color="000000" w:sz="4"/>
                    <w:bottom w:val="single" w:color="000000" w:sz="4"/>
                    <w:right w:val="single" w:color="000000" w:sz="4"/>
                  </w:tcBorders>
                </w:tcPr>
                <w:p>
                  <w:r>
                    <w:rPr/>
                    <w:t>2</w:t>
                  </w:r>
                  <w:r>
                    <w:rPr/>
                    <w:t>小时内恢复系统正常或给出应急处理办法</w:t>
                  </w:r>
                </w:p>
              </w:tc>
              <w:tc>
                <w:tcPr>
                  <w:tcW w:type="dxa" w:w="1885"/>
                  <w:tcBorders>
                    <w:top w:val="none" w:color="000000" w:sz="4"/>
                    <w:left w:val="none" w:color="000000" w:sz="4"/>
                    <w:bottom w:val="single" w:color="000000" w:sz="4"/>
                    <w:right w:val="single" w:color="000000" w:sz="4"/>
                  </w:tcBorders>
                </w:tcPr>
                <w:p>
                  <w:r>
                    <w:rPr/>
                    <w:t>24</w:t>
                  </w:r>
                  <w:r>
                    <w:rPr/>
                    <w:t>小时内分析故障原因，提出问题分析报告和整改方案</w:t>
                  </w:r>
                </w:p>
              </w:tc>
            </w:tr>
            <w:tr>
              <w:tc>
                <w:tcPr>
                  <w:tcW w:type="dxa" w:w="457"/>
                  <w:tcBorders>
                    <w:top w:val="none" w:color="000000" w:sz="4"/>
                    <w:left w:val="single" w:color="000000" w:sz="4"/>
                    <w:bottom w:val="single" w:color="000000" w:sz="4"/>
                    <w:right w:val="single" w:color="000000" w:sz="4"/>
                  </w:tcBorders>
                </w:tcPr>
                <w:p>
                  <w:pPr>
                    <w:jc w:val="center"/>
                  </w:pPr>
                  <w:r>
                    <w:rPr/>
                    <w:t>4</w:t>
                  </w:r>
                  <w:r>
                    <w:rPr/>
                    <w:t>级事件</w:t>
                  </w:r>
                </w:p>
              </w:tc>
              <w:tc>
                <w:tcPr>
                  <w:tcW w:type="dxa" w:w="1828"/>
                  <w:tcBorders>
                    <w:top w:val="none" w:color="000000" w:sz="4"/>
                    <w:left w:val="none" w:color="000000" w:sz="4"/>
                    <w:bottom w:val="single" w:color="000000" w:sz="4"/>
                    <w:right w:val="single" w:color="000000" w:sz="4"/>
                  </w:tcBorders>
                </w:tcPr>
                <w:p>
                  <w:r>
                    <w:rPr/>
                    <w:t>性能下降或故障影响本局业务开展</w:t>
                  </w:r>
                </w:p>
              </w:tc>
              <w:tc>
                <w:tcPr>
                  <w:tcW w:type="dxa" w:w="1428"/>
                  <w:tcBorders>
                    <w:top w:val="none" w:color="000000" w:sz="4"/>
                    <w:left w:val="none" w:color="000000" w:sz="4"/>
                    <w:bottom w:val="single" w:color="000000" w:sz="4"/>
                    <w:right w:val="single" w:color="000000" w:sz="4"/>
                  </w:tcBorders>
                </w:tcPr>
                <w:p>
                  <w:r>
                    <w:rPr/>
                    <w:t>2</w:t>
                  </w:r>
                  <w:r>
                    <w:rPr/>
                    <w:t>小时内恢复系统正常或给出应急处理办法</w:t>
                  </w:r>
                </w:p>
              </w:tc>
              <w:tc>
                <w:tcPr>
                  <w:tcW w:type="dxa" w:w="1885"/>
                  <w:tcBorders>
                    <w:top w:val="none" w:color="000000" w:sz="4"/>
                    <w:left w:val="none" w:color="000000" w:sz="4"/>
                    <w:bottom w:val="single" w:color="000000" w:sz="4"/>
                    <w:right w:val="single" w:color="000000" w:sz="4"/>
                  </w:tcBorders>
                </w:tcPr>
                <w:p>
                  <w:r>
                    <w:rPr/>
                    <w:t>48</w:t>
                  </w:r>
                  <w:r>
                    <w:rPr/>
                    <w:t>小时内分析故障原因，提出问题分析报告和整改方案</w:t>
                  </w:r>
                </w:p>
              </w:tc>
            </w:tr>
          </w:tbl>
          <w:p>
            <w:r>
              <w:rPr>
                <w:sz w:val="21"/>
              </w:rPr>
              <w:t>运维单位应严格按照中山市自然资源局要求进行需求调研、并根据相关业务实际情况设计实施方案，编制好功能优化升级进度计划，根据运维人员数量和工作量科学评估各个阶段的实施时间并严格按照计划进行功能优化升级。如有调整整体功能优化升级进度计划，需取得局方信息化部门同意。对于局方有明确时间限制的运维需求，且运维工作内容非遭遇不可抗因素，运维单位不得拒绝或延期实施。</w:t>
            </w:r>
          </w:p>
          <w:p>
            <w:pPr>
              <w:jc w:val="both"/>
            </w:pPr>
            <w:r>
              <w:rPr>
                <w:b/>
                <w:sz w:val="21"/>
              </w:rPr>
              <w:t>2.4.</w:t>
            </w:r>
            <w:r>
              <w:rPr>
                <w:b/>
                <w:sz w:val="21"/>
              </w:rPr>
              <w:t>培训要求</w:t>
            </w:r>
          </w:p>
          <w:p>
            <w:pPr>
              <w:jc w:val="both"/>
            </w:pPr>
            <w:r>
              <w:rPr>
                <w:sz w:val="21"/>
              </w:rPr>
              <w:t>每年度运维工作开始前，运维公司应制定年度技术培训方案，组织相关培训，并提供培训讲义、签到表、照片等佐证材料。</w:t>
            </w:r>
          </w:p>
          <w:p>
            <w:pPr>
              <w:jc w:val="both"/>
            </w:pPr>
            <w:r>
              <w:rPr>
                <w:sz w:val="21"/>
              </w:rPr>
              <w:t>运维公司应组织运维团队驻场和远程技术人员开展与运维项目相关的继续教育、业务或技术学习及内部交流，按要求参加局方安排的相关培训，重点从技术、业务、管理、安全意识等方面提高团队运维服务能力，每年每位运维技术人员参加的技术、业务、管理和安全意识培训各不少于</w:t>
            </w:r>
            <w:r>
              <w:rPr>
                <w:sz w:val="21"/>
              </w:rPr>
              <w:t>1</w:t>
            </w:r>
            <w:r>
              <w:rPr>
                <w:sz w:val="21"/>
              </w:rPr>
              <w:t>次。公司内部应加强培训，确保每位运维人员对系统有全面、充分、整体的了解，对于业务有清晰、准确的理解。对于运维团队新来的人员，应开展专门、集中培训，并保留相关记录，对培训和学习效果进行必要考核，待掌握系统情况和相关知识后方可正式开始运维工作。</w:t>
            </w:r>
          </w:p>
          <w:p>
            <w:pPr>
              <w:jc w:val="both"/>
            </w:pPr>
            <w:r>
              <w:rPr>
                <w:sz w:val="21"/>
              </w:rPr>
              <w:t>维护服务公司须根据需要为用户提供高质量的技术培训、业务辅导。运维期内，每个</w:t>
            </w:r>
            <w:r>
              <w:rPr>
                <w:sz w:val="21"/>
              </w:rPr>
              <w:t>重点部门</w:t>
            </w:r>
            <w:r>
              <w:rPr>
                <w:sz w:val="21"/>
              </w:rPr>
              <w:t>综合性培训不少于</w:t>
            </w:r>
            <w:r>
              <w:rPr>
                <w:sz w:val="21"/>
              </w:rPr>
              <w:t>1</w:t>
            </w:r>
            <w:r>
              <w:rPr>
                <w:sz w:val="21"/>
              </w:rPr>
              <w:t>次</w:t>
            </w:r>
            <w:r>
              <w:rPr>
                <w:sz w:val="21"/>
              </w:rPr>
              <w:t>/</w:t>
            </w:r>
            <w:r>
              <w:rPr>
                <w:sz w:val="21"/>
              </w:rPr>
              <w:t>年。对于新增、优化调整的功能，在上线前需为用户开展上线前培训，并编写操作手册及时告知系统用户。</w:t>
            </w:r>
          </w:p>
          <w:p>
            <w:pPr>
              <w:jc w:val="both"/>
            </w:pPr>
            <w:r>
              <w:rPr>
                <w:sz w:val="21"/>
              </w:rPr>
              <w:t>培训的各项安排在培训前应经中山市自然资源局同意后方可开展培训，确保培训内容、时间、人数、地点以及师资安排等方面满足要求。培训对象包括系统用户及局方技术人员，培训内容包括信息系统的使用、系统部署、配置管理、日常监控、数据备份和恢复、应急处置及系统业务操作。培训时，运维公司应不局限于驻场人员，派出专业的、经验丰富的教员，充分准备，提前为用户提供详细的培训讲义，使用户能够熟练掌握被运维信息系统的使用和运维技能，确保培训能达到预期成效。</w:t>
            </w:r>
          </w:p>
          <w:p>
            <w:pPr>
              <w:jc w:val="both"/>
            </w:pPr>
          </w:p>
          <w:p>
            <w:pPr>
              <w:jc w:val="both"/>
            </w:pPr>
            <w:r>
              <w:rPr>
                <w:b/>
                <w:sz w:val="21"/>
              </w:rPr>
              <w:t>2.5.</w:t>
            </w:r>
            <w:r>
              <w:rPr>
                <w:b/>
                <w:sz w:val="21"/>
              </w:rPr>
              <w:t>网络信息安全要求</w:t>
            </w:r>
          </w:p>
          <w:p>
            <w:pPr>
              <w:jc w:val="both"/>
            </w:pPr>
            <w:r>
              <w:rPr>
                <w:sz w:val="21"/>
              </w:rPr>
              <w:t>运维单位应建立网络信息安全的有关制度，严格落实各级网络信息安全管理的有关制度、规范，要将网络信息安全意识落实到运维全过程，编制运维相关方案应对网络信息安全予以专项讨论。要加强网络安全意识和技术培训，提高网络信息安全技术水平。落实网络安全责任制，安排专人负责系统的网络信息安全工作。网络信息安全实行一票否决制。运维公司需承担运维工作中国的网络信息安全责任，由于运维不及时、不恰当处理造成的网络安全责任由运维单位承担。</w:t>
            </w:r>
          </w:p>
          <w:p>
            <w:pPr>
              <w:jc w:val="both"/>
            </w:pPr>
          </w:p>
          <w:p>
            <w:pPr>
              <w:jc w:val="both"/>
            </w:pPr>
            <w:r>
              <w:rPr>
                <w:b/>
                <w:sz w:val="21"/>
              </w:rPr>
              <w:t>2.6.</w:t>
            </w:r>
            <w:r>
              <w:rPr>
                <w:b/>
                <w:sz w:val="21"/>
              </w:rPr>
              <w:t>风险防控要求</w:t>
            </w:r>
          </w:p>
          <w:p>
            <w:pPr>
              <w:jc w:val="both"/>
            </w:pPr>
            <w:r>
              <w:rPr>
                <w:sz w:val="21"/>
              </w:rPr>
              <w:t>运维单位要将风险防控贯穿到运维工作的始终和每个运维工作中，要定期开展风险评估，形成风险防控报告，提出风险防控措施与建议并予以落实。</w:t>
            </w:r>
          </w:p>
          <w:p>
            <w:pPr>
              <w:jc w:val="both"/>
            </w:pPr>
            <w:r>
              <w:rPr>
                <w:sz w:val="21"/>
              </w:rPr>
              <w:t>要落实风险防控责任制，及时开展风险防控的有关培训，将风险防控意识及风险防控要求落实到每个运维工作人员。</w:t>
            </w:r>
          </w:p>
          <w:p>
            <w:pPr>
              <w:jc w:val="both"/>
            </w:pPr>
            <w:r>
              <w:rPr>
                <w:sz w:val="21"/>
              </w:rPr>
              <w:t>重大运行保障期和重大功能上线要提前开展专项评估，制定应急方案，防范潜在风险。</w:t>
            </w:r>
          </w:p>
          <w:p>
            <w:pPr>
              <w:jc w:val="both"/>
            </w:pPr>
            <w:r>
              <w:rPr>
                <w:sz w:val="21"/>
              </w:rPr>
              <w:t>要着重加强网络信息安全风险、数据保密、非法攻击、病毒入侵及管理漏洞风险防控。</w:t>
            </w:r>
          </w:p>
          <w:p>
            <w:pPr>
              <w:jc w:val="both"/>
            </w:pPr>
            <w:r>
              <w:rPr>
                <w:sz w:val="21"/>
              </w:rPr>
              <w:t>在各类技术方案的编制中，要落实风险防控的总体意识，系统优化改造和解决运维困难时，应从有总体意识、大局意识，全面、客观分析，避免只见局部不见整体，避免解决旧问题带来新问题。</w:t>
            </w:r>
          </w:p>
          <w:p>
            <w:pPr>
              <w:jc w:val="both"/>
            </w:pPr>
          </w:p>
          <w:p>
            <w:pPr>
              <w:jc w:val="both"/>
            </w:pPr>
            <w:r>
              <w:rPr>
                <w:b/>
                <w:sz w:val="21"/>
              </w:rPr>
              <w:t>2.7.</w:t>
            </w:r>
            <w:r>
              <w:rPr>
                <w:b/>
                <w:sz w:val="21"/>
              </w:rPr>
              <w:t>规范性要求</w:t>
            </w:r>
          </w:p>
          <w:p>
            <w:pPr>
              <w:jc w:val="both"/>
            </w:pPr>
            <w:r>
              <w:rPr>
                <w:sz w:val="21"/>
              </w:rPr>
              <w:t>运维单位应按照本方案所列的标准规范和政策性文件的要求，明确各运维岗位工作职责和要求，确保各项运维工作文档齐全、操作安全、记录清晰、沟通顺畅，规范开展运维工作，确保运维有记录、可追溯。</w:t>
            </w:r>
          </w:p>
          <w:p>
            <w:pPr>
              <w:jc w:val="both"/>
            </w:pPr>
            <w:r>
              <w:rPr>
                <w:sz w:val="21"/>
              </w:rPr>
              <w:t>按要求及时更新相关技术报告、测试报告、系统设计、数据库设计等各类文档，并按时汇交有关成果到中山市自然资源信息中心。</w:t>
            </w:r>
          </w:p>
          <w:p>
            <w:pPr>
              <w:jc w:val="both"/>
            </w:pPr>
            <w:r>
              <w:rPr>
                <w:sz w:val="21"/>
              </w:rPr>
              <w:t>运维公司应完善系统运维工具或运维模块，按照中山市自然资源局的要求全面应用中山市自然资源政务信息平台智能运维模块或云平台云纳管等相关运维软件，借助各种工具，通过可视化、流程化、工具化运维，降低运维难度，提高运维效率。</w:t>
            </w:r>
          </w:p>
          <w:p>
            <w:pPr>
              <w:jc w:val="both"/>
            </w:pPr>
            <w:r>
              <w:rPr>
                <w:sz w:val="21"/>
              </w:rPr>
              <w:t>对于新增或优化调整的功能模块，应按国标或行业标准规范相关文档编写和代码编写，代码应有全面注释，文档应与实际运行系统保持一致，数据库设计书或数据库说明文档应详细且与实际一致，形成相应的系统更新说明和操作手册。对于接口的开发，方案应由接口双方运维单位确认，接口设计和说明应详细、条理清楚。</w:t>
            </w:r>
          </w:p>
          <w:p>
            <w:pPr>
              <w:jc w:val="both"/>
            </w:pPr>
            <w:r>
              <w:rPr>
                <w:sz w:val="21"/>
              </w:rPr>
              <w:t>应对系统建设阶段的需求分析、设计、编码、测试、上线及运维阶段的文档进行更新和版本管理，对代码和程序进行规范化版本管理。运维工作应记录完备、详细，且有专人负责。所有系统日志保留时间不得少于半年。</w:t>
            </w:r>
          </w:p>
          <w:p>
            <w:pPr>
              <w:jc w:val="both"/>
            </w:pPr>
          </w:p>
          <w:p>
            <w:pPr>
              <w:jc w:val="both"/>
            </w:pPr>
            <w:r>
              <w:rPr>
                <w:b/>
                <w:sz w:val="21"/>
              </w:rPr>
              <w:t>2.8.</w:t>
            </w:r>
            <w:r>
              <w:rPr>
                <w:b/>
                <w:sz w:val="21"/>
              </w:rPr>
              <w:t>运维团队内部管理要求</w:t>
            </w:r>
          </w:p>
          <w:p>
            <w:pPr>
              <w:jc w:val="both"/>
            </w:pPr>
            <w:r>
              <w:rPr>
                <w:sz w:val="21"/>
              </w:rPr>
              <w:t>运维单位应加强内部管理，完善相关管理制度，合理设置岗位，明确人员责任，优化考核与奖惩机制，加强运维队伍建设，确保运维队伍专业性和稳定性，持续提升运维保障能力。</w:t>
            </w:r>
          </w:p>
          <w:p>
            <w:pPr>
              <w:jc w:val="both"/>
            </w:pPr>
            <w:r>
              <w:rPr>
                <w:sz w:val="21"/>
              </w:rPr>
              <w:t>运维单位应服从中山市自然资源信息化部门的管理。对列入运维工作内容的事项，该系统的具体运维工作是否开展、如何开展、何时完成均由市自然资源局信息化部门决定，承担该系统运维的单位不得拒绝。</w:t>
            </w:r>
          </w:p>
          <w:p>
            <w:pPr>
              <w:jc w:val="both"/>
            </w:pPr>
          </w:p>
          <w:p>
            <w:pPr>
              <w:jc w:val="both"/>
            </w:pPr>
            <w:r>
              <w:rPr>
                <w:b/>
                <w:sz w:val="21"/>
              </w:rPr>
              <w:t>2.9.</w:t>
            </w:r>
            <w:r>
              <w:rPr>
                <w:b/>
                <w:sz w:val="21"/>
              </w:rPr>
              <w:t>项目成果及提交方式</w:t>
            </w:r>
          </w:p>
          <w:p>
            <w:pPr>
              <w:jc w:val="both"/>
            </w:pPr>
            <w:r>
              <w:rPr>
                <w:sz w:val="21"/>
              </w:rPr>
              <w:t>项目成果包括必要成果和条件性成果，均应按本章的要求提交。其中必要成果，所有子项目及系统都必须提交，条件性成果在一定条件下需要提交。</w:t>
            </w:r>
          </w:p>
          <w:p>
            <w:pPr>
              <w:jc w:val="both"/>
            </w:pPr>
            <w:r>
              <w:rPr>
                <w:sz w:val="21"/>
              </w:rPr>
              <w:t>成果移交时应填写交接单，办理交接手续。以系统为单位提交。</w:t>
            </w:r>
          </w:p>
          <w:p>
            <w:pPr>
              <w:jc w:val="both"/>
            </w:pPr>
            <w:r>
              <w:rPr>
                <w:sz w:val="21"/>
              </w:rPr>
              <w:t>对于重要性不高、规模不大的系统，其成果内容、提交形式、提交频率，中山市自然资源局可根据实际情况减少成果类型和频次。对于重要性高、业务量大的系统，其运维工作和成果要求可根据实际需要调整。</w:t>
            </w:r>
          </w:p>
          <w:p>
            <w:pPr>
              <w:jc w:val="both"/>
            </w:pPr>
            <w:r>
              <w:rPr>
                <w:sz w:val="21"/>
              </w:rPr>
              <w:t>项目实施过程中关停的系统，其运行维护工作可进行置换，用于开展其他运行中系统的运维工作。</w:t>
            </w:r>
          </w:p>
          <w:p>
            <w:pPr>
              <w:jc w:val="both"/>
            </w:pPr>
            <w:r>
              <w:rPr>
                <w:sz w:val="21"/>
              </w:rPr>
              <w:t>纸质形式的成果，需经盖运维单位公章，同时提供扫描件。成果提交工作的完成以该成果通过中山市自然资源局的审核为标准。</w:t>
            </w:r>
          </w:p>
          <w:p>
            <w:r>
              <w:rPr>
                <w:b/>
                <w:sz w:val="21"/>
              </w:rPr>
              <w:t xml:space="preserve">1)     </w:t>
            </w:r>
            <w:r>
              <w:rPr>
                <w:b/>
                <w:sz w:val="21"/>
              </w:rPr>
              <w:t>必要成果</w:t>
            </w:r>
          </w:p>
          <w:tbl>
            <w:tblPr>
              <w:tblBorders>
                <w:top w:val="none" w:color="000000" w:sz="4"/>
                <w:left w:val="none" w:color="000000" w:sz="4"/>
                <w:bottom w:val="none" w:color="000000" w:sz="4"/>
                <w:right w:val="none" w:color="000000" w:sz="4"/>
                <w:insideH w:val="none"/>
                <w:insideV w:val="none"/>
              </w:tblBorders>
            </w:tblPr>
            <w:tblGrid>
              <w:gridCol w:w="635"/>
              <w:gridCol w:w="1385"/>
              <w:gridCol w:w="750"/>
              <w:gridCol w:w="1212"/>
              <w:gridCol w:w="1616"/>
            </w:tblGrid>
            <w:tr>
              <w:tc>
                <w:tcPr>
                  <w:tcW w:type="dxa" w:w="635"/>
                  <w:tcBorders>
                    <w:top w:val="single" w:color="000000" w:sz="4"/>
                    <w:left w:val="single" w:color="000000" w:sz="4"/>
                    <w:bottom w:val="single" w:color="000000" w:sz="4"/>
                    <w:right w:val="single" w:color="000000" w:sz="4"/>
                  </w:tcBorders>
                </w:tcPr>
                <w:p>
                  <w:pPr>
                    <w:jc w:val="center"/>
                  </w:pPr>
                  <w:r>
                    <w:rPr/>
                    <w:t>序号</w:t>
                  </w:r>
                </w:p>
              </w:tc>
              <w:tc>
                <w:tcPr>
                  <w:tcW w:type="dxa" w:w="1385"/>
                  <w:tcBorders>
                    <w:top w:val="single" w:color="000000" w:sz="4"/>
                    <w:left w:val="none" w:color="000000" w:sz="4"/>
                    <w:bottom w:val="single" w:color="000000" w:sz="4"/>
                    <w:right w:val="single" w:color="000000" w:sz="4"/>
                  </w:tcBorders>
                </w:tcPr>
                <w:p>
                  <w:pPr>
                    <w:jc w:val="center"/>
                  </w:pPr>
                  <w:r>
                    <w:rPr/>
                    <w:t>成果名称</w:t>
                  </w:r>
                </w:p>
              </w:tc>
              <w:tc>
                <w:tcPr>
                  <w:tcW w:type="dxa" w:w="750"/>
                  <w:tcBorders>
                    <w:top w:val="single" w:color="000000" w:sz="4"/>
                    <w:left w:val="none" w:color="000000" w:sz="4"/>
                    <w:bottom w:val="single" w:color="000000" w:sz="4"/>
                    <w:right w:val="single" w:color="000000" w:sz="4"/>
                  </w:tcBorders>
                </w:tcPr>
                <w:p>
                  <w:pPr>
                    <w:jc w:val="center"/>
                  </w:pPr>
                  <w:r>
                    <w:rPr/>
                    <w:t>数量</w:t>
                  </w:r>
                </w:p>
              </w:tc>
              <w:tc>
                <w:tcPr>
                  <w:tcW w:type="dxa" w:w="1212"/>
                  <w:tcBorders>
                    <w:top w:val="single" w:color="000000" w:sz="4"/>
                    <w:left w:val="none" w:color="000000" w:sz="4"/>
                    <w:bottom w:val="single" w:color="000000" w:sz="4"/>
                    <w:right w:val="single" w:color="000000" w:sz="4"/>
                  </w:tcBorders>
                </w:tcPr>
                <w:p>
                  <w:pPr>
                    <w:jc w:val="center"/>
                  </w:pPr>
                  <w:r>
                    <w:rPr/>
                    <w:t>形 式</w:t>
                  </w:r>
                </w:p>
              </w:tc>
              <w:tc>
                <w:tcPr>
                  <w:tcW w:type="dxa" w:w="1616"/>
                  <w:tcBorders>
                    <w:top w:val="single" w:color="000000" w:sz="4"/>
                    <w:left w:val="none" w:color="000000" w:sz="4"/>
                    <w:bottom w:val="single" w:color="000000" w:sz="4"/>
                    <w:right w:val="single" w:color="000000" w:sz="4"/>
                  </w:tcBorders>
                </w:tcPr>
                <w:p>
                  <w:pPr>
                    <w:jc w:val="center"/>
                  </w:pPr>
                  <w:r>
                    <w:rPr/>
                    <w:t>要 求</w:t>
                  </w:r>
                </w:p>
              </w:tc>
            </w:tr>
            <w:tr>
              <w:tc>
                <w:tcPr>
                  <w:tcW w:type="dxa" w:w="635"/>
                  <w:tcBorders>
                    <w:top w:val="none" w:color="000000" w:sz="4"/>
                    <w:left w:val="single" w:color="000000" w:sz="4"/>
                    <w:bottom w:val="single" w:color="000000" w:sz="4"/>
                    <w:right w:val="single" w:color="000000" w:sz="4"/>
                  </w:tcBorders>
                </w:tcPr>
                <w:p>
                  <w:pPr>
                    <w:jc w:val="center"/>
                  </w:pPr>
                  <w:r>
                    <w:rPr/>
                    <w:t>1</w:t>
                  </w:r>
                </w:p>
              </w:tc>
              <w:tc>
                <w:tcPr>
                  <w:tcW w:type="dxa" w:w="1385"/>
                  <w:tcBorders>
                    <w:top w:val="none" w:color="000000" w:sz="4"/>
                    <w:left w:val="none" w:color="000000" w:sz="4"/>
                    <w:bottom w:val="single" w:color="000000" w:sz="4"/>
                    <w:right w:val="single" w:color="000000" w:sz="4"/>
                  </w:tcBorders>
                </w:tcPr>
                <w:p>
                  <w:pPr>
                    <w:jc w:val="center"/>
                  </w:pPr>
                  <w:r>
                    <w:rPr>
                      <w:sz w:val="21"/>
                    </w:rPr>
                    <w:t>项目工作方案</w:t>
                  </w:r>
                </w:p>
              </w:tc>
              <w:tc>
                <w:tcPr>
                  <w:tcW w:type="dxa" w:w="750"/>
                  <w:tcBorders>
                    <w:top w:val="none" w:color="000000" w:sz="4"/>
                    <w:left w:val="none" w:color="000000" w:sz="4"/>
                    <w:bottom w:val="single" w:color="000000" w:sz="4"/>
                    <w:right w:val="single" w:color="000000" w:sz="4"/>
                  </w:tcBorders>
                </w:tcPr>
                <w:p>
                  <w:pPr>
                    <w:jc w:val="center"/>
                  </w:pPr>
                  <w:r>
                    <w:rPr/>
                    <w:t>1</w:t>
                  </w:r>
                  <w:r>
                    <w:rPr/>
                    <w:t>套</w:t>
                  </w:r>
                </w:p>
              </w:tc>
              <w:tc>
                <w:tcPr>
                  <w:tcW w:type="dxa" w:w="1212"/>
                  <w:tcBorders>
                    <w:top w:val="none" w:color="000000" w:sz="4"/>
                    <w:left w:val="none" w:color="000000" w:sz="4"/>
                    <w:bottom w:val="single" w:color="000000" w:sz="4"/>
                    <w:right w:val="single" w:color="000000" w:sz="4"/>
                  </w:tcBorders>
                </w:tcPr>
                <w:p>
                  <w:pPr>
                    <w:jc w:val="center"/>
                  </w:pPr>
                  <w:r>
                    <w:rPr/>
                    <w:t>电子文档和纸质</w:t>
                  </w:r>
                </w:p>
              </w:tc>
              <w:tc>
                <w:tcPr>
                  <w:tcW w:type="dxa" w:w="1616"/>
                  <w:tcBorders>
                    <w:top w:val="none" w:color="000000" w:sz="4"/>
                    <w:left w:val="none" w:color="000000" w:sz="4"/>
                    <w:bottom w:val="single" w:color="000000" w:sz="4"/>
                    <w:right w:val="single" w:color="000000" w:sz="4"/>
                  </w:tcBorders>
                </w:tcPr>
                <w:p>
                  <w:pPr>
                    <w:jc w:val="center"/>
                  </w:pPr>
                  <w:r>
                    <w:rPr/>
                    <w:t>签订合同后15个工作日内，支付首期款前，共提交1次</w:t>
                  </w:r>
                </w:p>
              </w:tc>
            </w:tr>
            <w:tr>
              <w:tc>
                <w:tcPr>
                  <w:tcW w:type="dxa" w:w="635"/>
                  <w:tcBorders>
                    <w:top w:val="none" w:color="000000" w:sz="4"/>
                    <w:left w:val="single" w:color="000000" w:sz="4"/>
                    <w:bottom w:val="single" w:color="000000" w:sz="4"/>
                    <w:right w:val="single" w:color="000000" w:sz="4"/>
                  </w:tcBorders>
                </w:tcPr>
                <w:p>
                  <w:pPr>
                    <w:jc w:val="center"/>
                  </w:pPr>
                  <w:r>
                    <w:rPr/>
                    <w:t>2</w:t>
                  </w:r>
                </w:p>
              </w:tc>
              <w:tc>
                <w:tcPr>
                  <w:tcW w:type="dxa" w:w="1385"/>
                  <w:tcBorders>
                    <w:top w:val="none" w:color="000000" w:sz="4"/>
                    <w:left w:val="none" w:color="000000" w:sz="4"/>
                    <w:bottom w:val="single" w:color="000000" w:sz="4"/>
                    <w:right w:val="single" w:color="000000" w:sz="4"/>
                  </w:tcBorders>
                </w:tcPr>
                <w:p>
                  <w:pPr>
                    <w:jc w:val="center"/>
                  </w:pPr>
                  <w:r>
                    <w:rPr>
                      <w:sz w:val="21"/>
                    </w:rPr>
                    <w:t>项目总结报告</w:t>
                  </w:r>
                </w:p>
              </w:tc>
              <w:tc>
                <w:tcPr>
                  <w:tcW w:type="dxa" w:w="750"/>
                  <w:tcBorders>
                    <w:top w:val="none" w:color="000000" w:sz="4"/>
                    <w:left w:val="none" w:color="000000" w:sz="4"/>
                    <w:bottom w:val="single" w:color="000000" w:sz="4"/>
                    <w:right w:val="single" w:color="000000" w:sz="4"/>
                  </w:tcBorders>
                </w:tcPr>
                <w:p>
                  <w:pPr>
                    <w:jc w:val="center"/>
                  </w:pPr>
                  <w:r>
                    <w:rPr/>
                    <w:t>1</w:t>
                  </w:r>
                  <w:r>
                    <w:rPr/>
                    <w:t>套</w:t>
                  </w:r>
                </w:p>
              </w:tc>
              <w:tc>
                <w:tcPr>
                  <w:tcW w:type="dxa" w:w="1212"/>
                  <w:tcBorders>
                    <w:top w:val="none" w:color="000000" w:sz="4"/>
                    <w:left w:val="none" w:color="000000" w:sz="4"/>
                    <w:bottom w:val="single" w:color="000000" w:sz="4"/>
                    <w:right w:val="single" w:color="000000" w:sz="4"/>
                  </w:tcBorders>
                </w:tcPr>
                <w:p>
                  <w:pPr>
                    <w:jc w:val="center"/>
                  </w:pPr>
                  <w:r>
                    <w:rPr/>
                    <w:t>电子文档和纸质</w:t>
                  </w:r>
                </w:p>
              </w:tc>
              <w:tc>
                <w:tcPr>
                  <w:tcW w:type="dxa" w:w="1616"/>
                  <w:tcBorders>
                    <w:top w:val="none" w:color="000000" w:sz="4"/>
                    <w:left w:val="none" w:color="000000" w:sz="4"/>
                    <w:bottom w:val="single" w:color="000000" w:sz="4"/>
                    <w:right w:val="single" w:color="000000" w:sz="4"/>
                  </w:tcBorders>
                </w:tcPr>
                <w:p>
                  <w:pPr>
                    <w:jc w:val="center"/>
                  </w:pPr>
                  <w:r>
                    <w:rPr/>
                    <w:t>项目运维期结束支付尾款前，共提交1次</w:t>
                  </w:r>
                </w:p>
              </w:tc>
            </w:tr>
            <w:tr>
              <w:tc>
                <w:tcPr>
                  <w:tcW w:type="dxa" w:w="635"/>
                  <w:tcBorders>
                    <w:top w:val="none" w:color="000000" w:sz="4"/>
                    <w:left w:val="single" w:color="000000" w:sz="4"/>
                    <w:bottom w:val="single" w:color="000000" w:sz="4"/>
                    <w:right w:val="single" w:color="000000" w:sz="4"/>
                  </w:tcBorders>
                </w:tcPr>
                <w:p>
                  <w:pPr>
                    <w:jc w:val="center"/>
                  </w:pPr>
                  <w:r>
                    <w:rPr/>
                    <w:t>3</w:t>
                  </w:r>
                </w:p>
              </w:tc>
              <w:tc>
                <w:tcPr>
                  <w:tcW w:type="dxa" w:w="1385"/>
                  <w:tcBorders>
                    <w:top w:val="none" w:color="000000" w:sz="4"/>
                    <w:left w:val="none" w:color="000000" w:sz="4"/>
                    <w:bottom w:val="single" w:color="000000" w:sz="4"/>
                    <w:right w:val="single" w:color="000000" w:sz="4"/>
                  </w:tcBorders>
                </w:tcPr>
                <w:p>
                  <w:pPr>
                    <w:jc w:val="center"/>
                  </w:pPr>
                  <w:r>
                    <w:rPr/>
                    <w:t>系统运维方案（运维指南）</w:t>
                  </w:r>
                </w:p>
              </w:tc>
              <w:tc>
                <w:tcPr>
                  <w:tcW w:type="dxa" w:w="750"/>
                  <w:tcBorders>
                    <w:top w:val="none" w:color="000000" w:sz="4"/>
                    <w:left w:val="none" w:color="000000" w:sz="4"/>
                    <w:bottom w:val="single" w:color="000000" w:sz="4"/>
                    <w:right w:val="single" w:color="000000" w:sz="4"/>
                  </w:tcBorders>
                </w:tcPr>
                <w:p>
                  <w:pPr>
                    <w:jc w:val="center"/>
                  </w:pPr>
                  <w:r>
                    <w:rPr/>
                    <w:t>1</w:t>
                  </w:r>
                  <w:r>
                    <w:rPr/>
                    <w:t>套</w:t>
                  </w:r>
                </w:p>
              </w:tc>
              <w:tc>
                <w:tcPr>
                  <w:tcW w:type="dxa" w:w="1212"/>
                  <w:tcBorders>
                    <w:top w:val="none" w:color="000000" w:sz="4"/>
                    <w:left w:val="none" w:color="000000" w:sz="4"/>
                    <w:bottom w:val="single" w:color="000000" w:sz="4"/>
                    <w:right w:val="single" w:color="000000" w:sz="4"/>
                  </w:tcBorders>
                </w:tcPr>
                <w:p>
                  <w:pPr>
                    <w:jc w:val="center"/>
                  </w:pPr>
                  <w:r>
                    <w:rPr/>
                    <w:t>电子文档和纸质</w:t>
                  </w:r>
                </w:p>
              </w:tc>
              <w:tc>
                <w:tcPr>
                  <w:tcW w:type="dxa" w:w="1616"/>
                  <w:tcBorders>
                    <w:top w:val="none" w:color="000000" w:sz="4"/>
                    <w:left w:val="none" w:color="000000" w:sz="4"/>
                    <w:bottom w:val="single" w:color="000000" w:sz="4"/>
                    <w:right w:val="single" w:color="000000" w:sz="4"/>
                  </w:tcBorders>
                </w:tcPr>
                <w:p>
                  <w:pPr>
                    <w:jc w:val="center"/>
                  </w:pPr>
                  <w:r>
                    <w:rPr/>
                    <w:t>应在运维开始之前的15个工作日提交；应包含风险评估和应对措施。</w:t>
                  </w:r>
                </w:p>
              </w:tc>
            </w:tr>
            <w:tr>
              <w:tc>
                <w:tcPr>
                  <w:tcW w:type="dxa" w:w="635"/>
                  <w:tcBorders>
                    <w:top w:val="none" w:color="000000" w:sz="4"/>
                    <w:left w:val="single" w:color="000000" w:sz="4"/>
                    <w:bottom w:val="single" w:color="000000" w:sz="4"/>
                    <w:right w:val="single" w:color="000000" w:sz="4"/>
                  </w:tcBorders>
                </w:tcPr>
                <w:p>
                  <w:pPr>
                    <w:jc w:val="center"/>
                  </w:pPr>
                  <w:r>
                    <w:rPr/>
                    <w:t>4</w:t>
                  </w:r>
                </w:p>
              </w:tc>
              <w:tc>
                <w:tcPr>
                  <w:tcW w:type="dxa" w:w="1385"/>
                  <w:tcBorders>
                    <w:top w:val="none" w:color="000000" w:sz="4"/>
                    <w:left w:val="none" w:color="000000" w:sz="4"/>
                    <w:bottom w:val="single" w:color="000000" w:sz="4"/>
                    <w:right w:val="single" w:color="000000" w:sz="4"/>
                  </w:tcBorders>
                </w:tcPr>
                <w:p>
                  <w:pPr>
                    <w:jc w:val="center"/>
                  </w:pPr>
                  <w:r>
                    <w:rPr/>
                    <w:t>系统故障排查指南</w:t>
                  </w:r>
                </w:p>
              </w:tc>
              <w:tc>
                <w:tcPr>
                  <w:tcW w:type="dxa" w:w="750"/>
                  <w:tcBorders>
                    <w:top w:val="none" w:color="000000" w:sz="4"/>
                    <w:left w:val="none" w:color="000000" w:sz="4"/>
                    <w:bottom w:val="single" w:color="000000" w:sz="4"/>
                    <w:right w:val="single" w:color="000000" w:sz="4"/>
                  </w:tcBorders>
                </w:tcPr>
                <w:p>
                  <w:pPr>
                    <w:jc w:val="center"/>
                  </w:pPr>
                  <w:r>
                    <w:rPr/>
                    <w:t>1</w:t>
                  </w:r>
                  <w:r>
                    <w:rPr/>
                    <w:t>套</w:t>
                  </w:r>
                </w:p>
              </w:tc>
              <w:tc>
                <w:tcPr>
                  <w:tcW w:type="dxa" w:w="1212"/>
                  <w:tcBorders>
                    <w:top w:val="none" w:color="000000" w:sz="4"/>
                    <w:left w:val="none" w:color="000000" w:sz="4"/>
                    <w:bottom w:val="single" w:color="000000" w:sz="4"/>
                    <w:right w:val="single" w:color="000000" w:sz="4"/>
                  </w:tcBorders>
                </w:tcPr>
                <w:p>
                  <w:pPr>
                    <w:jc w:val="center"/>
                  </w:pPr>
                  <w:r>
                    <w:rPr/>
                    <w:t>电子文档</w:t>
                  </w:r>
                </w:p>
              </w:tc>
              <w:tc>
                <w:tcPr>
                  <w:tcW w:type="dxa" w:w="1616"/>
                  <w:tcBorders>
                    <w:top w:val="none" w:color="000000" w:sz="4"/>
                    <w:left w:val="none" w:color="000000" w:sz="4"/>
                    <w:bottom w:val="single" w:color="000000" w:sz="4"/>
                    <w:right w:val="single" w:color="000000" w:sz="4"/>
                  </w:tcBorders>
                </w:tcPr>
                <w:p>
                  <w:pPr>
                    <w:jc w:val="center"/>
                  </w:pPr>
                  <w:r>
                    <w:rPr/>
                    <w:t>实时更新</w:t>
                  </w:r>
                </w:p>
              </w:tc>
            </w:tr>
            <w:tr>
              <w:tc>
                <w:tcPr>
                  <w:tcW w:type="dxa" w:w="635"/>
                  <w:tcBorders>
                    <w:top w:val="none" w:color="000000" w:sz="4"/>
                    <w:left w:val="single" w:color="000000" w:sz="4"/>
                    <w:bottom w:val="single" w:color="000000" w:sz="4"/>
                    <w:right w:val="single" w:color="000000" w:sz="4"/>
                  </w:tcBorders>
                </w:tcPr>
                <w:p>
                  <w:pPr>
                    <w:jc w:val="center"/>
                  </w:pPr>
                  <w:r>
                    <w:rPr/>
                    <w:t>5</w:t>
                  </w:r>
                </w:p>
              </w:tc>
              <w:tc>
                <w:tcPr>
                  <w:tcW w:type="dxa" w:w="1385"/>
                  <w:tcBorders>
                    <w:top w:val="none" w:color="000000" w:sz="4"/>
                    <w:left w:val="none" w:color="000000" w:sz="4"/>
                    <w:bottom w:val="single" w:color="000000" w:sz="4"/>
                    <w:right w:val="single" w:color="000000" w:sz="4"/>
                  </w:tcBorders>
                </w:tcPr>
                <w:p>
                  <w:pPr>
                    <w:jc w:val="center"/>
                  </w:pPr>
                  <w:r>
                    <w:rPr/>
                    <w:t>系统应急响应预案</w:t>
                  </w:r>
                </w:p>
              </w:tc>
              <w:tc>
                <w:tcPr>
                  <w:tcW w:type="dxa" w:w="750"/>
                  <w:tcBorders>
                    <w:top w:val="none" w:color="000000" w:sz="4"/>
                    <w:left w:val="none" w:color="000000" w:sz="4"/>
                    <w:bottom w:val="single" w:color="000000" w:sz="4"/>
                    <w:right w:val="single" w:color="000000" w:sz="4"/>
                  </w:tcBorders>
                </w:tcPr>
                <w:p>
                  <w:pPr>
                    <w:jc w:val="center"/>
                  </w:pPr>
                  <w:r>
                    <w:rPr/>
                    <w:t>1</w:t>
                  </w:r>
                  <w:r>
                    <w:rPr/>
                    <w:t>套</w:t>
                  </w:r>
                </w:p>
              </w:tc>
              <w:tc>
                <w:tcPr>
                  <w:tcW w:type="dxa" w:w="1212"/>
                  <w:tcBorders>
                    <w:top w:val="none" w:color="000000" w:sz="4"/>
                    <w:left w:val="none" w:color="000000" w:sz="4"/>
                    <w:bottom w:val="single" w:color="000000" w:sz="4"/>
                    <w:right w:val="single" w:color="000000" w:sz="4"/>
                  </w:tcBorders>
                </w:tcPr>
                <w:p>
                  <w:pPr>
                    <w:jc w:val="center"/>
                  </w:pPr>
                  <w:r>
                    <w:rPr/>
                    <w:t>电子文档</w:t>
                  </w:r>
                </w:p>
              </w:tc>
              <w:tc>
                <w:tcPr>
                  <w:tcW w:type="dxa" w:w="1616"/>
                  <w:tcBorders>
                    <w:top w:val="none" w:color="000000" w:sz="4"/>
                    <w:left w:val="none" w:color="000000" w:sz="4"/>
                    <w:bottom w:val="single" w:color="000000" w:sz="4"/>
                    <w:right w:val="single" w:color="000000" w:sz="4"/>
                  </w:tcBorders>
                </w:tcPr>
                <w:p>
                  <w:pPr>
                    <w:jc w:val="center"/>
                  </w:pPr>
                  <w:r>
                    <w:rPr/>
                    <w:t>实时更新</w:t>
                  </w:r>
                </w:p>
              </w:tc>
            </w:tr>
            <w:tr>
              <w:tc>
                <w:tcPr>
                  <w:tcW w:type="dxa" w:w="635"/>
                  <w:tcBorders>
                    <w:top w:val="none" w:color="000000" w:sz="4"/>
                    <w:left w:val="single" w:color="000000" w:sz="4"/>
                    <w:bottom w:val="single" w:color="000000" w:sz="4"/>
                    <w:right w:val="single" w:color="000000" w:sz="4"/>
                  </w:tcBorders>
                </w:tcPr>
                <w:p>
                  <w:pPr>
                    <w:jc w:val="center"/>
                  </w:pPr>
                  <w:r>
                    <w:rPr/>
                    <w:t>6</w:t>
                  </w:r>
                </w:p>
              </w:tc>
              <w:tc>
                <w:tcPr>
                  <w:tcW w:type="dxa" w:w="1385"/>
                  <w:tcBorders>
                    <w:top w:val="none" w:color="000000" w:sz="4"/>
                    <w:left w:val="none" w:color="000000" w:sz="4"/>
                    <w:bottom w:val="single" w:color="000000" w:sz="4"/>
                    <w:right w:val="single" w:color="000000" w:sz="4"/>
                  </w:tcBorders>
                </w:tcPr>
                <w:p>
                  <w:pPr>
                    <w:jc w:val="center"/>
                  </w:pPr>
                  <w:r>
                    <w:rPr/>
                    <w:t>系统数据备份与恢复方案</w:t>
                  </w:r>
                </w:p>
              </w:tc>
              <w:tc>
                <w:tcPr>
                  <w:tcW w:type="dxa" w:w="750"/>
                  <w:tcBorders>
                    <w:top w:val="none" w:color="000000" w:sz="4"/>
                    <w:left w:val="none" w:color="000000" w:sz="4"/>
                    <w:bottom w:val="single" w:color="000000" w:sz="4"/>
                    <w:right w:val="single" w:color="000000" w:sz="4"/>
                  </w:tcBorders>
                </w:tcPr>
                <w:p>
                  <w:pPr>
                    <w:jc w:val="center"/>
                  </w:pPr>
                  <w:r>
                    <w:rPr/>
                    <w:t>1</w:t>
                  </w:r>
                  <w:r>
                    <w:rPr/>
                    <w:t>套</w:t>
                  </w:r>
                </w:p>
              </w:tc>
              <w:tc>
                <w:tcPr>
                  <w:tcW w:type="dxa" w:w="1212"/>
                  <w:tcBorders>
                    <w:top w:val="none" w:color="000000" w:sz="4"/>
                    <w:left w:val="none" w:color="000000" w:sz="4"/>
                    <w:bottom w:val="single" w:color="000000" w:sz="4"/>
                    <w:right w:val="single" w:color="000000" w:sz="4"/>
                  </w:tcBorders>
                </w:tcPr>
                <w:p>
                  <w:pPr>
                    <w:jc w:val="center"/>
                  </w:pPr>
                  <w:r>
                    <w:rPr/>
                    <w:t>电子文档</w:t>
                  </w:r>
                </w:p>
              </w:tc>
              <w:tc>
                <w:tcPr>
                  <w:tcW w:type="dxa" w:w="1616"/>
                  <w:tcBorders>
                    <w:top w:val="none" w:color="000000" w:sz="4"/>
                    <w:left w:val="none" w:color="000000" w:sz="4"/>
                    <w:bottom w:val="single" w:color="000000" w:sz="4"/>
                    <w:right w:val="single" w:color="000000" w:sz="4"/>
                  </w:tcBorders>
                </w:tcPr>
                <w:p>
                  <w:pPr>
                    <w:jc w:val="center"/>
                  </w:pPr>
                  <w:r>
                    <w:rPr/>
                    <w:t>实时更新</w:t>
                  </w:r>
                </w:p>
              </w:tc>
            </w:tr>
            <w:tr>
              <w:tc>
                <w:tcPr>
                  <w:tcW w:type="dxa" w:w="635"/>
                  <w:tcBorders>
                    <w:top w:val="none" w:color="000000" w:sz="4"/>
                    <w:left w:val="single" w:color="000000" w:sz="4"/>
                    <w:bottom w:val="single" w:color="000000" w:sz="4"/>
                    <w:right w:val="single" w:color="000000" w:sz="4"/>
                  </w:tcBorders>
                </w:tcPr>
                <w:p>
                  <w:pPr>
                    <w:jc w:val="center"/>
                  </w:pPr>
                  <w:r>
                    <w:rPr/>
                    <w:t>8</w:t>
                  </w:r>
                </w:p>
              </w:tc>
              <w:tc>
                <w:tcPr>
                  <w:tcW w:type="dxa" w:w="1385"/>
                  <w:tcBorders>
                    <w:top w:val="none" w:color="000000" w:sz="4"/>
                    <w:left w:val="none" w:color="000000" w:sz="4"/>
                    <w:bottom w:val="single" w:color="000000" w:sz="4"/>
                    <w:right w:val="single" w:color="000000" w:sz="4"/>
                  </w:tcBorders>
                </w:tcPr>
                <w:p>
                  <w:pPr>
                    <w:jc w:val="center"/>
                  </w:pPr>
                  <w:r>
                    <w:rPr>
                      <w:sz w:val="21"/>
                    </w:rPr>
                    <w:t>系统运维台帐及维护月报</w:t>
                  </w:r>
                </w:p>
              </w:tc>
              <w:tc>
                <w:tcPr>
                  <w:tcW w:type="dxa" w:w="750"/>
                  <w:tcBorders>
                    <w:top w:val="none" w:color="000000" w:sz="4"/>
                    <w:left w:val="none" w:color="000000" w:sz="4"/>
                    <w:bottom w:val="single" w:color="000000" w:sz="4"/>
                    <w:right w:val="single" w:color="000000" w:sz="4"/>
                  </w:tcBorders>
                </w:tcPr>
                <w:p>
                  <w:pPr>
                    <w:jc w:val="center"/>
                  </w:pPr>
                  <w:r>
                    <w:rPr/>
                    <w:t>1</w:t>
                  </w:r>
                  <w:r>
                    <w:rPr/>
                    <w:t>套</w:t>
                  </w:r>
                </w:p>
              </w:tc>
              <w:tc>
                <w:tcPr>
                  <w:tcW w:type="dxa" w:w="1212"/>
                  <w:tcBorders>
                    <w:top w:val="none" w:color="000000" w:sz="4"/>
                    <w:left w:val="none" w:color="000000" w:sz="4"/>
                    <w:bottom w:val="single" w:color="000000" w:sz="4"/>
                    <w:right w:val="single" w:color="000000" w:sz="4"/>
                  </w:tcBorders>
                </w:tcPr>
                <w:p>
                  <w:pPr>
                    <w:jc w:val="center"/>
                  </w:pPr>
                  <w:r>
                    <w:rPr/>
                    <w:t>电子文档</w:t>
                  </w:r>
                </w:p>
              </w:tc>
              <w:tc>
                <w:tcPr>
                  <w:tcW w:type="dxa" w:w="1616"/>
                  <w:tcBorders>
                    <w:top w:val="none" w:color="000000" w:sz="4"/>
                    <w:left w:val="none" w:color="000000" w:sz="4"/>
                    <w:bottom w:val="single" w:color="000000" w:sz="4"/>
                    <w:right w:val="single" w:color="000000" w:sz="4"/>
                  </w:tcBorders>
                </w:tcPr>
                <w:p>
                  <w:pPr>
                    <w:jc w:val="center"/>
                  </w:pPr>
                  <w:r>
                    <w:rPr/>
                    <w:t>每月5日前提交上一月</w:t>
                  </w:r>
                </w:p>
              </w:tc>
            </w:tr>
            <w:tr>
              <w:tc>
                <w:tcPr>
                  <w:tcW w:type="dxa" w:w="635"/>
                  <w:tcBorders>
                    <w:top w:val="none" w:color="000000" w:sz="4"/>
                    <w:left w:val="single" w:color="000000" w:sz="4"/>
                    <w:bottom w:val="single" w:color="000000" w:sz="4"/>
                    <w:right w:val="single" w:color="000000" w:sz="4"/>
                  </w:tcBorders>
                </w:tcPr>
                <w:p>
                  <w:pPr>
                    <w:jc w:val="center"/>
                  </w:pPr>
                  <w:r>
                    <w:rPr/>
                    <w:t>9</w:t>
                  </w:r>
                </w:p>
              </w:tc>
              <w:tc>
                <w:tcPr>
                  <w:tcW w:type="dxa" w:w="1385"/>
                  <w:tcBorders>
                    <w:top w:val="none" w:color="000000" w:sz="4"/>
                    <w:left w:val="none" w:color="000000" w:sz="4"/>
                    <w:bottom w:val="single" w:color="000000" w:sz="4"/>
                    <w:right w:val="single" w:color="000000" w:sz="4"/>
                  </w:tcBorders>
                </w:tcPr>
                <w:p>
                  <w:pPr>
                    <w:jc w:val="center"/>
                  </w:pPr>
                  <w:r>
                    <w:rPr>
                      <w:sz w:val="21"/>
                    </w:rPr>
                    <w:t>系统源代码（含全面注释）</w:t>
                  </w:r>
                </w:p>
              </w:tc>
              <w:tc>
                <w:tcPr>
                  <w:tcW w:type="dxa" w:w="750"/>
                  <w:tcBorders>
                    <w:top w:val="none" w:color="000000" w:sz="4"/>
                    <w:left w:val="none" w:color="000000" w:sz="4"/>
                    <w:bottom w:val="single" w:color="000000" w:sz="4"/>
                    <w:right w:val="single" w:color="000000" w:sz="4"/>
                  </w:tcBorders>
                </w:tcPr>
                <w:p>
                  <w:pPr>
                    <w:jc w:val="center"/>
                  </w:pPr>
                  <w:r>
                    <w:rPr/>
                    <w:t>1</w:t>
                  </w:r>
                  <w:r>
                    <w:rPr/>
                    <w:t>套</w:t>
                  </w:r>
                </w:p>
              </w:tc>
              <w:tc>
                <w:tcPr>
                  <w:tcW w:type="dxa" w:w="1212"/>
                  <w:tcBorders>
                    <w:top w:val="none" w:color="000000" w:sz="4"/>
                    <w:left w:val="none" w:color="000000" w:sz="4"/>
                    <w:bottom w:val="single" w:color="000000" w:sz="4"/>
                    <w:right w:val="single" w:color="000000" w:sz="4"/>
                  </w:tcBorders>
                </w:tcPr>
                <w:p>
                  <w:pPr>
                    <w:jc w:val="center"/>
                  </w:pPr>
                  <w:r>
                    <w:rPr/>
                    <w:t>光盘或拷贝</w:t>
                  </w:r>
                </w:p>
              </w:tc>
              <w:tc>
                <w:tcPr>
                  <w:tcW w:type="dxa" w:w="1616"/>
                  <w:tcBorders>
                    <w:top w:val="none" w:color="000000" w:sz="4"/>
                    <w:left w:val="none" w:color="000000" w:sz="4"/>
                    <w:bottom w:val="single" w:color="000000" w:sz="4"/>
                    <w:right w:val="single" w:color="000000" w:sz="4"/>
                  </w:tcBorders>
                </w:tcPr>
                <w:p>
                  <w:pPr>
                    <w:jc w:val="center"/>
                  </w:pPr>
                  <w:r>
                    <w:rPr/>
                    <w:t>年末或项目运维结束时提交1次当前版本系统的全部代码（含系统建设阶段的代码）。源代码的含义，运维公司有解释清楚的义务。对于为本系统开发的源代码，若经过了封装，应提供封装前的源代码。运维期间，运维公司需根据市自然资源局的要求随时提供源代码</w:t>
                  </w:r>
                </w:p>
              </w:tc>
            </w:tr>
            <w:tr>
              <w:tc>
                <w:tcPr>
                  <w:tcW w:type="dxa" w:w="635"/>
                  <w:tcBorders>
                    <w:top w:val="none" w:color="000000" w:sz="4"/>
                    <w:left w:val="single" w:color="000000" w:sz="4"/>
                    <w:bottom w:val="single" w:color="000000" w:sz="4"/>
                    <w:right w:val="single" w:color="000000" w:sz="4"/>
                  </w:tcBorders>
                </w:tcPr>
                <w:p>
                  <w:pPr>
                    <w:jc w:val="center"/>
                  </w:pPr>
                  <w:r>
                    <w:rPr/>
                    <w:t>10</w:t>
                  </w:r>
                </w:p>
              </w:tc>
              <w:tc>
                <w:tcPr>
                  <w:tcW w:type="dxa" w:w="1385"/>
                  <w:tcBorders>
                    <w:top w:val="none" w:color="000000" w:sz="4"/>
                    <w:left w:val="none" w:color="000000" w:sz="4"/>
                    <w:bottom w:val="single" w:color="000000" w:sz="4"/>
                    <w:right w:val="single" w:color="000000" w:sz="4"/>
                  </w:tcBorders>
                </w:tcPr>
                <w:p>
                  <w:pPr>
                    <w:jc w:val="center"/>
                  </w:pPr>
                  <w:r>
                    <w:rPr>
                      <w:sz w:val="21"/>
                    </w:rPr>
                    <w:t>数据库设计文档</w:t>
                  </w:r>
                </w:p>
              </w:tc>
              <w:tc>
                <w:tcPr>
                  <w:tcW w:type="dxa" w:w="750"/>
                  <w:tcBorders>
                    <w:top w:val="none" w:color="000000" w:sz="4"/>
                    <w:left w:val="none" w:color="000000" w:sz="4"/>
                    <w:bottom w:val="single" w:color="000000" w:sz="4"/>
                    <w:right w:val="single" w:color="000000" w:sz="4"/>
                  </w:tcBorders>
                </w:tcPr>
                <w:p>
                  <w:pPr>
                    <w:jc w:val="center"/>
                  </w:pPr>
                  <w:r>
                    <w:rPr/>
                    <w:t>1</w:t>
                  </w:r>
                  <w:r>
                    <w:rPr/>
                    <w:t>套</w:t>
                  </w:r>
                </w:p>
              </w:tc>
              <w:tc>
                <w:tcPr>
                  <w:tcW w:type="dxa" w:w="1212"/>
                  <w:tcBorders>
                    <w:top w:val="none" w:color="000000" w:sz="4"/>
                    <w:left w:val="none" w:color="000000" w:sz="4"/>
                    <w:bottom w:val="single" w:color="000000" w:sz="4"/>
                    <w:right w:val="single" w:color="000000" w:sz="4"/>
                  </w:tcBorders>
                </w:tcPr>
                <w:p>
                  <w:pPr>
                    <w:jc w:val="center"/>
                  </w:pPr>
                  <w:r>
                    <w:rPr/>
                    <w:t>电子文档</w:t>
                  </w:r>
                </w:p>
              </w:tc>
              <w:tc>
                <w:tcPr>
                  <w:tcW w:type="dxa" w:w="1616"/>
                  <w:tcBorders>
                    <w:top w:val="none" w:color="000000" w:sz="4"/>
                    <w:left w:val="none" w:color="000000" w:sz="4"/>
                    <w:bottom w:val="single" w:color="000000" w:sz="4"/>
                    <w:right w:val="single" w:color="000000" w:sz="4"/>
                  </w:tcBorders>
                </w:tcPr>
                <w:p>
                  <w:pPr>
                    <w:jc w:val="center"/>
                  </w:pPr>
                  <w:r>
                    <w:rPr/>
                    <w:t>项目完成交付后提交一次</w:t>
                  </w:r>
                </w:p>
              </w:tc>
            </w:tr>
            <w:tr>
              <w:tc>
                <w:tcPr>
                  <w:tcW w:type="dxa" w:w="635"/>
                  <w:tcBorders>
                    <w:top w:val="none" w:color="000000" w:sz="4"/>
                    <w:left w:val="single" w:color="000000" w:sz="4"/>
                    <w:bottom w:val="single" w:color="000000" w:sz="4"/>
                    <w:right w:val="single" w:color="000000" w:sz="4"/>
                  </w:tcBorders>
                </w:tcPr>
                <w:p>
                  <w:pPr>
                    <w:jc w:val="center"/>
                  </w:pPr>
                  <w:r>
                    <w:rPr/>
                    <w:t>11</w:t>
                  </w:r>
                </w:p>
              </w:tc>
              <w:tc>
                <w:tcPr>
                  <w:tcW w:type="dxa" w:w="1385"/>
                  <w:tcBorders>
                    <w:top w:val="none" w:color="000000" w:sz="4"/>
                    <w:left w:val="none" w:color="000000" w:sz="4"/>
                    <w:bottom w:val="single" w:color="000000" w:sz="4"/>
                    <w:right w:val="single" w:color="000000" w:sz="4"/>
                  </w:tcBorders>
                </w:tcPr>
                <w:p>
                  <w:pPr>
                    <w:jc w:val="center"/>
                  </w:pPr>
                  <w:r>
                    <w:rPr>
                      <w:sz w:val="21"/>
                    </w:rPr>
                    <w:t>系统部署手册（含服务器部署和客户端安装）</w:t>
                  </w:r>
                </w:p>
              </w:tc>
              <w:tc>
                <w:tcPr>
                  <w:tcW w:type="dxa" w:w="750"/>
                  <w:tcBorders>
                    <w:top w:val="none" w:color="000000" w:sz="4"/>
                    <w:left w:val="none" w:color="000000" w:sz="4"/>
                    <w:bottom w:val="single" w:color="000000" w:sz="4"/>
                    <w:right w:val="single" w:color="000000" w:sz="4"/>
                  </w:tcBorders>
                </w:tcPr>
                <w:p>
                  <w:pPr>
                    <w:jc w:val="center"/>
                  </w:pPr>
                  <w:r>
                    <w:rPr/>
                    <w:t>1</w:t>
                  </w:r>
                  <w:r>
                    <w:rPr/>
                    <w:t>套</w:t>
                  </w:r>
                </w:p>
              </w:tc>
              <w:tc>
                <w:tcPr>
                  <w:tcW w:type="dxa" w:w="1212"/>
                  <w:tcBorders>
                    <w:top w:val="none" w:color="000000" w:sz="4"/>
                    <w:left w:val="none" w:color="000000" w:sz="4"/>
                    <w:bottom w:val="single" w:color="000000" w:sz="4"/>
                    <w:right w:val="single" w:color="000000" w:sz="4"/>
                  </w:tcBorders>
                </w:tcPr>
                <w:p>
                  <w:pPr>
                    <w:jc w:val="center"/>
                  </w:pPr>
                  <w:r>
                    <w:rPr/>
                    <w:t>电子文档</w:t>
                  </w:r>
                </w:p>
              </w:tc>
              <w:tc>
                <w:tcPr>
                  <w:tcW w:type="dxa" w:w="1616"/>
                  <w:tcBorders>
                    <w:top w:val="none" w:color="000000" w:sz="4"/>
                    <w:left w:val="none" w:color="000000" w:sz="4"/>
                    <w:bottom w:val="single" w:color="000000" w:sz="4"/>
                    <w:right w:val="single" w:color="000000" w:sz="4"/>
                  </w:tcBorders>
                </w:tcPr>
                <w:p>
                  <w:pPr>
                    <w:jc w:val="center"/>
                  </w:pPr>
                  <w:r>
                    <w:rPr/>
                    <w:t>项目完成交付后提交一次</w:t>
                  </w:r>
                </w:p>
              </w:tc>
            </w:tr>
            <w:tr>
              <w:tc>
                <w:tcPr>
                  <w:tcW w:type="dxa" w:w="635"/>
                  <w:tcBorders>
                    <w:top w:val="none" w:color="000000" w:sz="4"/>
                    <w:left w:val="single" w:color="000000" w:sz="4"/>
                    <w:bottom w:val="single" w:color="000000" w:sz="4"/>
                    <w:right w:val="single" w:color="000000" w:sz="4"/>
                  </w:tcBorders>
                </w:tcPr>
                <w:p>
                  <w:pPr>
                    <w:jc w:val="center"/>
                  </w:pPr>
                  <w:r>
                    <w:rPr/>
                    <w:t>12</w:t>
                  </w:r>
                </w:p>
              </w:tc>
              <w:tc>
                <w:tcPr>
                  <w:tcW w:type="dxa" w:w="1385"/>
                  <w:tcBorders>
                    <w:top w:val="none" w:color="000000" w:sz="4"/>
                    <w:left w:val="none" w:color="000000" w:sz="4"/>
                    <w:bottom w:val="single" w:color="000000" w:sz="4"/>
                    <w:right w:val="single" w:color="000000" w:sz="4"/>
                  </w:tcBorders>
                </w:tcPr>
                <w:p>
                  <w:pPr>
                    <w:jc w:val="center"/>
                  </w:pPr>
                  <w:r>
                    <w:rPr>
                      <w:sz w:val="21"/>
                    </w:rPr>
                    <w:t>系统用户操作手册</w:t>
                  </w:r>
                </w:p>
              </w:tc>
              <w:tc>
                <w:tcPr>
                  <w:tcW w:type="dxa" w:w="750"/>
                  <w:tcBorders>
                    <w:top w:val="none" w:color="000000" w:sz="4"/>
                    <w:left w:val="none" w:color="000000" w:sz="4"/>
                    <w:bottom w:val="single" w:color="000000" w:sz="4"/>
                    <w:right w:val="single" w:color="000000" w:sz="4"/>
                  </w:tcBorders>
                </w:tcPr>
                <w:p>
                  <w:pPr>
                    <w:jc w:val="center"/>
                  </w:pPr>
                  <w:r>
                    <w:rPr/>
                    <w:t>1</w:t>
                  </w:r>
                  <w:r>
                    <w:rPr/>
                    <w:t>套</w:t>
                  </w:r>
                </w:p>
              </w:tc>
              <w:tc>
                <w:tcPr>
                  <w:tcW w:type="dxa" w:w="1212"/>
                  <w:tcBorders>
                    <w:top w:val="none" w:color="000000" w:sz="4"/>
                    <w:left w:val="none" w:color="000000" w:sz="4"/>
                    <w:bottom w:val="single" w:color="000000" w:sz="4"/>
                    <w:right w:val="single" w:color="000000" w:sz="4"/>
                  </w:tcBorders>
                </w:tcPr>
                <w:p>
                  <w:pPr>
                    <w:jc w:val="center"/>
                  </w:pPr>
                  <w:r>
                    <w:rPr/>
                    <w:t>电子文档</w:t>
                  </w:r>
                </w:p>
              </w:tc>
              <w:tc>
                <w:tcPr>
                  <w:tcW w:type="dxa" w:w="1616"/>
                  <w:tcBorders>
                    <w:top w:val="none" w:color="000000" w:sz="4"/>
                    <w:left w:val="none" w:color="000000" w:sz="4"/>
                    <w:bottom w:val="single" w:color="000000" w:sz="4"/>
                    <w:right w:val="single" w:color="000000" w:sz="4"/>
                  </w:tcBorders>
                </w:tcPr>
                <w:p>
                  <w:pPr>
                    <w:jc w:val="center"/>
                  </w:pPr>
                  <w:r>
                    <w:rPr/>
                    <w:t>项目完成交付后提交一次</w:t>
                  </w:r>
                </w:p>
              </w:tc>
            </w:tr>
            <w:tr>
              <w:tc>
                <w:tcPr>
                  <w:tcW w:type="dxa" w:w="635"/>
                  <w:tcBorders>
                    <w:top w:val="none" w:color="000000" w:sz="4"/>
                    <w:left w:val="single" w:color="000000" w:sz="4"/>
                    <w:bottom w:val="single" w:color="000000" w:sz="4"/>
                    <w:right w:val="single" w:color="000000" w:sz="4"/>
                  </w:tcBorders>
                </w:tcPr>
                <w:p>
                  <w:pPr>
                    <w:jc w:val="center"/>
                  </w:pPr>
                  <w:r>
                    <w:rPr/>
                    <w:t>13</w:t>
                  </w:r>
                </w:p>
              </w:tc>
              <w:tc>
                <w:tcPr>
                  <w:tcW w:type="dxa" w:w="1385"/>
                  <w:tcBorders>
                    <w:top w:val="none" w:color="000000" w:sz="4"/>
                    <w:left w:val="none" w:color="000000" w:sz="4"/>
                    <w:bottom w:val="single" w:color="000000" w:sz="4"/>
                    <w:right w:val="single" w:color="000000" w:sz="4"/>
                  </w:tcBorders>
                </w:tcPr>
                <w:p>
                  <w:pPr>
                    <w:jc w:val="center"/>
                  </w:pPr>
                  <w:r>
                    <w:rPr>
                      <w:sz w:val="21"/>
                    </w:rPr>
                    <w:t>系统服务器端及客户端的全套软件安装包</w:t>
                  </w:r>
                </w:p>
              </w:tc>
              <w:tc>
                <w:tcPr>
                  <w:tcW w:type="dxa" w:w="750"/>
                  <w:tcBorders>
                    <w:top w:val="none" w:color="000000" w:sz="4"/>
                    <w:left w:val="none" w:color="000000" w:sz="4"/>
                    <w:bottom w:val="single" w:color="000000" w:sz="4"/>
                    <w:right w:val="single" w:color="000000" w:sz="4"/>
                  </w:tcBorders>
                </w:tcPr>
                <w:p>
                  <w:pPr>
                    <w:jc w:val="center"/>
                  </w:pPr>
                  <w:r>
                    <w:rPr/>
                    <w:t>1</w:t>
                  </w:r>
                  <w:r>
                    <w:rPr/>
                    <w:t>套</w:t>
                  </w:r>
                </w:p>
              </w:tc>
              <w:tc>
                <w:tcPr>
                  <w:tcW w:type="dxa" w:w="1212"/>
                  <w:tcBorders>
                    <w:top w:val="none" w:color="000000" w:sz="4"/>
                    <w:left w:val="none" w:color="000000" w:sz="4"/>
                    <w:bottom w:val="single" w:color="000000" w:sz="4"/>
                    <w:right w:val="single" w:color="000000" w:sz="4"/>
                  </w:tcBorders>
                </w:tcPr>
                <w:p>
                  <w:pPr>
                    <w:jc w:val="center"/>
                  </w:pPr>
                  <w:r>
                    <w:rPr/>
                    <w:t>光盘或拷贝</w:t>
                  </w:r>
                </w:p>
              </w:tc>
              <w:tc>
                <w:tcPr>
                  <w:tcW w:type="dxa" w:w="1616"/>
                  <w:tcBorders>
                    <w:top w:val="none" w:color="000000" w:sz="4"/>
                    <w:left w:val="none" w:color="000000" w:sz="4"/>
                    <w:bottom w:val="single" w:color="000000" w:sz="4"/>
                    <w:right w:val="single" w:color="000000" w:sz="4"/>
                  </w:tcBorders>
                </w:tcPr>
                <w:p>
                  <w:pPr>
                    <w:jc w:val="center"/>
                  </w:pPr>
                  <w:r>
                    <w:rPr/>
                    <w:t>项目结束时提交1次。运维期间，运维公司需根据市自然资源局的要求随时提交</w:t>
                  </w:r>
                </w:p>
              </w:tc>
            </w:tr>
            <w:tr>
              <w:tc>
                <w:tcPr>
                  <w:tcW w:type="dxa" w:w="635"/>
                  <w:tcBorders>
                    <w:top w:val="none" w:color="000000" w:sz="4"/>
                    <w:left w:val="single" w:color="000000" w:sz="4"/>
                    <w:bottom w:val="single" w:color="000000" w:sz="4"/>
                    <w:right w:val="single" w:color="000000" w:sz="4"/>
                  </w:tcBorders>
                </w:tcPr>
                <w:p>
                  <w:pPr>
                    <w:jc w:val="center"/>
                  </w:pPr>
                  <w:r>
                    <w:rPr/>
                    <w:t>14</w:t>
                  </w:r>
                </w:p>
              </w:tc>
              <w:tc>
                <w:tcPr>
                  <w:tcW w:type="dxa" w:w="1385"/>
                  <w:tcBorders>
                    <w:top w:val="none" w:color="000000" w:sz="4"/>
                    <w:left w:val="none" w:color="000000" w:sz="4"/>
                    <w:bottom w:val="single" w:color="000000" w:sz="4"/>
                    <w:right w:val="single" w:color="000000" w:sz="4"/>
                  </w:tcBorders>
                </w:tcPr>
                <w:p>
                  <w:pPr>
                    <w:jc w:val="center"/>
                  </w:pPr>
                  <w:r>
                    <w:rPr>
                      <w:sz w:val="21"/>
                    </w:rPr>
                    <w:t>网络安全报告</w:t>
                  </w:r>
                </w:p>
              </w:tc>
              <w:tc>
                <w:tcPr>
                  <w:tcW w:type="dxa" w:w="750"/>
                  <w:tcBorders>
                    <w:top w:val="none" w:color="000000" w:sz="4"/>
                    <w:left w:val="none" w:color="000000" w:sz="4"/>
                    <w:bottom w:val="single" w:color="000000" w:sz="4"/>
                    <w:right w:val="single" w:color="000000" w:sz="4"/>
                  </w:tcBorders>
                </w:tcPr>
                <w:p>
                  <w:pPr>
                    <w:jc w:val="center"/>
                  </w:pPr>
                  <w:r>
                    <w:rPr/>
                    <w:t>1</w:t>
                  </w:r>
                  <w:r>
                    <w:rPr/>
                    <w:t>套</w:t>
                  </w:r>
                </w:p>
              </w:tc>
              <w:tc>
                <w:tcPr>
                  <w:tcW w:type="dxa" w:w="1212"/>
                  <w:tcBorders>
                    <w:top w:val="none" w:color="000000" w:sz="4"/>
                    <w:left w:val="none" w:color="000000" w:sz="4"/>
                    <w:bottom w:val="single" w:color="000000" w:sz="4"/>
                    <w:right w:val="single" w:color="000000" w:sz="4"/>
                  </w:tcBorders>
                </w:tcPr>
                <w:p>
                  <w:pPr>
                    <w:jc w:val="center"/>
                  </w:pPr>
                  <w:r>
                    <w:rPr/>
                    <w:t>电子文档</w:t>
                  </w:r>
                </w:p>
              </w:tc>
              <w:tc>
                <w:tcPr>
                  <w:tcW w:type="dxa" w:w="1616"/>
                  <w:tcBorders>
                    <w:top w:val="none" w:color="000000" w:sz="4"/>
                    <w:left w:val="none" w:color="000000" w:sz="4"/>
                    <w:bottom w:val="single" w:color="000000" w:sz="4"/>
                    <w:right w:val="single" w:color="000000" w:sz="4"/>
                  </w:tcBorders>
                </w:tcPr>
                <w:p>
                  <w:pPr>
                    <w:jc w:val="center"/>
                  </w:pPr>
                  <w:r>
                    <w:rPr/>
                    <w:t>包括数据安全管理措施、关键软件供应链安全情况、管理技术团队变化情况等，项目结束时提交1次。</w:t>
                  </w:r>
                </w:p>
              </w:tc>
            </w:tr>
          </w:tbl>
          <w:p>
            <w:pPr>
              <w:jc w:val="both"/>
            </w:pPr>
            <w:r>
              <w:rPr>
                <w:b/>
                <w:sz w:val="21"/>
              </w:rPr>
              <w:t xml:space="preserve">2)     </w:t>
            </w:r>
            <w:r>
              <w:rPr>
                <w:b/>
                <w:sz w:val="21"/>
              </w:rPr>
              <w:t>条件性成果</w:t>
            </w:r>
          </w:p>
          <w:p>
            <w:pPr>
              <w:jc w:val="both"/>
            </w:pPr>
            <w:r>
              <w:rPr>
                <w:b/>
                <w:sz w:val="21"/>
              </w:rPr>
              <w:t>2.9.2.1.</w:t>
            </w:r>
            <w:r>
              <w:rPr>
                <w:b/>
                <w:sz w:val="21"/>
              </w:rPr>
              <w:t>有新增功能优化及服务</w:t>
            </w:r>
          </w:p>
          <w:p>
            <w:r>
              <w:rPr>
                <w:sz w:val="21"/>
              </w:rPr>
              <w:t>如果中山市自然资源综合业务平台及自然资源决策支持平台有新增功能优化及服务</w:t>
            </w:r>
            <w:r>
              <w:rPr>
                <w:sz w:val="21"/>
              </w:rPr>
              <w:t>,</w:t>
            </w:r>
            <w:r>
              <w:rPr>
                <w:sz w:val="21"/>
              </w:rPr>
              <w:t>已新增运维服务表单形式提交，相应更新。如下表：</w:t>
            </w:r>
          </w:p>
          <w:tbl>
            <w:tblPr>
              <w:tblBorders>
                <w:top w:val="none" w:color="000000" w:sz="4"/>
                <w:left w:val="none" w:color="000000" w:sz="4"/>
                <w:bottom w:val="none" w:color="000000" w:sz="4"/>
                <w:right w:val="none" w:color="000000" w:sz="4"/>
                <w:insideH w:val="none"/>
                <w:insideV w:val="none"/>
              </w:tblBorders>
            </w:tblPr>
            <w:tblGrid>
              <w:gridCol w:w="635"/>
              <w:gridCol w:w="1847"/>
              <w:gridCol w:w="577"/>
              <w:gridCol w:w="1270"/>
              <w:gridCol w:w="1270"/>
            </w:tblGrid>
            <w:tr>
              <w:tc>
                <w:tcPr>
                  <w:tcW w:type="dxa" w:w="635"/>
                  <w:tcBorders>
                    <w:top w:val="single" w:color="000000" w:sz="4"/>
                    <w:left w:val="single" w:color="000000" w:sz="4"/>
                    <w:bottom w:val="single" w:color="000000" w:sz="4"/>
                    <w:right w:val="single" w:color="000000" w:sz="4"/>
                  </w:tcBorders>
                </w:tcPr>
                <w:p>
                  <w:pPr>
                    <w:jc w:val="center"/>
                  </w:pPr>
                  <w:r>
                    <w:rPr>
                      <w:b/>
                    </w:rPr>
                    <w:t>序号</w:t>
                  </w:r>
                </w:p>
              </w:tc>
              <w:tc>
                <w:tcPr>
                  <w:tcW w:type="dxa" w:w="1847"/>
                  <w:tcBorders>
                    <w:top w:val="single" w:color="000000" w:sz="4"/>
                    <w:left w:val="none" w:color="000000" w:sz="4"/>
                    <w:bottom w:val="single" w:color="000000" w:sz="4"/>
                    <w:right w:val="single" w:color="000000" w:sz="4"/>
                  </w:tcBorders>
                </w:tcPr>
                <w:p>
                  <w:pPr>
                    <w:jc w:val="center"/>
                  </w:pPr>
                  <w:r>
                    <w:rPr>
                      <w:b/>
                    </w:rPr>
                    <w:t>成果名称</w:t>
                  </w:r>
                </w:p>
              </w:tc>
              <w:tc>
                <w:tcPr>
                  <w:tcW w:type="dxa" w:w="577"/>
                  <w:tcBorders>
                    <w:top w:val="single" w:color="000000" w:sz="4"/>
                    <w:left w:val="none" w:color="000000" w:sz="4"/>
                    <w:bottom w:val="single" w:color="000000" w:sz="4"/>
                    <w:right w:val="single" w:color="000000" w:sz="4"/>
                  </w:tcBorders>
                </w:tcPr>
                <w:p>
                  <w:pPr>
                    <w:jc w:val="center"/>
                  </w:pPr>
                  <w:r>
                    <w:rPr>
                      <w:b/>
                    </w:rPr>
                    <w:t>数量</w:t>
                  </w:r>
                </w:p>
              </w:tc>
              <w:tc>
                <w:tcPr>
                  <w:tcW w:type="dxa" w:w="1270"/>
                  <w:tcBorders>
                    <w:top w:val="single" w:color="000000" w:sz="4"/>
                    <w:left w:val="none" w:color="000000" w:sz="4"/>
                    <w:bottom w:val="single" w:color="000000" w:sz="4"/>
                    <w:right w:val="single" w:color="000000" w:sz="4"/>
                  </w:tcBorders>
                </w:tcPr>
                <w:p>
                  <w:pPr>
                    <w:jc w:val="center"/>
                  </w:pPr>
                  <w:r>
                    <w:rPr>
                      <w:b/>
                    </w:rPr>
                    <w:t>形 式</w:t>
                  </w:r>
                </w:p>
              </w:tc>
              <w:tc>
                <w:tcPr>
                  <w:tcW w:type="dxa" w:w="1270"/>
                  <w:tcBorders>
                    <w:top w:val="single" w:color="000000" w:sz="4"/>
                    <w:left w:val="none" w:color="000000" w:sz="4"/>
                    <w:bottom w:val="single" w:color="000000" w:sz="4"/>
                    <w:right w:val="single" w:color="000000" w:sz="4"/>
                  </w:tcBorders>
                  <w:vAlign w:val="top"/>
                </w:tcPr>
                <w:p>
                  <w:pPr>
                    <w:jc w:val="center"/>
                  </w:pPr>
                  <w:r>
                    <w:rPr>
                      <w:b/>
                    </w:rPr>
                    <w:t>要 求</w:t>
                  </w:r>
                </w:p>
              </w:tc>
            </w:tr>
            <w:tr>
              <w:tc>
                <w:tcPr>
                  <w:tcW w:type="dxa" w:w="635"/>
                  <w:tcBorders>
                    <w:top w:val="none" w:color="000000" w:sz="4"/>
                    <w:left w:val="single" w:color="000000" w:sz="4"/>
                    <w:bottom w:val="single" w:color="000000" w:sz="4"/>
                    <w:right w:val="single" w:color="000000" w:sz="4"/>
                  </w:tcBorders>
                </w:tcPr>
                <w:p>
                  <w:pPr>
                    <w:jc w:val="center"/>
                  </w:pPr>
                  <w:r>
                    <w:rPr/>
                    <w:t>1</w:t>
                  </w:r>
                </w:p>
              </w:tc>
              <w:tc>
                <w:tcPr>
                  <w:tcW w:type="dxa" w:w="1847"/>
                  <w:tcBorders>
                    <w:top w:val="none" w:color="000000" w:sz="4"/>
                    <w:left w:val="none" w:color="000000" w:sz="4"/>
                    <w:bottom w:val="single" w:color="000000" w:sz="4"/>
                    <w:right w:val="single" w:color="000000" w:sz="4"/>
                  </w:tcBorders>
                </w:tcPr>
                <w:p>
                  <w:pPr>
                    <w:jc w:val="left"/>
                  </w:pPr>
                  <w:r>
                    <w:rPr>
                      <w:sz w:val="21"/>
                    </w:rPr>
                    <w:t>运维分析及设计</w:t>
                  </w:r>
                </w:p>
              </w:tc>
              <w:tc>
                <w:tcPr>
                  <w:tcW w:type="dxa" w:w="577"/>
                  <w:tcBorders>
                    <w:top w:val="none" w:color="000000" w:sz="4"/>
                    <w:left w:val="none" w:color="000000" w:sz="4"/>
                    <w:bottom w:val="single" w:color="000000" w:sz="4"/>
                    <w:right w:val="single" w:color="000000" w:sz="4"/>
                  </w:tcBorders>
                </w:tcPr>
                <w:p>
                  <w:pPr>
                    <w:jc w:val="center"/>
                  </w:pPr>
                  <w:r>
                    <w:rPr/>
                    <w:t>1</w:t>
                  </w:r>
                  <w:r>
                    <w:rPr/>
                    <w:t>套</w:t>
                  </w:r>
                </w:p>
              </w:tc>
              <w:tc>
                <w:tcPr>
                  <w:tcW w:type="dxa" w:w="1270"/>
                  <w:tcBorders>
                    <w:top w:val="none" w:color="000000" w:sz="4"/>
                    <w:left w:val="none" w:color="000000" w:sz="4"/>
                    <w:bottom w:val="single" w:color="000000" w:sz="4"/>
                    <w:right w:val="single" w:color="000000" w:sz="4"/>
                  </w:tcBorders>
                </w:tcPr>
                <w:p>
                  <w:pPr>
                    <w:jc w:val="center"/>
                  </w:pPr>
                  <w:r>
                    <w:rPr/>
                    <w:t>电子文档（含扫描件）</w:t>
                  </w:r>
                </w:p>
              </w:tc>
              <w:tc>
                <w:tcPr>
                  <w:tcW w:type="dxa" w:w="1270"/>
                  <w:tcBorders>
                    <w:top w:val="none" w:color="000000" w:sz="4"/>
                    <w:left w:val="none" w:color="000000" w:sz="4"/>
                    <w:bottom w:val="single" w:color="000000" w:sz="4"/>
                    <w:right w:val="single" w:color="000000" w:sz="4"/>
                  </w:tcBorders>
                  <w:vAlign w:val="top"/>
                </w:tcPr>
                <w:p>
                  <w:pPr>
                    <w:jc w:val="center"/>
                  </w:pPr>
                  <w:r>
                    <w:rPr/>
                    <w:t>新增功能完成后10天内。</w:t>
                  </w:r>
                </w:p>
              </w:tc>
            </w:tr>
            <w:tr>
              <w:tc>
                <w:tcPr>
                  <w:tcW w:type="dxa" w:w="635"/>
                  <w:tcBorders>
                    <w:top w:val="none" w:color="000000" w:sz="4"/>
                    <w:left w:val="single" w:color="000000" w:sz="4"/>
                    <w:bottom w:val="single" w:color="000000" w:sz="4"/>
                    <w:right w:val="single" w:color="000000" w:sz="4"/>
                  </w:tcBorders>
                </w:tcPr>
                <w:p>
                  <w:pPr>
                    <w:jc w:val="center"/>
                  </w:pPr>
                  <w:r>
                    <w:rPr/>
                    <w:t>2</w:t>
                  </w:r>
                </w:p>
              </w:tc>
              <w:tc>
                <w:tcPr>
                  <w:tcW w:type="dxa" w:w="1847"/>
                  <w:tcBorders>
                    <w:top w:val="none" w:color="000000" w:sz="4"/>
                    <w:left w:val="none" w:color="000000" w:sz="4"/>
                    <w:bottom w:val="single" w:color="000000" w:sz="4"/>
                    <w:right w:val="single" w:color="000000" w:sz="4"/>
                  </w:tcBorders>
                </w:tcPr>
                <w:p>
                  <w:pPr>
                    <w:jc w:val="left"/>
                  </w:pPr>
                  <w:r>
                    <w:rPr>
                      <w:sz w:val="21"/>
                    </w:rPr>
                    <w:t>新增功能技术方案</w:t>
                  </w:r>
                </w:p>
              </w:tc>
              <w:tc>
                <w:tcPr>
                  <w:tcW w:type="dxa" w:w="577"/>
                  <w:tcBorders>
                    <w:top w:val="none" w:color="000000" w:sz="4"/>
                    <w:left w:val="none" w:color="000000" w:sz="4"/>
                    <w:bottom w:val="single" w:color="000000" w:sz="4"/>
                    <w:right w:val="single" w:color="000000" w:sz="4"/>
                  </w:tcBorders>
                </w:tcPr>
                <w:p>
                  <w:pPr>
                    <w:jc w:val="center"/>
                  </w:pPr>
                  <w:r>
                    <w:rPr/>
                    <w:t>1</w:t>
                  </w:r>
                  <w:r>
                    <w:rPr/>
                    <w:t>套</w:t>
                  </w:r>
                </w:p>
              </w:tc>
              <w:tc>
                <w:tcPr>
                  <w:tcW w:type="dxa" w:w="1270"/>
                  <w:tcBorders>
                    <w:top w:val="none" w:color="000000" w:sz="4"/>
                    <w:left w:val="none" w:color="000000" w:sz="4"/>
                    <w:bottom w:val="single" w:color="000000" w:sz="4"/>
                    <w:right w:val="single" w:color="000000" w:sz="4"/>
                  </w:tcBorders>
                </w:tcPr>
                <w:p>
                  <w:pPr>
                    <w:jc w:val="center"/>
                  </w:pPr>
                  <w:r>
                    <w:rPr/>
                    <w:t>电子文档（含扫描件）</w:t>
                  </w:r>
                </w:p>
              </w:tc>
              <w:tc>
                <w:tcPr>
                  <w:tcW w:type="dxa" w:w="1270"/>
                  <w:tcBorders>
                    <w:top w:val="none" w:color="000000" w:sz="4"/>
                    <w:left w:val="none" w:color="000000" w:sz="4"/>
                    <w:bottom w:val="single" w:color="000000" w:sz="4"/>
                    <w:right w:val="single" w:color="000000" w:sz="4"/>
                  </w:tcBorders>
                  <w:vAlign w:val="top"/>
                </w:tcPr>
                <w:p>
                  <w:pPr>
                    <w:jc w:val="center"/>
                  </w:pPr>
                  <w:r>
                    <w:rPr/>
                    <w:t>新增功能完成后10天内。应包含风险预测和应对措施。</w:t>
                  </w:r>
                </w:p>
              </w:tc>
            </w:tr>
            <w:tr>
              <w:tc>
                <w:tcPr>
                  <w:tcW w:type="dxa" w:w="635"/>
                  <w:tcBorders>
                    <w:top w:val="none" w:color="000000" w:sz="4"/>
                    <w:left w:val="single" w:color="000000" w:sz="4"/>
                    <w:bottom w:val="single" w:color="000000" w:sz="4"/>
                    <w:right w:val="single" w:color="000000" w:sz="4"/>
                  </w:tcBorders>
                </w:tcPr>
                <w:p>
                  <w:pPr>
                    <w:jc w:val="center"/>
                  </w:pPr>
                  <w:r>
                    <w:rPr/>
                    <w:t>3</w:t>
                  </w:r>
                </w:p>
              </w:tc>
              <w:tc>
                <w:tcPr>
                  <w:tcW w:type="dxa" w:w="1847"/>
                  <w:tcBorders>
                    <w:top w:val="none" w:color="000000" w:sz="4"/>
                    <w:left w:val="none" w:color="000000" w:sz="4"/>
                    <w:bottom w:val="single" w:color="000000" w:sz="4"/>
                    <w:right w:val="single" w:color="000000" w:sz="4"/>
                  </w:tcBorders>
                </w:tcPr>
                <w:p>
                  <w:pPr>
                    <w:jc w:val="left"/>
                  </w:pPr>
                  <w:r>
                    <w:rPr>
                      <w:sz w:val="21"/>
                    </w:rPr>
                    <w:t>用户需求确认表</w:t>
                  </w:r>
                </w:p>
              </w:tc>
              <w:tc>
                <w:tcPr>
                  <w:tcW w:type="dxa" w:w="577"/>
                  <w:tcBorders>
                    <w:top w:val="none" w:color="000000" w:sz="4"/>
                    <w:left w:val="none" w:color="000000" w:sz="4"/>
                    <w:bottom w:val="single" w:color="000000" w:sz="4"/>
                    <w:right w:val="single" w:color="000000" w:sz="4"/>
                  </w:tcBorders>
                </w:tcPr>
                <w:p>
                  <w:pPr>
                    <w:jc w:val="center"/>
                  </w:pPr>
                  <w:r>
                    <w:rPr/>
                    <w:t>1</w:t>
                  </w:r>
                  <w:r>
                    <w:rPr/>
                    <w:t>套</w:t>
                  </w:r>
                </w:p>
              </w:tc>
              <w:tc>
                <w:tcPr>
                  <w:tcW w:type="dxa" w:w="1270"/>
                  <w:tcBorders>
                    <w:top w:val="none" w:color="000000" w:sz="4"/>
                    <w:left w:val="none" w:color="000000" w:sz="4"/>
                    <w:bottom w:val="single" w:color="000000" w:sz="4"/>
                    <w:right w:val="single" w:color="000000" w:sz="4"/>
                  </w:tcBorders>
                </w:tcPr>
                <w:p>
                  <w:pPr>
                    <w:jc w:val="center"/>
                  </w:pPr>
                  <w:r>
                    <w:rPr/>
                    <w:t>电子文档（含扫描件）</w:t>
                  </w:r>
                </w:p>
              </w:tc>
              <w:tc>
                <w:tcPr>
                  <w:tcW w:type="dxa" w:w="1270"/>
                  <w:tcBorders>
                    <w:top w:val="none" w:color="000000" w:sz="4"/>
                    <w:left w:val="none" w:color="000000" w:sz="4"/>
                    <w:bottom w:val="single" w:color="000000" w:sz="4"/>
                    <w:right w:val="single" w:color="000000" w:sz="4"/>
                  </w:tcBorders>
                  <w:vAlign w:val="top"/>
                </w:tcPr>
                <w:p>
                  <w:pPr>
                    <w:jc w:val="center"/>
                  </w:pPr>
                  <w:r>
                    <w:rPr/>
                    <w:t>新增功能完成后10天内。</w:t>
                  </w:r>
                </w:p>
              </w:tc>
            </w:tr>
            <w:tr>
              <w:tc>
                <w:tcPr>
                  <w:tcW w:type="dxa" w:w="635"/>
                  <w:tcBorders>
                    <w:top w:val="none" w:color="000000" w:sz="4"/>
                    <w:left w:val="single" w:color="000000" w:sz="4"/>
                    <w:bottom w:val="single" w:color="000000" w:sz="4"/>
                    <w:right w:val="single" w:color="000000" w:sz="4"/>
                  </w:tcBorders>
                </w:tcPr>
                <w:p>
                  <w:pPr>
                    <w:jc w:val="center"/>
                  </w:pPr>
                  <w:r>
                    <w:rPr/>
                    <w:t>4</w:t>
                  </w:r>
                </w:p>
              </w:tc>
              <w:tc>
                <w:tcPr>
                  <w:tcW w:type="dxa" w:w="1847"/>
                  <w:tcBorders>
                    <w:top w:val="none" w:color="000000" w:sz="4"/>
                    <w:left w:val="none" w:color="000000" w:sz="4"/>
                    <w:bottom w:val="single" w:color="000000" w:sz="4"/>
                    <w:right w:val="single" w:color="000000" w:sz="4"/>
                  </w:tcBorders>
                </w:tcPr>
                <w:p>
                  <w:pPr>
                    <w:jc w:val="left"/>
                  </w:pPr>
                  <w:r>
                    <w:rPr/>
                    <w:t>系统测试报告</w:t>
                  </w:r>
                </w:p>
              </w:tc>
              <w:tc>
                <w:tcPr>
                  <w:tcW w:type="dxa" w:w="577"/>
                  <w:tcBorders>
                    <w:top w:val="none" w:color="000000" w:sz="4"/>
                    <w:left w:val="none" w:color="000000" w:sz="4"/>
                    <w:bottom w:val="single" w:color="000000" w:sz="4"/>
                    <w:right w:val="single" w:color="000000" w:sz="4"/>
                  </w:tcBorders>
                </w:tcPr>
                <w:p>
                  <w:pPr>
                    <w:jc w:val="center"/>
                  </w:pPr>
                  <w:r>
                    <w:rPr/>
                    <w:t>1</w:t>
                  </w:r>
                  <w:r>
                    <w:rPr/>
                    <w:t>套</w:t>
                  </w:r>
                </w:p>
              </w:tc>
              <w:tc>
                <w:tcPr>
                  <w:tcW w:type="dxa" w:w="1270"/>
                  <w:tcBorders>
                    <w:top w:val="none" w:color="000000" w:sz="4"/>
                    <w:left w:val="none" w:color="000000" w:sz="4"/>
                    <w:bottom w:val="single" w:color="000000" w:sz="4"/>
                    <w:right w:val="single" w:color="000000" w:sz="4"/>
                  </w:tcBorders>
                </w:tcPr>
                <w:p>
                  <w:pPr>
                    <w:jc w:val="center"/>
                  </w:pPr>
                  <w:r>
                    <w:rPr/>
                    <w:t>电子文档（含扫描件）</w:t>
                  </w:r>
                </w:p>
              </w:tc>
              <w:tc>
                <w:tcPr>
                  <w:tcW w:type="dxa" w:w="1270"/>
                  <w:tcBorders>
                    <w:top w:val="none" w:color="000000" w:sz="4"/>
                    <w:left w:val="none" w:color="000000" w:sz="4"/>
                    <w:bottom w:val="single" w:color="000000" w:sz="4"/>
                    <w:right w:val="single" w:color="000000" w:sz="4"/>
                  </w:tcBorders>
                  <w:vAlign w:val="top"/>
                </w:tcPr>
                <w:p>
                  <w:pPr>
                    <w:jc w:val="center"/>
                  </w:pPr>
                  <w:r>
                    <w:rPr/>
                    <w:t>新增功能完成后10天内。</w:t>
                  </w:r>
                </w:p>
              </w:tc>
            </w:tr>
            <w:tr>
              <w:tc>
                <w:tcPr>
                  <w:tcW w:type="dxa" w:w="635"/>
                  <w:tcBorders>
                    <w:top w:val="none" w:color="000000" w:sz="4"/>
                    <w:left w:val="single" w:color="000000" w:sz="4"/>
                    <w:bottom w:val="single" w:color="000000" w:sz="4"/>
                    <w:right w:val="single" w:color="000000" w:sz="4"/>
                  </w:tcBorders>
                </w:tcPr>
                <w:p>
                  <w:pPr>
                    <w:jc w:val="center"/>
                  </w:pPr>
                  <w:r>
                    <w:rPr/>
                    <w:t>5</w:t>
                  </w:r>
                </w:p>
              </w:tc>
              <w:tc>
                <w:tcPr>
                  <w:tcW w:type="dxa" w:w="1847"/>
                  <w:tcBorders>
                    <w:top w:val="none" w:color="000000" w:sz="4"/>
                    <w:left w:val="none" w:color="000000" w:sz="4"/>
                    <w:bottom w:val="single" w:color="000000" w:sz="4"/>
                    <w:right w:val="single" w:color="000000" w:sz="4"/>
                  </w:tcBorders>
                </w:tcPr>
                <w:p>
                  <w:pPr>
                    <w:jc w:val="left"/>
                  </w:pPr>
                  <w:r>
                    <w:rPr/>
                    <w:t>用户试运行确认单</w:t>
                  </w:r>
                </w:p>
              </w:tc>
              <w:tc>
                <w:tcPr>
                  <w:tcW w:type="dxa" w:w="577"/>
                  <w:tcBorders>
                    <w:top w:val="none" w:color="000000" w:sz="4"/>
                    <w:left w:val="none" w:color="000000" w:sz="4"/>
                    <w:bottom w:val="single" w:color="000000" w:sz="4"/>
                    <w:right w:val="single" w:color="000000" w:sz="4"/>
                  </w:tcBorders>
                </w:tcPr>
                <w:p>
                  <w:pPr>
                    <w:jc w:val="center"/>
                  </w:pPr>
                  <w:r>
                    <w:rPr/>
                    <w:t>1</w:t>
                  </w:r>
                  <w:r>
                    <w:rPr/>
                    <w:t>套</w:t>
                  </w:r>
                </w:p>
              </w:tc>
              <w:tc>
                <w:tcPr>
                  <w:tcW w:type="dxa" w:w="1270"/>
                  <w:tcBorders>
                    <w:top w:val="none" w:color="000000" w:sz="4"/>
                    <w:left w:val="none" w:color="000000" w:sz="4"/>
                    <w:bottom w:val="single" w:color="000000" w:sz="4"/>
                    <w:right w:val="single" w:color="000000" w:sz="4"/>
                  </w:tcBorders>
                </w:tcPr>
                <w:p>
                  <w:pPr>
                    <w:jc w:val="center"/>
                  </w:pPr>
                  <w:r>
                    <w:rPr/>
                    <w:t>电子文档（含扫描件）</w:t>
                  </w:r>
                </w:p>
              </w:tc>
              <w:tc>
                <w:tcPr>
                  <w:tcW w:type="dxa" w:w="1270"/>
                  <w:tcBorders>
                    <w:top w:val="none" w:color="000000" w:sz="4"/>
                    <w:left w:val="none" w:color="000000" w:sz="4"/>
                    <w:bottom w:val="single" w:color="000000" w:sz="4"/>
                    <w:right w:val="single" w:color="000000" w:sz="4"/>
                  </w:tcBorders>
                  <w:vAlign w:val="top"/>
                </w:tcPr>
                <w:p>
                  <w:pPr>
                    <w:jc w:val="center"/>
                  </w:pPr>
                  <w:r>
                    <w:rPr/>
                    <w:t>新增功能完成后10天内。</w:t>
                  </w:r>
                </w:p>
              </w:tc>
            </w:tr>
            <w:tr>
              <w:tc>
                <w:tcPr>
                  <w:tcW w:type="dxa" w:w="635"/>
                  <w:tcBorders>
                    <w:top w:val="none" w:color="000000" w:sz="4"/>
                    <w:left w:val="single" w:color="000000" w:sz="4"/>
                    <w:bottom w:val="single" w:color="000000" w:sz="4"/>
                    <w:right w:val="single" w:color="000000" w:sz="4"/>
                  </w:tcBorders>
                </w:tcPr>
                <w:p>
                  <w:pPr>
                    <w:jc w:val="center"/>
                  </w:pPr>
                  <w:r>
                    <w:rPr/>
                    <w:t>6</w:t>
                  </w:r>
                </w:p>
              </w:tc>
              <w:tc>
                <w:tcPr>
                  <w:tcW w:type="dxa" w:w="1847"/>
                  <w:tcBorders>
                    <w:top w:val="none" w:color="000000" w:sz="4"/>
                    <w:left w:val="none" w:color="000000" w:sz="4"/>
                    <w:bottom w:val="single" w:color="000000" w:sz="4"/>
                    <w:right w:val="single" w:color="000000" w:sz="4"/>
                  </w:tcBorders>
                </w:tcPr>
                <w:p>
                  <w:pPr>
                    <w:jc w:val="left"/>
                  </w:pPr>
                  <w:r>
                    <w:rPr>
                      <w:sz w:val="21"/>
                    </w:rPr>
                    <w:t>用户培训记录</w:t>
                  </w:r>
                </w:p>
              </w:tc>
              <w:tc>
                <w:tcPr>
                  <w:tcW w:type="dxa" w:w="577"/>
                  <w:tcBorders>
                    <w:top w:val="none" w:color="000000" w:sz="4"/>
                    <w:left w:val="none" w:color="000000" w:sz="4"/>
                    <w:bottom w:val="single" w:color="000000" w:sz="4"/>
                    <w:right w:val="single" w:color="000000" w:sz="4"/>
                  </w:tcBorders>
                </w:tcPr>
                <w:p>
                  <w:pPr>
                    <w:jc w:val="center"/>
                  </w:pPr>
                  <w:r>
                    <w:rPr/>
                    <w:t>1</w:t>
                  </w:r>
                  <w:r>
                    <w:rPr/>
                    <w:t>套</w:t>
                  </w:r>
                </w:p>
              </w:tc>
              <w:tc>
                <w:tcPr>
                  <w:tcW w:type="dxa" w:w="1270"/>
                  <w:tcBorders>
                    <w:top w:val="none" w:color="000000" w:sz="4"/>
                    <w:left w:val="none" w:color="000000" w:sz="4"/>
                    <w:bottom w:val="single" w:color="000000" w:sz="4"/>
                    <w:right w:val="single" w:color="000000" w:sz="4"/>
                  </w:tcBorders>
                </w:tcPr>
                <w:p>
                  <w:pPr>
                    <w:jc w:val="center"/>
                  </w:pPr>
                  <w:r>
                    <w:rPr/>
                    <w:t>电子文档（含扫描件）</w:t>
                  </w:r>
                </w:p>
              </w:tc>
              <w:tc>
                <w:tcPr>
                  <w:tcW w:type="dxa" w:w="1270"/>
                  <w:tcBorders>
                    <w:top w:val="none" w:color="000000" w:sz="4"/>
                    <w:left w:val="none" w:color="000000" w:sz="4"/>
                    <w:bottom w:val="single" w:color="000000" w:sz="4"/>
                    <w:right w:val="single" w:color="000000" w:sz="4"/>
                  </w:tcBorders>
                  <w:vAlign w:val="top"/>
                </w:tcPr>
                <w:p>
                  <w:pPr>
                    <w:jc w:val="center"/>
                  </w:pPr>
                  <w:r>
                    <w:rPr/>
                    <w:t>新增功能完成后10天内。</w:t>
                  </w:r>
                </w:p>
              </w:tc>
            </w:tr>
          </w:tbl>
          <w:p>
            <w:pPr>
              <w:jc w:val="both"/>
            </w:pPr>
            <w:r>
              <w:rPr>
                <w:b/>
                <w:sz w:val="21"/>
              </w:rPr>
              <w:t>2.9.2.2.</w:t>
            </w:r>
            <w:r>
              <w:rPr>
                <w:b/>
                <w:sz w:val="21"/>
              </w:rPr>
              <w:t>出现重大运行故障</w:t>
            </w:r>
          </w:p>
          <w:p>
            <w:pPr>
              <w:jc w:val="both"/>
            </w:pPr>
            <w:r>
              <w:rPr>
                <w:sz w:val="21"/>
              </w:rPr>
              <w:t>如果系统维护期间出现重大故障，还应提交以下成果。</w:t>
            </w:r>
          </w:p>
          <w:tbl>
            <w:tblPr>
              <w:tblBorders>
                <w:top w:val="none" w:color="000000" w:sz="4"/>
                <w:left w:val="none" w:color="000000" w:sz="4"/>
                <w:bottom w:val="none" w:color="000000" w:sz="4"/>
                <w:right w:val="none" w:color="000000" w:sz="4"/>
                <w:insideH w:val="none"/>
                <w:insideV w:val="none"/>
              </w:tblBorders>
            </w:tblPr>
            <w:tblGrid>
              <w:gridCol w:w="635"/>
              <w:gridCol w:w="1847"/>
              <w:gridCol w:w="577"/>
              <w:gridCol w:w="1270"/>
              <w:gridCol w:w="1270"/>
            </w:tblGrid>
            <w:tr>
              <w:tc>
                <w:tcPr>
                  <w:tcW w:type="dxa" w:w="635"/>
                  <w:tcBorders>
                    <w:top w:val="single" w:color="000000" w:sz="4"/>
                    <w:left w:val="single" w:color="000000" w:sz="4"/>
                    <w:bottom w:val="single" w:color="000000" w:sz="4"/>
                    <w:right w:val="single" w:color="000000" w:sz="4"/>
                  </w:tcBorders>
                </w:tcPr>
                <w:p>
                  <w:pPr>
                    <w:jc w:val="center"/>
                  </w:pPr>
                  <w:r>
                    <w:rPr>
                      <w:b/>
                    </w:rPr>
                    <w:t>序号</w:t>
                  </w:r>
                </w:p>
              </w:tc>
              <w:tc>
                <w:tcPr>
                  <w:tcW w:type="dxa" w:w="1847"/>
                  <w:tcBorders>
                    <w:top w:val="single" w:color="000000" w:sz="4"/>
                    <w:left w:val="none" w:color="000000" w:sz="4"/>
                    <w:bottom w:val="single" w:color="000000" w:sz="4"/>
                    <w:right w:val="single" w:color="000000" w:sz="4"/>
                  </w:tcBorders>
                </w:tcPr>
                <w:p>
                  <w:pPr>
                    <w:jc w:val="center"/>
                  </w:pPr>
                  <w:r>
                    <w:rPr>
                      <w:b/>
                    </w:rPr>
                    <w:t>成果名称</w:t>
                  </w:r>
                </w:p>
              </w:tc>
              <w:tc>
                <w:tcPr>
                  <w:tcW w:type="dxa" w:w="577"/>
                  <w:tcBorders>
                    <w:top w:val="single" w:color="000000" w:sz="4"/>
                    <w:left w:val="none" w:color="000000" w:sz="4"/>
                    <w:bottom w:val="single" w:color="000000" w:sz="4"/>
                    <w:right w:val="single" w:color="000000" w:sz="4"/>
                  </w:tcBorders>
                </w:tcPr>
                <w:p>
                  <w:pPr>
                    <w:jc w:val="center"/>
                  </w:pPr>
                  <w:r>
                    <w:rPr>
                      <w:b/>
                    </w:rPr>
                    <w:t>数量</w:t>
                  </w:r>
                </w:p>
              </w:tc>
              <w:tc>
                <w:tcPr>
                  <w:tcW w:type="dxa" w:w="1270"/>
                  <w:tcBorders>
                    <w:top w:val="single" w:color="000000" w:sz="4"/>
                    <w:left w:val="none" w:color="000000" w:sz="4"/>
                    <w:bottom w:val="single" w:color="000000" w:sz="4"/>
                    <w:right w:val="single" w:color="000000" w:sz="4"/>
                  </w:tcBorders>
                </w:tcPr>
                <w:p>
                  <w:pPr>
                    <w:jc w:val="center"/>
                  </w:pPr>
                  <w:r>
                    <w:rPr>
                      <w:b/>
                    </w:rPr>
                    <w:t>形 式</w:t>
                  </w:r>
                </w:p>
              </w:tc>
              <w:tc>
                <w:tcPr>
                  <w:tcW w:type="dxa" w:w="1270"/>
                  <w:tcBorders>
                    <w:top w:val="single" w:color="000000" w:sz="4"/>
                    <w:left w:val="none" w:color="000000" w:sz="4"/>
                    <w:bottom w:val="single" w:color="000000" w:sz="4"/>
                    <w:right w:val="single" w:color="000000" w:sz="4"/>
                  </w:tcBorders>
                  <w:vAlign w:val="top"/>
                </w:tcPr>
                <w:p>
                  <w:pPr>
                    <w:jc w:val="center"/>
                  </w:pPr>
                  <w:r>
                    <w:rPr>
                      <w:b/>
                    </w:rPr>
                    <w:t>要 求</w:t>
                  </w:r>
                </w:p>
              </w:tc>
            </w:tr>
            <w:tr>
              <w:tc>
                <w:tcPr>
                  <w:tcW w:type="dxa" w:w="635"/>
                  <w:tcBorders>
                    <w:top w:val="none" w:color="000000" w:sz="4"/>
                    <w:left w:val="single" w:color="000000" w:sz="4"/>
                    <w:bottom w:val="single" w:color="000000" w:sz="4"/>
                    <w:right w:val="single" w:color="000000" w:sz="4"/>
                  </w:tcBorders>
                </w:tcPr>
                <w:p>
                  <w:pPr>
                    <w:jc w:val="center"/>
                  </w:pPr>
                  <w:r>
                    <w:rPr/>
                    <w:t>1</w:t>
                  </w:r>
                </w:p>
              </w:tc>
              <w:tc>
                <w:tcPr>
                  <w:tcW w:type="dxa" w:w="1847"/>
                  <w:tcBorders>
                    <w:top w:val="none" w:color="000000" w:sz="4"/>
                    <w:left w:val="none" w:color="000000" w:sz="4"/>
                    <w:bottom w:val="single" w:color="000000" w:sz="4"/>
                    <w:right w:val="single" w:color="000000" w:sz="4"/>
                  </w:tcBorders>
                </w:tcPr>
                <w:p>
                  <w:pPr>
                    <w:jc w:val="left"/>
                  </w:pPr>
                  <w:r>
                    <w:rPr>
                      <w:sz w:val="21"/>
                    </w:rPr>
                    <w:t>故障处理记录</w:t>
                  </w:r>
                </w:p>
              </w:tc>
              <w:tc>
                <w:tcPr>
                  <w:tcW w:type="dxa" w:w="577"/>
                  <w:tcBorders>
                    <w:top w:val="none" w:color="000000" w:sz="4"/>
                    <w:left w:val="none" w:color="000000" w:sz="4"/>
                    <w:bottom w:val="single" w:color="000000" w:sz="4"/>
                    <w:right w:val="single" w:color="000000" w:sz="4"/>
                  </w:tcBorders>
                </w:tcPr>
                <w:p>
                  <w:pPr>
                    <w:jc w:val="center"/>
                  </w:pPr>
                  <w:r>
                    <w:rPr/>
                    <w:t>1</w:t>
                  </w:r>
                  <w:r>
                    <w:rPr/>
                    <w:t>套</w:t>
                  </w:r>
                </w:p>
              </w:tc>
              <w:tc>
                <w:tcPr>
                  <w:tcW w:type="dxa" w:w="1270"/>
                  <w:tcBorders>
                    <w:top w:val="none" w:color="000000" w:sz="4"/>
                    <w:left w:val="none" w:color="000000" w:sz="4"/>
                    <w:bottom w:val="single" w:color="000000" w:sz="4"/>
                    <w:right w:val="single" w:color="000000" w:sz="4"/>
                  </w:tcBorders>
                </w:tcPr>
                <w:p>
                  <w:pPr>
                    <w:jc w:val="center"/>
                  </w:pPr>
                  <w:r>
                    <w:rPr/>
                    <w:t>电子文档</w:t>
                  </w:r>
                </w:p>
              </w:tc>
              <w:tc>
                <w:tcPr>
                  <w:tcW w:type="dxa" w:w="1270"/>
                  <w:tcBorders>
                    <w:top w:val="none" w:color="000000" w:sz="4"/>
                    <w:left w:val="none" w:color="000000" w:sz="4"/>
                    <w:bottom w:val="single" w:color="000000" w:sz="4"/>
                    <w:right w:val="single" w:color="000000" w:sz="4"/>
                  </w:tcBorders>
                  <w:vAlign w:val="top"/>
                </w:tcPr>
                <w:p>
                  <w:pPr>
                    <w:jc w:val="center"/>
                  </w:pPr>
                  <w:r>
                    <w:rPr/>
                    <w:t>故障解决后5天内</w:t>
                  </w:r>
                </w:p>
              </w:tc>
            </w:tr>
            <w:tr>
              <w:tc>
                <w:tcPr>
                  <w:tcW w:type="dxa" w:w="635"/>
                  <w:tcBorders>
                    <w:top w:val="none" w:color="000000" w:sz="4"/>
                    <w:left w:val="single" w:color="000000" w:sz="4"/>
                    <w:bottom w:val="single" w:color="000000" w:sz="4"/>
                    <w:right w:val="single" w:color="000000" w:sz="4"/>
                  </w:tcBorders>
                </w:tcPr>
                <w:p>
                  <w:pPr>
                    <w:jc w:val="center"/>
                  </w:pPr>
                  <w:r>
                    <w:rPr/>
                    <w:t>2</w:t>
                  </w:r>
                </w:p>
              </w:tc>
              <w:tc>
                <w:tcPr>
                  <w:tcW w:type="dxa" w:w="1847"/>
                  <w:tcBorders>
                    <w:top w:val="none" w:color="000000" w:sz="4"/>
                    <w:left w:val="none" w:color="000000" w:sz="4"/>
                    <w:bottom w:val="single" w:color="000000" w:sz="4"/>
                    <w:right w:val="single" w:color="000000" w:sz="4"/>
                  </w:tcBorders>
                </w:tcPr>
                <w:p>
                  <w:pPr>
                    <w:jc w:val="left"/>
                  </w:pPr>
                  <w:r>
                    <w:rPr>
                      <w:sz w:val="21"/>
                    </w:rPr>
                    <w:t>故障分析报告</w:t>
                  </w:r>
                </w:p>
              </w:tc>
              <w:tc>
                <w:tcPr>
                  <w:tcW w:type="dxa" w:w="577"/>
                  <w:tcBorders>
                    <w:top w:val="none" w:color="000000" w:sz="4"/>
                    <w:left w:val="none" w:color="000000" w:sz="4"/>
                    <w:bottom w:val="single" w:color="000000" w:sz="4"/>
                    <w:right w:val="single" w:color="000000" w:sz="4"/>
                  </w:tcBorders>
                </w:tcPr>
                <w:p>
                  <w:pPr>
                    <w:jc w:val="center"/>
                  </w:pPr>
                  <w:r>
                    <w:rPr/>
                    <w:t>1</w:t>
                  </w:r>
                  <w:r>
                    <w:rPr/>
                    <w:t>套</w:t>
                  </w:r>
                </w:p>
              </w:tc>
              <w:tc>
                <w:tcPr>
                  <w:tcW w:type="dxa" w:w="1270"/>
                  <w:tcBorders>
                    <w:top w:val="none" w:color="000000" w:sz="4"/>
                    <w:left w:val="none" w:color="000000" w:sz="4"/>
                    <w:bottom w:val="single" w:color="000000" w:sz="4"/>
                    <w:right w:val="single" w:color="000000" w:sz="4"/>
                  </w:tcBorders>
                </w:tcPr>
                <w:p>
                  <w:pPr>
                    <w:jc w:val="center"/>
                  </w:pPr>
                  <w:r>
                    <w:rPr/>
                    <w:t>电子文档</w:t>
                  </w:r>
                </w:p>
              </w:tc>
              <w:tc>
                <w:tcPr>
                  <w:tcW w:type="dxa" w:w="1270"/>
                  <w:tcBorders>
                    <w:top w:val="none" w:color="000000" w:sz="4"/>
                    <w:left w:val="none" w:color="000000" w:sz="4"/>
                    <w:bottom w:val="single" w:color="000000" w:sz="4"/>
                    <w:right w:val="single" w:color="000000" w:sz="4"/>
                  </w:tcBorders>
                  <w:vAlign w:val="top"/>
                </w:tcPr>
                <w:p>
                  <w:pPr>
                    <w:jc w:val="center"/>
                  </w:pPr>
                  <w:r>
                    <w:rPr/>
                    <w:t>故障解决后5天内</w:t>
                  </w:r>
                </w:p>
              </w:tc>
            </w:tr>
          </w:tbl>
          <w:p>
            <w:pPr>
              <w:jc w:val="both"/>
            </w:pPr>
            <w:r>
              <w:rPr>
                <w:b/>
                <w:sz w:val="21"/>
              </w:rPr>
              <w:t>2.10.</w:t>
            </w:r>
            <w:r>
              <w:rPr>
                <w:b/>
                <w:sz w:val="21"/>
              </w:rPr>
              <w:t>系统性能要求</w:t>
            </w:r>
          </w:p>
          <w:p>
            <w:pPr>
              <w:jc w:val="both"/>
            </w:pPr>
            <w:r>
              <w:rPr>
                <w:sz w:val="21"/>
              </w:rPr>
              <w:t>对于本项目的运维系统，需要达到以下性能要求：</w:t>
            </w:r>
          </w:p>
          <w:p>
            <w:pPr>
              <w:jc w:val="both"/>
            </w:pPr>
            <w:r>
              <w:rPr>
                <w:sz w:val="21"/>
              </w:rPr>
              <w:t>（</w:t>
            </w:r>
            <w:r>
              <w:rPr>
                <w:sz w:val="21"/>
              </w:rPr>
              <w:t>1</w:t>
            </w:r>
            <w:r>
              <w:rPr>
                <w:sz w:val="21"/>
              </w:rPr>
              <w:t>）高效性：在</w:t>
            </w:r>
            <w:r>
              <w:rPr>
                <w:sz w:val="21"/>
              </w:rPr>
              <w:t>200</w:t>
            </w:r>
            <w:r>
              <w:rPr>
                <w:sz w:val="21"/>
              </w:rPr>
              <w:t>个用户并发的情况下，浏览漫游单次操作的页面响应时间小于</w:t>
            </w:r>
            <w:r>
              <w:rPr>
                <w:sz w:val="21"/>
              </w:rPr>
              <w:t>5</w:t>
            </w:r>
            <w:r>
              <w:rPr>
                <w:sz w:val="21"/>
              </w:rPr>
              <w:t>秒。支持同时在线的用户数量不少于</w:t>
            </w:r>
            <w:r>
              <w:rPr>
                <w:sz w:val="21"/>
              </w:rPr>
              <w:t>400</w:t>
            </w:r>
            <w:r>
              <w:rPr>
                <w:sz w:val="21"/>
              </w:rPr>
              <w:t>个。使用数据服务接口查询操作的响应时间不超过</w:t>
            </w:r>
            <w:r>
              <w:rPr>
                <w:sz w:val="21"/>
              </w:rPr>
              <w:t>10</w:t>
            </w:r>
            <w:r>
              <w:rPr>
                <w:sz w:val="21"/>
              </w:rPr>
              <w:t>秒</w:t>
            </w:r>
          </w:p>
          <w:p>
            <w:pPr>
              <w:jc w:val="both"/>
            </w:pPr>
            <w:r>
              <w:rPr>
                <w:sz w:val="21"/>
              </w:rPr>
              <w:t>（</w:t>
            </w:r>
            <w:r>
              <w:rPr>
                <w:sz w:val="21"/>
              </w:rPr>
              <w:t>2</w:t>
            </w:r>
            <w:r>
              <w:rPr>
                <w:sz w:val="21"/>
              </w:rPr>
              <w:t>）可靠性：对外提供互联网政务服务或自助终端服务的系统，应具备</w:t>
            </w:r>
            <w:r>
              <w:rPr>
                <w:sz w:val="21"/>
              </w:rPr>
              <w:t>7X24</w:t>
            </w:r>
            <w:r>
              <w:rPr>
                <w:sz w:val="21"/>
              </w:rPr>
              <w:t>小时不间断稳定运行能力。其他系统需保证在自然资源局工作时间稳定运行。</w:t>
            </w:r>
          </w:p>
          <w:p>
            <w:pPr>
              <w:jc w:val="both"/>
            </w:pPr>
            <w:r>
              <w:rPr>
                <w:sz w:val="21"/>
              </w:rPr>
              <w:t>（</w:t>
            </w:r>
            <w:r>
              <w:rPr>
                <w:sz w:val="21"/>
              </w:rPr>
              <w:t>3</w:t>
            </w:r>
            <w:r>
              <w:rPr>
                <w:sz w:val="21"/>
              </w:rPr>
              <w:t>）并发性：可支持</w:t>
            </w:r>
            <w:r>
              <w:rPr>
                <w:sz w:val="21"/>
              </w:rPr>
              <w:t>200</w:t>
            </w:r>
            <w:r>
              <w:rPr>
                <w:sz w:val="21"/>
              </w:rPr>
              <w:t>以上并发用户使用。</w:t>
            </w:r>
          </w:p>
          <w:p>
            <w:pPr>
              <w:jc w:val="both"/>
            </w:pPr>
            <w:r>
              <w:rPr>
                <w:sz w:val="21"/>
              </w:rPr>
              <w:t>（</w:t>
            </w:r>
            <w:r>
              <w:rPr>
                <w:sz w:val="21"/>
              </w:rPr>
              <w:t>4</w:t>
            </w:r>
            <w:r>
              <w:rPr>
                <w:sz w:val="21"/>
              </w:rPr>
              <w:t>）响应时间：数据的查询、申请的提交等事务响应没有明显的用户感觉得到滞慢现象。</w:t>
            </w:r>
          </w:p>
          <w:p>
            <w:pPr>
              <w:jc w:val="both"/>
            </w:pPr>
          </w:p>
          <w:p>
            <w:pPr>
              <w:jc w:val="both"/>
            </w:pPr>
            <w:r>
              <w:rPr>
                <w:b/>
                <w:sz w:val="21"/>
              </w:rPr>
              <w:t>2.11.</w:t>
            </w:r>
            <w:r>
              <w:rPr>
                <w:b/>
                <w:sz w:val="21"/>
              </w:rPr>
              <w:t>其他有关要求</w:t>
            </w:r>
          </w:p>
          <w:p>
            <w:r>
              <w:rPr>
                <w:sz w:val="21"/>
              </w:rPr>
              <w:t>运维单位应根据系统运维需要自备必要的软硬件设备，包括计算机、打印机、扫描仪等办公设备；包括高性能图形图像工作站、大屏显示器等有关专业设备；包括软件开发环境、维护工具软件、平台软件、数据库软件等有关软件。如使用盗版软件或非法使用有知识产权争议的软件，相关责任由运维单位承担。</w:t>
            </w:r>
          </w:p>
          <w:p>
            <w:r>
              <w:rPr/>
              <w:t xml:space="preserve"> </w:t>
            </w:r>
          </w:p>
          <w:p>
            <w:r>
              <w:rPr/>
              <w:t xml:space="preserve"> </w:t>
            </w:r>
          </w:p>
          <w:p>
            <w:r>
              <w:rPr/>
              <w:t xml:space="preserve"> </w:t>
            </w:r>
          </w:p>
          <w:p>
            <w:r>
              <w:rPr/>
              <w:t xml:space="preserve"> </w:t>
            </w:r>
          </w:p>
        </w:tc>
      </w:tr>
      <w:tr>
        <w:tc>
          <w:tcPr>
            <w:tcW w:type="dxa" w:w="2076"/>
          </w:tcPr>
          <w:p/>
        </w:tc>
        <w:tc>
          <w:tcPr>
            <w:tcW w:type="dxa" w:w="415"/>
          </w:tcPr>
          <w:p>
            <w:r>
              <w:rPr/>
              <w:t>3</w:t>
            </w:r>
          </w:p>
        </w:tc>
        <w:tc>
          <w:tcPr>
            <w:tcW w:type="dxa" w:w="5814"/>
          </w:tcPr>
          <w:p>
            <w:pPr>
              <w:jc w:val="both"/>
            </w:pPr>
            <w:r>
              <w:rPr>
                <w:b/>
                <w:sz w:val="21"/>
              </w:rPr>
              <w:t>3.</w:t>
            </w:r>
            <w:r>
              <w:rPr>
                <w:b/>
                <w:sz w:val="21"/>
              </w:rPr>
              <w:t>运维工作内容</w:t>
            </w:r>
          </w:p>
          <w:p>
            <w:pPr>
              <w:jc w:val="both"/>
            </w:pPr>
            <w:r>
              <w:rPr>
                <w:b/>
                <w:sz w:val="21"/>
              </w:rPr>
              <w:t>3.1.</w:t>
            </w:r>
            <w:r>
              <w:rPr>
                <w:b/>
                <w:sz w:val="21"/>
              </w:rPr>
              <w:t>运维工作概要</w:t>
            </w:r>
          </w:p>
          <w:p>
            <w:pPr>
              <w:jc w:val="both"/>
            </w:pPr>
            <w:r>
              <w:rPr>
                <w:sz w:val="21"/>
              </w:rPr>
              <w:t>本项目运维工作主要包括对纳入本项目范围的中山市自然资源综合业务平台及自然资源决策支持平台，从功能、性能、稳定性、安全性、可靠性、可扩展性、系统对接、数据更新、数据规整处理及数据统计分析等多方面综合开展运行、维护、管理等信息化相关工作。运维工作包括以下全部内容：开展日常监控，定期巡查并报告，及时发现、解决问题；提高系统运行速度，保障应用系统安全；开展数据备份、恢复工作，防范业务数据等信息丢失，开展数据勘误修改工作；根据需要开展系统在不同服务器（含云平台）的迁移、部署、测试及运维管理，确保应用系统的变更与发布要经过严格的评估与测试，有序实施；保障数据维护等工作的高效与安全；确保业务系统的可用性和不间断性；保障终端用户的应用系统使用问题能够及时解决；根据中山市自然资源局各科室、分局及下属事业单位的需要开展数据统计分析、数据规整等数据处理工作，负责系统中需在局内外在线或离线共享数据的加工、处理和导入导出；配合开展系统安全等保测评、第三方功能测评、密码应用安全性评估、安全检查及其整改和安全加固工作；配合开展应急演练和攻防演练，按要求负责重大活动、节假日等重点保障期间的运维保障；配合开展局重大项目、重大工作及需紧急配合的各项应急工作；做好系统和数据的保密和网络信息安全工作；保障应用系统的配置管理工作能够全面、准确的实施，全面提升应用系统的可靠性和安全性；开展系统运行维护的风险评估，切实采取有效措施降低系统运行带来的各类风险；按时编制和更新系统运维总体方案、系统应急响应预案和具体运维任务的技术方案，更新系统部署文档、数据库设计文档和故障排查指南；负责系统运维阶段主要技术文档的更新和管理；根据省、市和局信息化部门的统一要求和需要，做好电子证照签发改造、调用等功能，做好电子印章、电子签名管理、应用的相关功能改造与优化调整，做好政务侧和公众侧统一身份认证和改造功能；按要求全面应用、规范使用市政数局和局方提供的运维管理系统或模块，提高运维效率和系统服务能力；组织开展公司运维团队建设，组织开展运维服务团队内部技术、业务、安全意识及管理培训，按要求参加局方安排的相关培训，组织开展系统用户及局方技术人员技术培训，以及配合局信息化主管部门和技术部门安排的其他有关工作。</w:t>
            </w:r>
          </w:p>
          <w:p>
            <w:pPr>
              <w:jc w:val="both"/>
            </w:pPr>
          </w:p>
          <w:p>
            <w:pPr>
              <w:jc w:val="both"/>
            </w:pPr>
            <w:r>
              <w:rPr>
                <w:b/>
                <w:sz w:val="21"/>
              </w:rPr>
              <w:t>3.2.</w:t>
            </w:r>
            <w:r>
              <w:rPr>
                <w:b/>
                <w:sz w:val="21"/>
              </w:rPr>
              <w:t>详细内容</w:t>
            </w:r>
          </w:p>
          <w:p>
            <w:pPr>
              <w:jc w:val="both"/>
            </w:pPr>
            <w:r>
              <w:rPr>
                <w:sz w:val="21"/>
              </w:rPr>
              <w:t>为方便运维工作开展，根据运维工作概要，将运维内容细分为共性内容和个性化内容。各系统运维工作的共性内容如下：</w:t>
            </w:r>
          </w:p>
          <w:p>
            <w:pPr>
              <w:jc w:val="both"/>
            </w:pPr>
            <w:r>
              <w:rPr>
                <w:sz w:val="21"/>
              </w:rPr>
              <w:t xml:space="preserve">(1)   </w:t>
            </w:r>
            <w:r>
              <w:rPr>
                <w:sz w:val="21"/>
              </w:rPr>
              <w:t>信息系统日常运行过程中各类业务咨询、操作指导、故障处理、配置变更、权限调整、数据修改、需求变更等运维问题的跟进及处理。</w:t>
            </w:r>
          </w:p>
          <w:p>
            <w:pPr>
              <w:jc w:val="both"/>
            </w:pPr>
            <w:r>
              <w:rPr>
                <w:sz w:val="21"/>
              </w:rPr>
              <w:t xml:space="preserve">(2)   </w:t>
            </w:r>
            <w:r>
              <w:rPr>
                <w:sz w:val="21"/>
              </w:rPr>
              <w:t>信息系统发生故障，需在快速恢复使用的基础上，分析原因并尽快解决根本问题，填写故障报告，报告内容应含有：故障现象、处理过程、影响情况、原因分析、分析说明、应急方案、处理方法等。</w:t>
            </w:r>
          </w:p>
          <w:p>
            <w:pPr>
              <w:jc w:val="both"/>
            </w:pPr>
            <w:r>
              <w:rPr>
                <w:sz w:val="21"/>
              </w:rPr>
              <w:t xml:space="preserve">(3)   </w:t>
            </w:r>
            <w:r>
              <w:rPr>
                <w:sz w:val="21"/>
              </w:rPr>
              <w:t>主动、及时地发现、分析系统存在的设计、研发、运维缺陷、漏洞，对系统进行纠错性修复和优化完善，保证业务系统的可用性和不间断性。</w:t>
            </w:r>
          </w:p>
          <w:p>
            <w:pPr>
              <w:jc w:val="both"/>
            </w:pPr>
            <w:r>
              <w:rPr>
                <w:sz w:val="21"/>
              </w:rPr>
              <w:t xml:space="preserve">(4)   </w:t>
            </w:r>
            <w:r>
              <w:rPr>
                <w:sz w:val="21"/>
              </w:rPr>
              <w:t>对信息系统所涉及的已有模块或功能进行的适应性修改完善，必须按照用户要求的时间内完成。对适应性维护所涉及的所有费用均已包含在本项目费用中，用户方不再另行支付费用。对适应性维护，需要经测试通过，按照运维要求准备文档。在项目实施过程，如对适应性维护或适应性修改完善范围的界定、服务完成时间存在分歧，由用户方和服务方视具体情况再行协商。</w:t>
            </w:r>
          </w:p>
          <w:p>
            <w:pPr>
              <w:jc w:val="both"/>
            </w:pPr>
            <w:r>
              <w:rPr>
                <w:sz w:val="21"/>
              </w:rPr>
              <w:t xml:space="preserve">(5)   </w:t>
            </w:r>
            <w:r>
              <w:rPr>
                <w:sz w:val="21"/>
              </w:rPr>
              <w:t>提供系统对外接口联调环境，提供测试用例，配合完成与其他系统的接口联调测试。</w:t>
            </w:r>
          </w:p>
          <w:p>
            <w:pPr>
              <w:jc w:val="both"/>
            </w:pPr>
            <w:r>
              <w:rPr>
                <w:sz w:val="21"/>
              </w:rPr>
              <w:t xml:space="preserve">(6)   </w:t>
            </w:r>
            <w:r>
              <w:rPr>
                <w:sz w:val="21"/>
              </w:rPr>
              <w:t>根据中山市自然资源局的检查要求，每月对系统运行情况（包括系统数据库运行情况和系统服务器支撑环境情况）进行定期检查，根据检查情况提交维护月报，维护期末提交维护年报。</w:t>
            </w:r>
          </w:p>
          <w:p>
            <w:pPr>
              <w:jc w:val="both"/>
            </w:pPr>
            <w:r>
              <w:rPr>
                <w:sz w:val="21"/>
              </w:rPr>
              <w:t xml:space="preserve">(7)   </w:t>
            </w:r>
            <w:r>
              <w:rPr>
                <w:sz w:val="21"/>
              </w:rPr>
              <w:t>对软件系统按照相应的安全等级保护级别进行日常安全检查与维护。</w:t>
            </w:r>
          </w:p>
          <w:p>
            <w:pPr>
              <w:jc w:val="both"/>
            </w:pPr>
            <w:r>
              <w:rPr>
                <w:sz w:val="21"/>
              </w:rPr>
              <w:t xml:space="preserve">(8)   </w:t>
            </w:r>
            <w:r>
              <w:rPr>
                <w:sz w:val="21"/>
              </w:rPr>
              <w:t>对软件系统按照密码应用安全性评估要求进行日常安全检查与维护。</w:t>
            </w:r>
          </w:p>
          <w:p>
            <w:pPr>
              <w:jc w:val="both"/>
            </w:pPr>
            <w:r>
              <w:rPr>
                <w:sz w:val="21"/>
              </w:rPr>
              <w:t xml:space="preserve">(9)   </w:t>
            </w:r>
            <w:r>
              <w:rPr>
                <w:sz w:val="21"/>
              </w:rPr>
              <w:t>制定系统应急处置预案，配合自然资源局进行系统应急演练。</w:t>
            </w:r>
          </w:p>
          <w:p>
            <w:pPr>
              <w:jc w:val="both"/>
            </w:pPr>
            <w:r>
              <w:rPr>
                <w:sz w:val="21"/>
              </w:rPr>
              <w:t xml:space="preserve">(10) </w:t>
            </w:r>
            <w:r>
              <w:rPr>
                <w:sz w:val="21"/>
              </w:rPr>
              <w:t>软件系统数据日常备份和恢复。制定数据管理制度，对数据实施严格的安全与保密管理，防止系统数据的非法生成、变更、泄露、丢失及破坏。</w:t>
            </w:r>
          </w:p>
          <w:p>
            <w:pPr>
              <w:jc w:val="both"/>
            </w:pPr>
            <w:r>
              <w:rPr>
                <w:sz w:val="21"/>
              </w:rPr>
              <w:t xml:space="preserve">(11) </w:t>
            </w:r>
            <w:r>
              <w:rPr>
                <w:sz w:val="21"/>
              </w:rPr>
              <w:t>软件系统服务器端数据库维护。</w:t>
            </w:r>
          </w:p>
          <w:p>
            <w:pPr>
              <w:jc w:val="both"/>
            </w:pPr>
            <w:r>
              <w:rPr>
                <w:sz w:val="21"/>
              </w:rPr>
              <w:t xml:space="preserve">(12) </w:t>
            </w:r>
            <w:r>
              <w:rPr>
                <w:sz w:val="21"/>
              </w:rPr>
              <w:t>按照安全要求，进行应用系统、数据库和操作系统漏洞修复。</w:t>
            </w:r>
          </w:p>
          <w:p>
            <w:pPr>
              <w:jc w:val="both"/>
            </w:pPr>
            <w:r>
              <w:rPr>
                <w:sz w:val="21"/>
              </w:rPr>
              <w:t xml:space="preserve">(13) </w:t>
            </w:r>
            <w:r>
              <w:rPr>
                <w:sz w:val="21"/>
              </w:rPr>
              <w:t>国家法定节假日前要有专人检查系统运行情况，如发现问题及时解决，并做好记录处理，解决不了的及时报告。</w:t>
            </w:r>
          </w:p>
          <w:p>
            <w:pPr>
              <w:jc w:val="both"/>
            </w:pPr>
            <w:r>
              <w:rPr>
                <w:sz w:val="21"/>
              </w:rPr>
              <w:t xml:space="preserve">(14) </w:t>
            </w:r>
            <w:r>
              <w:rPr>
                <w:sz w:val="21"/>
              </w:rPr>
              <w:t>按照工作要求，根据上级下发的相关文件，配合开展相关的网络或软件系统安全检查及相关升级改造工作，做好运维系统的网络信息安全工作。</w:t>
            </w:r>
          </w:p>
          <w:p>
            <w:pPr>
              <w:jc w:val="both"/>
            </w:pPr>
            <w:r>
              <w:rPr>
                <w:sz w:val="21"/>
              </w:rPr>
              <w:t xml:space="preserve">(15) </w:t>
            </w:r>
            <w:r>
              <w:rPr>
                <w:sz w:val="21"/>
              </w:rPr>
              <w:t>对系统涉及到的数据资产进行盘点更新，包括数据量、接口、服务器部署图、网络拓扑图等。</w:t>
            </w:r>
          </w:p>
          <w:p>
            <w:pPr>
              <w:jc w:val="both"/>
            </w:pPr>
            <w:r>
              <w:rPr>
                <w:sz w:val="21"/>
              </w:rPr>
              <w:t xml:space="preserve">(16) </w:t>
            </w:r>
            <w:r>
              <w:rPr>
                <w:sz w:val="21"/>
              </w:rPr>
              <w:t>对系统业务体系图和系统关系图进行更新，包括业务流程、业务关系、与外部系统的关系等信息。</w:t>
            </w:r>
          </w:p>
          <w:p>
            <w:pPr>
              <w:jc w:val="both"/>
            </w:pPr>
            <w:r>
              <w:rPr>
                <w:sz w:val="21"/>
              </w:rPr>
              <w:t xml:space="preserve">(17) </w:t>
            </w:r>
            <w:r>
              <w:rPr>
                <w:sz w:val="21"/>
              </w:rPr>
              <w:t>按照国家、省、市政务信息化部门、省自然资源厅和局有关标准规范、政策文件要求开展的各项运维工作。</w:t>
            </w:r>
          </w:p>
          <w:p>
            <w:pPr>
              <w:jc w:val="both"/>
            </w:pPr>
            <w:r>
              <w:rPr>
                <w:sz w:val="21"/>
              </w:rPr>
              <w:t xml:space="preserve">(18) </w:t>
            </w:r>
            <w:r>
              <w:rPr>
                <w:sz w:val="21"/>
              </w:rPr>
              <w:t>运维工作总体内容中的，其他共性工作内容。</w:t>
            </w:r>
          </w:p>
          <w:p>
            <w:pPr>
              <w:jc w:val="both"/>
            </w:pPr>
            <w:r>
              <w:rPr>
                <w:sz w:val="21"/>
              </w:rPr>
              <w:t xml:space="preserve">(19) </w:t>
            </w:r>
            <w:r>
              <w:rPr>
                <w:sz w:val="21"/>
              </w:rPr>
              <w:t>根据运维工作总体内容，市自然资源局信息化主管部门和技术部门安排的其他有关工作。</w:t>
            </w:r>
          </w:p>
          <w:p>
            <w:pPr>
              <w:jc w:val="both"/>
            </w:pPr>
            <w:r>
              <w:rPr>
                <w:sz w:val="21"/>
              </w:rPr>
              <w:t>各系统个性化运维工作内容详见下表。个性化运维工作内容与共性运维内容不一致的，根据实际运维需求而定。若由于新的相关政策文件、新标准、新规范出台而运维需求或要求有变化或有新增内容的，运维单位应参照相关文件及时开展工作，避免工作超期或不达标。新运维需求未纳入以上运维工作内容的，中山市自然资源局可在不增加原系统大功能模块的基础上，每季度集中调整一次，以明确运维内容、运维要求和完成期限。</w:t>
            </w:r>
          </w:p>
          <w:p>
            <w:pPr>
              <w:jc w:val="both"/>
            </w:pPr>
            <w:r>
              <w:rPr>
                <w:b/>
                <w:sz w:val="21"/>
              </w:rPr>
              <w:t>中山市自然资源综合业务平台及自然资源决策支持平台</w:t>
            </w:r>
          </w:p>
          <w:p>
            <w:pPr>
              <w:jc w:val="both"/>
            </w:pPr>
            <w:r>
              <w:rPr>
                <w:sz w:val="21"/>
              </w:rPr>
              <w:t>本项目运维工作主要对纳入本项目范围的中山市自然资源综合业务平台及自然资源决策支持平台，从系统运维服务、网络与信息安全运维等方面开展运行、维护、管理工作。详细运维内容如下表：</w:t>
            </w:r>
          </w:p>
          <w:p>
            <w:r>
              <w:rPr>
                <w:b/>
                <w:sz w:val="21"/>
              </w:rPr>
              <w:t>3.2.1.1.</w:t>
            </w:r>
            <w:r>
              <w:rPr>
                <w:b/>
                <w:sz w:val="21"/>
              </w:rPr>
              <w:t>系统运维</w:t>
            </w:r>
          </w:p>
          <w:tbl>
            <w:tblGrid>
              <w:gridCol w:w="467"/>
              <w:gridCol w:w="292"/>
              <w:gridCol w:w="935"/>
              <w:gridCol w:w="2980"/>
              <w:gridCol w:w="526"/>
              <w:gridCol w:w="351"/>
            </w:tblGrid>
            <w:tr>
              <w:tc>
                <w:tcPr>
                  <w:tcW w:type="dxa" w:w="467"/>
                  <w:tcBorders>
                    <w:top w:val="single" w:color="000000" w:sz="4"/>
                    <w:left w:val="single" w:color="000000" w:sz="4"/>
                    <w:bottom w:val="single" w:color="000000" w:sz="4"/>
                    <w:right w:val="single" w:color="000000" w:sz="4"/>
                  </w:tcBorders>
                </w:tcPr>
                <w:p>
                  <w:pPr>
                    <w:jc w:val="center"/>
                  </w:pPr>
                  <w:r>
                    <w:rPr>
                      <w:b/>
                      <w:sz w:val="21"/>
                    </w:rPr>
                    <w:t>序号</w:t>
                  </w:r>
                </w:p>
              </w:tc>
              <w:tc>
                <w:tcPr>
                  <w:tcW w:type="dxa" w:w="1227"/>
                  <w:gridSpan w:val="2"/>
                  <w:tcBorders>
                    <w:top w:val="single" w:color="000000" w:sz="4"/>
                    <w:left w:val="none" w:color="000000" w:sz="4"/>
                    <w:bottom w:val="single" w:color="000000" w:sz="4"/>
                    <w:right w:val="single" w:color="000000" w:sz="4"/>
                  </w:tcBorders>
                </w:tcPr>
                <w:p>
                  <w:pPr>
                    <w:jc w:val="center"/>
                  </w:pPr>
                  <w:r>
                    <w:rPr>
                      <w:b/>
                      <w:sz w:val="21"/>
                    </w:rPr>
                    <w:t>服务事项</w:t>
                  </w:r>
                </w:p>
              </w:tc>
              <w:tc>
                <w:tcPr>
                  <w:tcW w:type="dxa" w:w="2980"/>
                  <w:tcBorders>
                    <w:top w:val="single" w:color="000000" w:sz="4"/>
                    <w:left w:val="none" w:color="000000" w:sz="4"/>
                    <w:bottom w:val="single" w:color="000000" w:sz="4"/>
                    <w:right w:val="single" w:color="000000" w:sz="4"/>
                  </w:tcBorders>
                </w:tcPr>
                <w:p>
                  <w:pPr>
                    <w:jc w:val="center"/>
                  </w:pPr>
                  <w:r>
                    <w:rPr>
                      <w:b/>
                      <w:sz w:val="21"/>
                    </w:rPr>
                    <w:t>具体服务内容</w:t>
                  </w:r>
                </w:p>
              </w:tc>
              <w:tc>
                <w:tcPr>
                  <w:tcW w:type="dxa" w:w="526"/>
                  <w:tcBorders>
                    <w:top w:val="single" w:color="000000" w:sz="4"/>
                    <w:left w:val="none" w:color="000000" w:sz="4"/>
                    <w:bottom w:val="single" w:color="000000" w:sz="4"/>
                    <w:right w:val="single" w:color="000000" w:sz="4"/>
                  </w:tcBorders>
                </w:tcPr>
                <w:p>
                  <w:pPr>
                    <w:jc w:val="center"/>
                  </w:pPr>
                  <w:r>
                    <w:rPr>
                      <w:b/>
                      <w:sz w:val="21"/>
                    </w:rPr>
                    <w:t>运维性质</w:t>
                  </w:r>
                </w:p>
              </w:tc>
              <w:tc>
                <w:tcPr>
                  <w:tcW w:type="dxa" w:w="351"/>
                  <w:tcBorders>
                    <w:top w:val="single" w:color="000000" w:sz="4"/>
                    <w:left w:val="none" w:color="000000" w:sz="4"/>
                    <w:bottom w:val="single" w:color="000000" w:sz="4"/>
                    <w:right w:val="single" w:color="000000" w:sz="4"/>
                  </w:tcBorders>
                </w:tcPr>
                <w:p>
                  <w:pPr>
                    <w:jc w:val="center"/>
                  </w:pPr>
                  <w:r>
                    <w:rPr>
                      <w:b/>
                      <w:sz w:val="21"/>
                    </w:rPr>
                    <w:t>备注说明</w:t>
                  </w:r>
                </w:p>
              </w:tc>
            </w:tr>
            <w:tr>
              <w:tc>
                <w:tcPr>
                  <w:tcW w:type="dxa" w:w="467"/>
                  <w:tcBorders>
                    <w:top w:val="none" w:color="000000" w:sz="4"/>
                    <w:left w:val="single" w:color="000000" w:sz="4"/>
                    <w:bottom w:val="single" w:color="000000" w:sz="4"/>
                    <w:right w:val="single" w:color="000000" w:sz="4"/>
                  </w:tcBorders>
                </w:tcPr>
                <w:p>
                  <w:pPr>
                    <w:jc w:val="center"/>
                  </w:pPr>
                  <w:r>
                    <w:rPr>
                      <w:sz w:val="21"/>
                    </w:rPr>
                    <w:t>1</w:t>
                  </w:r>
                </w:p>
              </w:tc>
              <w:tc>
                <w:tcPr>
                  <w:tcW w:type="dxa" w:w="292"/>
                  <w:vMerge w:val="restart"/>
                  <w:tcBorders>
                    <w:top w:val="none" w:color="000000" w:sz="4"/>
                    <w:left w:val="none" w:color="000000" w:sz="4"/>
                    <w:bottom w:val="single" w:color="000000" w:sz="4"/>
                    <w:right w:val="single" w:color="000000" w:sz="4"/>
                  </w:tcBorders>
                </w:tcPr>
                <w:p>
                  <w:pPr>
                    <w:jc w:val="center"/>
                  </w:pPr>
                  <w:r>
                    <w:rPr>
                      <w:b/>
                      <w:sz w:val="21"/>
                    </w:rPr>
                    <w:t>新增系统功能</w:t>
                  </w:r>
                </w:p>
              </w:tc>
              <w:tc>
                <w:tcPr>
                  <w:tcW w:type="dxa" w:w="935"/>
                  <w:tcBorders>
                    <w:top w:val="none" w:color="000000" w:sz="4"/>
                    <w:left w:val="none" w:color="000000" w:sz="4"/>
                    <w:bottom w:val="single" w:color="000000" w:sz="4"/>
                    <w:right w:val="single" w:color="000000" w:sz="4"/>
                  </w:tcBorders>
                </w:tcPr>
                <w:p>
                  <w:pPr>
                    <w:jc w:val="center"/>
                  </w:pPr>
                  <w:r>
                    <w:rPr>
                      <w:b/>
                      <w:sz w:val="21"/>
                    </w:rPr>
                    <w:t>电子报批平台规则更改</w:t>
                  </w:r>
                </w:p>
              </w:tc>
              <w:tc>
                <w:tcPr>
                  <w:tcW w:type="dxa" w:w="2980"/>
                  <w:tcBorders>
                    <w:top w:val="none" w:color="000000" w:sz="4"/>
                    <w:left w:val="none" w:color="000000" w:sz="4"/>
                    <w:bottom w:val="single" w:color="000000" w:sz="4"/>
                    <w:right w:val="single" w:color="000000" w:sz="4"/>
                  </w:tcBorders>
                </w:tcPr>
                <w:p>
                  <w:pPr>
                    <w:jc w:val="both"/>
                  </w:pPr>
                  <w:r>
                    <w:rPr>
                      <w:sz w:val="21"/>
                    </w:rPr>
                    <w:t>为提高验线服务质量，提高验线效率，自然资源局提出新的工作机制，实现验线单位的自动派件，从而均衡其工作量，同时引进验线质检，保障验线的质量，质检不合格不能发送，同时对各个验线单位花了多少时间质检进行统计。同时为了保障没有三维的业务件不进行三维审查，对二三维进行分离。</w:t>
                  </w:r>
                </w:p>
              </w:tc>
              <w:tc>
                <w:tcPr>
                  <w:tcW w:type="dxa" w:w="526"/>
                  <w:tcBorders>
                    <w:top w:val="none" w:color="000000" w:sz="4"/>
                    <w:left w:val="none" w:color="000000" w:sz="4"/>
                    <w:bottom w:val="single" w:color="000000" w:sz="4"/>
                    <w:right w:val="single" w:color="000000" w:sz="4"/>
                  </w:tcBorders>
                </w:tcPr>
                <w:p>
                  <w:pPr>
                    <w:jc w:val="center"/>
                  </w:pPr>
                  <w:r>
                    <w:rPr>
                      <w:sz w:val="21"/>
                    </w:rPr>
                    <w:t>新增运维</w:t>
                  </w:r>
                </w:p>
              </w:tc>
              <w:tc>
                <w:tcPr>
                  <w:tcW w:type="dxa" w:w="351"/>
                  <w:tcBorders>
                    <w:top w:val="none" w:color="000000" w:sz="4"/>
                    <w:left w:val="none" w:color="000000" w:sz="4"/>
                    <w:bottom w:val="single" w:color="000000" w:sz="4"/>
                    <w:right w:val="single" w:color="000000" w:sz="4"/>
                  </w:tcBorders>
                </w:tcPr>
                <w:p>
                  <w:pPr>
                    <w:jc w:val="center"/>
                  </w:pPr>
                </w:p>
              </w:tc>
            </w:tr>
            <w:tr>
              <w:tc>
                <w:tcPr>
                  <w:tcW w:type="dxa" w:w="467"/>
                  <w:tcBorders>
                    <w:top w:val="none" w:color="000000" w:sz="4"/>
                    <w:left w:val="single" w:color="000000" w:sz="4"/>
                    <w:bottom w:val="single" w:color="000000" w:sz="4"/>
                    <w:right w:val="single" w:color="000000" w:sz="4"/>
                  </w:tcBorders>
                </w:tcPr>
                <w:p>
                  <w:pPr>
                    <w:jc w:val="center"/>
                  </w:pPr>
                  <w:r>
                    <w:rPr>
                      <w:sz w:val="21"/>
                    </w:rPr>
                    <w:t>2</w:t>
                  </w:r>
                </w:p>
              </w:tc>
              <w:tc>
                <w:tcPr>
                  <w:tcW w:type="dxa" w:w="292"/>
                  <w:vMerge/>
                  <w:tcBorders>
                    <w:top w:val="none" w:color="000000" w:sz="4"/>
                    <w:left w:val="none" w:color="000000" w:sz="4"/>
                    <w:bottom w:val="single" w:color="000000" w:sz="4"/>
                    <w:right w:val="single" w:color="000000" w:sz="4"/>
                  </w:tcBorders>
                </w:tcPr>
                <w:p/>
              </w:tc>
              <w:tc>
                <w:tcPr>
                  <w:tcW w:type="dxa" w:w="935"/>
                  <w:tcBorders>
                    <w:top w:val="none" w:color="000000" w:sz="4"/>
                    <w:left w:val="none" w:color="000000" w:sz="4"/>
                    <w:bottom w:val="single" w:color="000000" w:sz="4"/>
                    <w:right w:val="single" w:color="000000" w:sz="4"/>
                  </w:tcBorders>
                </w:tcPr>
                <w:p>
                  <w:pPr>
                    <w:jc w:val="center"/>
                  </w:pPr>
                  <w:r>
                    <w:rPr>
                      <w:b/>
                      <w:sz w:val="21"/>
                    </w:rPr>
                    <w:t>三调地类核查规则的调整</w:t>
                  </w:r>
                </w:p>
              </w:tc>
              <w:tc>
                <w:tcPr>
                  <w:tcW w:type="dxa" w:w="2980"/>
                  <w:tcBorders>
                    <w:top w:val="none" w:color="000000" w:sz="4"/>
                    <w:left w:val="none" w:color="000000" w:sz="4"/>
                    <w:bottom w:val="single" w:color="000000" w:sz="4"/>
                    <w:right w:val="single" w:color="000000" w:sz="4"/>
                  </w:tcBorders>
                </w:tcPr>
                <w:p>
                  <w:pPr>
                    <w:jc w:val="both"/>
                  </w:pPr>
                  <w:r>
                    <w:rPr>
                      <w:sz w:val="21"/>
                    </w:rPr>
                    <w:t>地类核查整体工作围绕着年度土地变更调查成果的空间占压分析展开，又依据各项业务需求差异，对核查年份、平差规则、核查结果等方面均有相应的要求及标准。2022年5月17日省厅启用新的地类认定规则，针对新的追溯规则进行开发。地类核查是自然资源一项最基础性的工作，是保证国土空间规划落实，建设用地审批，项目供地，确保补充耕地、拆旧复垦、增减挂钩等项目顺利实施的重要一环。其工作成果向建设用地报批、违法用地查处、土地确权审批等各项业务提供必要的数据支撑与材料依据。根据业务需求，可实现地类核查的各种参数个性化调整，如参与分析图层、分析规则和输出结果在不同业务中的灵活配置。所有输出表格都要平差。所有地类核查业务入件时对图形进行拓扑检查，参照土地利用数据库检查规则，拓扑检查不通过则不入件并提示。</w:t>
                  </w:r>
                </w:p>
              </w:tc>
              <w:tc>
                <w:tcPr>
                  <w:tcW w:type="dxa" w:w="526"/>
                  <w:tcBorders>
                    <w:top w:val="none" w:color="000000" w:sz="4"/>
                    <w:left w:val="none" w:color="000000" w:sz="4"/>
                    <w:bottom w:val="single" w:color="000000" w:sz="4"/>
                    <w:right w:val="single" w:color="000000" w:sz="4"/>
                  </w:tcBorders>
                </w:tcPr>
                <w:p>
                  <w:pPr>
                    <w:jc w:val="center"/>
                  </w:pPr>
                  <w:r>
                    <w:rPr>
                      <w:sz w:val="21"/>
                    </w:rPr>
                    <w:t>新增运维</w:t>
                  </w:r>
                </w:p>
              </w:tc>
              <w:tc>
                <w:tcPr>
                  <w:tcW w:type="dxa" w:w="351"/>
                  <w:tcBorders>
                    <w:top w:val="none" w:color="000000" w:sz="4"/>
                    <w:left w:val="none" w:color="000000" w:sz="4"/>
                    <w:bottom w:val="single" w:color="000000" w:sz="4"/>
                    <w:right w:val="single" w:color="000000" w:sz="4"/>
                  </w:tcBorders>
                </w:tcPr>
                <w:p>
                  <w:pPr>
                    <w:jc w:val="center"/>
                  </w:pPr>
                </w:p>
              </w:tc>
            </w:tr>
            <w:tr>
              <w:tc>
                <w:tcPr>
                  <w:tcW w:type="dxa" w:w="467"/>
                  <w:tcBorders>
                    <w:top w:val="none" w:color="000000" w:sz="4"/>
                    <w:left w:val="single" w:color="000000" w:sz="4"/>
                    <w:bottom w:val="single" w:color="000000" w:sz="4"/>
                    <w:right w:val="single" w:color="000000" w:sz="4"/>
                  </w:tcBorders>
                </w:tcPr>
                <w:p>
                  <w:pPr>
                    <w:jc w:val="center"/>
                  </w:pPr>
                  <w:r>
                    <w:rPr>
                      <w:sz w:val="21"/>
                    </w:rPr>
                    <w:t>3</w:t>
                  </w:r>
                </w:p>
              </w:tc>
              <w:tc>
                <w:tcPr>
                  <w:tcW w:type="dxa" w:w="292"/>
                  <w:vMerge/>
                  <w:tcBorders>
                    <w:top w:val="none" w:color="000000" w:sz="4"/>
                    <w:left w:val="none" w:color="000000" w:sz="4"/>
                    <w:bottom w:val="single" w:color="000000" w:sz="4"/>
                    <w:right w:val="single" w:color="000000" w:sz="4"/>
                  </w:tcBorders>
                </w:tcPr>
                <w:p/>
              </w:tc>
              <w:tc>
                <w:tcPr>
                  <w:tcW w:type="dxa" w:w="935"/>
                  <w:tcBorders>
                    <w:top w:val="none" w:color="000000" w:sz="4"/>
                    <w:left w:val="none" w:color="000000" w:sz="4"/>
                    <w:bottom w:val="single" w:color="000000" w:sz="4"/>
                    <w:right w:val="single" w:color="000000" w:sz="4"/>
                  </w:tcBorders>
                </w:tcPr>
                <w:p>
                  <w:pPr>
                    <w:jc w:val="center"/>
                  </w:pPr>
                  <w:r>
                    <w:rPr>
                      <w:b/>
                      <w:sz w:val="21"/>
                    </w:rPr>
                    <w:t>档案馆验收业务设计</w:t>
                  </w:r>
                </w:p>
              </w:tc>
              <w:tc>
                <w:tcPr>
                  <w:tcW w:type="dxa" w:w="2980"/>
                  <w:tcBorders>
                    <w:top w:val="none" w:color="000000" w:sz="4"/>
                    <w:left w:val="none" w:color="000000" w:sz="4"/>
                    <w:bottom w:val="single" w:color="000000" w:sz="4"/>
                    <w:right w:val="single" w:color="000000" w:sz="4"/>
                  </w:tcBorders>
                </w:tcPr>
                <w:p>
                  <w:pPr>
                    <w:jc w:val="both"/>
                  </w:pPr>
                  <w:r>
                    <w:rPr>
                      <w:sz w:val="21"/>
                    </w:rPr>
                    <w:t>城建档案验收业务设计与实现、并与市工建并联审批系统、网厅系统进行数据对接，同时对重点项目形成动态跟踪。</w:t>
                  </w:r>
                </w:p>
              </w:tc>
              <w:tc>
                <w:tcPr>
                  <w:tcW w:type="dxa" w:w="526"/>
                  <w:tcBorders>
                    <w:top w:val="none" w:color="000000" w:sz="4"/>
                    <w:left w:val="none" w:color="000000" w:sz="4"/>
                    <w:bottom w:val="single" w:color="000000" w:sz="4"/>
                    <w:right w:val="single" w:color="000000" w:sz="4"/>
                  </w:tcBorders>
                </w:tcPr>
                <w:p>
                  <w:pPr>
                    <w:jc w:val="center"/>
                  </w:pPr>
                  <w:r>
                    <w:rPr>
                      <w:sz w:val="21"/>
                    </w:rPr>
                    <w:t>新增运维</w:t>
                  </w:r>
                </w:p>
              </w:tc>
              <w:tc>
                <w:tcPr>
                  <w:tcW w:type="dxa" w:w="351"/>
                  <w:tcBorders>
                    <w:top w:val="none" w:color="000000" w:sz="4"/>
                    <w:left w:val="none" w:color="000000" w:sz="4"/>
                    <w:bottom w:val="single" w:color="000000" w:sz="4"/>
                    <w:right w:val="single" w:color="000000" w:sz="4"/>
                  </w:tcBorders>
                </w:tcPr>
                <w:p>
                  <w:pPr>
                    <w:jc w:val="center"/>
                  </w:pPr>
                </w:p>
              </w:tc>
            </w:tr>
            <w:tr>
              <w:tc>
                <w:tcPr>
                  <w:tcW w:type="dxa" w:w="467"/>
                  <w:tcBorders>
                    <w:top w:val="none" w:color="000000" w:sz="4"/>
                    <w:left w:val="single" w:color="000000" w:sz="4"/>
                    <w:bottom w:val="single" w:color="000000" w:sz="4"/>
                    <w:right w:val="single" w:color="000000" w:sz="4"/>
                  </w:tcBorders>
                </w:tcPr>
                <w:p>
                  <w:pPr>
                    <w:jc w:val="center"/>
                  </w:pPr>
                  <w:r>
                    <w:rPr>
                      <w:sz w:val="21"/>
                    </w:rPr>
                    <w:t>4</w:t>
                  </w:r>
                </w:p>
              </w:tc>
              <w:tc>
                <w:tcPr>
                  <w:tcW w:type="dxa" w:w="292"/>
                  <w:vMerge/>
                  <w:tcBorders>
                    <w:top w:val="none" w:color="000000" w:sz="4"/>
                    <w:left w:val="none" w:color="000000" w:sz="4"/>
                    <w:bottom w:val="single" w:color="000000" w:sz="4"/>
                    <w:right w:val="single" w:color="000000" w:sz="4"/>
                  </w:tcBorders>
                </w:tcPr>
                <w:p/>
              </w:tc>
              <w:tc>
                <w:tcPr>
                  <w:tcW w:type="dxa" w:w="935"/>
                  <w:tcBorders>
                    <w:top w:val="none" w:color="000000" w:sz="4"/>
                    <w:left w:val="none" w:color="000000" w:sz="4"/>
                    <w:bottom w:val="single" w:color="000000" w:sz="4"/>
                    <w:right w:val="single" w:color="000000" w:sz="4"/>
                  </w:tcBorders>
                </w:tcPr>
                <w:p>
                  <w:pPr>
                    <w:jc w:val="center"/>
                  </w:pPr>
                  <w:r>
                    <w:rPr>
                      <w:b/>
                      <w:sz w:val="21"/>
                    </w:rPr>
                    <w:t>临时业务体系设计与监管</w:t>
                  </w:r>
                </w:p>
              </w:tc>
              <w:tc>
                <w:tcPr>
                  <w:tcW w:type="dxa" w:w="2980"/>
                  <w:tcBorders>
                    <w:top w:val="none" w:color="000000" w:sz="4"/>
                    <w:left w:val="none" w:color="000000" w:sz="4"/>
                    <w:bottom w:val="single" w:color="000000" w:sz="4"/>
                    <w:right w:val="single" w:color="000000" w:sz="4"/>
                  </w:tcBorders>
                </w:tcPr>
                <w:p>
                  <w:pPr>
                    <w:jc w:val="both"/>
                  </w:pPr>
                  <w:r>
                    <w:rPr>
                      <w:sz w:val="21"/>
                    </w:rPr>
                    <w:t>针对临时用地复垦方案审查、临时用地审批、临时用地复垦验收三个业务进行流程的改造，针对空间数据进行调整，调整入库功能，同时针对业务的不同节点进行时限控制，为了支撑其他业务的办理，需要和其他业务进行关联，同时为了保障临时用地业务及时办理，对业务办理时限进行实时监管，超时会及时通过发短信、亮红灯等方式进行提醒。</w:t>
                  </w:r>
                </w:p>
              </w:tc>
              <w:tc>
                <w:tcPr>
                  <w:tcW w:type="dxa" w:w="526"/>
                  <w:tcBorders>
                    <w:top w:val="none" w:color="000000" w:sz="4"/>
                    <w:left w:val="none" w:color="000000" w:sz="4"/>
                    <w:bottom w:val="single" w:color="000000" w:sz="4"/>
                    <w:right w:val="single" w:color="000000" w:sz="4"/>
                  </w:tcBorders>
                </w:tcPr>
                <w:p>
                  <w:pPr>
                    <w:jc w:val="center"/>
                  </w:pPr>
                  <w:r>
                    <w:rPr>
                      <w:sz w:val="21"/>
                    </w:rPr>
                    <w:t>新增运维</w:t>
                  </w:r>
                </w:p>
              </w:tc>
              <w:tc>
                <w:tcPr>
                  <w:tcW w:type="dxa" w:w="351"/>
                  <w:tcBorders>
                    <w:top w:val="none" w:color="000000" w:sz="4"/>
                    <w:left w:val="none" w:color="000000" w:sz="4"/>
                    <w:bottom w:val="single" w:color="000000" w:sz="4"/>
                    <w:right w:val="single" w:color="000000" w:sz="4"/>
                  </w:tcBorders>
                </w:tcPr>
                <w:p>
                  <w:pPr>
                    <w:jc w:val="center"/>
                  </w:pPr>
                </w:p>
              </w:tc>
            </w:tr>
            <w:tr>
              <w:tc>
                <w:tcPr>
                  <w:tcW w:type="dxa" w:w="467"/>
                  <w:tcBorders>
                    <w:top w:val="none" w:color="000000" w:sz="4"/>
                    <w:left w:val="single" w:color="000000" w:sz="4"/>
                    <w:bottom w:val="single" w:color="000000" w:sz="4"/>
                    <w:right w:val="single" w:color="000000" w:sz="4"/>
                  </w:tcBorders>
                </w:tcPr>
                <w:p>
                  <w:pPr>
                    <w:jc w:val="center"/>
                  </w:pPr>
                  <w:r>
                    <w:rPr>
                      <w:sz w:val="21"/>
                    </w:rPr>
                    <w:t>5</w:t>
                  </w:r>
                </w:p>
              </w:tc>
              <w:tc>
                <w:tcPr>
                  <w:tcW w:type="dxa" w:w="292"/>
                  <w:vMerge/>
                  <w:tcBorders>
                    <w:top w:val="none" w:color="000000" w:sz="4"/>
                    <w:left w:val="none" w:color="000000" w:sz="4"/>
                    <w:bottom w:val="single" w:color="000000" w:sz="4"/>
                    <w:right w:val="single" w:color="000000" w:sz="4"/>
                  </w:tcBorders>
                </w:tcPr>
                <w:p/>
              </w:tc>
              <w:tc>
                <w:tcPr>
                  <w:tcW w:type="dxa" w:w="935"/>
                  <w:tcBorders>
                    <w:top w:val="none" w:color="000000" w:sz="4"/>
                    <w:left w:val="none" w:color="000000" w:sz="4"/>
                    <w:bottom w:val="single" w:color="000000" w:sz="4"/>
                    <w:right w:val="single" w:color="000000" w:sz="4"/>
                  </w:tcBorders>
                </w:tcPr>
                <w:p>
                  <w:pPr>
                    <w:jc w:val="center"/>
                  </w:pPr>
                  <w:r>
                    <w:rPr>
                      <w:b/>
                      <w:sz w:val="21"/>
                    </w:rPr>
                    <w:t>码上反映</w:t>
                  </w:r>
                </w:p>
              </w:tc>
              <w:tc>
                <w:tcPr>
                  <w:tcW w:type="dxa" w:w="2980"/>
                  <w:tcBorders>
                    <w:top w:val="none" w:color="000000" w:sz="4"/>
                    <w:left w:val="none" w:color="000000" w:sz="4"/>
                    <w:bottom w:val="single" w:color="000000" w:sz="4"/>
                    <w:right w:val="single" w:color="000000" w:sz="4"/>
                  </w:tcBorders>
                </w:tcPr>
                <w:p>
                  <w:pPr>
                    <w:jc w:val="both"/>
                  </w:pPr>
                  <w:r>
                    <w:rPr>
                      <w:sz w:val="21"/>
                    </w:rPr>
                    <w:t>为提高群众办事满意度，及时反馈不同的办事点的办事效率，在业务表单上增加码上反映。系统承建方在八大类业务初建表单上新增下拉选项卡让窗口人员选择27个办事点（可以根据办事点名称进行模糊搜索），后台根据选择的办事点的id调用相对应的二维码图片。</w:t>
                  </w:r>
                </w:p>
              </w:tc>
              <w:tc>
                <w:tcPr>
                  <w:tcW w:type="dxa" w:w="526"/>
                  <w:tcBorders>
                    <w:top w:val="none" w:color="000000" w:sz="4"/>
                    <w:left w:val="none" w:color="000000" w:sz="4"/>
                    <w:bottom w:val="single" w:color="000000" w:sz="4"/>
                    <w:right w:val="single" w:color="000000" w:sz="4"/>
                  </w:tcBorders>
                </w:tcPr>
                <w:p>
                  <w:pPr>
                    <w:jc w:val="center"/>
                  </w:pPr>
                  <w:r>
                    <w:rPr>
                      <w:sz w:val="21"/>
                    </w:rPr>
                    <w:t>新增运维</w:t>
                  </w:r>
                </w:p>
              </w:tc>
              <w:tc>
                <w:tcPr>
                  <w:tcW w:type="dxa" w:w="351"/>
                  <w:tcBorders>
                    <w:top w:val="none" w:color="000000" w:sz="4"/>
                    <w:left w:val="none" w:color="000000" w:sz="4"/>
                    <w:bottom w:val="single" w:color="000000" w:sz="4"/>
                    <w:right w:val="single" w:color="000000" w:sz="4"/>
                  </w:tcBorders>
                </w:tcPr>
                <w:p>
                  <w:pPr>
                    <w:jc w:val="center"/>
                  </w:pPr>
                </w:p>
              </w:tc>
            </w:tr>
            <w:tr>
              <w:tc>
                <w:tcPr>
                  <w:tcW w:type="dxa" w:w="467"/>
                  <w:tcBorders>
                    <w:top w:val="none" w:color="000000" w:sz="4"/>
                    <w:left w:val="single" w:color="000000" w:sz="4"/>
                    <w:bottom w:val="single" w:color="000000" w:sz="4"/>
                    <w:right w:val="single" w:color="000000" w:sz="4"/>
                  </w:tcBorders>
                </w:tcPr>
                <w:p>
                  <w:pPr>
                    <w:jc w:val="center"/>
                  </w:pPr>
                  <w:r>
                    <w:rPr>
                      <w:sz w:val="21"/>
                    </w:rPr>
                    <w:t>6</w:t>
                  </w:r>
                </w:p>
              </w:tc>
              <w:tc>
                <w:tcPr>
                  <w:tcW w:type="dxa" w:w="292"/>
                  <w:vMerge/>
                  <w:tcBorders>
                    <w:top w:val="none" w:color="000000" w:sz="4"/>
                    <w:left w:val="none" w:color="000000" w:sz="4"/>
                    <w:bottom w:val="single" w:color="000000" w:sz="4"/>
                    <w:right w:val="single" w:color="000000" w:sz="4"/>
                  </w:tcBorders>
                </w:tcPr>
                <w:p/>
              </w:tc>
              <w:tc>
                <w:tcPr>
                  <w:tcW w:type="dxa" w:w="935"/>
                  <w:tcBorders>
                    <w:top w:val="none" w:color="000000" w:sz="4"/>
                    <w:left w:val="none" w:color="000000" w:sz="4"/>
                    <w:bottom w:val="single" w:color="000000" w:sz="4"/>
                    <w:right w:val="single" w:color="000000" w:sz="4"/>
                  </w:tcBorders>
                </w:tcPr>
                <w:p>
                  <w:pPr>
                    <w:jc w:val="center"/>
                  </w:pPr>
                  <w:r>
                    <w:rPr>
                      <w:b/>
                      <w:sz w:val="21"/>
                    </w:rPr>
                    <w:t>中山市留用地数据业务台账管理</w:t>
                  </w:r>
                </w:p>
              </w:tc>
              <w:tc>
                <w:tcPr>
                  <w:tcW w:type="dxa" w:w="2980"/>
                  <w:tcBorders>
                    <w:top w:val="none" w:color="000000" w:sz="4"/>
                    <w:left w:val="none" w:color="000000" w:sz="4"/>
                    <w:bottom w:val="single" w:color="000000" w:sz="4"/>
                    <w:right w:val="single" w:color="000000" w:sz="4"/>
                  </w:tcBorders>
                </w:tcPr>
                <w:p>
                  <w:pPr>
                    <w:jc w:val="both"/>
                  </w:pPr>
                  <w:r>
                    <w:rPr>
                      <w:sz w:val="21"/>
                    </w:rPr>
                    <w:t>根据管制科的要求，需要对全中山市的留用地进行管理，在自然资源综合业务管理平台上新增中山市征地留用地管理台账业务，同时将该业务延伸到镇街，给镇街相应的人员配权限。新增征地留用地管理台账查询箱，便于对整个中山市留用地查询，及时掌握征地合同编号、征地合同甲方、征地合同乙方、镇区、征地面积、征地补偿标准、比例、征地协议签订时间等信息。</w:t>
                  </w:r>
                </w:p>
              </w:tc>
              <w:tc>
                <w:tcPr>
                  <w:tcW w:type="dxa" w:w="526"/>
                  <w:tcBorders>
                    <w:top w:val="none" w:color="000000" w:sz="4"/>
                    <w:left w:val="none" w:color="000000" w:sz="4"/>
                    <w:bottom w:val="single" w:color="000000" w:sz="4"/>
                    <w:right w:val="single" w:color="000000" w:sz="4"/>
                  </w:tcBorders>
                </w:tcPr>
                <w:p>
                  <w:pPr>
                    <w:jc w:val="center"/>
                  </w:pPr>
                  <w:r>
                    <w:rPr>
                      <w:sz w:val="21"/>
                    </w:rPr>
                    <w:t>新增运维</w:t>
                  </w:r>
                </w:p>
              </w:tc>
              <w:tc>
                <w:tcPr>
                  <w:tcW w:type="dxa" w:w="351"/>
                  <w:tcBorders>
                    <w:top w:val="none" w:color="000000" w:sz="4"/>
                    <w:left w:val="none" w:color="000000" w:sz="4"/>
                    <w:bottom w:val="single" w:color="000000" w:sz="4"/>
                    <w:right w:val="single" w:color="000000" w:sz="4"/>
                  </w:tcBorders>
                </w:tcPr>
                <w:p>
                  <w:pPr>
                    <w:jc w:val="center"/>
                  </w:pPr>
                </w:p>
              </w:tc>
            </w:tr>
            <w:tr>
              <w:tc>
                <w:tcPr>
                  <w:tcW w:type="dxa" w:w="467"/>
                  <w:tcBorders>
                    <w:top w:val="none" w:color="000000" w:sz="4"/>
                    <w:left w:val="single" w:color="000000" w:sz="4"/>
                    <w:bottom w:val="single" w:color="000000" w:sz="4"/>
                    <w:right w:val="single" w:color="000000" w:sz="4"/>
                  </w:tcBorders>
                </w:tcPr>
                <w:p>
                  <w:pPr>
                    <w:jc w:val="center"/>
                  </w:pPr>
                  <w:r>
                    <w:rPr>
                      <w:sz w:val="21"/>
                    </w:rPr>
                    <w:t>7</w:t>
                  </w:r>
                </w:p>
              </w:tc>
              <w:tc>
                <w:tcPr>
                  <w:tcW w:type="dxa" w:w="292"/>
                  <w:vMerge/>
                  <w:tcBorders>
                    <w:top w:val="none" w:color="000000" w:sz="4"/>
                    <w:left w:val="none" w:color="000000" w:sz="4"/>
                    <w:bottom w:val="single" w:color="000000" w:sz="4"/>
                    <w:right w:val="single" w:color="000000" w:sz="4"/>
                  </w:tcBorders>
                </w:tcPr>
                <w:p/>
              </w:tc>
              <w:tc>
                <w:tcPr>
                  <w:tcW w:type="dxa" w:w="935"/>
                  <w:tcBorders>
                    <w:top w:val="none" w:color="000000" w:sz="4"/>
                    <w:left w:val="none" w:color="000000" w:sz="4"/>
                    <w:bottom w:val="single" w:color="000000" w:sz="4"/>
                    <w:right w:val="single" w:color="000000" w:sz="4"/>
                  </w:tcBorders>
                </w:tcPr>
                <w:p>
                  <w:pPr>
                    <w:jc w:val="center"/>
                  </w:pPr>
                  <w:r>
                    <w:rPr>
                      <w:b/>
                      <w:sz w:val="21"/>
                    </w:rPr>
                    <w:t>闲置土地调查认定审批优化设计实现以及动态监管</w:t>
                  </w:r>
                </w:p>
              </w:tc>
              <w:tc>
                <w:tcPr>
                  <w:tcW w:type="dxa" w:w="2980"/>
                  <w:tcBorders>
                    <w:top w:val="none" w:color="000000" w:sz="4"/>
                    <w:left w:val="none" w:color="000000" w:sz="4"/>
                    <w:bottom w:val="single" w:color="000000" w:sz="4"/>
                    <w:right w:val="single" w:color="000000" w:sz="4"/>
                  </w:tcBorders>
                </w:tcPr>
                <w:p>
                  <w:pPr>
                    <w:jc w:val="both"/>
                  </w:pPr>
                  <w:r>
                    <w:rPr>
                      <w:sz w:val="21"/>
                    </w:rPr>
                    <w:t>为了更好的完成中山市自然资源局“闲置用地认定处置”业务，做到合规、合法的完成认定与处置工作。并同时完成市委关于业务职能下方镇街的目标，市自然资源局利用科再次提出了，重新梳理、规划“闲置用地认定处置”业务流程的需求，以期望能通过新流程来实现对“闲置用地认定处置”业务的规范化管理。</w:t>
                  </w:r>
                </w:p>
                <w:p>
                  <w:pPr>
                    <w:jc w:val="both"/>
                  </w:pPr>
                  <w:r>
                    <w:rPr>
                      <w:sz w:val="21"/>
                    </w:rPr>
                    <w:t>此次需求，利用科提出了以下建设目标：1) 合规合法，业务操作的整体过程要符合2012年国土资源部令第53号《闲置土地处置办法》的要求。2) 大幅简化流程，缩短办理时间。3) 职能下放，实现镇街真实参与。4) 处置后直接办理放行批复。</w:t>
                  </w:r>
                </w:p>
              </w:tc>
              <w:tc>
                <w:tcPr>
                  <w:tcW w:type="dxa" w:w="526"/>
                  <w:tcBorders>
                    <w:top w:val="none" w:color="000000" w:sz="4"/>
                    <w:left w:val="none" w:color="000000" w:sz="4"/>
                    <w:bottom w:val="single" w:color="000000" w:sz="4"/>
                    <w:right w:val="single" w:color="000000" w:sz="4"/>
                  </w:tcBorders>
                </w:tcPr>
                <w:p>
                  <w:pPr>
                    <w:jc w:val="center"/>
                  </w:pPr>
                  <w:r>
                    <w:rPr>
                      <w:sz w:val="21"/>
                    </w:rPr>
                    <w:t>新增运维</w:t>
                  </w:r>
                </w:p>
              </w:tc>
              <w:tc>
                <w:tcPr>
                  <w:tcW w:type="dxa" w:w="351"/>
                  <w:tcBorders>
                    <w:top w:val="none" w:color="000000" w:sz="4"/>
                    <w:left w:val="none" w:color="000000" w:sz="4"/>
                    <w:bottom w:val="single" w:color="000000" w:sz="4"/>
                    <w:right w:val="single" w:color="000000" w:sz="4"/>
                  </w:tcBorders>
                </w:tcPr>
                <w:p>
                  <w:pPr>
                    <w:jc w:val="center"/>
                  </w:pPr>
                </w:p>
              </w:tc>
            </w:tr>
            <w:tr>
              <w:tc>
                <w:tcPr>
                  <w:tcW w:type="dxa" w:w="467"/>
                  <w:tcBorders>
                    <w:top w:val="none" w:color="000000" w:sz="4"/>
                    <w:left w:val="single" w:color="000000" w:sz="4"/>
                    <w:bottom w:val="single" w:color="000000" w:sz="4"/>
                    <w:right w:val="single" w:color="000000" w:sz="4"/>
                  </w:tcBorders>
                </w:tcPr>
                <w:p>
                  <w:pPr>
                    <w:jc w:val="center"/>
                  </w:pPr>
                  <w:r>
                    <w:rPr>
                      <w:sz w:val="21"/>
                    </w:rPr>
                    <w:t>8</w:t>
                  </w:r>
                </w:p>
              </w:tc>
              <w:tc>
                <w:tcPr>
                  <w:tcW w:type="dxa" w:w="292"/>
                  <w:vMerge/>
                  <w:tcBorders>
                    <w:top w:val="none" w:color="000000" w:sz="4"/>
                    <w:left w:val="none" w:color="000000" w:sz="4"/>
                    <w:bottom w:val="single" w:color="000000" w:sz="4"/>
                    <w:right w:val="single" w:color="000000" w:sz="4"/>
                  </w:tcBorders>
                </w:tcPr>
                <w:p/>
              </w:tc>
              <w:tc>
                <w:tcPr>
                  <w:tcW w:type="dxa" w:w="935"/>
                  <w:tcBorders>
                    <w:top w:val="none" w:color="000000" w:sz="4"/>
                    <w:left w:val="none" w:color="000000" w:sz="4"/>
                    <w:bottom w:val="single" w:color="000000" w:sz="4"/>
                    <w:right w:val="single" w:color="000000" w:sz="4"/>
                  </w:tcBorders>
                </w:tcPr>
                <w:p>
                  <w:pPr>
                    <w:jc w:val="center"/>
                  </w:pPr>
                  <w:r>
                    <w:rPr>
                      <w:b/>
                      <w:sz w:val="21"/>
                    </w:rPr>
                    <w:t>系统IPV6改造</w:t>
                  </w:r>
                </w:p>
              </w:tc>
              <w:tc>
                <w:tcPr>
                  <w:tcW w:type="dxa" w:w="2980"/>
                  <w:tcBorders>
                    <w:top w:val="none" w:color="000000" w:sz="4"/>
                    <w:left w:val="none" w:color="000000" w:sz="4"/>
                    <w:bottom w:val="single" w:color="000000" w:sz="4"/>
                    <w:right w:val="single" w:color="000000" w:sz="4"/>
                  </w:tcBorders>
                </w:tcPr>
                <w:p>
                  <w:pPr>
                    <w:jc w:val="both"/>
                  </w:pPr>
                  <w:r>
                    <w:rPr>
                      <w:sz w:val="21"/>
                    </w:rPr>
                    <w:t>按照政数局文件要求，云平台上的政务信息化系统应当具备支持IPv4/IPv6双栈能力，已在政务云平台完成部署的业务系统要即时启动改造。目前系统支持IPV4能力，为保证系统同时支持IPV6和IPV4的网络地址访问，需要针对综合业务系统进行IPv6改造并测试，使系统支持IPv6的软件，支持端到端IPv6的能力，不允许使用IP地址翻译的技术，保证系统能够在IPv6环境下正常使用。</w:t>
                  </w:r>
                </w:p>
              </w:tc>
              <w:tc>
                <w:tcPr>
                  <w:tcW w:type="dxa" w:w="526"/>
                  <w:tcBorders>
                    <w:top w:val="none" w:color="000000" w:sz="4"/>
                    <w:left w:val="none" w:color="000000" w:sz="4"/>
                    <w:bottom w:val="single" w:color="000000" w:sz="4"/>
                    <w:right w:val="single" w:color="000000" w:sz="4"/>
                  </w:tcBorders>
                </w:tcPr>
                <w:p>
                  <w:pPr>
                    <w:jc w:val="center"/>
                  </w:pPr>
                  <w:r>
                    <w:rPr>
                      <w:sz w:val="21"/>
                    </w:rPr>
                    <w:t>新增运维</w:t>
                  </w:r>
                </w:p>
              </w:tc>
              <w:tc>
                <w:tcPr>
                  <w:tcW w:type="dxa" w:w="351"/>
                  <w:tcBorders>
                    <w:top w:val="none" w:color="000000" w:sz="4"/>
                    <w:left w:val="none" w:color="000000" w:sz="4"/>
                    <w:bottom w:val="single" w:color="000000" w:sz="4"/>
                    <w:right w:val="single" w:color="000000" w:sz="4"/>
                  </w:tcBorders>
                </w:tcPr>
                <w:p>
                  <w:pPr>
                    <w:jc w:val="center"/>
                  </w:pPr>
                </w:p>
              </w:tc>
            </w:tr>
            <w:tr>
              <w:tc>
                <w:tcPr>
                  <w:tcW w:type="dxa" w:w="467"/>
                  <w:tcBorders>
                    <w:top w:val="none" w:color="000000" w:sz="4"/>
                    <w:left w:val="single" w:color="000000" w:sz="4"/>
                    <w:bottom w:val="single" w:color="000000" w:sz="4"/>
                    <w:right w:val="single" w:color="000000" w:sz="4"/>
                  </w:tcBorders>
                </w:tcPr>
                <w:p>
                  <w:pPr>
                    <w:jc w:val="center"/>
                  </w:pPr>
                  <w:r>
                    <w:rPr>
                      <w:sz w:val="21"/>
                    </w:rPr>
                    <w:t>9</w:t>
                  </w:r>
                </w:p>
              </w:tc>
              <w:tc>
                <w:tcPr>
                  <w:tcW w:type="dxa" w:w="292"/>
                  <w:vMerge/>
                  <w:tcBorders>
                    <w:top w:val="none" w:color="000000" w:sz="4"/>
                    <w:left w:val="none" w:color="000000" w:sz="4"/>
                    <w:bottom w:val="single" w:color="000000" w:sz="4"/>
                    <w:right w:val="single" w:color="000000" w:sz="4"/>
                  </w:tcBorders>
                </w:tcPr>
                <w:p/>
              </w:tc>
              <w:tc>
                <w:tcPr>
                  <w:tcW w:type="dxa" w:w="935"/>
                  <w:tcBorders>
                    <w:top w:val="none" w:color="000000" w:sz="4"/>
                    <w:left w:val="none" w:color="000000" w:sz="4"/>
                    <w:bottom w:val="single" w:color="000000" w:sz="4"/>
                    <w:right w:val="single" w:color="000000" w:sz="4"/>
                  </w:tcBorders>
                </w:tcPr>
                <w:p>
                  <w:pPr>
                    <w:jc w:val="center"/>
                  </w:pPr>
                  <w:r>
                    <w:rPr>
                      <w:b/>
                      <w:sz w:val="21"/>
                    </w:rPr>
                    <w:t>储备土地变更（分割、合并、分割合并、界限调整、补批文号）</w:t>
                  </w:r>
                </w:p>
              </w:tc>
              <w:tc>
                <w:tcPr>
                  <w:tcW w:type="dxa" w:w="2980"/>
                  <w:tcBorders>
                    <w:top w:val="none" w:color="000000" w:sz="4"/>
                    <w:left w:val="none" w:color="000000" w:sz="4"/>
                    <w:bottom w:val="single" w:color="000000" w:sz="4"/>
                    <w:right w:val="single" w:color="000000" w:sz="4"/>
                  </w:tcBorders>
                </w:tcPr>
                <w:p>
                  <w:pPr>
                    <w:jc w:val="both"/>
                  </w:pPr>
                  <w:r>
                    <w:rPr>
                      <w:sz w:val="21"/>
                    </w:rPr>
                    <w:t>根据土储中心的要求，针对办理储备土地变更申请表业务进行开发集成接入中山市自然资源综合业务系统，按照分割、合并、分割合并、界限调整、补批文号等申请变更类型进行储备土地变更。通过办理储备土地变更，促进土储业务高效办理，进一步规范国土空间规划管控，有序解决土地规划历史遗留问题，推动项目落地，提高土地节约集约利用效益，助力经济高质量发展。</w:t>
                  </w:r>
                </w:p>
                <w:p>
                  <w:pPr>
                    <w:jc w:val="both"/>
                  </w:pPr>
                  <w:r>
                    <w:rPr>
                      <w:sz w:val="21"/>
                    </w:rPr>
                    <w:t>（1）分割功能包括：添加地块（支持按照地块编号、用地批文号、土地证号、所在镇区等信息查询）、拆分地块（对添加的地块进行拆分分割）、自动生成新地块预览、移除分割所选地块、取消分割变更后地块信息、分割地块入库、导出excel表（分割变更前后的信息表）等。</w:t>
                  </w:r>
                </w:p>
                <w:p>
                  <w:pPr>
                    <w:jc w:val="both"/>
                  </w:pPr>
                  <w:r>
                    <w:rPr>
                      <w:sz w:val="21"/>
                    </w:rPr>
                    <w:t>（2）合并功能包括：添加地块（支持按照地块编号、用地批文号、土地证号、所在镇区等信息查询）、要合并的地块选择、合并验证功能、合并地块信息手动编辑、移除合并所选地块、取消合并变更后地块信息、合并地块入库、导出excel表（合并变更前后的信息表）等。</w:t>
                  </w:r>
                </w:p>
                <w:p>
                  <w:pPr>
                    <w:jc w:val="both"/>
                  </w:pPr>
                  <w:r>
                    <w:rPr>
                      <w:sz w:val="21"/>
                    </w:rPr>
                    <w:t>（3）分割合并功能包括：添加地块（支持按照地块编号、用地批文号、土地证号、所在镇区等信息查询）、拆分地块、合并地块（合并时，支持从地块编号块选择地块和从分割区域内选择地块两种方式）、导出excel文件（合并分割变更前后的信息表）、分割合并变更地块入库（按照从上往下、从左向右顺序入库）、记录变更日志（方便追溯）、导出excel表（分割合并变更前后的信息表）等。</w:t>
                  </w:r>
                </w:p>
                <w:p>
                  <w:pPr>
                    <w:jc w:val="both"/>
                  </w:pPr>
                  <w:r>
                    <w:rPr>
                      <w:sz w:val="21"/>
                    </w:rPr>
                    <w:t>（4）界限调整功能包括：添加地块（支持按照地块编号、用地批文号、土地证号、所在镇区等信息查询）、对地块信息进行界限调整编辑、取消界限调整变更、界限调整地块入库、导出excel表（界限调整变更前后的信息表）等。</w:t>
                  </w:r>
                </w:p>
                <w:p>
                  <w:pPr>
                    <w:jc w:val="both"/>
                  </w:pPr>
                  <w:r>
                    <w:rPr>
                      <w:sz w:val="21"/>
                    </w:rPr>
                    <w:t>（5）补批文号功能包括：添加地块（支持按照地块编号、用地批文号、土地证号、所在镇区等信息查询）、对地块信息进行补批文号编辑、取消补批文号变更、补批文号地块入库、导出excel表（补批文号变更前后的信息表）等。</w:t>
                  </w:r>
                </w:p>
              </w:tc>
              <w:tc>
                <w:tcPr>
                  <w:tcW w:type="dxa" w:w="526"/>
                  <w:tcBorders>
                    <w:top w:val="none" w:color="000000" w:sz="4"/>
                    <w:left w:val="none" w:color="000000" w:sz="4"/>
                    <w:bottom w:val="single" w:color="000000" w:sz="4"/>
                    <w:right w:val="single" w:color="000000" w:sz="4"/>
                  </w:tcBorders>
                </w:tcPr>
                <w:p>
                  <w:pPr>
                    <w:jc w:val="center"/>
                  </w:pPr>
                  <w:r>
                    <w:rPr>
                      <w:sz w:val="21"/>
                    </w:rPr>
                    <w:t>新增运维</w:t>
                  </w:r>
                </w:p>
              </w:tc>
              <w:tc>
                <w:tcPr>
                  <w:tcW w:type="dxa" w:w="351"/>
                  <w:tcBorders>
                    <w:top w:val="none" w:color="000000" w:sz="4"/>
                    <w:left w:val="none" w:color="000000" w:sz="4"/>
                    <w:bottom w:val="single" w:color="000000" w:sz="4"/>
                    <w:right w:val="single" w:color="000000" w:sz="4"/>
                  </w:tcBorders>
                </w:tcPr>
                <w:p>
                  <w:pPr>
                    <w:jc w:val="center"/>
                  </w:pPr>
                </w:p>
              </w:tc>
            </w:tr>
            <w:tr>
              <w:tc>
                <w:tcPr>
                  <w:tcW w:type="dxa" w:w="467"/>
                  <w:tcBorders>
                    <w:top w:val="none" w:color="000000" w:sz="4"/>
                    <w:left w:val="single" w:color="000000" w:sz="4"/>
                    <w:bottom w:val="single" w:color="000000" w:sz="4"/>
                    <w:right w:val="single" w:color="000000" w:sz="4"/>
                  </w:tcBorders>
                </w:tcPr>
                <w:p>
                  <w:pPr>
                    <w:jc w:val="center"/>
                  </w:pPr>
                  <w:r>
                    <w:rPr>
                      <w:sz w:val="21"/>
                    </w:rPr>
                    <w:t>10</w:t>
                  </w:r>
                </w:p>
              </w:tc>
              <w:tc>
                <w:tcPr>
                  <w:tcW w:type="dxa" w:w="292"/>
                  <w:vMerge/>
                  <w:tcBorders>
                    <w:top w:val="none" w:color="000000" w:sz="4"/>
                    <w:left w:val="none" w:color="000000" w:sz="4"/>
                    <w:bottom w:val="single" w:color="000000" w:sz="4"/>
                    <w:right w:val="single" w:color="000000" w:sz="4"/>
                  </w:tcBorders>
                </w:tcPr>
                <w:p/>
              </w:tc>
              <w:tc>
                <w:tcPr>
                  <w:tcW w:type="dxa" w:w="935"/>
                  <w:tcBorders>
                    <w:top w:val="none" w:color="000000" w:sz="4"/>
                    <w:left w:val="none" w:color="000000" w:sz="4"/>
                    <w:bottom w:val="single" w:color="000000" w:sz="4"/>
                    <w:right w:val="single" w:color="000000" w:sz="4"/>
                  </w:tcBorders>
                </w:tcPr>
                <w:p>
                  <w:pPr>
                    <w:jc w:val="center"/>
                  </w:pPr>
                  <w:r>
                    <w:rPr>
                      <w:b/>
                      <w:sz w:val="21"/>
                    </w:rPr>
                    <w:t>增加业务科室后台管理功能</w:t>
                  </w:r>
                </w:p>
              </w:tc>
              <w:tc>
                <w:tcPr>
                  <w:tcW w:type="dxa" w:w="2980"/>
                  <w:tcBorders>
                    <w:top w:val="none" w:color="000000" w:sz="4"/>
                    <w:left w:val="none" w:color="000000" w:sz="4"/>
                    <w:bottom w:val="single" w:color="000000" w:sz="4"/>
                    <w:right w:val="single" w:color="000000" w:sz="4"/>
                  </w:tcBorders>
                </w:tcPr>
                <w:p>
                  <w:pPr>
                    <w:jc w:val="both"/>
                  </w:pPr>
                  <w:r>
                    <w:rPr>
                      <w:sz w:val="21"/>
                    </w:rPr>
                    <w:t>系统设置业务科室管理员，可对本部门所属业务流程进行后台管理，功能如下：</w:t>
                  </w:r>
                </w:p>
                <w:p>
                  <w:pPr>
                    <w:jc w:val="both"/>
                  </w:pPr>
                  <w:r>
                    <w:rPr>
                      <w:sz w:val="21"/>
                    </w:rPr>
                    <w:t>1.</w:t>
                  </w:r>
                  <w:r>
                    <w:rPr>
                      <w:sz w:val="21"/>
                    </w:rPr>
                    <w:t>查看业务流程图。包括业务环节流转控制规则、业务环节修改痕迹记录。</w:t>
                  </w:r>
                </w:p>
                <w:p>
                  <w:pPr>
                    <w:jc w:val="both"/>
                  </w:pPr>
                  <w:r>
                    <w:rPr>
                      <w:sz w:val="21"/>
                    </w:rPr>
                    <w:t>2.</w:t>
                  </w:r>
                  <w:r>
                    <w:rPr>
                      <w:sz w:val="21"/>
                    </w:rPr>
                    <w:t>查看业务角色权限。包括各业务流程对应的角色，每个角色的权限，每个角色的对应人员，并可以对角色和人员的配置时间等信息进行统计分析和导出。</w:t>
                  </w:r>
                </w:p>
                <w:p>
                  <w:pPr>
                    <w:jc w:val="both"/>
                  </w:pPr>
                  <w:r>
                    <w:rPr>
                      <w:sz w:val="21"/>
                    </w:rPr>
                    <w:t>3.</w:t>
                  </w:r>
                  <w:r>
                    <w:rPr>
                      <w:sz w:val="21"/>
                    </w:rPr>
                    <w:t>查看业务设计方案。由系统维护单位或业务科室上传业务流程建设时的方案文档，支持文档版本管理。</w:t>
                  </w:r>
                </w:p>
              </w:tc>
              <w:tc>
                <w:tcPr>
                  <w:tcW w:type="dxa" w:w="526"/>
                  <w:tcBorders>
                    <w:top w:val="none" w:color="000000" w:sz="4"/>
                    <w:left w:val="none" w:color="000000" w:sz="4"/>
                    <w:bottom w:val="single" w:color="000000" w:sz="4"/>
                    <w:right w:val="single" w:color="000000" w:sz="4"/>
                  </w:tcBorders>
                </w:tcPr>
                <w:p>
                  <w:pPr>
                    <w:jc w:val="center"/>
                  </w:pPr>
                  <w:r>
                    <w:rPr>
                      <w:sz w:val="21"/>
                    </w:rPr>
                    <w:t>新增运维</w:t>
                  </w:r>
                </w:p>
              </w:tc>
              <w:tc>
                <w:tcPr>
                  <w:tcW w:type="dxa" w:w="351"/>
                  <w:tcBorders>
                    <w:top w:val="none" w:color="000000" w:sz="4"/>
                    <w:left w:val="none" w:color="000000" w:sz="4"/>
                    <w:bottom w:val="single" w:color="000000" w:sz="4"/>
                    <w:right w:val="single" w:color="000000" w:sz="4"/>
                  </w:tcBorders>
                </w:tcPr>
                <w:p>
                  <w:pPr>
                    <w:jc w:val="center"/>
                  </w:pPr>
                </w:p>
              </w:tc>
            </w:tr>
            <w:tr>
              <w:tc>
                <w:tcPr>
                  <w:tcW w:type="dxa" w:w="467"/>
                  <w:tcBorders>
                    <w:top w:val="none" w:color="000000" w:sz="4"/>
                    <w:left w:val="single" w:color="000000" w:sz="4"/>
                    <w:bottom w:val="single" w:color="000000" w:sz="4"/>
                    <w:right w:val="single" w:color="000000" w:sz="4"/>
                  </w:tcBorders>
                </w:tcPr>
                <w:p>
                  <w:pPr>
                    <w:jc w:val="center"/>
                  </w:pPr>
                  <w:r>
                    <w:rPr>
                      <w:sz w:val="21"/>
                    </w:rPr>
                    <w:t>11</w:t>
                  </w:r>
                </w:p>
              </w:tc>
              <w:tc>
                <w:tcPr>
                  <w:tcW w:type="dxa" w:w="292"/>
                  <w:vMerge/>
                  <w:tcBorders>
                    <w:top w:val="none" w:color="000000" w:sz="4"/>
                    <w:left w:val="none" w:color="000000" w:sz="4"/>
                    <w:bottom w:val="single" w:color="000000" w:sz="4"/>
                    <w:right w:val="single" w:color="000000" w:sz="4"/>
                  </w:tcBorders>
                </w:tcPr>
                <w:p/>
              </w:tc>
              <w:tc>
                <w:tcPr>
                  <w:tcW w:type="dxa" w:w="935"/>
                  <w:tcBorders>
                    <w:top w:val="none" w:color="000000" w:sz="4"/>
                    <w:left w:val="none" w:color="000000" w:sz="4"/>
                    <w:bottom w:val="single" w:color="000000" w:sz="4"/>
                    <w:right w:val="single" w:color="000000" w:sz="4"/>
                  </w:tcBorders>
                </w:tcPr>
                <w:p>
                  <w:pPr>
                    <w:jc w:val="center"/>
                  </w:pPr>
                  <w:r>
                    <w:rPr>
                      <w:b/>
                      <w:sz w:val="21"/>
                    </w:rPr>
                    <w:t>增加信息中心管理员后台配置功能</w:t>
                  </w:r>
                </w:p>
              </w:tc>
              <w:tc>
                <w:tcPr>
                  <w:tcW w:type="dxa" w:w="2980"/>
                  <w:tcBorders>
                    <w:top w:val="none" w:color="000000" w:sz="4"/>
                    <w:left w:val="none" w:color="000000" w:sz="4"/>
                    <w:bottom w:val="single" w:color="000000" w:sz="4"/>
                    <w:right w:val="single" w:color="000000" w:sz="4"/>
                  </w:tcBorders>
                </w:tcPr>
                <w:p>
                  <w:pPr>
                    <w:jc w:val="both"/>
                  </w:pPr>
                  <w:r>
                    <w:rPr>
                      <w:sz w:val="21"/>
                    </w:rPr>
                    <w:t>系统设置信息中心管理员，可对局所有人员、角色及权限作管理，功能如下：</w:t>
                  </w:r>
                </w:p>
                <w:p>
                  <w:pPr>
                    <w:jc w:val="both"/>
                  </w:pPr>
                  <w:r>
                    <w:rPr>
                      <w:sz w:val="21"/>
                    </w:rPr>
                    <w:t>1.</w:t>
                  </w:r>
                  <w:r>
                    <w:rPr>
                      <w:sz w:val="21"/>
                    </w:rPr>
                    <w:t>查看及配置业务流程及环节信息。可查看包括业务环节流转控制规则、业务环节修改痕迹记录；可修改各环节的名称，可修改各环节的时限及流程总时限进行自定义配置。</w:t>
                  </w:r>
                </w:p>
                <w:p>
                  <w:pPr>
                    <w:jc w:val="both"/>
                  </w:pPr>
                  <w:r>
                    <w:rPr>
                      <w:sz w:val="21"/>
                    </w:rPr>
                    <w:t>2.</w:t>
                  </w:r>
                  <w:r>
                    <w:rPr>
                      <w:sz w:val="21"/>
                    </w:rPr>
                    <w:t>查看及配置业务角色权限。包括各业务流程对应的角色，每个角色的对应人员列表，并可以对角色和人员的配置时间等信息进行统计分析和导出；可复制每个人员的角色（包含复制全部角色或复制部分角色）后赋予其他人员，可查看及可配置每个角色包含的权限。</w:t>
                  </w:r>
                </w:p>
                <w:p>
                  <w:pPr>
                    <w:jc w:val="both"/>
                  </w:pPr>
                  <w:r>
                    <w:rPr>
                      <w:sz w:val="21"/>
                    </w:rPr>
                    <w:t>3.</w:t>
                  </w:r>
                  <w:r>
                    <w:rPr>
                      <w:sz w:val="21"/>
                    </w:rPr>
                    <w:t>可增加或修改部门，可调整人员所在部门。</w:t>
                  </w:r>
                </w:p>
              </w:tc>
              <w:tc>
                <w:tcPr>
                  <w:tcW w:type="dxa" w:w="526"/>
                  <w:tcBorders>
                    <w:top w:val="none" w:color="000000" w:sz="4"/>
                    <w:left w:val="none" w:color="000000" w:sz="4"/>
                    <w:bottom w:val="single" w:color="000000" w:sz="4"/>
                    <w:right w:val="single" w:color="000000" w:sz="4"/>
                  </w:tcBorders>
                </w:tcPr>
                <w:p>
                  <w:pPr>
                    <w:jc w:val="center"/>
                  </w:pPr>
                  <w:r>
                    <w:rPr>
                      <w:sz w:val="21"/>
                    </w:rPr>
                    <w:t>新增运维</w:t>
                  </w:r>
                </w:p>
              </w:tc>
              <w:tc>
                <w:tcPr>
                  <w:tcW w:type="dxa" w:w="351"/>
                  <w:tcBorders>
                    <w:top w:val="none" w:color="000000" w:sz="4"/>
                    <w:left w:val="none" w:color="000000" w:sz="4"/>
                    <w:bottom w:val="single" w:color="000000" w:sz="4"/>
                    <w:right w:val="single" w:color="000000" w:sz="4"/>
                  </w:tcBorders>
                </w:tcPr>
                <w:p>
                  <w:pPr>
                    <w:jc w:val="center"/>
                  </w:pPr>
                </w:p>
              </w:tc>
            </w:tr>
            <w:tr>
              <w:tc>
                <w:tcPr>
                  <w:tcW w:type="dxa" w:w="467"/>
                  <w:tcBorders>
                    <w:top w:val="none" w:color="000000" w:sz="4"/>
                    <w:left w:val="single" w:color="000000" w:sz="4"/>
                    <w:bottom w:val="single" w:color="000000" w:sz="4"/>
                    <w:right w:val="single" w:color="000000" w:sz="4"/>
                  </w:tcBorders>
                </w:tcPr>
                <w:p>
                  <w:pPr>
                    <w:jc w:val="center"/>
                  </w:pPr>
                  <w:r>
                    <w:rPr>
                      <w:sz w:val="21"/>
                    </w:rPr>
                    <w:t>12</w:t>
                  </w:r>
                </w:p>
              </w:tc>
              <w:tc>
                <w:tcPr>
                  <w:tcW w:type="dxa" w:w="292"/>
                  <w:vMerge/>
                  <w:tcBorders>
                    <w:top w:val="none" w:color="000000" w:sz="4"/>
                    <w:left w:val="none" w:color="000000" w:sz="4"/>
                    <w:bottom w:val="single" w:color="000000" w:sz="4"/>
                    <w:right w:val="single" w:color="000000" w:sz="4"/>
                  </w:tcBorders>
                </w:tcPr>
                <w:p/>
              </w:tc>
              <w:tc>
                <w:tcPr>
                  <w:tcW w:type="dxa" w:w="935"/>
                  <w:tcBorders>
                    <w:top w:val="none" w:color="000000" w:sz="4"/>
                    <w:left w:val="none" w:color="000000" w:sz="4"/>
                    <w:bottom w:val="single" w:color="000000" w:sz="4"/>
                    <w:right w:val="single" w:color="000000" w:sz="4"/>
                  </w:tcBorders>
                </w:tcPr>
                <w:p>
                  <w:pPr>
                    <w:jc w:val="center"/>
                  </w:pPr>
                  <w:r>
                    <w:rPr>
                      <w:b/>
                      <w:sz w:val="21"/>
                    </w:rPr>
                    <w:t>增加手工发送短信功能</w:t>
                  </w:r>
                </w:p>
              </w:tc>
              <w:tc>
                <w:tcPr>
                  <w:tcW w:type="dxa" w:w="2980"/>
                  <w:tcBorders>
                    <w:top w:val="none" w:color="000000" w:sz="4"/>
                    <w:left w:val="none" w:color="000000" w:sz="4"/>
                    <w:bottom w:val="single" w:color="000000" w:sz="4"/>
                    <w:right w:val="single" w:color="000000" w:sz="4"/>
                  </w:tcBorders>
                </w:tcPr>
                <w:p>
                  <w:pPr>
                    <w:jc w:val="both"/>
                  </w:pPr>
                  <w:r>
                    <w:rPr>
                      <w:sz w:val="21"/>
                    </w:rPr>
                    <w:t>系统通过选择人员、手工输入、文件批量导入等方式输入手机号码，用户编辑短信内容，即时或定时发送短信。</w:t>
                  </w:r>
                </w:p>
              </w:tc>
              <w:tc>
                <w:tcPr>
                  <w:tcW w:type="dxa" w:w="526"/>
                  <w:tcBorders>
                    <w:top w:val="none" w:color="000000" w:sz="4"/>
                    <w:left w:val="none" w:color="000000" w:sz="4"/>
                    <w:bottom w:val="single" w:color="000000" w:sz="4"/>
                    <w:right w:val="single" w:color="000000" w:sz="4"/>
                  </w:tcBorders>
                </w:tcPr>
                <w:p>
                  <w:pPr>
                    <w:jc w:val="center"/>
                  </w:pPr>
                  <w:r>
                    <w:rPr>
                      <w:sz w:val="21"/>
                    </w:rPr>
                    <w:t>新增运维</w:t>
                  </w:r>
                </w:p>
              </w:tc>
              <w:tc>
                <w:tcPr>
                  <w:tcW w:type="dxa" w:w="351"/>
                  <w:tcBorders>
                    <w:top w:val="none" w:color="000000" w:sz="4"/>
                    <w:left w:val="none" w:color="000000" w:sz="4"/>
                    <w:bottom w:val="single" w:color="000000" w:sz="4"/>
                    <w:right w:val="single" w:color="000000" w:sz="4"/>
                  </w:tcBorders>
                </w:tcPr>
                <w:p>
                  <w:pPr>
                    <w:jc w:val="center"/>
                  </w:pPr>
                </w:p>
              </w:tc>
            </w:tr>
            <w:tr>
              <w:tc>
                <w:tcPr>
                  <w:tcW w:type="dxa" w:w="467"/>
                  <w:tcBorders>
                    <w:top w:val="none" w:color="000000" w:sz="4"/>
                    <w:left w:val="single" w:color="000000" w:sz="4"/>
                    <w:bottom w:val="single" w:color="000000" w:sz="4"/>
                    <w:right w:val="single" w:color="000000" w:sz="4"/>
                  </w:tcBorders>
                </w:tcPr>
                <w:p>
                  <w:pPr>
                    <w:jc w:val="center"/>
                  </w:pPr>
                  <w:r>
                    <w:rPr>
                      <w:sz w:val="21"/>
                    </w:rPr>
                    <w:t>13</w:t>
                  </w:r>
                </w:p>
              </w:tc>
              <w:tc>
                <w:tcPr>
                  <w:tcW w:type="dxa" w:w="292"/>
                  <w:vMerge/>
                  <w:tcBorders>
                    <w:top w:val="none" w:color="000000" w:sz="4"/>
                    <w:left w:val="none" w:color="000000" w:sz="4"/>
                    <w:bottom w:val="single" w:color="000000" w:sz="4"/>
                    <w:right w:val="single" w:color="000000" w:sz="4"/>
                  </w:tcBorders>
                </w:tcPr>
                <w:p/>
              </w:tc>
              <w:tc>
                <w:tcPr>
                  <w:tcW w:type="dxa" w:w="935"/>
                  <w:tcBorders>
                    <w:top w:val="none" w:color="000000" w:sz="4"/>
                    <w:left w:val="none" w:color="000000" w:sz="4"/>
                    <w:bottom w:val="single" w:color="000000" w:sz="4"/>
                    <w:right w:val="single" w:color="000000" w:sz="4"/>
                  </w:tcBorders>
                </w:tcPr>
                <w:p>
                  <w:pPr>
                    <w:jc w:val="center"/>
                  </w:pPr>
                  <w:r>
                    <w:rPr>
                      <w:b/>
                      <w:sz w:val="21"/>
                    </w:rPr>
                    <w:t>增加污染地块解锁业务流程</w:t>
                  </w:r>
                </w:p>
              </w:tc>
              <w:tc>
                <w:tcPr>
                  <w:tcW w:type="dxa" w:w="2980"/>
                  <w:tcBorders>
                    <w:top w:val="none" w:color="000000" w:sz="4"/>
                    <w:left w:val="none" w:color="000000" w:sz="4"/>
                    <w:bottom w:val="single" w:color="000000" w:sz="4"/>
                    <w:right w:val="single" w:color="000000" w:sz="4"/>
                  </w:tcBorders>
                </w:tcPr>
                <w:p>
                  <w:pPr>
                    <w:jc w:val="both"/>
                  </w:pPr>
                  <w:r>
                    <w:rPr>
                      <w:sz w:val="21"/>
                    </w:rPr>
                    <w:t>增加污染地块解锁业务流程，由分局发起业务，并上传相关的资料。如需科室参与审批的，转到对应科室审批后由系统自动解锁对应的污染地块，免于人工操作。</w:t>
                  </w:r>
                </w:p>
              </w:tc>
              <w:tc>
                <w:tcPr>
                  <w:tcW w:type="dxa" w:w="526"/>
                  <w:tcBorders>
                    <w:top w:val="none" w:color="000000" w:sz="4"/>
                    <w:left w:val="none" w:color="000000" w:sz="4"/>
                    <w:bottom w:val="single" w:color="000000" w:sz="4"/>
                    <w:right w:val="single" w:color="000000" w:sz="4"/>
                  </w:tcBorders>
                </w:tcPr>
                <w:p>
                  <w:pPr>
                    <w:jc w:val="center"/>
                  </w:pPr>
                  <w:r>
                    <w:rPr>
                      <w:sz w:val="21"/>
                    </w:rPr>
                    <w:t>新增运维</w:t>
                  </w:r>
                </w:p>
              </w:tc>
              <w:tc>
                <w:tcPr>
                  <w:tcW w:type="dxa" w:w="351"/>
                  <w:tcBorders>
                    <w:top w:val="none" w:color="000000" w:sz="4"/>
                    <w:left w:val="none" w:color="000000" w:sz="4"/>
                    <w:bottom w:val="single" w:color="000000" w:sz="4"/>
                    <w:right w:val="single" w:color="000000" w:sz="4"/>
                  </w:tcBorders>
                </w:tcPr>
                <w:p>
                  <w:pPr>
                    <w:jc w:val="center"/>
                  </w:pPr>
                </w:p>
              </w:tc>
            </w:tr>
            <w:tr>
              <w:tc>
                <w:tcPr>
                  <w:tcW w:type="dxa" w:w="467"/>
                  <w:tcBorders>
                    <w:top w:val="none" w:color="000000" w:sz="4"/>
                    <w:left w:val="single" w:color="000000" w:sz="4"/>
                    <w:bottom w:val="single" w:color="000000" w:sz="4"/>
                    <w:right w:val="single" w:color="000000" w:sz="4"/>
                  </w:tcBorders>
                </w:tcPr>
                <w:p>
                  <w:pPr>
                    <w:jc w:val="center"/>
                  </w:pPr>
                  <w:r>
                    <w:rPr>
                      <w:sz w:val="21"/>
                    </w:rPr>
                    <w:t>14</w:t>
                  </w:r>
                </w:p>
              </w:tc>
              <w:tc>
                <w:tcPr>
                  <w:tcW w:type="dxa" w:w="292"/>
                  <w:vMerge/>
                  <w:tcBorders>
                    <w:top w:val="none" w:color="000000" w:sz="4"/>
                    <w:left w:val="none" w:color="000000" w:sz="4"/>
                    <w:bottom w:val="single" w:color="000000" w:sz="4"/>
                    <w:right w:val="single" w:color="000000" w:sz="4"/>
                  </w:tcBorders>
                </w:tcPr>
                <w:p/>
              </w:tc>
              <w:tc>
                <w:tcPr>
                  <w:tcW w:type="dxa" w:w="935"/>
                  <w:tcBorders>
                    <w:top w:val="none" w:color="000000" w:sz="4"/>
                    <w:left w:val="none" w:color="000000" w:sz="4"/>
                    <w:bottom w:val="single" w:color="000000" w:sz="4"/>
                    <w:right w:val="single" w:color="000000" w:sz="4"/>
                  </w:tcBorders>
                </w:tcPr>
                <w:p>
                  <w:pPr>
                    <w:jc w:val="center"/>
                  </w:pPr>
                  <w:r>
                    <w:rPr>
                      <w:b/>
                      <w:sz w:val="21"/>
                    </w:rPr>
                    <w:t>综合业务平台供地业务改造</w:t>
                  </w:r>
                </w:p>
              </w:tc>
              <w:tc>
                <w:tcPr>
                  <w:tcW w:type="dxa" w:w="2980"/>
                  <w:tcBorders>
                    <w:top w:val="none" w:color="000000" w:sz="4"/>
                    <w:left w:val="none" w:color="000000" w:sz="4"/>
                    <w:bottom w:val="single" w:color="000000" w:sz="4"/>
                    <w:right w:val="single" w:color="000000" w:sz="4"/>
                  </w:tcBorders>
                </w:tcPr>
                <w:p>
                  <w:pPr>
                    <w:jc w:val="both"/>
                  </w:pPr>
                  <w:r>
                    <w:rPr>
                      <w:sz w:val="21"/>
                    </w:rPr>
                    <w:t>实现在供地业务中</w:t>
                  </w:r>
                  <w:r>
                    <w:rPr>
                      <w:sz w:val="21"/>
                    </w:rPr>
                    <w:t>查看</w:t>
                  </w:r>
                  <w:r>
                    <w:rPr>
                      <w:sz w:val="21"/>
                    </w:rPr>
                    <w:t>遥感影像动竣工分析成果。</w:t>
                  </w:r>
                  <w:r>
                    <w:rPr>
                      <w:sz w:val="21"/>
                    </w:rPr>
                    <w:t>新增表单“动竣工预警监管记录”，增加分析结果文件上传功能，接收并查看遥感影像图片。</w:t>
                  </w:r>
                </w:p>
              </w:tc>
              <w:tc>
                <w:tcPr>
                  <w:tcW w:type="dxa" w:w="526"/>
                  <w:tcBorders>
                    <w:top w:val="none" w:color="000000" w:sz="4"/>
                    <w:left w:val="none" w:color="000000" w:sz="4"/>
                    <w:bottom w:val="single" w:color="000000" w:sz="4"/>
                    <w:right w:val="single" w:color="000000" w:sz="4"/>
                  </w:tcBorders>
                </w:tcPr>
                <w:p>
                  <w:pPr>
                    <w:jc w:val="center"/>
                  </w:pPr>
                  <w:r>
                    <w:rPr>
                      <w:sz w:val="21"/>
                    </w:rPr>
                    <w:t>新增运维</w:t>
                  </w:r>
                </w:p>
              </w:tc>
              <w:tc>
                <w:tcPr>
                  <w:tcW w:type="dxa" w:w="351"/>
                  <w:tcBorders>
                    <w:top w:val="none" w:color="000000" w:sz="4"/>
                    <w:left w:val="none" w:color="000000" w:sz="4"/>
                    <w:bottom w:val="single" w:color="000000" w:sz="4"/>
                    <w:right w:val="single" w:color="000000" w:sz="4"/>
                  </w:tcBorders>
                </w:tcPr>
                <w:p>
                  <w:pPr>
                    <w:jc w:val="center"/>
                  </w:pPr>
                </w:p>
              </w:tc>
            </w:tr>
            <w:tr>
              <w:tc>
                <w:tcPr>
                  <w:tcW w:type="dxa" w:w="467"/>
                  <w:tcBorders>
                    <w:top w:val="none" w:color="000000" w:sz="4"/>
                    <w:left w:val="single" w:color="000000" w:sz="4"/>
                    <w:bottom w:val="single" w:color="000000" w:sz="4"/>
                    <w:right w:val="single" w:color="000000" w:sz="4"/>
                  </w:tcBorders>
                </w:tcPr>
                <w:p>
                  <w:pPr>
                    <w:jc w:val="center"/>
                  </w:pPr>
                  <w:r>
                    <w:rPr>
                      <w:sz w:val="21"/>
                    </w:rPr>
                    <w:t>15</w:t>
                  </w:r>
                </w:p>
              </w:tc>
              <w:tc>
                <w:tcPr>
                  <w:tcW w:type="dxa" w:w="292"/>
                  <w:vMerge/>
                  <w:tcBorders>
                    <w:top w:val="none" w:color="000000" w:sz="4"/>
                    <w:left w:val="none" w:color="000000" w:sz="4"/>
                    <w:bottom w:val="single" w:color="000000" w:sz="4"/>
                    <w:right w:val="single" w:color="000000" w:sz="4"/>
                  </w:tcBorders>
                </w:tcPr>
                <w:p/>
              </w:tc>
              <w:tc>
                <w:tcPr>
                  <w:tcW w:type="dxa" w:w="935"/>
                  <w:tcBorders>
                    <w:top w:val="none" w:color="000000" w:sz="4"/>
                    <w:left w:val="none" w:color="000000" w:sz="4"/>
                    <w:bottom w:val="single" w:color="000000" w:sz="4"/>
                    <w:right w:val="single" w:color="000000" w:sz="4"/>
                  </w:tcBorders>
                </w:tcPr>
                <w:p>
                  <w:pPr>
                    <w:jc w:val="center"/>
                  </w:pPr>
                  <w:r>
                    <w:rPr>
                      <w:b/>
                      <w:sz w:val="21"/>
                    </w:rPr>
                    <w:t>调查科相关业务改造</w:t>
                  </w:r>
                </w:p>
              </w:tc>
              <w:tc>
                <w:tcPr>
                  <w:tcW w:type="dxa" w:w="2980"/>
                  <w:tcBorders>
                    <w:top w:val="none" w:color="000000" w:sz="4"/>
                    <w:left w:val="none" w:color="000000" w:sz="4"/>
                    <w:bottom w:val="single" w:color="000000" w:sz="4"/>
                    <w:right w:val="single" w:color="000000" w:sz="4"/>
                  </w:tcBorders>
                </w:tcPr>
                <w:p>
                  <w:pPr>
                    <w:jc w:val="both"/>
                  </w:pPr>
                  <w:r>
                    <w:rPr>
                      <w:sz w:val="21"/>
                    </w:rPr>
                    <w:t>1.</w:t>
                  </w:r>
                  <w:r>
                    <w:rPr>
                      <w:sz w:val="21"/>
                    </w:rPr>
                    <w:t>对已完结的业务流程能重新发起并填写意见及进行还原报告的编制。</w:t>
                  </w:r>
                </w:p>
                <w:p>
                  <w:pPr>
                    <w:jc w:val="both"/>
                  </w:pPr>
                  <w:r>
                    <w:rPr>
                      <w:sz w:val="21"/>
                    </w:rPr>
                    <w:t>2.</w:t>
                  </w:r>
                  <w:r>
                    <w:rPr>
                      <w:sz w:val="21"/>
                    </w:rPr>
                    <w:t>对需要汇总表及还原报告盖电子公章进行校验并限制只有汇总表及还原报告能盖章</w:t>
                  </w:r>
                </w:p>
                <w:p>
                  <w:pPr>
                    <w:jc w:val="both"/>
                  </w:pPr>
                  <w:r>
                    <w:rPr>
                      <w:sz w:val="21"/>
                    </w:rPr>
                    <w:t>3.</w:t>
                  </w:r>
                  <w:r>
                    <w:rPr>
                      <w:sz w:val="21"/>
                    </w:rPr>
                    <w:t>省用地报批需添加还原报告的选项并做成可选的，并需要填写审批权限及批次名称</w:t>
                  </w:r>
                </w:p>
                <w:p>
                  <w:pPr>
                    <w:jc w:val="both"/>
                  </w:pPr>
                  <w:r>
                    <w:rPr>
                      <w:sz w:val="21"/>
                    </w:rPr>
                    <w:t>4.</w:t>
                  </w:r>
                  <w:r>
                    <w:rPr>
                      <w:sz w:val="21"/>
                    </w:rPr>
                    <w:t>“相关资源”中“现状数据”需要能够自动更新最新的年份的图层。</w:t>
                  </w:r>
                </w:p>
                <w:p>
                  <w:pPr>
                    <w:jc w:val="both"/>
                  </w:pPr>
                  <w:r>
                    <w:rPr>
                      <w:sz w:val="21"/>
                    </w:rPr>
                    <w:t>5.</w:t>
                  </w:r>
                  <w:r>
                    <w:rPr>
                      <w:sz w:val="21"/>
                    </w:rPr>
                    <w:t>将最新年份详查图新增以分析地类制图的，且图例仅保持行政区界线、地类界线、线状地物用地范围这四列。</w:t>
                  </w:r>
                </w:p>
              </w:tc>
              <w:tc>
                <w:tcPr>
                  <w:tcW w:type="dxa" w:w="526"/>
                  <w:tcBorders>
                    <w:top w:val="none" w:color="000000" w:sz="4"/>
                    <w:left w:val="none" w:color="000000" w:sz="4"/>
                    <w:bottom w:val="single" w:color="000000" w:sz="4"/>
                    <w:right w:val="single" w:color="000000" w:sz="4"/>
                  </w:tcBorders>
                </w:tcPr>
                <w:p>
                  <w:pPr>
                    <w:jc w:val="center"/>
                  </w:pPr>
                  <w:r>
                    <w:rPr>
                      <w:sz w:val="21"/>
                    </w:rPr>
                    <w:t>新增运维</w:t>
                  </w:r>
                </w:p>
              </w:tc>
              <w:tc>
                <w:tcPr>
                  <w:tcW w:type="dxa" w:w="351"/>
                  <w:tcBorders>
                    <w:top w:val="none" w:color="000000" w:sz="4"/>
                    <w:left w:val="none" w:color="000000" w:sz="4"/>
                    <w:bottom w:val="single" w:color="000000" w:sz="4"/>
                    <w:right w:val="single" w:color="000000" w:sz="4"/>
                  </w:tcBorders>
                </w:tcPr>
                <w:p>
                  <w:pPr>
                    <w:jc w:val="center"/>
                  </w:pPr>
                </w:p>
              </w:tc>
            </w:tr>
            <w:tr>
              <w:tc>
                <w:tcPr>
                  <w:tcW w:type="dxa" w:w="467"/>
                  <w:tcBorders>
                    <w:top w:val="none" w:color="000000" w:sz="4"/>
                    <w:left w:val="single" w:color="000000" w:sz="4"/>
                    <w:bottom w:val="single" w:color="000000" w:sz="4"/>
                    <w:right w:val="single" w:color="000000" w:sz="4"/>
                  </w:tcBorders>
                </w:tcPr>
                <w:p>
                  <w:pPr>
                    <w:jc w:val="center"/>
                  </w:pPr>
                  <w:r>
                    <w:rPr>
                      <w:sz w:val="21"/>
                    </w:rPr>
                    <w:t>16</w:t>
                  </w:r>
                </w:p>
              </w:tc>
              <w:tc>
                <w:tcPr>
                  <w:tcW w:type="dxa" w:w="292"/>
                  <w:vMerge/>
                  <w:tcBorders>
                    <w:top w:val="none" w:color="000000" w:sz="4"/>
                    <w:left w:val="none" w:color="000000" w:sz="4"/>
                    <w:bottom w:val="single" w:color="000000" w:sz="4"/>
                    <w:right w:val="single" w:color="000000" w:sz="4"/>
                  </w:tcBorders>
                </w:tcPr>
                <w:p/>
              </w:tc>
              <w:tc>
                <w:tcPr>
                  <w:tcW w:type="dxa" w:w="935"/>
                  <w:tcBorders>
                    <w:top w:val="none" w:color="000000" w:sz="4"/>
                    <w:left w:val="none" w:color="000000" w:sz="4"/>
                    <w:bottom w:val="single" w:color="000000" w:sz="4"/>
                    <w:right w:val="single" w:color="000000" w:sz="4"/>
                  </w:tcBorders>
                </w:tcPr>
                <w:p>
                  <w:pPr>
                    <w:jc w:val="center"/>
                  </w:pPr>
                  <w:r>
                    <w:rPr>
                      <w:b/>
                      <w:sz w:val="21"/>
                    </w:rPr>
                    <w:t>系统新增功能部署及调试</w:t>
                  </w:r>
                </w:p>
              </w:tc>
              <w:tc>
                <w:tcPr>
                  <w:tcW w:type="dxa" w:w="2980"/>
                  <w:tcBorders>
                    <w:top w:val="none" w:color="000000" w:sz="4"/>
                    <w:left w:val="none" w:color="000000" w:sz="4"/>
                    <w:bottom w:val="single" w:color="000000" w:sz="4"/>
                    <w:right w:val="single" w:color="000000" w:sz="4"/>
                  </w:tcBorders>
                </w:tcPr>
                <w:p>
                  <w:pPr>
                    <w:jc w:val="both"/>
                  </w:pPr>
                  <w:r>
                    <w:rPr>
                      <w:sz w:val="21"/>
                    </w:rPr>
                    <w:t>提供应用系统新增功能部署服务，配合数据库、中间件等系统软件的部署。</w:t>
                  </w:r>
                </w:p>
              </w:tc>
              <w:tc>
                <w:tcPr>
                  <w:tcW w:type="dxa" w:w="526"/>
                  <w:tcBorders>
                    <w:top w:val="none" w:color="000000" w:sz="4"/>
                    <w:left w:val="none" w:color="000000" w:sz="4"/>
                    <w:bottom w:val="single" w:color="000000" w:sz="4"/>
                    <w:right w:val="single" w:color="000000" w:sz="4"/>
                  </w:tcBorders>
                </w:tcPr>
                <w:p>
                  <w:pPr>
                    <w:jc w:val="center"/>
                  </w:pPr>
                  <w:r>
                    <w:rPr>
                      <w:sz w:val="21"/>
                    </w:rPr>
                    <w:t>新增运维</w:t>
                  </w:r>
                </w:p>
              </w:tc>
              <w:tc>
                <w:tcPr>
                  <w:tcW w:type="dxa" w:w="351"/>
                  <w:tcBorders>
                    <w:top w:val="none" w:color="000000" w:sz="4"/>
                    <w:left w:val="none" w:color="000000" w:sz="4"/>
                    <w:bottom w:val="single" w:color="000000" w:sz="4"/>
                    <w:right w:val="single" w:color="000000" w:sz="4"/>
                  </w:tcBorders>
                </w:tcPr>
                <w:p>
                  <w:pPr>
                    <w:jc w:val="center"/>
                  </w:pPr>
                </w:p>
              </w:tc>
            </w:tr>
            <w:tr>
              <w:tc>
                <w:tcPr>
                  <w:tcW w:type="dxa" w:w="467"/>
                  <w:tcBorders>
                    <w:top w:val="none" w:color="000000" w:sz="4"/>
                    <w:left w:val="single" w:color="000000" w:sz="4"/>
                    <w:bottom w:val="single" w:color="000000" w:sz="4"/>
                    <w:right w:val="single" w:color="000000" w:sz="4"/>
                  </w:tcBorders>
                </w:tcPr>
                <w:p>
                  <w:pPr>
                    <w:jc w:val="center"/>
                  </w:pPr>
                  <w:r>
                    <w:rPr>
                      <w:sz w:val="21"/>
                    </w:rPr>
                    <w:t>17</w:t>
                  </w:r>
                </w:p>
              </w:tc>
              <w:tc>
                <w:tcPr>
                  <w:tcW w:type="dxa" w:w="292"/>
                  <w:vMerge/>
                  <w:tcBorders>
                    <w:top w:val="none" w:color="000000" w:sz="4"/>
                    <w:left w:val="none" w:color="000000" w:sz="4"/>
                    <w:bottom w:val="single" w:color="000000" w:sz="4"/>
                    <w:right w:val="single" w:color="000000" w:sz="4"/>
                  </w:tcBorders>
                </w:tcPr>
                <w:p/>
              </w:tc>
              <w:tc>
                <w:tcPr>
                  <w:tcW w:type="dxa" w:w="935"/>
                  <w:tcBorders>
                    <w:top w:val="none" w:color="000000" w:sz="4"/>
                    <w:left w:val="none" w:color="000000" w:sz="4"/>
                    <w:bottom w:val="single" w:color="000000" w:sz="4"/>
                    <w:right w:val="single" w:color="000000" w:sz="4"/>
                  </w:tcBorders>
                </w:tcPr>
                <w:p>
                  <w:pPr>
                    <w:jc w:val="center"/>
                  </w:pPr>
                  <w:r>
                    <w:rPr>
                      <w:b/>
                      <w:sz w:val="21"/>
                    </w:rPr>
                    <w:t>新政策、新标准、新规范出台引起的变化或新增工作</w:t>
                  </w:r>
                </w:p>
              </w:tc>
              <w:tc>
                <w:tcPr>
                  <w:tcW w:type="dxa" w:w="2980"/>
                  <w:tcBorders>
                    <w:top w:val="none" w:color="000000" w:sz="4"/>
                    <w:left w:val="none" w:color="000000" w:sz="4"/>
                    <w:bottom w:val="single" w:color="000000" w:sz="4"/>
                    <w:right w:val="single" w:color="000000" w:sz="4"/>
                  </w:tcBorders>
                </w:tcPr>
                <w:p>
                  <w:pPr>
                    <w:jc w:val="both"/>
                  </w:pPr>
                  <w:r>
                    <w:rPr>
                      <w:sz w:val="21"/>
                    </w:rPr>
                    <w:t>根据新政策、新标准、新规范的变化要求，调整一体化审批平台对应业务审批相关的功能、接口、业务事项、流程、表单等内容。</w:t>
                  </w:r>
                </w:p>
              </w:tc>
              <w:tc>
                <w:tcPr>
                  <w:tcW w:type="dxa" w:w="526"/>
                  <w:tcBorders>
                    <w:top w:val="none" w:color="000000" w:sz="4"/>
                    <w:left w:val="none" w:color="000000" w:sz="4"/>
                    <w:bottom w:val="single" w:color="000000" w:sz="4"/>
                    <w:right w:val="single" w:color="000000" w:sz="4"/>
                  </w:tcBorders>
                </w:tcPr>
                <w:p>
                  <w:pPr>
                    <w:jc w:val="center"/>
                  </w:pPr>
                  <w:r>
                    <w:rPr>
                      <w:sz w:val="21"/>
                    </w:rPr>
                    <w:t>新增运维</w:t>
                  </w:r>
                </w:p>
              </w:tc>
              <w:tc>
                <w:tcPr>
                  <w:tcW w:type="dxa" w:w="351"/>
                  <w:tcBorders>
                    <w:top w:val="none" w:color="000000" w:sz="4"/>
                    <w:left w:val="none" w:color="000000" w:sz="4"/>
                    <w:bottom w:val="single" w:color="000000" w:sz="4"/>
                    <w:right w:val="single" w:color="000000" w:sz="4"/>
                  </w:tcBorders>
                </w:tcPr>
                <w:p>
                  <w:pPr>
                    <w:jc w:val="center"/>
                  </w:pPr>
                </w:p>
              </w:tc>
            </w:tr>
            <w:tr>
              <w:tc>
                <w:tcPr>
                  <w:tcW w:type="dxa" w:w="467"/>
                  <w:tcBorders>
                    <w:top w:val="none" w:color="000000" w:sz="4"/>
                    <w:left w:val="single" w:color="000000" w:sz="4"/>
                    <w:bottom w:val="single" w:color="000000" w:sz="4"/>
                    <w:right w:val="single" w:color="000000" w:sz="4"/>
                  </w:tcBorders>
                </w:tcPr>
                <w:p>
                  <w:pPr>
                    <w:jc w:val="center"/>
                  </w:pPr>
                  <w:r>
                    <w:rPr>
                      <w:sz w:val="21"/>
                    </w:rPr>
                    <w:t>18</w:t>
                  </w:r>
                </w:p>
              </w:tc>
              <w:tc>
                <w:tcPr>
                  <w:tcW w:type="dxa" w:w="292"/>
                  <w:vMerge w:val="restart"/>
                  <w:tcBorders>
                    <w:top w:val="none" w:color="000000" w:sz="4"/>
                    <w:left w:val="none" w:color="000000" w:sz="4"/>
                    <w:bottom w:val="single" w:color="000000" w:sz="4"/>
                    <w:right w:val="single" w:color="000000" w:sz="4"/>
                  </w:tcBorders>
                </w:tcPr>
                <w:p>
                  <w:pPr>
                    <w:jc w:val="both"/>
                  </w:pPr>
                  <w:r>
                    <w:rPr>
                      <w:b/>
                      <w:sz w:val="21"/>
                    </w:rPr>
                    <w:t>新增接口对接</w:t>
                  </w:r>
                </w:p>
              </w:tc>
              <w:tc>
                <w:tcPr>
                  <w:tcW w:type="dxa" w:w="935"/>
                  <w:tcBorders>
                    <w:top w:val="none" w:color="000000" w:sz="4"/>
                    <w:left w:val="none" w:color="000000" w:sz="4"/>
                    <w:bottom w:val="single" w:color="000000" w:sz="4"/>
                    <w:right w:val="single" w:color="000000" w:sz="4"/>
                  </w:tcBorders>
                </w:tcPr>
                <w:p>
                  <w:pPr>
                    <w:jc w:val="center"/>
                  </w:pPr>
                  <w:r>
                    <w:rPr>
                      <w:b/>
                      <w:sz w:val="21"/>
                    </w:rPr>
                    <w:t>综合业务平台与中山市工程建设项目并联审批系统、省工程建设项目“一网通办”对接</w:t>
                  </w:r>
                </w:p>
              </w:tc>
              <w:tc>
                <w:tcPr>
                  <w:tcW w:type="dxa" w:w="2980"/>
                  <w:tcBorders>
                    <w:top w:val="none" w:color="000000" w:sz="4"/>
                    <w:left w:val="none" w:color="000000" w:sz="4"/>
                    <w:bottom w:val="single" w:color="000000" w:sz="4"/>
                    <w:right w:val="single" w:color="000000" w:sz="4"/>
                  </w:tcBorders>
                </w:tcPr>
                <w:p>
                  <w:pPr>
                    <w:jc w:val="both"/>
                  </w:pPr>
                  <w:r>
                    <w:rPr>
                      <w:sz w:val="21"/>
                    </w:rPr>
                    <w:t>1</w:t>
                  </w:r>
                  <w:r>
                    <w:rPr>
                      <w:sz w:val="21"/>
                    </w:rPr>
                    <w:t>、 数据交换：针对办理建筑工程建设工程及规划许可证、市政工程规划许可证、建筑工程建设工程规划许可变更、市政工程规划许可变更、建筑工程建设工程规划许可证核发预受理、建筑工程建设工程规划验线、市政工程规划验线、建筑工程规划设计条件核实、市政工程规划设计条件核实、城建档案验收等10个业务，实现和工建系统进行数据双向交换。</w:t>
                  </w:r>
                </w:p>
                <w:p>
                  <w:pPr>
                    <w:jc w:val="both"/>
                  </w:pPr>
                  <w:r>
                    <w:rPr>
                      <w:sz w:val="21"/>
                    </w:rPr>
                    <w:t>2</w:t>
                  </w:r>
                  <w:r>
                    <w:rPr>
                      <w:sz w:val="21"/>
                    </w:rPr>
                    <w:t>、 业务监管：自然资源综合业务平台原来是通过网上办事大厅服务系统和中山市工程建设项目并联审批系统进行数据交换的，但网厅的数据链路节点过多，导致数据交换延迟，而且网上办事大厅服务系统的数据交换规则复杂导致交换数据质量较低。为保障交换数据的及时性、准确性，同时按照《中山市工程建设项目并联审批系统数据交换标准接口对接规范V4.0.7》要求，现自然资源综合业务平台改变已往和工建平台交换数据的模式，先直接和工建系统进行直连，直接交换数据。</w:t>
                  </w:r>
                </w:p>
                <w:p>
                  <w:pPr>
                    <w:jc w:val="both"/>
                  </w:pPr>
                  <w:r>
                    <w:rPr>
                      <w:sz w:val="21"/>
                    </w:rPr>
                    <w:t>主要有三个工作目标：（1）解决逾期超时问题。1）网厅接口与工建接口分离改造；2）获取工建接口申请数据；3）推送规则改造。（2）完成审批成果文件的推送。1）自然资源局确认证照签发推送时点以及业务平台功能改造；2）开发审批成果文件的推送功能。（3）完成补正功能的开发。实现补正功能的开发。</w:t>
                  </w:r>
                </w:p>
                <w:p>
                  <w:pPr>
                    <w:jc w:val="both"/>
                  </w:pPr>
                  <w:r>
                    <w:rPr>
                      <w:sz w:val="21"/>
                    </w:rPr>
                    <w:t>3</w:t>
                  </w:r>
                  <w:r>
                    <w:rPr>
                      <w:sz w:val="21"/>
                    </w:rPr>
                    <w:t>、综合业务平台与工程建设项目“一网通办”对接，实现全省工程建设项目一阶段事项网上申办入口统一、标准统一，申请人通过“一张表单、一套材料”完成一阶段事项办理。依托广东政务服务网，打造全省统一的工程建设项目审批管理系统与省投资项目在线审批监管平台(一套系统，两块牌子)，实现广东省工程建设项目审批“一网通办”。</w:t>
                  </w:r>
                </w:p>
              </w:tc>
              <w:tc>
                <w:tcPr>
                  <w:tcW w:type="dxa" w:w="526"/>
                  <w:tcBorders>
                    <w:top w:val="none" w:color="000000" w:sz="4"/>
                    <w:left w:val="none" w:color="000000" w:sz="4"/>
                    <w:bottom w:val="single" w:color="000000" w:sz="4"/>
                    <w:right w:val="single" w:color="000000" w:sz="4"/>
                  </w:tcBorders>
                </w:tcPr>
                <w:p>
                  <w:pPr>
                    <w:jc w:val="center"/>
                  </w:pPr>
                  <w:r>
                    <w:rPr>
                      <w:sz w:val="21"/>
                    </w:rPr>
                    <w:t>新增运维</w:t>
                  </w:r>
                </w:p>
              </w:tc>
              <w:tc>
                <w:tcPr>
                  <w:tcW w:type="dxa" w:w="351"/>
                  <w:tcBorders>
                    <w:top w:val="none" w:color="000000" w:sz="4"/>
                    <w:left w:val="none" w:color="000000" w:sz="4"/>
                    <w:bottom w:val="single" w:color="000000" w:sz="4"/>
                    <w:right w:val="single" w:color="000000" w:sz="4"/>
                  </w:tcBorders>
                </w:tcPr>
                <w:p>
                  <w:pPr>
                    <w:jc w:val="center"/>
                  </w:pPr>
                </w:p>
              </w:tc>
            </w:tr>
            <w:tr>
              <w:tc>
                <w:tcPr>
                  <w:tcW w:type="dxa" w:w="467"/>
                  <w:tcBorders>
                    <w:top w:val="none" w:color="000000" w:sz="4"/>
                    <w:left w:val="single" w:color="000000" w:sz="4"/>
                    <w:bottom w:val="single" w:color="000000" w:sz="4"/>
                    <w:right w:val="single" w:color="000000" w:sz="4"/>
                  </w:tcBorders>
                  <w:vAlign w:val="top"/>
                </w:tcPr>
                <w:p>
                  <w:pPr>
                    <w:jc w:val="center"/>
                  </w:pPr>
                  <w:r>
                    <w:rPr>
                      <w:sz w:val="21"/>
                    </w:rPr>
                    <w:t>19</w:t>
                  </w:r>
                </w:p>
              </w:tc>
              <w:tc>
                <w:tcPr>
                  <w:tcW w:type="dxa" w:w="292"/>
                  <w:vMerge/>
                  <w:tcBorders>
                    <w:top w:val="none" w:color="000000" w:sz="4"/>
                    <w:left w:val="none" w:color="000000" w:sz="4"/>
                    <w:bottom w:val="single" w:color="000000" w:sz="4"/>
                    <w:right w:val="single" w:color="000000" w:sz="4"/>
                  </w:tcBorders>
                </w:tcPr>
                <w:p/>
              </w:tc>
              <w:tc>
                <w:tcPr>
                  <w:tcW w:type="dxa" w:w="935"/>
                  <w:tcBorders>
                    <w:top w:val="none" w:color="000000" w:sz="4"/>
                    <w:left w:val="none" w:color="000000" w:sz="4"/>
                    <w:bottom w:val="single" w:color="000000" w:sz="4"/>
                    <w:right w:val="single" w:color="000000" w:sz="4"/>
                  </w:tcBorders>
                </w:tcPr>
                <w:p>
                  <w:pPr>
                    <w:jc w:val="center"/>
                  </w:pPr>
                  <w:r>
                    <w:rPr>
                      <w:b/>
                      <w:sz w:val="21"/>
                    </w:rPr>
                    <w:t>综合业务平台与运维管理和服务平台对接</w:t>
                  </w:r>
                </w:p>
              </w:tc>
              <w:tc>
                <w:tcPr>
                  <w:tcW w:type="dxa" w:w="2980"/>
                  <w:tcBorders>
                    <w:top w:val="none" w:color="000000" w:sz="4"/>
                    <w:left w:val="none" w:color="000000" w:sz="4"/>
                    <w:bottom w:val="single" w:color="000000" w:sz="4"/>
                    <w:right w:val="single" w:color="000000" w:sz="4"/>
                  </w:tcBorders>
                </w:tcPr>
                <w:p>
                  <w:pPr>
                    <w:jc w:val="both"/>
                  </w:pPr>
                  <w:r>
                    <w:rPr>
                      <w:sz w:val="21"/>
                    </w:rPr>
                    <w:t>国土空间基础信息平台智能运维模块因功能需求涉及到与综合业务平台的工作对接，主要对接内容为“系统运维记录在两个平台的体现”。由于国土空间基础信息平台智能运维模块的“运维记录”功能需记录各系统服务器的运维情况，客户指出综合业务平台涉及到服务器的“运维单”信息也应在“运维记录”中体现，相关功能点的实现需要双方工作人员对接。主要对接工作如下：（1）综合业务平台的系统维护单推送参数信息，在运维平台自动新增运维记录；（2）运维人员补充运维记录的信息，并填写处理意见、上传佐证材料，处理意见和佐证材料推送到业务平台系统维护单显示；（3）综合业务平台的系统维护单推送参数信息，运维平台自动新增运维记录；（4）运维人员补充运维记录的信息，并填写处理意见，上传佐证材料，处理意见和佐证材料推送到业务平台系统维护单显示。</w:t>
                  </w:r>
                </w:p>
              </w:tc>
              <w:tc>
                <w:tcPr>
                  <w:tcW w:type="dxa" w:w="526"/>
                  <w:tcBorders>
                    <w:top w:val="none" w:color="000000" w:sz="4"/>
                    <w:left w:val="none" w:color="000000" w:sz="4"/>
                    <w:bottom w:val="single" w:color="000000" w:sz="4"/>
                    <w:right w:val="single" w:color="000000" w:sz="4"/>
                  </w:tcBorders>
                </w:tcPr>
                <w:p>
                  <w:pPr>
                    <w:jc w:val="center"/>
                  </w:pPr>
                  <w:r>
                    <w:rPr>
                      <w:sz w:val="21"/>
                    </w:rPr>
                    <w:t>新增运维</w:t>
                  </w:r>
                </w:p>
              </w:tc>
              <w:tc>
                <w:tcPr>
                  <w:tcW w:type="dxa" w:w="351"/>
                  <w:tcBorders>
                    <w:top w:val="none" w:color="000000" w:sz="4"/>
                    <w:left w:val="none" w:color="000000" w:sz="4"/>
                    <w:bottom w:val="single" w:color="000000" w:sz="4"/>
                    <w:right w:val="single" w:color="000000" w:sz="4"/>
                  </w:tcBorders>
                </w:tcPr>
                <w:p>
                  <w:pPr>
                    <w:jc w:val="center"/>
                  </w:pPr>
                </w:p>
              </w:tc>
            </w:tr>
            <w:tr>
              <w:tc>
                <w:tcPr>
                  <w:tcW w:type="dxa" w:w="467"/>
                  <w:tcBorders>
                    <w:top w:val="none" w:color="000000" w:sz="4"/>
                    <w:left w:val="single" w:color="000000" w:sz="4"/>
                    <w:bottom w:val="single" w:color="000000" w:sz="4"/>
                    <w:right w:val="single" w:color="000000" w:sz="4"/>
                  </w:tcBorders>
                  <w:vAlign w:val="top"/>
                </w:tcPr>
                <w:p>
                  <w:pPr>
                    <w:jc w:val="center"/>
                  </w:pPr>
                  <w:r>
                    <w:rPr>
                      <w:sz w:val="21"/>
                    </w:rPr>
                    <w:t>20</w:t>
                  </w:r>
                </w:p>
              </w:tc>
              <w:tc>
                <w:tcPr>
                  <w:tcW w:type="dxa" w:w="292"/>
                  <w:vMerge/>
                  <w:tcBorders>
                    <w:top w:val="none" w:color="000000" w:sz="4"/>
                    <w:left w:val="none" w:color="000000" w:sz="4"/>
                    <w:bottom w:val="single" w:color="000000" w:sz="4"/>
                    <w:right w:val="single" w:color="000000" w:sz="4"/>
                  </w:tcBorders>
                </w:tcPr>
                <w:p/>
              </w:tc>
              <w:tc>
                <w:tcPr>
                  <w:tcW w:type="dxa" w:w="935"/>
                  <w:tcBorders>
                    <w:top w:val="none" w:color="000000" w:sz="4"/>
                    <w:left w:val="none" w:color="000000" w:sz="4"/>
                    <w:bottom w:val="single" w:color="000000" w:sz="4"/>
                    <w:right w:val="single" w:color="000000" w:sz="4"/>
                  </w:tcBorders>
                </w:tcPr>
                <w:p>
                  <w:pPr>
                    <w:jc w:val="center"/>
                  </w:pPr>
                  <w:r>
                    <w:rPr>
                      <w:b/>
                      <w:sz w:val="21"/>
                    </w:rPr>
                    <w:t>综合业务平台与中山市不动产登记信息管理基础平台</w:t>
                  </w:r>
                </w:p>
              </w:tc>
              <w:tc>
                <w:tcPr>
                  <w:tcW w:type="dxa" w:w="2980"/>
                  <w:tcBorders>
                    <w:top w:val="none" w:color="000000" w:sz="4"/>
                    <w:left w:val="none" w:color="000000" w:sz="4"/>
                    <w:bottom w:val="single" w:color="000000" w:sz="4"/>
                    <w:right w:val="single" w:color="000000" w:sz="4"/>
                  </w:tcBorders>
                </w:tcPr>
                <w:p>
                  <w:pPr>
                    <w:jc w:val="both"/>
                  </w:pPr>
                  <w:r>
                    <w:rPr>
                      <w:sz w:val="21"/>
                    </w:rPr>
                    <w:t>2020</w:t>
                  </w:r>
                  <w:r>
                    <w:rPr>
                      <w:sz w:val="21"/>
                    </w:rPr>
                    <w:t>年1月8日，中山市自然资源局向市城市更新局，各科室、分局、下属单位核发了《关于印发&lt;中山市自然资源局关于“多审合一”办事暂行规则&gt;的通知》（中山自然资发〔2020〕8号）。文中提到“将建设用地规划许可证、建设用地批准书合并为建设用地规划许可证一个许可事项，并与国有建设用地供地审核（含公开出让、协议出让、划拨）、国有建设用地使用权登记（首次登记）实行同步受理、并联审批、统一出证” 。</w:t>
                  </w:r>
                </w:p>
                <w:p>
                  <w:pPr>
                    <w:jc w:val="both"/>
                  </w:pPr>
                  <w:r>
                    <w:rPr>
                      <w:sz w:val="21"/>
                    </w:rPr>
                    <w:t>由于建设用地规划许可证业务、国有建设用地供地审核业务在中山市自然资源综合业务平台（以下简称“业务平台”）里进行办理，国有建设用地使用权登记（首次登记）业务在中山市不动产登记信息管理基础平台（以下简称“不动产平台”）进行办理。因此需要实现两个系统的对接，实现业务之间的并联审批和业务数据的共享互通。</w:t>
                  </w:r>
                </w:p>
                <w:p>
                  <w:pPr>
                    <w:jc w:val="both"/>
                  </w:pPr>
                  <w:r>
                    <w:rPr>
                      <w:sz w:val="21"/>
                    </w:rPr>
                    <w:t>根据需要开展“一码管地”的相关系统优化升级工作。</w:t>
                  </w:r>
                </w:p>
              </w:tc>
              <w:tc>
                <w:tcPr>
                  <w:tcW w:type="dxa" w:w="526"/>
                  <w:tcBorders>
                    <w:top w:val="none" w:color="000000" w:sz="4"/>
                    <w:left w:val="none" w:color="000000" w:sz="4"/>
                    <w:bottom w:val="single" w:color="000000" w:sz="4"/>
                    <w:right w:val="single" w:color="000000" w:sz="4"/>
                  </w:tcBorders>
                </w:tcPr>
                <w:p>
                  <w:pPr>
                    <w:jc w:val="center"/>
                  </w:pPr>
                  <w:r>
                    <w:rPr>
                      <w:sz w:val="21"/>
                    </w:rPr>
                    <w:t>新增运维</w:t>
                  </w:r>
                </w:p>
              </w:tc>
              <w:tc>
                <w:tcPr>
                  <w:tcW w:type="dxa" w:w="351"/>
                  <w:tcBorders>
                    <w:top w:val="none" w:color="000000" w:sz="4"/>
                    <w:left w:val="none" w:color="000000" w:sz="4"/>
                    <w:bottom w:val="single" w:color="000000" w:sz="4"/>
                    <w:right w:val="single" w:color="000000" w:sz="4"/>
                  </w:tcBorders>
                </w:tcPr>
                <w:p>
                  <w:pPr>
                    <w:jc w:val="center"/>
                  </w:pPr>
                </w:p>
              </w:tc>
            </w:tr>
            <w:tr>
              <w:tc>
                <w:tcPr>
                  <w:tcW w:type="dxa" w:w="467"/>
                  <w:tcBorders>
                    <w:top w:val="none" w:color="000000" w:sz="4"/>
                    <w:left w:val="single" w:color="000000" w:sz="4"/>
                    <w:bottom w:val="single" w:color="000000" w:sz="4"/>
                    <w:right w:val="single" w:color="000000" w:sz="4"/>
                  </w:tcBorders>
                </w:tcPr>
                <w:p>
                  <w:pPr>
                    <w:jc w:val="center"/>
                  </w:pPr>
                  <w:r>
                    <w:rPr>
                      <w:sz w:val="21"/>
                    </w:rPr>
                    <w:t>21</w:t>
                  </w:r>
                </w:p>
              </w:tc>
              <w:tc>
                <w:tcPr>
                  <w:tcW w:type="dxa" w:w="292"/>
                  <w:vMerge/>
                  <w:tcBorders>
                    <w:top w:val="none" w:color="000000" w:sz="4"/>
                    <w:left w:val="none" w:color="000000" w:sz="4"/>
                    <w:bottom w:val="single" w:color="000000" w:sz="4"/>
                    <w:right w:val="single" w:color="000000" w:sz="4"/>
                  </w:tcBorders>
                </w:tcPr>
                <w:p/>
              </w:tc>
              <w:tc>
                <w:tcPr>
                  <w:tcW w:type="dxa" w:w="935"/>
                  <w:tcBorders>
                    <w:top w:val="none" w:color="000000" w:sz="4"/>
                    <w:left w:val="none" w:color="000000" w:sz="4"/>
                    <w:bottom w:val="single" w:color="000000" w:sz="4"/>
                    <w:right w:val="single" w:color="000000" w:sz="4"/>
                  </w:tcBorders>
                </w:tcPr>
                <w:p>
                  <w:pPr>
                    <w:jc w:val="center"/>
                  </w:pPr>
                  <w:r>
                    <w:rPr>
                      <w:b/>
                      <w:sz w:val="21"/>
                    </w:rPr>
                    <w:t>综合业务平台与市政务大数据中心、省市一网统管对接</w:t>
                  </w:r>
                </w:p>
              </w:tc>
              <w:tc>
                <w:tcPr>
                  <w:tcW w:type="dxa" w:w="2980"/>
                  <w:tcBorders>
                    <w:top w:val="none" w:color="000000" w:sz="4"/>
                    <w:left w:val="none" w:color="000000" w:sz="4"/>
                    <w:bottom w:val="single" w:color="000000" w:sz="4"/>
                    <w:right w:val="single" w:color="000000" w:sz="4"/>
                  </w:tcBorders>
                </w:tcPr>
                <w:p>
                  <w:pPr>
                    <w:jc w:val="both"/>
                  </w:pPr>
                  <w:r>
                    <w:rPr>
                      <w:sz w:val="21"/>
                    </w:rPr>
                    <w:t>对接工作内容主要包括：1、按照市政数局数据普查编目、“政务服务质量提升”指标考核、市发改局信用数据编目及其他部门数据共享要求，梳理业务数据字段，形成数据中心要求的数据编目文档，进行编目挂接；2、编写综合业务平台数据表和大数据中心共享数据表的对照关系，按照交换规范将数据正常无误及时的交换给市政务大数据中心。3、根据市政务大数据中心提供的数据共享清单，按照“政务服务质量提升”指标考核和业务部门需求实现业务调用外部接口或表数据。</w:t>
                  </w:r>
                </w:p>
              </w:tc>
              <w:tc>
                <w:tcPr>
                  <w:tcW w:type="dxa" w:w="526"/>
                  <w:tcBorders>
                    <w:top w:val="none" w:color="000000" w:sz="4"/>
                    <w:left w:val="none" w:color="000000" w:sz="4"/>
                    <w:bottom w:val="single" w:color="000000" w:sz="4"/>
                    <w:right w:val="single" w:color="000000" w:sz="4"/>
                  </w:tcBorders>
                </w:tcPr>
                <w:p>
                  <w:pPr>
                    <w:jc w:val="center"/>
                  </w:pPr>
                  <w:r>
                    <w:rPr>
                      <w:sz w:val="21"/>
                    </w:rPr>
                    <w:t>新增运维</w:t>
                  </w:r>
                </w:p>
              </w:tc>
              <w:tc>
                <w:tcPr>
                  <w:tcW w:type="dxa" w:w="351"/>
                  <w:tcBorders>
                    <w:top w:val="none" w:color="000000" w:sz="4"/>
                    <w:left w:val="none" w:color="000000" w:sz="4"/>
                    <w:bottom w:val="single" w:color="000000" w:sz="4"/>
                    <w:right w:val="single" w:color="000000" w:sz="4"/>
                  </w:tcBorders>
                </w:tcPr>
                <w:p>
                  <w:pPr>
                    <w:jc w:val="center"/>
                  </w:pPr>
                </w:p>
              </w:tc>
            </w:tr>
            <w:tr>
              <w:tc>
                <w:tcPr>
                  <w:tcW w:type="dxa" w:w="467"/>
                  <w:tcBorders>
                    <w:top w:val="none" w:color="000000" w:sz="4"/>
                    <w:left w:val="single" w:color="000000" w:sz="4"/>
                    <w:bottom w:val="single" w:color="000000" w:sz="4"/>
                    <w:right w:val="single" w:color="000000" w:sz="4"/>
                  </w:tcBorders>
                </w:tcPr>
                <w:p>
                  <w:pPr>
                    <w:jc w:val="center"/>
                  </w:pPr>
                  <w:r>
                    <w:rPr>
                      <w:sz w:val="21"/>
                    </w:rPr>
                    <w:t>22</w:t>
                  </w:r>
                </w:p>
              </w:tc>
              <w:tc>
                <w:tcPr>
                  <w:tcW w:type="dxa" w:w="292"/>
                  <w:vMerge/>
                  <w:tcBorders>
                    <w:top w:val="none" w:color="000000" w:sz="4"/>
                    <w:left w:val="none" w:color="000000" w:sz="4"/>
                    <w:bottom w:val="single" w:color="000000" w:sz="4"/>
                    <w:right w:val="single" w:color="000000" w:sz="4"/>
                  </w:tcBorders>
                </w:tcPr>
                <w:p/>
              </w:tc>
              <w:tc>
                <w:tcPr>
                  <w:tcW w:type="dxa" w:w="935"/>
                  <w:tcBorders>
                    <w:top w:val="none" w:color="000000" w:sz="4"/>
                    <w:left w:val="none" w:color="000000" w:sz="4"/>
                    <w:bottom w:val="single" w:color="000000" w:sz="4"/>
                    <w:right w:val="single" w:color="000000" w:sz="4"/>
                  </w:tcBorders>
                </w:tcPr>
                <w:p>
                  <w:pPr>
                    <w:jc w:val="center"/>
                  </w:pPr>
                  <w:r>
                    <w:rPr>
                      <w:b/>
                      <w:sz w:val="21"/>
                    </w:rPr>
                    <w:t>综合业务平台与电子证照（数字空间）对接</w:t>
                  </w:r>
                </w:p>
              </w:tc>
              <w:tc>
                <w:tcPr>
                  <w:tcW w:type="dxa" w:w="2980"/>
                  <w:tcBorders>
                    <w:top w:val="none" w:color="000000" w:sz="4"/>
                    <w:left w:val="none" w:color="000000" w:sz="4"/>
                    <w:bottom w:val="single" w:color="000000" w:sz="4"/>
                    <w:right w:val="single" w:color="000000" w:sz="4"/>
                  </w:tcBorders>
                </w:tcPr>
                <w:p>
                  <w:pPr>
                    <w:jc w:val="both"/>
                  </w:pPr>
                  <w:r>
                    <w:rPr>
                      <w:sz w:val="21"/>
                    </w:rPr>
                    <w:t>电子证照系统提供政务服务网在线申办用证服务。办事人可通过实名账户登录政务服务网进行业务在线申办，申办过程中可在线获取电子证照作为办事材料提交，减少电子影印件的提交。对接工作内容主要包括：1、完成业务系统改造，新增业务受理、审批等环节使用电子证照功能。2、梳理业务情形，明确可同步签发电子证照的业务环节，完成业务系统改造，新增签发电子证照功能。3、因省厅电子证照接口发生变化，需要重新和电子证照系统进行对接。目前和电子证照对接的业务有：办理建筑工程建设工程规划许可证，办理市政工程规划许可证，办理建筑工程建设工程规划许可变更，办理市政工程规划许可变更，办理建筑工程建设工程规划验线，办理市政工程规划验线，办理建筑工程规划设计条件核实，办理市政工程规划条件核实。4、电子证照主要分用证、发证。（1）用证：一个业务有多个用证需求，例如会调用“不动产权证”、“营业执照”、“身份证”等每一个用证功能支持独立上传到对应的附件目录下。（2）发证：一个业务可以签发多个电子证照，例如会调用“不动产权证”、“营业执照”、“身份证”等每一个签发功能支持独立上传到对应的附件目录下，点击用证，签发成功，会电子证照上传到对应的附件目录。</w:t>
                  </w:r>
                </w:p>
              </w:tc>
              <w:tc>
                <w:tcPr>
                  <w:tcW w:type="dxa" w:w="526"/>
                  <w:tcBorders>
                    <w:top w:val="none" w:color="000000" w:sz="4"/>
                    <w:left w:val="none" w:color="000000" w:sz="4"/>
                    <w:bottom w:val="single" w:color="000000" w:sz="4"/>
                    <w:right w:val="single" w:color="000000" w:sz="4"/>
                  </w:tcBorders>
                </w:tcPr>
                <w:p>
                  <w:pPr>
                    <w:jc w:val="center"/>
                  </w:pPr>
                  <w:r>
                    <w:rPr>
                      <w:sz w:val="21"/>
                    </w:rPr>
                    <w:t>新增运维</w:t>
                  </w:r>
                </w:p>
              </w:tc>
              <w:tc>
                <w:tcPr>
                  <w:tcW w:type="dxa" w:w="351"/>
                  <w:tcBorders>
                    <w:top w:val="none" w:color="000000" w:sz="4"/>
                    <w:left w:val="none" w:color="000000" w:sz="4"/>
                    <w:bottom w:val="single" w:color="000000" w:sz="4"/>
                    <w:right w:val="single" w:color="000000" w:sz="4"/>
                  </w:tcBorders>
                </w:tcPr>
                <w:p>
                  <w:pPr>
                    <w:jc w:val="center"/>
                  </w:pPr>
                </w:p>
              </w:tc>
            </w:tr>
            <w:tr>
              <w:tc>
                <w:tcPr>
                  <w:tcW w:type="dxa" w:w="467"/>
                  <w:tcBorders>
                    <w:top w:val="none" w:color="000000" w:sz="4"/>
                    <w:left w:val="single" w:color="000000" w:sz="4"/>
                    <w:bottom w:val="single" w:color="000000" w:sz="4"/>
                    <w:right w:val="single" w:color="000000" w:sz="4"/>
                  </w:tcBorders>
                  <w:vAlign w:val="top"/>
                </w:tcPr>
                <w:p>
                  <w:pPr>
                    <w:jc w:val="center"/>
                  </w:pPr>
                  <w:r>
                    <w:rPr>
                      <w:sz w:val="21"/>
                    </w:rPr>
                    <w:t>23</w:t>
                  </w:r>
                </w:p>
              </w:tc>
              <w:tc>
                <w:tcPr>
                  <w:tcW w:type="dxa" w:w="292"/>
                  <w:vMerge/>
                  <w:tcBorders>
                    <w:top w:val="none" w:color="000000" w:sz="4"/>
                    <w:left w:val="none" w:color="000000" w:sz="4"/>
                    <w:bottom w:val="single" w:color="000000" w:sz="4"/>
                    <w:right w:val="single" w:color="000000" w:sz="4"/>
                  </w:tcBorders>
                </w:tcPr>
                <w:p/>
              </w:tc>
              <w:tc>
                <w:tcPr>
                  <w:tcW w:type="dxa" w:w="935"/>
                  <w:tcBorders>
                    <w:top w:val="none" w:color="000000" w:sz="4"/>
                    <w:left w:val="none" w:color="000000" w:sz="4"/>
                    <w:bottom w:val="single" w:color="000000" w:sz="4"/>
                    <w:right w:val="single" w:color="000000" w:sz="4"/>
                  </w:tcBorders>
                </w:tcPr>
                <w:p>
                  <w:pPr>
                    <w:jc w:val="center"/>
                  </w:pPr>
                  <w:r>
                    <w:rPr>
                      <w:b/>
                      <w:sz w:val="21"/>
                    </w:rPr>
                    <w:t>综合业务平台及自然资源决策平台与广东省统一身份认证平台对接（含政务侧和公众侧）</w:t>
                  </w:r>
                </w:p>
              </w:tc>
              <w:tc>
                <w:tcPr>
                  <w:tcW w:type="dxa" w:w="2980"/>
                  <w:tcBorders>
                    <w:top w:val="none" w:color="000000" w:sz="4"/>
                    <w:left w:val="none" w:color="000000" w:sz="4"/>
                    <w:bottom w:val="single" w:color="000000" w:sz="4"/>
                    <w:right w:val="single" w:color="000000" w:sz="4"/>
                  </w:tcBorders>
                </w:tcPr>
                <w:p>
                  <w:pPr>
                    <w:jc w:val="both"/>
                  </w:pPr>
                  <w:r>
                    <w:rPr>
                      <w:sz w:val="21"/>
                    </w:rPr>
                    <w:t>按照《中山市政务信息化系统安全认证登录工作方案》要求，需要进一步完善中山市政务信息化系统安全认证登录各项业务流程，建立健全系统认证登录体系，优化系统登录方式，全力保障系统登录安全。按照文件要求，综合业务平台及自然资源决策平台（包括电子报批指标核校平台和移动门户APP）需要与广东省统一身份认证平台对接，具体对接内容包括：登录方式改造、账号管理规范、系统认证改造。</w:t>
                  </w:r>
                </w:p>
              </w:tc>
              <w:tc>
                <w:tcPr>
                  <w:tcW w:type="dxa" w:w="526"/>
                  <w:tcBorders>
                    <w:top w:val="none" w:color="000000" w:sz="4"/>
                    <w:left w:val="none" w:color="000000" w:sz="4"/>
                    <w:bottom w:val="single" w:color="000000" w:sz="4"/>
                    <w:right w:val="single" w:color="000000" w:sz="4"/>
                  </w:tcBorders>
                </w:tcPr>
                <w:p>
                  <w:pPr>
                    <w:jc w:val="center"/>
                  </w:pPr>
                  <w:r>
                    <w:rPr>
                      <w:sz w:val="21"/>
                    </w:rPr>
                    <w:t>新增运维</w:t>
                  </w:r>
                </w:p>
              </w:tc>
              <w:tc>
                <w:tcPr>
                  <w:tcW w:type="dxa" w:w="351"/>
                  <w:tcBorders>
                    <w:top w:val="none" w:color="000000" w:sz="4"/>
                    <w:left w:val="none" w:color="000000" w:sz="4"/>
                    <w:bottom w:val="single" w:color="000000" w:sz="4"/>
                    <w:right w:val="single" w:color="000000" w:sz="4"/>
                  </w:tcBorders>
                </w:tcPr>
                <w:p>
                  <w:pPr>
                    <w:jc w:val="center"/>
                  </w:pPr>
                </w:p>
              </w:tc>
            </w:tr>
            <w:tr>
              <w:tc>
                <w:tcPr>
                  <w:tcW w:type="dxa" w:w="467"/>
                  <w:tcBorders>
                    <w:top w:val="none" w:color="000000" w:sz="4"/>
                    <w:left w:val="single" w:color="000000" w:sz="4"/>
                    <w:bottom w:val="single" w:color="000000" w:sz="4"/>
                    <w:right w:val="single" w:color="000000" w:sz="4"/>
                  </w:tcBorders>
                  <w:vAlign w:val="top"/>
                </w:tcPr>
                <w:p>
                  <w:pPr>
                    <w:jc w:val="center"/>
                  </w:pPr>
                  <w:r>
                    <w:rPr>
                      <w:sz w:val="21"/>
                    </w:rPr>
                    <w:t>24</w:t>
                  </w:r>
                </w:p>
              </w:tc>
              <w:tc>
                <w:tcPr>
                  <w:tcW w:type="dxa" w:w="292"/>
                  <w:vMerge/>
                  <w:tcBorders>
                    <w:top w:val="none" w:color="000000" w:sz="4"/>
                    <w:left w:val="none" w:color="000000" w:sz="4"/>
                    <w:bottom w:val="single" w:color="000000" w:sz="4"/>
                    <w:right w:val="single" w:color="000000" w:sz="4"/>
                  </w:tcBorders>
                </w:tcPr>
                <w:p/>
              </w:tc>
              <w:tc>
                <w:tcPr>
                  <w:tcW w:type="dxa" w:w="935"/>
                  <w:tcBorders>
                    <w:top w:val="none" w:color="000000" w:sz="4"/>
                    <w:left w:val="none" w:color="000000" w:sz="4"/>
                    <w:bottom w:val="single" w:color="000000" w:sz="4"/>
                    <w:right w:val="single" w:color="000000" w:sz="4"/>
                  </w:tcBorders>
                </w:tcPr>
                <w:p>
                  <w:pPr>
                    <w:jc w:val="center"/>
                  </w:pPr>
                  <w:r>
                    <w:rPr>
                      <w:b/>
                      <w:sz w:val="21"/>
                    </w:rPr>
                    <w:t>综合业务平台与省智慧自然资源对接</w:t>
                  </w:r>
                </w:p>
              </w:tc>
              <w:tc>
                <w:tcPr>
                  <w:tcW w:type="dxa" w:w="2980"/>
                  <w:tcBorders>
                    <w:top w:val="none" w:color="000000" w:sz="4"/>
                    <w:left w:val="none" w:color="000000" w:sz="4"/>
                    <w:bottom w:val="single" w:color="000000" w:sz="4"/>
                    <w:right w:val="single" w:color="000000" w:sz="4"/>
                  </w:tcBorders>
                </w:tcPr>
                <w:p>
                  <w:pPr>
                    <w:jc w:val="both"/>
                  </w:pPr>
                  <w:r>
                    <w:rPr>
                      <w:sz w:val="21"/>
                    </w:rPr>
                    <w:t>按照省市要求做好系统与省智慧自然资源相关系统及业务对接，完成接口建设、对接联调等相关工作（不包括规划许可一书三证对接省用途管制系统部分）。</w:t>
                  </w:r>
                </w:p>
              </w:tc>
              <w:tc>
                <w:tcPr>
                  <w:tcW w:type="dxa" w:w="526"/>
                  <w:tcBorders>
                    <w:top w:val="none" w:color="000000" w:sz="4"/>
                    <w:left w:val="none" w:color="000000" w:sz="4"/>
                    <w:bottom w:val="single" w:color="000000" w:sz="4"/>
                    <w:right w:val="single" w:color="000000" w:sz="4"/>
                  </w:tcBorders>
                </w:tcPr>
                <w:p>
                  <w:pPr>
                    <w:jc w:val="center"/>
                  </w:pPr>
                  <w:r>
                    <w:rPr>
                      <w:sz w:val="21"/>
                    </w:rPr>
                    <w:t>新增运维</w:t>
                  </w:r>
                </w:p>
              </w:tc>
              <w:tc>
                <w:tcPr>
                  <w:tcW w:type="dxa" w:w="351"/>
                  <w:tcBorders>
                    <w:top w:val="none" w:color="000000" w:sz="4"/>
                    <w:left w:val="none" w:color="000000" w:sz="4"/>
                    <w:bottom w:val="single" w:color="000000" w:sz="4"/>
                    <w:right w:val="single" w:color="000000" w:sz="4"/>
                  </w:tcBorders>
                </w:tcPr>
                <w:p>
                  <w:pPr>
                    <w:jc w:val="center"/>
                  </w:pPr>
                </w:p>
              </w:tc>
            </w:tr>
            <w:tr>
              <w:tc>
                <w:tcPr>
                  <w:tcW w:type="dxa" w:w="467"/>
                  <w:tcBorders>
                    <w:top w:val="none" w:color="000000" w:sz="4"/>
                    <w:left w:val="single" w:color="000000" w:sz="4"/>
                    <w:bottom w:val="single" w:color="000000" w:sz="4"/>
                    <w:right w:val="single" w:color="000000" w:sz="4"/>
                  </w:tcBorders>
                  <w:vAlign w:val="top"/>
                </w:tcPr>
                <w:p>
                  <w:pPr>
                    <w:jc w:val="center"/>
                  </w:pPr>
                  <w:r>
                    <w:rPr>
                      <w:sz w:val="21"/>
                    </w:rPr>
                    <w:t>25</w:t>
                  </w:r>
                </w:p>
              </w:tc>
              <w:tc>
                <w:tcPr>
                  <w:tcW w:type="dxa" w:w="292"/>
                  <w:vMerge w:val="restart"/>
                  <w:tcBorders>
                    <w:top w:val="none" w:color="000000" w:sz="4"/>
                    <w:left w:val="none" w:color="000000" w:sz="4"/>
                    <w:bottom w:val="single" w:color="000000" w:sz="4"/>
                    <w:right w:val="single" w:color="000000" w:sz="4"/>
                  </w:tcBorders>
                </w:tcPr>
                <w:p>
                  <w:pPr>
                    <w:jc w:val="center"/>
                  </w:pPr>
                  <w:r>
                    <w:rPr>
                      <w:b/>
                      <w:sz w:val="21"/>
                    </w:rPr>
                    <w:t>系统运行维护</w:t>
                  </w:r>
                </w:p>
              </w:tc>
              <w:tc>
                <w:tcPr>
                  <w:tcW w:type="dxa" w:w="935"/>
                  <w:tcBorders>
                    <w:top w:val="none" w:color="000000" w:sz="4"/>
                    <w:left w:val="none" w:color="000000" w:sz="4"/>
                    <w:bottom w:val="single" w:color="000000" w:sz="4"/>
                    <w:right w:val="single" w:color="000000" w:sz="4"/>
                  </w:tcBorders>
                </w:tcPr>
                <w:p>
                  <w:pPr>
                    <w:jc w:val="center"/>
                  </w:pPr>
                  <w:r>
                    <w:rPr>
                      <w:b/>
                      <w:sz w:val="21"/>
                    </w:rPr>
                    <w:t>决策支持平台功能模块运维</w:t>
                  </w:r>
                </w:p>
              </w:tc>
              <w:tc>
                <w:tcPr>
                  <w:tcW w:type="dxa" w:w="2980"/>
                  <w:tcBorders>
                    <w:top w:val="none" w:color="000000" w:sz="4"/>
                    <w:left w:val="none" w:color="000000" w:sz="4"/>
                    <w:bottom w:val="single" w:color="000000" w:sz="4"/>
                    <w:right w:val="single" w:color="000000" w:sz="4"/>
                  </w:tcBorders>
                </w:tcPr>
                <w:p>
                  <w:pPr>
                    <w:jc w:val="both"/>
                  </w:pPr>
                  <w:r>
                    <w:rPr>
                      <w:sz w:val="21"/>
                    </w:rPr>
                    <w:t>监测预警指标体系维护管理、预警决策模型维护管理、自然资源数据统计模块维护管理、城市设计要素库管理。</w:t>
                  </w:r>
                </w:p>
              </w:tc>
              <w:tc>
                <w:tcPr>
                  <w:tcW w:type="dxa" w:w="526"/>
                  <w:tcBorders>
                    <w:top w:val="none" w:color="000000" w:sz="4"/>
                    <w:left w:val="none" w:color="000000" w:sz="4"/>
                    <w:bottom w:val="single" w:color="000000" w:sz="4"/>
                    <w:right w:val="single" w:color="000000" w:sz="4"/>
                  </w:tcBorders>
                </w:tcPr>
                <w:p>
                  <w:pPr>
                    <w:jc w:val="center"/>
                  </w:pPr>
                  <w:r>
                    <w:rPr>
                      <w:sz w:val="21"/>
                    </w:rPr>
                    <w:t>延续性运维</w:t>
                  </w:r>
                </w:p>
              </w:tc>
              <w:tc>
                <w:tcPr>
                  <w:tcW w:type="dxa" w:w="351"/>
                  <w:tcBorders>
                    <w:top w:val="none" w:color="000000" w:sz="4"/>
                    <w:left w:val="none" w:color="000000" w:sz="4"/>
                    <w:bottom w:val="single" w:color="000000" w:sz="4"/>
                    <w:right w:val="single" w:color="000000" w:sz="4"/>
                  </w:tcBorders>
                </w:tcPr>
                <w:p>
                  <w:pPr>
                    <w:jc w:val="center"/>
                  </w:pPr>
                </w:p>
              </w:tc>
            </w:tr>
            <w:tr>
              <w:tc>
                <w:tcPr>
                  <w:tcW w:type="dxa" w:w="467"/>
                  <w:tcBorders>
                    <w:top w:val="none" w:color="000000" w:sz="4"/>
                    <w:left w:val="single" w:color="000000" w:sz="4"/>
                    <w:bottom w:val="single" w:color="000000" w:sz="4"/>
                    <w:right w:val="single" w:color="000000" w:sz="4"/>
                  </w:tcBorders>
                  <w:vAlign w:val="top"/>
                </w:tcPr>
                <w:p>
                  <w:pPr>
                    <w:jc w:val="center"/>
                  </w:pPr>
                  <w:r>
                    <w:rPr>
                      <w:sz w:val="21"/>
                    </w:rPr>
                    <w:t>26</w:t>
                  </w:r>
                </w:p>
              </w:tc>
              <w:tc>
                <w:tcPr>
                  <w:tcW w:type="dxa" w:w="292"/>
                  <w:vMerge/>
                  <w:tcBorders>
                    <w:top w:val="none" w:color="000000" w:sz="4"/>
                    <w:left w:val="none" w:color="000000" w:sz="4"/>
                    <w:bottom w:val="single" w:color="000000" w:sz="4"/>
                    <w:right w:val="single" w:color="000000" w:sz="4"/>
                  </w:tcBorders>
                </w:tcPr>
                <w:p/>
              </w:tc>
              <w:tc>
                <w:tcPr>
                  <w:tcW w:type="dxa" w:w="935"/>
                  <w:tcBorders>
                    <w:top w:val="none" w:color="000000" w:sz="4"/>
                    <w:left w:val="none" w:color="000000" w:sz="4"/>
                    <w:bottom w:val="single" w:color="000000" w:sz="4"/>
                    <w:right w:val="single" w:color="000000" w:sz="4"/>
                  </w:tcBorders>
                </w:tcPr>
                <w:p>
                  <w:pPr>
                    <w:jc w:val="center"/>
                  </w:pPr>
                  <w:r>
                    <w:rPr>
                      <w:b/>
                      <w:sz w:val="21"/>
                    </w:rPr>
                    <w:t>服务器运维</w:t>
                  </w:r>
                </w:p>
              </w:tc>
              <w:tc>
                <w:tcPr>
                  <w:tcW w:type="dxa" w:w="2980"/>
                  <w:tcBorders>
                    <w:top w:val="none" w:color="000000" w:sz="4"/>
                    <w:left w:val="none" w:color="000000" w:sz="4"/>
                    <w:bottom w:val="single" w:color="000000" w:sz="4"/>
                    <w:right w:val="single" w:color="000000" w:sz="4"/>
                  </w:tcBorders>
                </w:tcPr>
                <w:p>
                  <w:pPr>
                    <w:jc w:val="both"/>
                  </w:pPr>
                  <w:r>
                    <w:rPr>
                      <w:sz w:val="21"/>
                    </w:rPr>
                    <w:t>资源监控、安全演练、打操作补丁、服务器杀毒、增扩容处理、服务器故障相关运维。</w:t>
                  </w:r>
                </w:p>
              </w:tc>
              <w:tc>
                <w:tcPr>
                  <w:tcW w:type="dxa" w:w="526"/>
                  <w:tcBorders>
                    <w:top w:val="none" w:color="000000" w:sz="4"/>
                    <w:left w:val="none" w:color="000000" w:sz="4"/>
                    <w:bottom w:val="single" w:color="000000" w:sz="4"/>
                    <w:right w:val="single" w:color="000000" w:sz="4"/>
                  </w:tcBorders>
                </w:tcPr>
                <w:p>
                  <w:pPr>
                    <w:jc w:val="center"/>
                  </w:pPr>
                  <w:r>
                    <w:rPr>
                      <w:sz w:val="21"/>
                    </w:rPr>
                    <w:t>延续性运维</w:t>
                  </w:r>
                </w:p>
              </w:tc>
              <w:tc>
                <w:tcPr>
                  <w:tcW w:type="dxa" w:w="351"/>
                  <w:tcBorders>
                    <w:top w:val="none" w:color="000000" w:sz="4"/>
                    <w:left w:val="none" w:color="000000" w:sz="4"/>
                    <w:bottom w:val="single" w:color="000000" w:sz="4"/>
                    <w:right w:val="single" w:color="000000" w:sz="4"/>
                  </w:tcBorders>
                </w:tcPr>
                <w:p>
                  <w:pPr>
                    <w:jc w:val="center"/>
                  </w:pPr>
                </w:p>
              </w:tc>
            </w:tr>
            <w:tr>
              <w:tc>
                <w:tcPr>
                  <w:tcW w:type="dxa" w:w="467"/>
                  <w:tcBorders>
                    <w:top w:val="none" w:color="000000" w:sz="4"/>
                    <w:left w:val="single" w:color="000000" w:sz="4"/>
                    <w:bottom w:val="single" w:color="000000" w:sz="4"/>
                    <w:right w:val="single" w:color="000000" w:sz="4"/>
                  </w:tcBorders>
                  <w:vAlign w:val="top"/>
                </w:tcPr>
                <w:p>
                  <w:pPr>
                    <w:jc w:val="center"/>
                  </w:pPr>
                  <w:r>
                    <w:rPr>
                      <w:sz w:val="21"/>
                    </w:rPr>
                    <w:t>27</w:t>
                  </w:r>
                </w:p>
              </w:tc>
              <w:tc>
                <w:tcPr>
                  <w:tcW w:type="dxa" w:w="292"/>
                  <w:vMerge/>
                  <w:tcBorders>
                    <w:top w:val="none" w:color="000000" w:sz="4"/>
                    <w:left w:val="none" w:color="000000" w:sz="4"/>
                    <w:bottom w:val="single" w:color="000000" w:sz="4"/>
                    <w:right w:val="single" w:color="000000" w:sz="4"/>
                  </w:tcBorders>
                </w:tcPr>
                <w:p/>
              </w:tc>
              <w:tc>
                <w:tcPr>
                  <w:tcW w:type="dxa" w:w="935"/>
                  <w:tcBorders>
                    <w:top w:val="none" w:color="000000" w:sz="4"/>
                    <w:left w:val="none" w:color="000000" w:sz="4"/>
                    <w:bottom w:val="single" w:color="000000" w:sz="4"/>
                    <w:right w:val="single" w:color="000000" w:sz="4"/>
                  </w:tcBorders>
                </w:tcPr>
                <w:p>
                  <w:pPr>
                    <w:jc w:val="center"/>
                  </w:pPr>
                  <w:r>
                    <w:rPr>
                      <w:b/>
                      <w:sz w:val="21"/>
                    </w:rPr>
                    <w:t>移动端APP运维</w:t>
                  </w:r>
                </w:p>
              </w:tc>
              <w:tc>
                <w:tcPr>
                  <w:tcW w:type="dxa" w:w="2980"/>
                  <w:tcBorders>
                    <w:top w:val="none" w:color="000000" w:sz="4"/>
                    <w:left w:val="none" w:color="000000" w:sz="4"/>
                    <w:bottom w:val="single" w:color="000000" w:sz="4"/>
                    <w:right w:val="single" w:color="000000" w:sz="4"/>
                  </w:tcBorders>
                </w:tcPr>
                <w:p>
                  <w:pPr>
                    <w:jc w:val="both"/>
                  </w:pPr>
                  <w:r>
                    <w:rPr>
                      <w:sz w:val="21"/>
                    </w:rPr>
                    <w:t>保障中山自然资源移动门户APP的正常、安全运行。修复APP安全漏洞。根据用户需求进行网络架构优化调整。</w:t>
                  </w:r>
                </w:p>
              </w:tc>
              <w:tc>
                <w:tcPr>
                  <w:tcW w:type="dxa" w:w="526"/>
                  <w:tcBorders>
                    <w:top w:val="none" w:color="000000" w:sz="4"/>
                    <w:left w:val="none" w:color="000000" w:sz="4"/>
                    <w:bottom w:val="single" w:color="000000" w:sz="4"/>
                    <w:right w:val="single" w:color="000000" w:sz="4"/>
                  </w:tcBorders>
                </w:tcPr>
                <w:p>
                  <w:pPr>
                    <w:jc w:val="center"/>
                  </w:pPr>
                  <w:r>
                    <w:rPr>
                      <w:sz w:val="21"/>
                    </w:rPr>
                    <w:t>延续性运维</w:t>
                  </w:r>
                </w:p>
              </w:tc>
              <w:tc>
                <w:tcPr>
                  <w:tcW w:type="dxa" w:w="351"/>
                  <w:tcBorders>
                    <w:top w:val="none" w:color="000000" w:sz="4"/>
                    <w:left w:val="none" w:color="000000" w:sz="4"/>
                    <w:bottom w:val="single" w:color="000000" w:sz="4"/>
                    <w:right w:val="single" w:color="000000" w:sz="4"/>
                  </w:tcBorders>
                </w:tcPr>
                <w:p>
                  <w:pPr>
                    <w:jc w:val="center"/>
                  </w:pPr>
                </w:p>
              </w:tc>
            </w:tr>
            <w:tr>
              <w:tc>
                <w:tcPr>
                  <w:tcW w:type="dxa" w:w="467"/>
                  <w:tcBorders>
                    <w:top w:val="none" w:color="000000" w:sz="4"/>
                    <w:left w:val="single" w:color="000000" w:sz="4"/>
                    <w:bottom w:val="single" w:color="000000" w:sz="4"/>
                    <w:right w:val="single" w:color="000000" w:sz="4"/>
                  </w:tcBorders>
                  <w:vAlign w:val="top"/>
                </w:tcPr>
                <w:p>
                  <w:pPr>
                    <w:jc w:val="center"/>
                  </w:pPr>
                  <w:r>
                    <w:rPr>
                      <w:sz w:val="21"/>
                    </w:rPr>
                    <w:t>28</w:t>
                  </w:r>
                </w:p>
              </w:tc>
              <w:tc>
                <w:tcPr>
                  <w:tcW w:type="dxa" w:w="292"/>
                  <w:vMerge/>
                  <w:tcBorders>
                    <w:top w:val="none" w:color="000000" w:sz="4"/>
                    <w:left w:val="none" w:color="000000" w:sz="4"/>
                    <w:bottom w:val="single" w:color="000000" w:sz="4"/>
                    <w:right w:val="single" w:color="000000" w:sz="4"/>
                  </w:tcBorders>
                </w:tcPr>
                <w:p/>
              </w:tc>
              <w:tc>
                <w:tcPr>
                  <w:tcW w:type="dxa" w:w="935"/>
                  <w:tcBorders>
                    <w:top w:val="none" w:color="000000" w:sz="4"/>
                    <w:left w:val="none" w:color="000000" w:sz="4"/>
                    <w:bottom w:val="single" w:color="000000" w:sz="4"/>
                    <w:right w:val="single" w:color="000000" w:sz="4"/>
                  </w:tcBorders>
                </w:tcPr>
                <w:p>
                  <w:pPr>
                    <w:jc w:val="center"/>
                  </w:pPr>
                  <w:r>
                    <w:rPr>
                      <w:b/>
                      <w:sz w:val="21"/>
                    </w:rPr>
                    <w:t>历史数据迁移</w:t>
                  </w:r>
                </w:p>
              </w:tc>
              <w:tc>
                <w:tcPr>
                  <w:tcW w:type="dxa" w:w="2980"/>
                  <w:tcBorders>
                    <w:top w:val="none" w:color="000000" w:sz="4"/>
                    <w:left w:val="none" w:color="000000" w:sz="4"/>
                    <w:bottom w:val="single" w:color="000000" w:sz="4"/>
                    <w:right w:val="single" w:color="000000" w:sz="4"/>
                  </w:tcBorders>
                </w:tcPr>
                <w:p>
                  <w:pPr>
                    <w:jc w:val="both"/>
                  </w:pPr>
                  <w:r>
                    <w:rPr>
                      <w:sz w:val="21"/>
                    </w:rPr>
                    <w:t>根据中山市自然资源局实际需求，进行历史数据迁移相关工作。</w:t>
                  </w:r>
                </w:p>
              </w:tc>
              <w:tc>
                <w:tcPr>
                  <w:tcW w:type="dxa" w:w="526"/>
                  <w:tcBorders>
                    <w:top w:val="none" w:color="000000" w:sz="4"/>
                    <w:left w:val="none" w:color="000000" w:sz="4"/>
                    <w:bottom w:val="single" w:color="000000" w:sz="4"/>
                    <w:right w:val="single" w:color="000000" w:sz="4"/>
                  </w:tcBorders>
                </w:tcPr>
                <w:p>
                  <w:pPr>
                    <w:jc w:val="center"/>
                  </w:pPr>
                  <w:r>
                    <w:rPr>
                      <w:sz w:val="21"/>
                    </w:rPr>
                    <w:t>延续性运维</w:t>
                  </w:r>
                </w:p>
              </w:tc>
              <w:tc>
                <w:tcPr>
                  <w:tcW w:type="dxa" w:w="351"/>
                  <w:tcBorders>
                    <w:top w:val="none" w:color="000000" w:sz="4"/>
                    <w:left w:val="none" w:color="000000" w:sz="4"/>
                    <w:bottom w:val="single" w:color="000000" w:sz="4"/>
                    <w:right w:val="single" w:color="000000" w:sz="4"/>
                  </w:tcBorders>
                </w:tcPr>
                <w:p>
                  <w:pPr>
                    <w:jc w:val="center"/>
                  </w:pPr>
                </w:p>
              </w:tc>
            </w:tr>
            <w:tr>
              <w:tc>
                <w:tcPr>
                  <w:tcW w:type="dxa" w:w="467"/>
                  <w:tcBorders>
                    <w:top w:val="none" w:color="000000" w:sz="4"/>
                    <w:left w:val="single" w:color="000000" w:sz="4"/>
                    <w:bottom w:val="single" w:color="000000" w:sz="4"/>
                    <w:right w:val="single" w:color="000000" w:sz="4"/>
                  </w:tcBorders>
                  <w:vAlign w:val="top"/>
                </w:tcPr>
                <w:p>
                  <w:pPr>
                    <w:jc w:val="center"/>
                  </w:pPr>
                  <w:r>
                    <w:rPr>
                      <w:sz w:val="21"/>
                    </w:rPr>
                    <w:t>29</w:t>
                  </w:r>
                </w:p>
              </w:tc>
              <w:tc>
                <w:tcPr>
                  <w:tcW w:type="dxa" w:w="292"/>
                  <w:vMerge/>
                  <w:tcBorders>
                    <w:top w:val="none" w:color="000000" w:sz="4"/>
                    <w:left w:val="none" w:color="000000" w:sz="4"/>
                    <w:bottom w:val="single" w:color="000000" w:sz="4"/>
                    <w:right w:val="single" w:color="000000" w:sz="4"/>
                  </w:tcBorders>
                </w:tcPr>
                <w:p/>
              </w:tc>
              <w:tc>
                <w:tcPr>
                  <w:tcW w:type="dxa" w:w="935"/>
                  <w:tcBorders>
                    <w:top w:val="none" w:color="000000" w:sz="4"/>
                    <w:left w:val="none" w:color="000000" w:sz="4"/>
                    <w:bottom w:val="single" w:color="000000" w:sz="4"/>
                    <w:right w:val="single" w:color="000000" w:sz="4"/>
                  </w:tcBorders>
                </w:tcPr>
                <w:p>
                  <w:pPr>
                    <w:jc w:val="center"/>
                  </w:pPr>
                  <w:r>
                    <w:rPr>
                      <w:b/>
                      <w:sz w:val="21"/>
                    </w:rPr>
                    <w:t>系统授权</w:t>
                  </w:r>
                </w:p>
              </w:tc>
              <w:tc>
                <w:tcPr>
                  <w:tcW w:type="dxa" w:w="2980"/>
                  <w:tcBorders>
                    <w:top w:val="none" w:color="000000" w:sz="4"/>
                    <w:left w:val="none" w:color="000000" w:sz="4"/>
                    <w:bottom w:val="single" w:color="000000" w:sz="4"/>
                    <w:right w:val="single" w:color="000000" w:sz="4"/>
                  </w:tcBorders>
                </w:tcPr>
                <w:p>
                  <w:pPr>
                    <w:jc w:val="both"/>
                  </w:pPr>
                  <w:r>
                    <w:rPr>
                      <w:sz w:val="21"/>
                    </w:rPr>
                    <w:t>系统版权和所有权归市自然资源局所有。市自然资源局具有系统服务器端和客户端全部功能、长期的、无限制的产权和版权。运维单位不得对软件功能设置使用期限、用户数量或使用次数等限制，不得通过任何手段迫使新用户安装或旧用户重装系统时需再次获得公司授权。系统当前运行中有设置相关限制的，应在系统运维开始后5个工作日内取消一切授权限制。</w:t>
                  </w:r>
                </w:p>
              </w:tc>
              <w:tc>
                <w:tcPr>
                  <w:tcW w:type="dxa" w:w="526"/>
                  <w:tcBorders>
                    <w:top w:val="none" w:color="000000" w:sz="4"/>
                    <w:left w:val="none" w:color="000000" w:sz="4"/>
                    <w:bottom w:val="single" w:color="000000" w:sz="4"/>
                    <w:right w:val="single" w:color="000000" w:sz="4"/>
                  </w:tcBorders>
                </w:tcPr>
                <w:p>
                  <w:pPr>
                    <w:jc w:val="center"/>
                  </w:pPr>
                  <w:r>
                    <w:rPr>
                      <w:sz w:val="21"/>
                    </w:rPr>
                    <w:t>延续性运维</w:t>
                  </w:r>
                </w:p>
              </w:tc>
              <w:tc>
                <w:tcPr>
                  <w:tcW w:type="dxa" w:w="351"/>
                  <w:tcBorders>
                    <w:top w:val="none" w:color="000000" w:sz="4"/>
                    <w:left w:val="none" w:color="000000" w:sz="4"/>
                    <w:bottom w:val="single" w:color="000000" w:sz="4"/>
                    <w:right w:val="single" w:color="000000" w:sz="4"/>
                  </w:tcBorders>
                </w:tcPr>
                <w:p>
                  <w:pPr>
                    <w:jc w:val="center"/>
                  </w:pPr>
                </w:p>
              </w:tc>
            </w:tr>
            <w:tr>
              <w:tc>
                <w:tcPr>
                  <w:tcW w:type="dxa" w:w="467"/>
                  <w:tcBorders>
                    <w:top w:val="none" w:color="000000" w:sz="4"/>
                    <w:left w:val="single" w:color="000000" w:sz="4"/>
                    <w:bottom w:val="single" w:color="000000" w:sz="4"/>
                    <w:right w:val="single" w:color="000000" w:sz="4"/>
                  </w:tcBorders>
                  <w:vAlign w:val="top"/>
                </w:tcPr>
                <w:p>
                  <w:pPr>
                    <w:jc w:val="center"/>
                  </w:pPr>
                  <w:r>
                    <w:rPr>
                      <w:sz w:val="21"/>
                    </w:rPr>
                    <w:t>30</w:t>
                  </w:r>
                </w:p>
              </w:tc>
              <w:tc>
                <w:tcPr>
                  <w:tcW w:type="dxa" w:w="292"/>
                  <w:vMerge/>
                  <w:tcBorders>
                    <w:top w:val="none" w:color="000000" w:sz="4"/>
                    <w:left w:val="none" w:color="000000" w:sz="4"/>
                    <w:bottom w:val="single" w:color="000000" w:sz="4"/>
                    <w:right w:val="single" w:color="000000" w:sz="4"/>
                  </w:tcBorders>
                </w:tcPr>
                <w:p/>
              </w:tc>
              <w:tc>
                <w:tcPr>
                  <w:tcW w:type="dxa" w:w="935"/>
                  <w:tcBorders>
                    <w:top w:val="none" w:color="000000" w:sz="4"/>
                    <w:left w:val="none" w:color="000000" w:sz="4"/>
                    <w:bottom w:val="single" w:color="000000" w:sz="4"/>
                    <w:right w:val="single" w:color="000000" w:sz="4"/>
                  </w:tcBorders>
                </w:tcPr>
                <w:p>
                  <w:pPr>
                    <w:jc w:val="center"/>
                  </w:pPr>
                  <w:r>
                    <w:rPr>
                      <w:b/>
                      <w:sz w:val="21"/>
                    </w:rPr>
                    <w:t>软件系统日常运维服务</w:t>
                  </w:r>
                </w:p>
              </w:tc>
              <w:tc>
                <w:tcPr>
                  <w:tcW w:type="dxa" w:w="2980"/>
                  <w:tcBorders>
                    <w:top w:val="none" w:color="000000" w:sz="4"/>
                    <w:left w:val="none" w:color="000000" w:sz="4"/>
                    <w:bottom w:val="single" w:color="000000" w:sz="4"/>
                    <w:right w:val="single" w:color="000000" w:sz="4"/>
                  </w:tcBorders>
                </w:tcPr>
                <w:p>
                  <w:pPr>
                    <w:jc w:val="both"/>
                  </w:pPr>
                  <w:r>
                    <w:rPr>
                      <w:sz w:val="21"/>
                    </w:rPr>
                    <w:t>参照《中山市自然资源局软件维护管理办法》执行，根据用户需求，完成项目维护需求调研和分析工作，明确维护目标和建设内容，提交需求分析报告。</w:t>
                  </w:r>
                  <w:r>
                    <w:br/>
                  </w:r>
                  <w:r>
                    <w:rPr>
                      <w:sz w:val="21"/>
                    </w:rPr>
                    <w:t>根据用户确认后的需求分析报告，制定严密的项目维护技术方案。根据用户确认后的维护方案，完成系统的维护升级工作。</w:t>
                  </w:r>
                </w:p>
              </w:tc>
              <w:tc>
                <w:tcPr>
                  <w:tcW w:type="dxa" w:w="526"/>
                  <w:tcBorders>
                    <w:top w:val="none" w:color="000000" w:sz="4"/>
                    <w:left w:val="none" w:color="000000" w:sz="4"/>
                    <w:bottom w:val="single" w:color="000000" w:sz="4"/>
                    <w:right w:val="single" w:color="000000" w:sz="4"/>
                  </w:tcBorders>
                </w:tcPr>
                <w:p>
                  <w:pPr>
                    <w:jc w:val="center"/>
                  </w:pPr>
                  <w:r>
                    <w:rPr>
                      <w:sz w:val="21"/>
                    </w:rPr>
                    <w:t>延续性运维</w:t>
                  </w:r>
                </w:p>
              </w:tc>
              <w:tc>
                <w:tcPr>
                  <w:tcW w:type="dxa" w:w="351"/>
                  <w:tcBorders>
                    <w:top w:val="none" w:color="000000" w:sz="4"/>
                    <w:left w:val="none" w:color="000000" w:sz="4"/>
                    <w:bottom w:val="single" w:color="000000" w:sz="4"/>
                    <w:right w:val="single" w:color="000000" w:sz="4"/>
                  </w:tcBorders>
                </w:tcPr>
                <w:p>
                  <w:pPr>
                    <w:jc w:val="center"/>
                  </w:pPr>
                </w:p>
              </w:tc>
            </w:tr>
            <w:tr>
              <w:tc>
                <w:tcPr>
                  <w:tcW w:type="dxa" w:w="467"/>
                  <w:tcBorders>
                    <w:top w:val="none" w:color="000000" w:sz="4"/>
                    <w:left w:val="single" w:color="000000" w:sz="4"/>
                    <w:bottom w:val="single" w:color="000000" w:sz="4"/>
                    <w:right w:val="single" w:color="000000" w:sz="4"/>
                  </w:tcBorders>
                  <w:vAlign w:val="top"/>
                </w:tcPr>
                <w:p>
                  <w:pPr>
                    <w:jc w:val="center"/>
                  </w:pPr>
                  <w:r>
                    <w:rPr>
                      <w:sz w:val="21"/>
                    </w:rPr>
                    <w:t>31</w:t>
                  </w:r>
                </w:p>
              </w:tc>
              <w:tc>
                <w:tcPr>
                  <w:tcW w:type="dxa" w:w="292"/>
                  <w:vMerge/>
                  <w:tcBorders>
                    <w:top w:val="none" w:color="000000" w:sz="4"/>
                    <w:left w:val="none" w:color="000000" w:sz="4"/>
                    <w:bottom w:val="single" w:color="000000" w:sz="4"/>
                    <w:right w:val="single" w:color="000000" w:sz="4"/>
                  </w:tcBorders>
                </w:tcPr>
                <w:p/>
              </w:tc>
              <w:tc>
                <w:tcPr>
                  <w:tcW w:type="dxa" w:w="935"/>
                  <w:tcBorders>
                    <w:top w:val="none" w:color="000000" w:sz="4"/>
                    <w:left w:val="none" w:color="000000" w:sz="4"/>
                    <w:bottom w:val="single" w:color="000000" w:sz="4"/>
                    <w:right w:val="single" w:color="000000" w:sz="4"/>
                  </w:tcBorders>
                </w:tcPr>
                <w:p>
                  <w:pPr>
                    <w:jc w:val="center"/>
                  </w:pPr>
                  <w:r>
                    <w:rPr>
                      <w:b/>
                      <w:sz w:val="21"/>
                    </w:rPr>
                    <w:t>系统数据库维护</w:t>
                  </w:r>
                </w:p>
              </w:tc>
              <w:tc>
                <w:tcPr>
                  <w:tcW w:type="dxa" w:w="2980"/>
                  <w:tcBorders>
                    <w:top w:val="none" w:color="000000" w:sz="4"/>
                    <w:left w:val="none" w:color="000000" w:sz="4"/>
                    <w:bottom w:val="single" w:color="000000" w:sz="4"/>
                    <w:right w:val="single" w:color="000000" w:sz="4"/>
                  </w:tcBorders>
                </w:tcPr>
                <w:p>
                  <w:pPr>
                    <w:jc w:val="both"/>
                  </w:pPr>
                  <w:r>
                    <w:rPr>
                      <w:sz w:val="21"/>
                    </w:rPr>
                    <w:t>保障系统使用的所有数据库稳定运行。根据系统运行情况进行数据库性能优化。根据用户方实际需求和中山市电子政务云服务平台的安排进行数据库部署或迁移。</w:t>
                  </w:r>
                </w:p>
              </w:tc>
              <w:tc>
                <w:tcPr>
                  <w:tcW w:type="dxa" w:w="526"/>
                  <w:tcBorders>
                    <w:top w:val="none" w:color="000000" w:sz="4"/>
                    <w:left w:val="none" w:color="000000" w:sz="4"/>
                    <w:bottom w:val="single" w:color="000000" w:sz="4"/>
                    <w:right w:val="single" w:color="000000" w:sz="4"/>
                  </w:tcBorders>
                </w:tcPr>
                <w:p>
                  <w:pPr>
                    <w:jc w:val="center"/>
                  </w:pPr>
                  <w:r>
                    <w:rPr>
                      <w:sz w:val="21"/>
                    </w:rPr>
                    <w:t>延续性运维</w:t>
                  </w:r>
                </w:p>
              </w:tc>
              <w:tc>
                <w:tcPr>
                  <w:tcW w:type="dxa" w:w="351"/>
                  <w:tcBorders>
                    <w:top w:val="none" w:color="000000" w:sz="4"/>
                    <w:left w:val="none" w:color="000000" w:sz="4"/>
                    <w:bottom w:val="single" w:color="000000" w:sz="4"/>
                    <w:right w:val="single" w:color="000000" w:sz="4"/>
                  </w:tcBorders>
                </w:tcPr>
                <w:p>
                  <w:pPr>
                    <w:jc w:val="center"/>
                  </w:pPr>
                </w:p>
              </w:tc>
            </w:tr>
            <w:tr>
              <w:tc>
                <w:tcPr>
                  <w:tcW w:type="dxa" w:w="467"/>
                  <w:tcBorders>
                    <w:top w:val="none" w:color="000000" w:sz="4"/>
                    <w:left w:val="single" w:color="000000" w:sz="4"/>
                    <w:bottom w:val="single" w:color="000000" w:sz="4"/>
                    <w:right w:val="single" w:color="000000" w:sz="4"/>
                  </w:tcBorders>
                  <w:vAlign w:val="top"/>
                </w:tcPr>
                <w:p>
                  <w:pPr>
                    <w:jc w:val="center"/>
                  </w:pPr>
                  <w:r>
                    <w:rPr>
                      <w:sz w:val="21"/>
                    </w:rPr>
                    <w:t>32</w:t>
                  </w:r>
                </w:p>
              </w:tc>
              <w:tc>
                <w:tcPr>
                  <w:tcW w:type="dxa" w:w="292"/>
                  <w:vMerge/>
                  <w:tcBorders>
                    <w:top w:val="none" w:color="000000" w:sz="4"/>
                    <w:left w:val="none" w:color="000000" w:sz="4"/>
                    <w:bottom w:val="single" w:color="000000" w:sz="4"/>
                    <w:right w:val="single" w:color="000000" w:sz="4"/>
                  </w:tcBorders>
                </w:tcPr>
                <w:p/>
              </w:tc>
              <w:tc>
                <w:tcPr>
                  <w:tcW w:type="dxa" w:w="935"/>
                  <w:tcBorders>
                    <w:top w:val="none" w:color="000000" w:sz="4"/>
                    <w:left w:val="none" w:color="000000" w:sz="4"/>
                    <w:bottom w:val="single" w:color="000000" w:sz="4"/>
                    <w:right w:val="single" w:color="000000" w:sz="4"/>
                  </w:tcBorders>
                </w:tcPr>
                <w:p>
                  <w:pPr>
                    <w:jc w:val="center"/>
                  </w:pPr>
                  <w:r>
                    <w:rPr>
                      <w:b/>
                      <w:sz w:val="21"/>
                    </w:rPr>
                    <w:t>系统间的接口运维</w:t>
                  </w:r>
                </w:p>
              </w:tc>
              <w:tc>
                <w:tcPr>
                  <w:tcW w:type="dxa" w:w="2980"/>
                  <w:tcBorders>
                    <w:top w:val="none" w:color="000000" w:sz="4"/>
                    <w:left w:val="none" w:color="000000" w:sz="4"/>
                    <w:bottom w:val="single" w:color="000000" w:sz="4"/>
                    <w:right w:val="single" w:color="000000" w:sz="4"/>
                  </w:tcBorders>
                </w:tcPr>
                <w:p>
                  <w:pPr>
                    <w:jc w:val="both"/>
                  </w:pPr>
                  <w:r>
                    <w:rPr>
                      <w:sz w:val="21"/>
                    </w:rPr>
                    <w:t>开展接口状态监测，接口对接故障排查与解决。对接的系统包括已对接的中山市国土空间基础信息平台、中山市电子证照系统、广东省统一身份认证平台、中山市统一申办受理平台、广东省土地管理与决策支持系统、中山市联合测绘信息平台、中山市自然资源档案系统、中山市住房和城乡建设管理信息系统、中山市项目落地协同审批平台、中山市自然资源局公示网站、中山市公文系统、三维方案上传接口、不动产登记业务管理系统、广东省统一电子印章平台、绿建电子签名、绿建CAD签章、税务局业务系统、广东政务服务好差评系统、移动短信、广东政务服务网、中山市公共资源交易中心等接口运维工作。</w:t>
                  </w:r>
                </w:p>
              </w:tc>
              <w:tc>
                <w:tcPr>
                  <w:tcW w:type="dxa" w:w="526"/>
                  <w:tcBorders>
                    <w:top w:val="none" w:color="000000" w:sz="4"/>
                    <w:left w:val="none" w:color="000000" w:sz="4"/>
                    <w:bottom w:val="single" w:color="000000" w:sz="4"/>
                    <w:right w:val="single" w:color="000000" w:sz="4"/>
                  </w:tcBorders>
                </w:tcPr>
                <w:p>
                  <w:pPr>
                    <w:jc w:val="center"/>
                  </w:pPr>
                  <w:r>
                    <w:rPr>
                      <w:sz w:val="21"/>
                    </w:rPr>
                    <w:t>延续性运维</w:t>
                  </w:r>
                </w:p>
              </w:tc>
              <w:tc>
                <w:tcPr>
                  <w:tcW w:type="dxa" w:w="351"/>
                  <w:tcBorders>
                    <w:top w:val="none" w:color="000000" w:sz="4"/>
                    <w:left w:val="none" w:color="000000" w:sz="4"/>
                    <w:bottom w:val="single" w:color="000000" w:sz="4"/>
                    <w:right w:val="single" w:color="000000" w:sz="4"/>
                  </w:tcBorders>
                </w:tcPr>
                <w:p>
                  <w:pPr>
                    <w:jc w:val="center"/>
                  </w:pPr>
                </w:p>
              </w:tc>
            </w:tr>
            <w:tr>
              <w:tc>
                <w:tcPr>
                  <w:tcW w:type="dxa" w:w="467"/>
                  <w:tcBorders>
                    <w:top w:val="none" w:color="000000" w:sz="4"/>
                    <w:left w:val="single" w:color="000000" w:sz="4"/>
                    <w:bottom w:val="single" w:color="000000" w:sz="4"/>
                    <w:right w:val="single" w:color="000000" w:sz="4"/>
                  </w:tcBorders>
                  <w:vAlign w:val="top"/>
                </w:tcPr>
                <w:p>
                  <w:pPr>
                    <w:jc w:val="center"/>
                  </w:pPr>
                  <w:r>
                    <w:rPr>
                      <w:sz w:val="21"/>
                    </w:rPr>
                    <w:t>33</w:t>
                  </w:r>
                </w:p>
              </w:tc>
              <w:tc>
                <w:tcPr>
                  <w:tcW w:type="dxa" w:w="292"/>
                  <w:vMerge/>
                  <w:tcBorders>
                    <w:top w:val="none" w:color="000000" w:sz="4"/>
                    <w:left w:val="none" w:color="000000" w:sz="4"/>
                    <w:bottom w:val="single" w:color="000000" w:sz="4"/>
                    <w:right w:val="single" w:color="000000" w:sz="4"/>
                  </w:tcBorders>
                </w:tcPr>
                <w:p/>
              </w:tc>
              <w:tc>
                <w:tcPr>
                  <w:tcW w:type="dxa" w:w="935"/>
                  <w:tcBorders>
                    <w:top w:val="none" w:color="000000" w:sz="4"/>
                    <w:left w:val="none" w:color="000000" w:sz="4"/>
                    <w:bottom w:val="single" w:color="000000" w:sz="4"/>
                    <w:right w:val="single" w:color="000000" w:sz="4"/>
                  </w:tcBorders>
                </w:tcPr>
                <w:p>
                  <w:pPr>
                    <w:jc w:val="center"/>
                  </w:pPr>
                  <w:r>
                    <w:rPr>
                      <w:b/>
                      <w:sz w:val="21"/>
                    </w:rPr>
                    <w:t>与中山市政务数据交换中心交换</w:t>
                  </w:r>
                </w:p>
              </w:tc>
              <w:tc>
                <w:tcPr>
                  <w:tcW w:type="dxa" w:w="2980"/>
                  <w:tcBorders>
                    <w:top w:val="none" w:color="000000" w:sz="4"/>
                    <w:left w:val="none" w:color="000000" w:sz="4"/>
                    <w:bottom w:val="single" w:color="000000" w:sz="4"/>
                    <w:right w:val="single" w:color="000000" w:sz="4"/>
                  </w:tcBorders>
                </w:tcPr>
                <w:p>
                  <w:pPr>
                    <w:jc w:val="both"/>
                  </w:pPr>
                  <w:r>
                    <w:rPr>
                      <w:sz w:val="21"/>
                    </w:rPr>
                    <w:t>按照中山市政务信息资源共享接口技术规范，开发专用的数据交换程序实现系统数据与市政务数据交换中心的双向交换。数据交换目录、字段和频率以用户单位确定为准，并可根据数据共享需求和省市大数据普查工作的要求进行配置调整。</w:t>
                  </w:r>
                </w:p>
              </w:tc>
              <w:tc>
                <w:tcPr>
                  <w:tcW w:type="dxa" w:w="526"/>
                  <w:tcBorders>
                    <w:top w:val="none" w:color="000000" w:sz="4"/>
                    <w:left w:val="none" w:color="000000" w:sz="4"/>
                    <w:bottom w:val="single" w:color="000000" w:sz="4"/>
                    <w:right w:val="single" w:color="000000" w:sz="4"/>
                  </w:tcBorders>
                </w:tcPr>
                <w:p>
                  <w:pPr>
                    <w:jc w:val="center"/>
                  </w:pPr>
                  <w:r>
                    <w:rPr>
                      <w:sz w:val="21"/>
                    </w:rPr>
                    <w:t>延续性运维</w:t>
                  </w:r>
                </w:p>
              </w:tc>
              <w:tc>
                <w:tcPr>
                  <w:tcW w:type="dxa" w:w="351"/>
                  <w:tcBorders>
                    <w:top w:val="none" w:color="000000" w:sz="4"/>
                    <w:left w:val="none" w:color="000000" w:sz="4"/>
                    <w:bottom w:val="single" w:color="000000" w:sz="4"/>
                    <w:right w:val="single" w:color="000000" w:sz="4"/>
                  </w:tcBorders>
                </w:tcPr>
                <w:p>
                  <w:pPr>
                    <w:jc w:val="center"/>
                  </w:pPr>
                </w:p>
              </w:tc>
            </w:tr>
            <w:tr>
              <w:tc>
                <w:tcPr>
                  <w:tcW w:type="dxa" w:w="467"/>
                  <w:tcBorders>
                    <w:top w:val="none" w:color="000000" w:sz="4"/>
                    <w:left w:val="single" w:color="000000" w:sz="4"/>
                    <w:bottom w:val="single" w:color="000000" w:sz="4"/>
                    <w:right w:val="single" w:color="000000" w:sz="4"/>
                  </w:tcBorders>
                  <w:vAlign w:val="top"/>
                </w:tcPr>
                <w:p>
                  <w:pPr>
                    <w:jc w:val="center"/>
                  </w:pPr>
                  <w:r>
                    <w:rPr>
                      <w:sz w:val="21"/>
                    </w:rPr>
                    <w:t>34</w:t>
                  </w:r>
                </w:p>
              </w:tc>
              <w:tc>
                <w:tcPr>
                  <w:tcW w:type="dxa" w:w="292"/>
                  <w:vMerge/>
                  <w:tcBorders>
                    <w:top w:val="none" w:color="000000" w:sz="4"/>
                    <w:left w:val="none" w:color="000000" w:sz="4"/>
                    <w:bottom w:val="single" w:color="000000" w:sz="4"/>
                    <w:right w:val="single" w:color="000000" w:sz="4"/>
                  </w:tcBorders>
                </w:tcPr>
                <w:p/>
              </w:tc>
              <w:tc>
                <w:tcPr>
                  <w:tcW w:type="dxa" w:w="935"/>
                  <w:tcBorders>
                    <w:top w:val="none" w:color="000000" w:sz="4"/>
                    <w:left w:val="none" w:color="000000" w:sz="4"/>
                    <w:bottom w:val="single" w:color="000000" w:sz="4"/>
                    <w:right w:val="single" w:color="000000" w:sz="4"/>
                  </w:tcBorders>
                </w:tcPr>
                <w:p>
                  <w:pPr>
                    <w:jc w:val="center"/>
                  </w:pPr>
                  <w:r>
                    <w:rPr>
                      <w:b/>
                      <w:sz w:val="21"/>
                    </w:rPr>
                    <w:t>应用软件业务定制服务</w:t>
                  </w:r>
                </w:p>
              </w:tc>
              <w:tc>
                <w:tcPr>
                  <w:tcW w:type="dxa" w:w="2980"/>
                  <w:tcBorders>
                    <w:top w:val="none" w:color="000000" w:sz="4"/>
                    <w:left w:val="none" w:color="000000" w:sz="4"/>
                    <w:bottom w:val="single" w:color="000000" w:sz="4"/>
                    <w:right w:val="single" w:color="000000" w:sz="4"/>
                  </w:tcBorders>
                </w:tcPr>
                <w:p>
                  <w:pPr>
                    <w:jc w:val="both"/>
                  </w:pPr>
                  <w:r>
                    <w:rPr>
                      <w:sz w:val="21"/>
                    </w:rPr>
                    <w:t>根据业务需求对系统进行适应性改造和系统功能完善，包括调整工作权限，调整打印模板等。</w:t>
                  </w:r>
                </w:p>
              </w:tc>
              <w:tc>
                <w:tcPr>
                  <w:tcW w:type="dxa" w:w="526"/>
                  <w:tcBorders>
                    <w:top w:val="none" w:color="000000" w:sz="4"/>
                    <w:left w:val="none" w:color="000000" w:sz="4"/>
                    <w:bottom w:val="single" w:color="000000" w:sz="4"/>
                    <w:right w:val="single" w:color="000000" w:sz="4"/>
                  </w:tcBorders>
                </w:tcPr>
                <w:p>
                  <w:pPr>
                    <w:jc w:val="center"/>
                  </w:pPr>
                  <w:r>
                    <w:rPr>
                      <w:sz w:val="21"/>
                    </w:rPr>
                    <w:t>延续性运维</w:t>
                  </w:r>
                </w:p>
              </w:tc>
              <w:tc>
                <w:tcPr>
                  <w:tcW w:type="dxa" w:w="351"/>
                  <w:tcBorders>
                    <w:top w:val="none" w:color="000000" w:sz="4"/>
                    <w:left w:val="none" w:color="000000" w:sz="4"/>
                    <w:bottom w:val="single" w:color="000000" w:sz="4"/>
                    <w:right w:val="single" w:color="000000" w:sz="4"/>
                  </w:tcBorders>
                </w:tcPr>
                <w:p>
                  <w:pPr>
                    <w:jc w:val="center"/>
                  </w:pPr>
                </w:p>
              </w:tc>
            </w:tr>
            <w:tr>
              <w:tc>
                <w:tcPr>
                  <w:tcW w:type="dxa" w:w="467"/>
                  <w:tcBorders>
                    <w:top w:val="none" w:color="000000" w:sz="4"/>
                    <w:left w:val="single" w:color="000000" w:sz="4"/>
                    <w:bottom w:val="single" w:color="000000" w:sz="4"/>
                    <w:right w:val="single" w:color="000000" w:sz="4"/>
                  </w:tcBorders>
                  <w:vAlign w:val="top"/>
                </w:tcPr>
                <w:p>
                  <w:pPr>
                    <w:jc w:val="center"/>
                  </w:pPr>
                  <w:r>
                    <w:rPr>
                      <w:sz w:val="21"/>
                    </w:rPr>
                    <w:t>35</w:t>
                  </w:r>
                </w:p>
              </w:tc>
              <w:tc>
                <w:tcPr>
                  <w:tcW w:type="dxa" w:w="292"/>
                  <w:vMerge/>
                  <w:tcBorders>
                    <w:top w:val="none" w:color="000000" w:sz="4"/>
                    <w:left w:val="none" w:color="000000" w:sz="4"/>
                    <w:bottom w:val="single" w:color="000000" w:sz="4"/>
                    <w:right w:val="single" w:color="000000" w:sz="4"/>
                  </w:tcBorders>
                </w:tcPr>
                <w:p/>
              </w:tc>
              <w:tc>
                <w:tcPr>
                  <w:tcW w:type="dxa" w:w="935"/>
                  <w:tcBorders>
                    <w:top w:val="none" w:color="000000" w:sz="4"/>
                    <w:left w:val="none" w:color="000000" w:sz="4"/>
                    <w:bottom w:val="single" w:color="000000" w:sz="4"/>
                    <w:right w:val="single" w:color="000000" w:sz="4"/>
                  </w:tcBorders>
                </w:tcPr>
                <w:p>
                  <w:pPr>
                    <w:jc w:val="center"/>
                  </w:pPr>
                  <w:r>
                    <w:rPr>
                      <w:b/>
                      <w:sz w:val="21"/>
                    </w:rPr>
                    <w:t>提供快速运维工具</w:t>
                  </w:r>
                </w:p>
              </w:tc>
              <w:tc>
                <w:tcPr>
                  <w:tcW w:type="dxa" w:w="2980"/>
                  <w:tcBorders>
                    <w:top w:val="none" w:color="000000" w:sz="4"/>
                    <w:left w:val="none" w:color="000000" w:sz="4"/>
                    <w:bottom w:val="single" w:color="000000" w:sz="4"/>
                    <w:right w:val="single" w:color="000000" w:sz="4"/>
                  </w:tcBorders>
                </w:tcPr>
                <w:p>
                  <w:pPr>
                    <w:jc w:val="both"/>
                  </w:pPr>
                  <w:r>
                    <w:rPr>
                      <w:sz w:val="21"/>
                    </w:rPr>
                    <w:t>提供易于使用的快速运维工具和对应培训服务，中山市自然资源局技术人员及业务科室管理人员可使用运维工具进行系统常用运维操作，如人员权限调整、业务流程调整、业务打印材料模板更新等。</w:t>
                  </w:r>
                </w:p>
              </w:tc>
              <w:tc>
                <w:tcPr>
                  <w:tcW w:type="dxa" w:w="526"/>
                  <w:tcBorders>
                    <w:top w:val="none" w:color="000000" w:sz="4"/>
                    <w:left w:val="none" w:color="000000" w:sz="4"/>
                    <w:bottom w:val="single" w:color="000000" w:sz="4"/>
                    <w:right w:val="single" w:color="000000" w:sz="4"/>
                  </w:tcBorders>
                </w:tcPr>
                <w:p>
                  <w:pPr>
                    <w:jc w:val="center"/>
                  </w:pPr>
                  <w:r>
                    <w:rPr>
                      <w:sz w:val="21"/>
                    </w:rPr>
                    <w:t>新增运维</w:t>
                  </w:r>
                </w:p>
              </w:tc>
              <w:tc>
                <w:tcPr>
                  <w:tcW w:type="dxa" w:w="351"/>
                  <w:tcBorders>
                    <w:top w:val="none" w:color="000000" w:sz="4"/>
                    <w:left w:val="none" w:color="000000" w:sz="4"/>
                    <w:bottom w:val="single" w:color="000000" w:sz="4"/>
                    <w:right w:val="single" w:color="000000" w:sz="4"/>
                  </w:tcBorders>
                </w:tcPr>
                <w:p>
                  <w:pPr>
                    <w:jc w:val="center"/>
                  </w:pPr>
                </w:p>
              </w:tc>
            </w:tr>
            <w:tr>
              <w:tc>
                <w:tcPr>
                  <w:tcW w:type="dxa" w:w="467"/>
                  <w:tcBorders>
                    <w:top w:val="none" w:color="000000" w:sz="4"/>
                    <w:left w:val="single" w:color="000000" w:sz="4"/>
                    <w:bottom w:val="single" w:color="000000" w:sz="4"/>
                    <w:right w:val="single" w:color="000000" w:sz="4"/>
                  </w:tcBorders>
                  <w:vAlign w:val="top"/>
                </w:tcPr>
                <w:p>
                  <w:pPr>
                    <w:jc w:val="center"/>
                  </w:pPr>
                  <w:r>
                    <w:rPr>
                      <w:sz w:val="21"/>
                    </w:rPr>
                    <w:t>36</w:t>
                  </w:r>
                </w:p>
              </w:tc>
              <w:tc>
                <w:tcPr>
                  <w:tcW w:type="dxa" w:w="292"/>
                  <w:vMerge w:val="restart"/>
                  <w:tcBorders>
                    <w:top w:val="none" w:color="000000" w:sz="4"/>
                    <w:left w:val="none" w:color="000000" w:sz="4"/>
                    <w:bottom w:val="single" w:color="000000" w:sz="4"/>
                    <w:right w:val="single" w:color="000000" w:sz="4"/>
                  </w:tcBorders>
                </w:tcPr>
                <w:p>
                  <w:pPr>
                    <w:jc w:val="center"/>
                  </w:pPr>
                  <w:r>
                    <w:rPr>
                      <w:b/>
                      <w:sz w:val="21"/>
                    </w:rPr>
                    <w:t>系统性能优化</w:t>
                  </w:r>
                </w:p>
              </w:tc>
              <w:tc>
                <w:tcPr>
                  <w:tcW w:type="dxa" w:w="935"/>
                  <w:tcBorders>
                    <w:top w:val="none" w:color="000000" w:sz="4"/>
                    <w:left w:val="none" w:color="000000" w:sz="4"/>
                    <w:bottom w:val="single" w:color="000000" w:sz="4"/>
                    <w:right w:val="single" w:color="000000" w:sz="4"/>
                  </w:tcBorders>
                </w:tcPr>
                <w:p>
                  <w:pPr>
                    <w:jc w:val="center"/>
                  </w:pPr>
                  <w:r>
                    <w:rPr>
                      <w:b/>
                      <w:sz w:val="21"/>
                    </w:rPr>
                    <w:t>系统性能提升</w:t>
                  </w:r>
                </w:p>
              </w:tc>
              <w:tc>
                <w:tcPr>
                  <w:tcW w:type="dxa" w:w="2980"/>
                  <w:tcBorders>
                    <w:top w:val="none" w:color="000000" w:sz="4"/>
                    <w:left w:val="none" w:color="000000" w:sz="4"/>
                    <w:bottom w:val="single" w:color="000000" w:sz="4"/>
                    <w:right w:val="single" w:color="000000" w:sz="4"/>
                  </w:tcBorders>
                </w:tcPr>
                <w:p>
                  <w:pPr>
                    <w:jc w:val="both"/>
                  </w:pPr>
                  <w:r>
                    <w:rPr>
                      <w:sz w:val="21"/>
                    </w:rPr>
                    <w:t>根据系统实际运行情况，采取优化负载均衡、优化数据库设计和访问方法，进行数据分离、数据优化、代码适应性优化和系统运行环境优化，提高系统运行效率。</w:t>
                  </w:r>
                </w:p>
              </w:tc>
              <w:tc>
                <w:tcPr>
                  <w:tcW w:type="dxa" w:w="526"/>
                  <w:tcBorders>
                    <w:top w:val="none" w:color="000000" w:sz="4"/>
                    <w:left w:val="none" w:color="000000" w:sz="4"/>
                    <w:bottom w:val="single" w:color="000000" w:sz="4"/>
                    <w:right w:val="single" w:color="000000" w:sz="4"/>
                  </w:tcBorders>
                </w:tcPr>
                <w:p>
                  <w:pPr>
                    <w:jc w:val="center"/>
                  </w:pPr>
                  <w:r>
                    <w:rPr>
                      <w:sz w:val="21"/>
                    </w:rPr>
                    <w:t>延续性运维</w:t>
                  </w:r>
                </w:p>
              </w:tc>
              <w:tc>
                <w:tcPr>
                  <w:tcW w:type="dxa" w:w="351"/>
                  <w:tcBorders>
                    <w:top w:val="none" w:color="000000" w:sz="4"/>
                    <w:left w:val="none" w:color="000000" w:sz="4"/>
                    <w:bottom w:val="single" w:color="000000" w:sz="4"/>
                    <w:right w:val="single" w:color="000000" w:sz="4"/>
                  </w:tcBorders>
                </w:tcPr>
                <w:p>
                  <w:pPr>
                    <w:jc w:val="center"/>
                  </w:pPr>
                </w:p>
              </w:tc>
            </w:tr>
            <w:tr>
              <w:tc>
                <w:tcPr>
                  <w:tcW w:type="dxa" w:w="467"/>
                  <w:tcBorders>
                    <w:top w:val="none" w:color="000000" w:sz="4"/>
                    <w:left w:val="single" w:color="000000" w:sz="4"/>
                    <w:bottom w:val="single" w:color="000000" w:sz="4"/>
                    <w:right w:val="single" w:color="000000" w:sz="4"/>
                  </w:tcBorders>
                  <w:vAlign w:val="top"/>
                </w:tcPr>
                <w:p>
                  <w:pPr>
                    <w:jc w:val="center"/>
                  </w:pPr>
                  <w:r>
                    <w:rPr>
                      <w:sz w:val="21"/>
                    </w:rPr>
                    <w:t>37</w:t>
                  </w:r>
                </w:p>
              </w:tc>
              <w:tc>
                <w:tcPr>
                  <w:tcW w:type="dxa" w:w="292"/>
                  <w:vMerge/>
                  <w:tcBorders>
                    <w:top w:val="none" w:color="000000" w:sz="4"/>
                    <w:left w:val="none" w:color="000000" w:sz="4"/>
                    <w:bottom w:val="single" w:color="000000" w:sz="4"/>
                    <w:right w:val="single" w:color="000000" w:sz="4"/>
                  </w:tcBorders>
                </w:tcPr>
                <w:p/>
              </w:tc>
              <w:tc>
                <w:tcPr>
                  <w:tcW w:type="dxa" w:w="935"/>
                  <w:tcBorders>
                    <w:top w:val="none" w:color="000000" w:sz="4"/>
                    <w:left w:val="none" w:color="000000" w:sz="4"/>
                    <w:bottom w:val="single" w:color="000000" w:sz="4"/>
                    <w:right w:val="single" w:color="000000" w:sz="4"/>
                  </w:tcBorders>
                </w:tcPr>
                <w:p>
                  <w:pPr>
                    <w:jc w:val="center"/>
                  </w:pPr>
                  <w:r>
                    <w:rPr>
                      <w:b/>
                      <w:sz w:val="21"/>
                    </w:rPr>
                    <w:t>系统稳定性提升</w:t>
                  </w:r>
                </w:p>
              </w:tc>
              <w:tc>
                <w:tcPr>
                  <w:tcW w:type="dxa" w:w="2980"/>
                  <w:tcBorders>
                    <w:top w:val="none" w:color="000000" w:sz="4"/>
                    <w:left w:val="none" w:color="000000" w:sz="4"/>
                    <w:bottom w:val="single" w:color="000000" w:sz="4"/>
                    <w:right w:val="single" w:color="000000" w:sz="4"/>
                  </w:tcBorders>
                </w:tcPr>
                <w:p>
                  <w:pPr>
                    <w:jc w:val="both"/>
                  </w:pPr>
                  <w:r>
                    <w:rPr>
                      <w:sz w:val="21"/>
                    </w:rPr>
                    <w:t>采用优化负载均衡、优化数据库设计和访问方法、优化附件文件存储或采用文件数据库，对服务器各类资源和服务进行实时监控，出现故障苗头时提前预警，提前介入快速处理。</w:t>
                  </w:r>
                </w:p>
              </w:tc>
              <w:tc>
                <w:tcPr>
                  <w:tcW w:type="dxa" w:w="526"/>
                  <w:tcBorders>
                    <w:top w:val="none" w:color="000000" w:sz="4"/>
                    <w:left w:val="none" w:color="000000" w:sz="4"/>
                    <w:bottom w:val="single" w:color="000000" w:sz="4"/>
                    <w:right w:val="single" w:color="000000" w:sz="4"/>
                  </w:tcBorders>
                </w:tcPr>
                <w:p>
                  <w:pPr>
                    <w:jc w:val="center"/>
                  </w:pPr>
                  <w:r>
                    <w:rPr>
                      <w:sz w:val="21"/>
                    </w:rPr>
                    <w:t>延续性运维</w:t>
                  </w:r>
                </w:p>
              </w:tc>
              <w:tc>
                <w:tcPr>
                  <w:tcW w:type="dxa" w:w="351"/>
                  <w:tcBorders>
                    <w:top w:val="none" w:color="000000" w:sz="4"/>
                    <w:left w:val="none" w:color="000000" w:sz="4"/>
                    <w:bottom w:val="single" w:color="000000" w:sz="4"/>
                    <w:right w:val="single" w:color="000000" w:sz="4"/>
                  </w:tcBorders>
                </w:tcPr>
                <w:p>
                  <w:pPr>
                    <w:jc w:val="center"/>
                  </w:pPr>
                </w:p>
              </w:tc>
            </w:tr>
            <w:tr>
              <w:tc>
                <w:tcPr>
                  <w:tcW w:type="dxa" w:w="467"/>
                  <w:tcBorders>
                    <w:top w:val="none" w:color="000000" w:sz="4"/>
                    <w:left w:val="single" w:color="000000" w:sz="4"/>
                    <w:bottom w:val="single" w:color="000000" w:sz="4"/>
                    <w:right w:val="single" w:color="000000" w:sz="4"/>
                  </w:tcBorders>
                  <w:vAlign w:val="top"/>
                </w:tcPr>
                <w:p>
                  <w:pPr>
                    <w:jc w:val="center"/>
                  </w:pPr>
                  <w:r>
                    <w:rPr>
                      <w:sz w:val="21"/>
                    </w:rPr>
                    <w:t>38</w:t>
                  </w:r>
                </w:p>
              </w:tc>
              <w:tc>
                <w:tcPr>
                  <w:tcW w:type="dxa" w:w="292"/>
                  <w:vMerge w:val="restart"/>
                  <w:tcBorders>
                    <w:top w:val="none" w:color="000000" w:sz="4"/>
                    <w:left w:val="none" w:color="000000" w:sz="4"/>
                    <w:bottom w:val="single" w:color="000000" w:sz="4"/>
                    <w:right w:val="single" w:color="000000" w:sz="4"/>
                  </w:tcBorders>
                </w:tcPr>
                <w:p>
                  <w:pPr>
                    <w:jc w:val="center"/>
                  </w:pPr>
                  <w:r>
                    <w:rPr>
                      <w:b/>
                      <w:sz w:val="21"/>
                    </w:rPr>
                    <w:t>技术指导和操作咨询</w:t>
                  </w:r>
                </w:p>
              </w:tc>
              <w:tc>
                <w:tcPr>
                  <w:tcW w:type="dxa" w:w="935"/>
                  <w:tcBorders>
                    <w:top w:val="none" w:color="000000" w:sz="4"/>
                    <w:left w:val="none" w:color="000000" w:sz="4"/>
                    <w:bottom w:val="single" w:color="000000" w:sz="4"/>
                    <w:right w:val="single" w:color="000000" w:sz="4"/>
                  </w:tcBorders>
                </w:tcPr>
                <w:p>
                  <w:pPr>
                    <w:jc w:val="center"/>
                  </w:pPr>
                  <w:r>
                    <w:rPr>
                      <w:b/>
                      <w:sz w:val="21"/>
                    </w:rPr>
                    <w:t>软件系统技术支持服务</w:t>
                  </w:r>
                </w:p>
              </w:tc>
              <w:tc>
                <w:tcPr>
                  <w:tcW w:type="dxa" w:w="2980"/>
                  <w:tcBorders>
                    <w:top w:val="none" w:color="000000" w:sz="4"/>
                    <w:left w:val="none" w:color="000000" w:sz="4"/>
                    <w:bottom w:val="single" w:color="000000" w:sz="4"/>
                    <w:right w:val="single" w:color="000000" w:sz="4"/>
                  </w:tcBorders>
                </w:tcPr>
                <w:p>
                  <w:pPr>
                    <w:jc w:val="both"/>
                  </w:pPr>
                  <w:r>
                    <w:rPr>
                      <w:sz w:val="21"/>
                    </w:rPr>
                    <w:t>提供技术服务支持，根据中山市自然资源局的要求，进行系统技术文档维护、报表定制、数据统计、制作统计报表、协助编写技术文档、提供系统操作咨询等相关工作，保证系统软件的正常运行，提供必要的技术指导与配合，提高运维效率和成效。</w:t>
                  </w:r>
                </w:p>
              </w:tc>
              <w:tc>
                <w:tcPr>
                  <w:tcW w:type="dxa" w:w="526"/>
                  <w:tcBorders>
                    <w:top w:val="none" w:color="000000" w:sz="4"/>
                    <w:left w:val="none" w:color="000000" w:sz="4"/>
                    <w:bottom w:val="single" w:color="000000" w:sz="4"/>
                    <w:right w:val="single" w:color="000000" w:sz="4"/>
                  </w:tcBorders>
                </w:tcPr>
                <w:p>
                  <w:pPr>
                    <w:jc w:val="center"/>
                  </w:pPr>
                  <w:r>
                    <w:rPr>
                      <w:sz w:val="21"/>
                    </w:rPr>
                    <w:t>延续性运维</w:t>
                  </w:r>
                </w:p>
              </w:tc>
              <w:tc>
                <w:tcPr>
                  <w:tcW w:type="dxa" w:w="351"/>
                  <w:tcBorders>
                    <w:top w:val="none" w:color="000000" w:sz="4"/>
                    <w:left w:val="none" w:color="000000" w:sz="4"/>
                    <w:bottom w:val="single" w:color="000000" w:sz="4"/>
                    <w:right w:val="single" w:color="000000" w:sz="4"/>
                  </w:tcBorders>
                </w:tcPr>
                <w:p>
                  <w:pPr>
                    <w:jc w:val="center"/>
                  </w:pPr>
                </w:p>
              </w:tc>
            </w:tr>
            <w:tr>
              <w:tc>
                <w:tcPr>
                  <w:tcW w:type="dxa" w:w="467"/>
                  <w:tcBorders>
                    <w:top w:val="none" w:color="000000" w:sz="4"/>
                    <w:left w:val="single" w:color="000000" w:sz="4"/>
                    <w:bottom w:val="single" w:color="000000" w:sz="4"/>
                    <w:right w:val="single" w:color="000000" w:sz="4"/>
                  </w:tcBorders>
                  <w:vAlign w:val="top"/>
                </w:tcPr>
                <w:p>
                  <w:pPr>
                    <w:jc w:val="center"/>
                  </w:pPr>
                  <w:r>
                    <w:rPr>
                      <w:sz w:val="21"/>
                    </w:rPr>
                    <w:t>39</w:t>
                  </w:r>
                </w:p>
              </w:tc>
              <w:tc>
                <w:tcPr>
                  <w:tcW w:type="dxa" w:w="292"/>
                  <w:vMerge/>
                  <w:tcBorders>
                    <w:top w:val="none" w:color="000000" w:sz="4"/>
                    <w:left w:val="none" w:color="000000" w:sz="4"/>
                    <w:bottom w:val="single" w:color="000000" w:sz="4"/>
                    <w:right w:val="single" w:color="000000" w:sz="4"/>
                  </w:tcBorders>
                </w:tcPr>
                <w:p/>
              </w:tc>
              <w:tc>
                <w:tcPr>
                  <w:tcW w:type="dxa" w:w="935"/>
                  <w:tcBorders>
                    <w:top w:val="none" w:color="000000" w:sz="4"/>
                    <w:left w:val="none" w:color="000000" w:sz="4"/>
                    <w:bottom w:val="single" w:color="000000" w:sz="4"/>
                    <w:right w:val="single" w:color="000000" w:sz="4"/>
                  </w:tcBorders>
                </w:tcPr>
                <w:p>
                  <w:pPr>
                    <w:jc w:val="center"/>
                  </w:pPr>
                  <w:r>
                    <w:rPr>
                      <w:b/>
                      <w:sz w:val="21"/>
                    </w:rPr>
                    <w:t>系统运维培训</w:t>
                  </w:r>
                </w:p>
              </w:tc>
              <w:tc>
                <w:tcPr>
                  <w:tcW w:type="dxa" w:w="2980"/>
                  <w:tcBorders>
                    <w:top w:val="none" w:color="000000" w:sz="4"/>
                    <w:left w:val="none" w:color="000000" w:sz="4"/>
                    <w:bottom w:val="single" w:color="000000" w:sz="4"/>
                    <w:right w:val="single" w:color="000000" w:sz="4"/>
                  </w:tcBorders>
                </w:tcPr>
                <w:p>
                  <w:pPr>
                    <w:jc w:val="both"/>
                  </w:pPr>
                  <w:r>
                    <w:rPr>
                      <w:sz w:val="21"/>
                    </w:rPr>
                    <w:t>定期举办系统培训会，安排专业技术人员，为业务工作人员提供完备、全面的系统培训，包括系统使用、系统维护管理、系统安装等方面培训内容；加强对各处室和下属单位工作人员的系统应用技术培训，提高平台的运维管理队伍的信息技术应用水平。</w:t>
                  </w:r>
                </w:p>
              </w:tc>
              <w:tc>
                <w:tcPr>
                  <w:tcW w:type="dxa" w:w="526"/>
                  <w:tcBorders>
                    <w:top w:val="none" w:color="000000" w:sz="4"/>
                    <w:left w:val="none" w:color="000000" w:sz="4"/>
                    <w:bottom w:val="single" w:color="000000" w:sz="4"/>
                    <w:right w:val="single" w:color="000000" w:sz="4"/>
                  </w:tcBorders>
                </w:tcPr>
                <w:p>
                  <w:pPr>
                    <w:jc w:val="center"/>
                  </w:pPr>
                  <w:r>
                    <w:rPr>
                      <w:sz w:val="21"/>
                    </w:rPr>
                    <w:t>延续性运维</w:t>
                  </w:r>
                </w:p>
              </w:tc>
              <w:tc>
                <w:tcPr>
                  <w:tcW w:type="dxa" w:w="351"/>
                  <w:tcBorders>
                    <w:top w:val="none" w:color="000000" w:sz="4"/>
                    <w:left w:val="none" w:color="000000" w:sz="4"/>
                    <w:bottom w:val="single" w:color="000000" w:sz="4"/>
                    <w:right w:val="single" w:color="000000" w:sz="4"/>
                  </w:tcBorders>
                </w:tcPr>
                <w:p>
                  <w:pPr>
                    <w:jc w:val="center"/>
                  </w:pPr>
                </w:p>
              </w:tc>
            </w:tr>
          </w:tbl>
          <w:p>
            <w:r>
              <w:rPr/>
              <w:t xml:space="preserve"> </w:t>
            </w:r>
          </w:p>
          <w:p>
            <w:pPr>
              <w:jc w:val="both"/>
            </w:pPr>
            <w:r>
              <w:rPr>
                <w:b/>
                <w:sz w:val="21"/>
              </w:rPr>
              <w:t>3.2.1.2.</w:t>
            </w:r>
            <w:r>
              <w:rPr>
                <w:b/>
                <w:sz w:val="21"/>
              </w:rPr>
              <w:t>网络与信息安全运维</w:t>
            </w:r>
          </w:p>
          <w:tbl>
            <w:tblPr>
              <w:tblBorders>
                <w:top w:val="none" w:color="000000" w:sz="4"/>
                <w:left w:val="none" w:color="000000" w:sz="4"/>
                <w:bottom w:val="none" w:color="000000" w:sz="4"/>
                <w:right w:val="none" w:color="000000" w:sz="4"/>
                <w:insideH w:val="none"/>
                <w:insideV w:val="none"/>
              </w:tblBorders>
            </w:tblPr>
            <w:tblGrid>
              <w:gridCol w:w="346"/>
              <w:gridCol w:w="404"/>
              <w:gridCol w:w="577"/>
              <w:gridCol w:w="3116"/>
              <w:gridCol w:w="750"/>
              <w:gridCol w:w="404"/>
            </w:tblGrid>
            <w:tr>
              <w:tc>
                <w:tcPr>
                  <w:tcW w:type="dxa" w:w="346"/>
                  <w:tcBorders>
                    <w:top w:val="single" w:color="000000" w:sz="4"/>
                    <w:left w:val="single" w:color="000000" w:sz="4"/>
                    <w:bottom w:val="single" w:color="000000" w:sz="4"/>
                    <w:right w:val="single" w:color="000000" w:sz="4"/>
                  </w:tcBorders>
                </w:tcPr>
                <w:p>
                  <w:pPr>
                    <w:jc w:val="center"/>
                  </w:pPr>
                  <w:r>
                    <w:rPr>
                      <w:b/>
                      <w:sz w:val="21"/>
                    </w:rPr>
                    <w:t>序号</w:t>
                  </w:r>
                </w:p>
              </w:tc>
              <w:tc>
                <w:tcPr>
                  <w:tcW w:type="dxa" w:w="981"/>
                  <w:gridSpan w:val="2"/>
                  <w:tcBorders>
                    <w:top w:val="single" w:color="000000" w:sz="4"/>
                    <w:left w:val="none" w:color="000000" w:sz="4"/>
                    <w:bottom w:val="single" w:color="000000" w:sz="4"/>
                    <w:right w:val="single" w:color="000000" w:sz="4"/>
                  </w:tcBorders>
                </w:tcPr>
                <w:p>
                  <w:pPr>
                    <w:jc w:val="center"/>
                  </w:pPr>
                  <w:r>
                    <w:rPr>
                      <w:b/>
                      <w:sz w:val="21"/>
                    </w:rPr>
                    <w:t>服务事项</w:t>
                  </w:r>
                </w:p>
              </w:tc>
              <w:tc>
                <w:tcPr>
                  <w:tcW w:type="dxa" w:w="3116"/>
                  <w:tcBorders>
                    <w:top w:val="single" w:color="000000" w:sz="4"/>
                    <w:left w:val="none" w:color="000000" w:sz="4"/>
                    <w:bottom w:val="single" w:color="000000" w:sz="4"/>
                    <w:right w:val="single" w:color="000000" w:sz="4"/>
                  </w:tcBorders>
                </w:tcPr>
                <w:p>
                  <w:pPr>
                    <w:jc w:val="center"/>
                  </w:pPr>
                  <w:r>
                    <w:rPr>
                      <w:b/>
                      <w:sz w:val="21"/>
                    </w:rPr>
                    <w:t>具体服务内容</w:t>
                  </w:r>
                </w:p>
              </w:tc>
              <w:tc>
                <w:tcPr>
                  <w:tcW w:type="dxa" w:w="750"/>
                  <w:tcBorders>
                    <w:top w:val="single" w:color="000000" w:sz="4"/>
                    <w:left w:val="none" w:color="000000" w:sz="4"/>
                    <w:bottom w:val="single" w:color="000000" w:sz="4"/>
                    <w:right w:val="single" w:color="000000" w:sz="4"/>
                  </w:tcBorders>
                </w:tcPr>
                <w:p>
                  <w:pPr>
                    <w:jc w:val="center"/>
                  </w:pPr>
                  <w:r>
                    <w:rPr>
                      <w:b/>
                      <w:sz w:val="21"/>
                    </w:rPr>
                    <w:t>运维性质</w:t>
                  </w:r>
                </w:p>
              </w:tc>
              <w:tc>
                <w:tcPr>
                  <w:tcW w:type="dxa" w:w="404"/>
                  <w:tcBorders>
                    <w:top w:val="single" w:color="000000" w:sz="4"/>
                    <w:left w:val="none" w:color="000000" w:sz="4"/>
                    <w:bottom w:val="single" w:color="000000" w:sz="4"/>
                    <w:right w:val="single" w:color="000000" w:sz="4"/>
                  </w:tcBorders>
                </w:tcPr>
                <w:p>
                  <w:pPr>
                    <w:jc w:val="center"/>
                  </w:pPr>
                  <w:r>
                    <w:rPr>
                      <w:b/>
                      <w:sz w:val="21"/>
                    </w:rPr>
                    <w:t>备注说明</w:t>
                  </w:r>
                </w:p>
              </w:tc>
            </w:tr>
            <w:tr>
              <w:tc>
                <w:tcPr>
                  <w:tcW w:type="dxa" w:w="346"/>
                  <w:tcBorders>
                    <w:top w:val="none" w:color="000000" w:sz="4"/>
                    <w:left w:val="single" w:color="000000" w:sz="4"/>
                    <w:bottom w:val="single" w:color="000000" w:sz="4"/>
                    <w:right w:val="single" w:color="000000" w:sz="4"/>
                  </w:tcBorders>
                </w:tcPr>
                <w:p>
                  <w:pPr>
                    <w:jc w:val="center"/>
                  </w:pPr>
                  <w:r>
                    <w:rPr>
                      <w:sz w:val="21"/>
                    </w:rPr>
                    <w:t>1</w:t>
                  </w:r>
                </w:p>
              </w:tc>
              <w:tc>
                <w:tcPr>
                  <w:tcW w:type="dxa" w:w="404"/>
                  <w:vMerge w:val="restart"/>
                  <w:tcBorders>
                    <w:top w:val="none" w:color="000000" w:sz="4"/>
                    <w:left w:val="none" w:color="000000" w:sz="4"/>
                    <w:bottom w:val="single" w:color="000000" w:sz="4"/>
                    <w:right w:val="single" w:color="000000" w:sz="4"/>
                  </w:tcBorders>
                </w:tcPr>
                <w:p>
                  <w:pPr>
                    <w:jc w:val="center"/>
                  </w:pPr>
                  <w:r>
                    <w:rPr>
                      <w:b/>
                      <w:sz w:val="21"/>
                    </w:rPr>
                    <w:t>系统安全防护</w:t>
                  </w:r>
                </w:p>
              </w:tc>
              <w:tc>
                <w:tcPr>
                  <w:tcW w:type="dxa" w:w="577"/>
                  <w:tcBorders>
                    <w:top w:val="none" w:color="000000" w:sz="4"/>
                    <w:left w:val="none" w:color="000000" w:sz="4"/>
                    <w:bottom w:val="single" w:color="000000" w:sz="4"/>
                    <w:right w:val="single" w:color="000000" w:sz="4"/>
                  </w:tcBorders>
                </w:tcPr>
                <w:p>
                  <w:pPr>
                    <w:jc w:val="center"/>
                  </w:pPr>
                  <w:r>
                    <w:rPr>
                      <w:b/>
                      <w:sz w:val="21"/>
                    </w:rPr>
                    <w:t>系统漏洞扫描检测及修复</w:t>
                  </w:r>
                </w:p>
              </w:tc>
              <w:tc>
                <w:tcPr>
                  <w:tcW w:type="dxa" w:w="3116"/>
                  <w:tcBorders>
                    <w:top w:val="none" w:color="000000" w:sz="4"/>
                    <w:left w:val="none" w:color="000000" w:sz="4"/>
                    <w:bottom w:val="single" w:color="000000" w:sz="4"/>
                    <w:right w:val="single" w:color="000000" w:sz="4"/>
                  </w:tcBorders>
                </w:tcPr>
                <w:p>
                  <w:pPr>
                    <w:jc w:val="left"/>
                  </w:pPr>
                  <w:r>
                    <w:rPr>
                      <w:sz w:val="21"/>
                    </w:rPr>
                    <w:t>对服务器定期主动开展漏洞扫描并对扫描结果进行人工分析，根据安全漏洞分析结果，进行应用系统、数据库和操作系统漏洞修复；系统bug的修复，系统安全漏洞的修复与升级；网络安全应急响应与信息通报处置；配合进行系统安全等保检测及漏洞修复整改，按用户要求对系统开展等保级别优化调整，</w:t>
                  </w:r>
                  <w:r>
                    <w:rPr>
                      <w:sz w:val="21"/>
                    </w:rPr>
                    <w:t>根据等保三级测评标准对系统进行相应改造。</w:t>
                  </w:r>
                </w:p>
              </w:tc>
              <w:tc>
                <w:tcPr>
                  <w:tcW w:type="dxa" w:w="750"/>
                  <w:tcBorders>
                    <w:top w:val="none" w:color="000000" w:sz="4"/>
                    <w:left w:val="none" w:color="000000" w:sz="4"/>
                    <w:bottom w:val="single" w:color="000000" w:sz="4"/>
                    <w:right w:val="single" w:color="000000" w:sz="4"/>
                  </w:tcBorders>
                </w:tcPr>
                <w:p>
                  <w:pPr>
                    <w:jc w:val="center"/>
                  </w:pPr>
                  <w:r>
                    <w:rPr>
                      <w:sz w:val="21"/>
                    </w:rPr>
                    <w:t>延续性运维</w:t>
                  </w:r>
                </w:p>
              </w:tc>
              <w:tc>
                <w:tcPr>
                  <w:tcW w:type="dxa" w:w="404"/>
                  <w:tcBorders>
                    <w:top w:val="none" w:color="000000" w:sz="4"/>
                    <w:left w:val="none" w:color="000000" w:sz="4"/>
                    <w:bottom w:val="single" w:color="000000" w:sz="4"/>
                    <w:right w:val="single" w:color="000000" w:sz="4"/>
                  </w:tcBorders>
                </w:tcPr>
                <w:p>
                  <w:pPr>
                    <w:jc w:val="center"/>
                  </w:pPr>
                </w:p>
              </w:tc>
            </w:tr>
            <w:tr>
              <w:tc>
                <w:tcPr>
                  <w:tcW w:type="dxa" w:w="346"/>
                  <w:tcBorders>
                    <w:top w:val="none" w:color="000000" w:sz="4"/>
                    <w:left w:val="single" w:color="000000" w:sz="4"/>
                    <w:bottom w:val="single" w:color="000000" w:sz="4"/>
                    <w:right w:val="single" w:color="000000" w:sz="4"/>
                  </w:tcBorders>
                </w:tcPr>
                <w:p>
                  <w:pPr>
                    <w:jc w:val="center"/>
                  </w:pPr>
                  <w:r>
                    <w:rPr>
                      <w:sz w:val="21"/>
                    </w:rPr>
                    <w:t>2</w:t>
                  </w:r>
                </w:p>
              </w:tc>
              <w:tc>
                <w:tcPr>
                  <w:tcW w:type="dxa" w:w="404"/>
                  <w:vMerge/>
                  <w:tcBorders>
                    <w:top w:val="none" w:color="000000" w:sz="4"/>
                    <w:left w:val="none" w:color="000000" w:sz="4"/>
                    <w:bottom w:val="single" w:color="000000" w:sz="4"/>
                    <w:right w:val="single" w:color="000000" w:sz="4"/>
                  </w:tcBorders>
                </w:tcPr>
                <w:p/>
              </w:tc>
              <w:tc>
                <w:tcPr>
                  <w:tcW w:type="dxa" w:w="577"/>
                  <w:tcBorders>
                    <w:top w:val="none" w:color="000000" w:sz="4"/>
                    <w:left w:val="none" w:color="000000" w:sz="4"/>
                    <w:bottom w:val="single" w:color="000000" w:sz="4"/>
                    <w:right w:val="single" w:color="000000" w:sz="4"/>
                  </w:tcBorders>
                </w:tcPr>
                <w:p>
                  <w:pPr>
                    <w:jc w:val="center"/>
                  </w:pPr>
                  <w:r>
                    <w:rPr>
                      <w:b/>
                      <w:sz w:val="21"/>
                    </w:rPr>
                    <w:t>安全监控分析服务</w:t>
                  </w:r>
                </w:p>
              </w:tc>
              <w:tc>
                <w:tcPr>
                  <w:tcW w:type="dxa" w:w="3116"/>
                  <w:tcBorders>
                    <w:top w:val="none" w:color="000000" w:sz="4"/>
                    <w:left w:val="none" w:color="000000" w:sz="4"/>
                    <w:bottom w:val="single" w:color="000000" w:sz="4"/>
                    <w:right w:val="single" w:color="000000" w:sz="4"/>
                  </w:tcBorders>
                </w:tcPr>
                <w:p>
                  <w:pPr>
                    <w:jc w:val="left"/>
                  </w:pPr>
                  <w:r>
                    <w:rPr>
                      <w:sz w:val="21"/>
                    </w:rPr>
                    <w:t>1</w:t>
                  </w:r>
                  <w:r>
                    <w:rPr>
                      <w:sz w:val="21"/>
                    </w:rPr>
                    <w:t>、主机系统入侵告警7*24小时实时监控：对入侵检测告警进行实时监控，响应异常登陆、暴力破解、可疑操作、web后门投放等入侵告警；</w:t>
                  </w:r>
                </w:p>
                <w:p>
                  <w:pPr>
                    <w:jc w:val="left"/>
                  </w:pPr>
                  <w:r>
                    <w:rPr>
                      <w:sz w:val="21"/>
                    </w:rPr>
                    <w:t>2</w:t>
                  </w:r>
                  <w:r>
                    <w:rPr>
                      <w:sz w:val="21"/>
                    </w:rPr>
                    <w:t>、告警上报与记录：监控检测到的高危告警进行事件研判、分析响应，制定流程配合提供主机侧的详细数据，提交主机安全告警记录；</w:t>
                  </w:r>
                </w:p>
                <w:p>
                  <w:pPr>
                    <w:jc w:val="left"/>
                  </w:pPr>
                  <w:r>
                    <w:rPr>
                      <w:sz w:val="21"/>
                    </w:rPr>
                    <w:t>3</w:t>
                  </w:r>
                  <w:r>
                    <w:rPr>
                      <w:sz w:val="21"/>
                    </w:rPr>
                    <w:t>、日志分析：对失陷主机进行日志分析内容包括：1）操作系统日志分析、 WEB 日志分析、异常告警日志、异常操作日志、异常流量日志、非业务请求日志等。</w:t>
                  </w:r>
                </w:p>
              </w:tc>
              <w:tc>
                <w:tcPr>
                  <w:tcW w:type="dxa" w:w="750"/>
                  <w:tcBorders>
                    <w:top w:val="none" w:color="000000" w:sz="4"/>
                    <w:left w:val="none" w:color="000000" w:sz="4"/>
                    <w:bottom w:val="single" w:color="000000" w:sz="4"/>
                    <w:right w:val="single" w:color="000000" w:sz="4"/>
                  </w:tcBorders>
                </w:tcPr>
                <w:p>
                  <w:pPr>
                    <w:jc w:val="center"/>
                  </w:pPr>
                  <w:r>
                    <w:rPr>
                      <w:sz w:val="21"/>
                    </w:rPr>
                    <w:t>延续性运维</w:t>
                  </w:r>
                </w:p>
              </w:tc>
              <w:tc>
                <w:tcPr>
                  <w:tcW w:type="dxa" w:w="404"/>
                  <w:tcBorders>
                    <w:top w:val="none" w:color="000000" w:sz="4"/>
                    <w:left w:val="none" w:color="000000" w:sz="4"/>
                    <w:bottom w:val="single" w:color="000000" w:sz="4"/>
                    <w:right w:val="single" w:color="000000" w:sz="4"/>
                  </w:tcBorders>
                </w:tcPr>
                <w:p>
                  <w:pPr>
                    <w:jc w:val="center"/>
                  </w:pPr>
                </w:p>
              </w:tc>
            </w:tr>
            <w:tr>
              <w:tc>
                <w:tcPr>
                  <w:tcW w:type="dxa" w:w="346"/>
                  <w:tcBorders>
                    <w:top w:val="none" w:color="000000" w:sz="4"/>
                    <w:left w:val="single" w:color="000000" w:sz="4"/>
                    <w:bottom w:val="single" w:color="000000" w:sz="4"/>
                    <w:right w:val="single" w:color="000000" w:sz="4"/>
                  </w:tcBorders>
                </w:tcPr>
                <w:p>
                  <w:pPr>
                    <w:jc w:val="center"/>
                  </w:pPr>
                  <w:r>
                    <w:rPr>
                      <w:sz w:val="21"/>
                    </w:rPr>
                    <w:t>3</w:t>
                  </w:r>
                </w:p>
              </w:tc>
              <w:tc>
                <w:tcPr>
                  <w:tcW w:type="dxa" w:w="404"/>
                  <w:vMerge/>
                  <w:tcBorders>
                    <w:top w:val="none" w:color="000000" w:sz="4"/>
                    <w:left w:val="none" w:color="000000" w:sz="4"/>
                    <w:bottom w:val="single" w:color="000000" w:sz="4"/>
                    <w:right w:val="single" w:color="000000" w:sz="4"/>
                  </w:tcBorders>
                </w:tcPr>
                <w:p/>
              </w:tc>
              <w:tc>
                <w:tcPr>
                  <w:tcW w:type="dxa" w:w="577"/>
                  <w:tcBorders>
                    <w:top w:val="none" w:color="000000" w:sz="4"/>
                    <w:left w:val="none" w:color="000000" w:sz="4"/>
                    <w:bottom w:val="single" w:color="000000" w:sz="4"/>
                    <w:right w:val="single" w:color="000000" w:sz="4"/>
                  </w:tcBorders>
                </w:tcPr>
                <w:p>
                  <w:pPr>
                    <w:jc w:val="center"/>
                  </w:pPr>
                  <w:r>
                    <w:rPr>
                      <w:b/>
                      <w:sz w:val="21"/>
                    </w:rPr>
                    <w:t>渗透测试服务</w:t>
                  </w:r>
                </w:p>
              </w:tc>
              <w:tc>
                <w:tcPr>
                  <w:tcW w:type="dxa" w:w="3116"/>
                  <w:tcBorders>
                    <w:top w:val="none" w:color="000000" w:sz="4"/>
                    <w:left w:val="none" w:color="000000" w:sz="4"/>
                    <w:bottom w:val="single" w:color="000000" w:sz="4"/>
                    <w:right w:val="single" w:color="000000" w:sz="4"/>
                  </w:tcBorders>
                </w:tcPr>
                <w:p>
                  <w:pPr>
                    <w:jc w:val="left"/>
                  </w:pPr>
                  <w:r>
                    <w:rPr>
                      <w:sz w:val="21"/>
                    </w:rPr>
                    <w:t>对应用系统进行全面的渗透测试，挖掘和暴露系统的漏洞和弱点，提供渗透测试过程风险管控保障工作，并提供漏洞修复方案。</w:t>
                  </w:r>
                </w:p>
              </w:tc>
              <w:tc>
                <w:tcPr>
                  <w:tcW w:type="dxa" w:w="750"/>
                  <w:tcBorders>
                    <w:top w:val="none" w:color="000000" w:sz="4"/>
                    <w:left w:val="none" w:color="000000" w:sz="4"/>
                    <w:bottom w:val="single" w:color="000000" w:sz="4"/>
                    <w:right w:val="single" w:color="000000" w:sz="4"/>
                  </w:tcBorders>
                </w:tcPr>
                <w:p>
                  <w:pPr>
                    <w:jc w:val="center"/>
                  </w:pPr>
                  <w:r>
                    <w:rPr>
                      <w:sz w:val="21"/>
                    </w:rPr>
                    <w:t>延续性运维</w:t>
                  </w:r>
                </w:p>
              </w:tc>
              <w:tc>
                <w:tcPr>
                  <w:tcW w:type="dxa" w:w="404"/>
                  <w:tcBorders>
                    <w:top w:val="none" w:color="000000" w:sz="4"/>
                    <w:left w:val="none" w:color="000000" w:sz="4"/>
                    <w:bottom w:val="single" w:color="000000" w:sz="4"/>
                    <w:right w:val="single" w:color="000000" w:sz="4"/>
                  </w:tcBorders>
                </w:tcPr>
                <w:p>
                  <w:pPr>
                    <w:jc w:val="center"/>
                  </w:pPr>
                </w:p>
              </w:tc>
            </w:tr>
            <w:tr>
              <w:tc>
                <w:tcPr>
                  <w:tcW w:type="dxa" w:w="346"/>
                  <w:tcBorders>
                    <w:top w:val="none" w:color="000000" w:sz="4"/>
                    <w:left w:val="single" w:color="000000" w:sz="4"/>
                    <w:bottom w:val="single" w:color="000000" w:sz="4"/>
                    <w:right w:val="single" w:color="000000" w:sz="4"/>
                  </w:tcBorders>
                </w:tcPr>
                <w:p>
                  <w:pPr>
                    <w:jc w:val="center"/>
                  </w:pPr>
                  <w:r>
                    <w:rPr>
                      <w:sz w:val="21"/>
                    </w:rPr>
                    <w:t>4</w:t>
                  </w:r>
                </w:p>
              </w:tc>
              <w:tc>
                <w:tcPr>
                  <w:tcW w:type="dxa" w:w="404"/>
                  <w:vMerge/>
                  <w:tcBorders>
                    <w:top w:val="none" w:color="000000" w:sz="4"/>
                    <w:left w:val="none" w:color="000000" w:sz="4"/>
                    <w:bottom w:val="single" w:color="000000" w:sz="4"/>
                    <w:right w:val="single" w:color="000000" w:sz="4"/>
                  </w:tcBorders>
                </w:tcPr>
                <w:p/>
              </w:tc>
              <w:tc>
                <w:tcPr>
                  <w:tcW w:type="dxa" w:w="577"/>
                  <w:tcBorders>
                    <w:top w:val="none" w:color="000000" w:sz="4"/>
                    <w:left w:val="none" w:color="000000" w:sz="4"/>
                    <w:bottom w:val="single" w:color="000000" w:sz="4"/>
                    <w:right w:val="single" w:color="000000" w:sz="4"/>
                  </w:tcBorders>
                </w:tcPr>
                <w:p>
                  <w:pPr>
                    <w:jc w:val="center"/>
                  </w:pPr>
                  <w:r>
                    <w:rPr>
                      <w:b/>
                      <w:sz w:val="21"/>
                    </w:rPr>
                    <w:t>日常网络安全服务</w:t>
                  </w:r>
                </w:p>
              </w:tc>
              <w:tc>
                <w:tcPr>
                  <w:tcW w:type="dxa" w:w="3116"/>
                  <w:tcBorders>
                    <w:top w:val="none" w:color="000000" w:sz="4"/>
                    <w:left w:val="none" w:color="000000" w:sz="4"/>
                    <w:bottom w:val="single" w:color="000000" w:sz="4"/>
                    <w:right w:val="single" w:color="000000" w:sz="4"/>
                  </w:tcBorders>
                </w:tcPr>
                <w:p>
                  <w:pPr>
                    <w:jc w:val="left"/>
                  </w:pPr>
                  <w:r>
                    <w:rPr>
                      <w:sz w:val="21"/>
                    </w:rPr>
                    <w:t>网络巡检：对网络设备进行巡检，包括状态检查、配置分析优化和日志分析，进行网络设备的配置备份。</w:t>
                  </w:r>
                </w:p>
                <w:p>
                  <w:pPr>
                    <w:jc w:val="left"/>
                  </w:pPr>
                  <w:r>
                    <w:rPr>
                      <w:sz w:val="21"/>
                    </w:rPr>
                    <w:t>安全监控：防火墙等安全设备的攻击事件日志进行实时监控，通过技术人员的安全经验第一时间发现网络内的攻击事件，并进行处理。</w:t>
                  </w:r>
                </w:p>
              </w:tc>
              <w:tc>
                <w:tcPr>
                  <w:tcW w:type="dxa" w:w="750"/>
                  <w:tcBorders>
                    <w:top w:val="none" w:color="000000" w:sz="4"/>
                    <w:left w:val="none" w:color="000000" w:sz="4"/>
                    <w:bottom w:val="single" w:color="000000" w:sz="4"/>
                    <w:right w:val="single" w:color="000000" w:sz="4"/>
                  </w:tcBorders>
                </w:tcPr>
                <w:p>
                  <w:pPr>
                    <w:jc w:val="center"/>
                  </w:pPr>
                  <w:r>
                    <w:rPr>
                      <w:sz w:val="21"/>
                    </w:rPr>
                    <w:t>延续性运维</w:t>
                  </w:r>
                </w:p>
              </w:tc>
              <w:tc>
                <w:tcPr>
                  <w:tcW w:type="dxa" w:w="404"/>
                  <w:tcBorders>
                    <w:top w:val="none" w:color="000000" w:sz="4"/>
                    <w:left w:val="none" w:color="000000" w:sz="4"/>
                    <w:bottom w:val="single" w:color="000000" w:sz="4"/>
                    <w:right w:val="single" w:color="000000" w:sz="4"/>
                  </w:tcBorders>
                </w:tcPr>
                <w:p>
                  <w:pPr>
                    <w:jc w:val="center"/>
                  </w:pPr>
                </w:p>
              </w:tc>
            </w:tr>
            <w:tr>
              <w:tc>
                <w:tcPr>
                  <w:tcW w:type="dxa" w:w="346"/>
                  <w:tcBorders>
                    <w:top w:val="none" w:color="000000" w:sz="4"/>
                    <w:left w:val="single" w:color="000000" w:sz="4"/>
                    <w:bottom w:val="single" w:color="000000" w:sz="4"/>
                    <w:right w:val="single" w:color="000000" w:sz="4"/>
                  </w:tcBorders>
                </w:tcPr>
                <w:p>
                  <w:pPr>
                    <w:jc w:val="center"/>
                  </w:pPr>
                  <w:r>
                    <w:rPr>
                      <w:sz w:val="21"/>
                    </w:rPr>
                    <w:t>5</w:t>
                  </w:r>
                </w:p>
              </w:tc>
              <w:tc>
                <w:tcPr>
                  <w:tcW w:type="dxa" w:w="404"/>
                  <w:vMerge/>
                  <w:tcBorders>
                    <w:top w:val="none" w:color="000000" w:sz="4"/>
                    <w:left w:val="none" w:color="000000" w:sz="4"/>
                    <w:bottom w:val="single" w:color="000000" w:sz="4"/>
                    <w:right w:val="single" w:color="000000" w:sz="4"/>
                  </w:tcBorders>
                </w:tcPr>
                <w:p/>
              </w:tc>
              <w:tc>
                <w:tcPr>
                  <w:tcW w:type="dxa" w:w="577"/>
                  <w:tcBorders>
                    <w:top w:val="none" w:color="000000" w:sz="4"/>
                    <w:left w:val="none" w:color="000000" w:sz="4"/>
                    <w:bottom w:val="single" w:color="000000" w:sz="4"/>
                    <w:right w:val="single" w:color="000000" w:sz="4"/>
                  </w:tcBorders>
                </w:tcPr>
                <w:p>
                  <w:pPr>
                    <w:jc w:val="center"/>
                  </w:pPr>
                  <w:r>
                    <w:rPr>
                      <w:b/>
                      <w:sz w:val="21"/>
                    </w:rPr>
                    <w:t>系统热备服务</w:t>
                  </w:r>
                </w:p>
              </w:tc>
              <w:tc>
                <w:tcPr>
                  <w:tcW w:type="dxa" w:w="3116"/>
                  <w:tcBorders>
                    <w:top w:val="none" w:color="000000" w:sz="4"/>
                    <w:left w:val="none" w:color="000000" w:sz="4"/>
                    <w:bottom w:val="single" w:color="000000" w:sz="4"/>
                    <w:right w:val="single" w:color="000000" w:sz="4"/>
                  </w:tcBorders>
                </w:tcPr>
                <w:p>
                  <w:pPr>
                    <w:jc w:val="left"/>
                  </w:pPr>
                  <w:r>
                    <w:rPr>
                      <w:sz w:val="21"/>
                    </w:rPr>
                    <w:t>对中山市自然资源综合业务平台及自然资源决策支持平台提供系统热备服务。</w:t>
                  </w:r>
                </w:p>
              </w:tc>
              <w:tc>
                <w:tcPr>
                  <w:tcW w:type="dxa" w:w="750"/>
                  <w:tcBorders>
                    <w:top w:val="none" w:color="000000" w:sz="4"/>
                    <w:left w:val="none" w:color="000000" w:sz="4"/>
                    <w:bottom w:val="single" w:color="000000" w:sz="4"/>
                    <w:right w:val="single" w:color="000000" w:sz="4"/>
                  </w:tcBorders>
                </w:tcPr>
                <w:p>
                  <w:pPr>
                    <w:jc w:val="center"/>
                  </w:pPr>
                  <w:r>
                    <w:rPr>
                      <w:sz w:val="21"/>
                    </w:rPr>
                    <w:t>延续性运维</w:t>
                  </w:r>
                </w:p>
              </w:tc>
              <w:tc>
                <w:tcPr>
                  <w:tcW w:type="dxa" w:w="404"/>
                  <w:tcBorders>
                    <w:top w:val="none" w:color="000000" w:sz="4"/>
                    <w:left w:val="none" w:color="000000" w:sz="4"/>
                    <w:bottom w:val="single" w:color="000000" w:sz="4"/>
                    <w:right w:val="single" w:color="000000" w:sz="4"/>
                  </w:tcBorders>
                </w:tcPr>
                <w:p>
                  <w:pPr>
                    <w:jc w:val="center"/>
                  </w:pPr>
                </w:p>
              </w:tc>
            </w:tr>
            <w:tr>
              <w:tc>
                <w:tcPr>
                  <w:tcW w:type="dxa" w:w="346"/>
                  <w:tcBorders>
                    <w:top w:val="none" w:color="000000" w:sz="4"/>
                    <w:left w:val="single" w:color="000000" w:sz="4"/>
                    <w:bottom w:val="single" w:color="000000" w:sz="4"/>
                    <w:right w:val="single" w:color="000000" w:sz="4"/>
                  </w:tcBorders>
                </w:tcPr>
                <w:p>
                  <w:pPr>
                    <w:jc w:val="center"/>
                  </w:pPr>
                  <w:r>
                    <w:rPr>
                      <w:sz w:val="21"/>
                    </w:rPr>
                    <w:t>6</w:t>
                  </w:r>
                </w:p>
              </w:tc>
              <w:tc>
                <w:tcPr>
                  <w:tcW w:type="dxa" w:w="404"/>
                  <w:vMerge/>
                  <w:tcBorders>
                    <w:top w:val="none" w:color="000000" w:sz="4"/>
                    <w:left w:val="none" w:color="000000" w:sz="4"/>
                    <w:bottom w:val="single" w:color="000000" w:sz="4"/>
                    <w:right w:val="single" w:color="000000" w:sz="4"/>
                  </w:tcBorders>
                </w:tcPr>
                <w:p/>
              </w:tc>
              <w:tc>
                <w:tcPr>
                  <w:tcW w:type="dxa" w:w="577"/>
                  <w:tcBorders>
                    <w:top w:val="none" w:color="000000" w:sz="4"/>
                    <w:left w:val="none" w:color="000000" w:sz="4"/>
                    <w:bottom w:val="single" w:color="000000" w:sz="4"/>
                    <w:right w:val="single" w:color="000000" w:sz="4"/>
                  </w:tcBorders>
                </w:tcPr>
                <w:p>
                  <w:pPr>
                    <w:jc w:val="center"/>
                  </w:pPr>
                  <w:r>
                    <w:rPr>
                      <w:b/>
                      <w:sz w:val="21"/>
                    </w:rPr>
                    <w:t>系统管理员后台配置登录方式改造</w:t>
                  </w:r>
                </w:p>
              </w:tc>
              <w:tc>
                <w:tcPr>
                  <w:tcW w:type="dxa" w:w="3116"/>
                  <w:tcBorders>
                    <w:top w:val="none" w:color="000000" w:sz="4"/>
                    <w:left w:val="none" w:color="000000" w:sz="4"/>
                    <w:bottom w:val="single" w:color="000000" w:sz="4"/>
                    <w:right w:val="single" w:color="000000" w:sz="4"/>
                  </w:tcBorders>
                  <w:vAlign w:val="top"/>
                </w:tcPr>
                <w:p>
                  <w:pPr>
                    <w:jc w:val="left"/>
                  </w:pPr>
                  <w:r>
                    <w:rPr>
                      <w:sz w:val="21"/>
                    </w:rPr>
                    <w:t>按照《中山市政务信息化系统安全认证登录工作方案》要求，系统管理员登录方式如下：用户名+口令+短信校验码、密码技术（如基于密钥证书的USBKey等）、省统一身份认证平台（政务侧），选择两种或两种以上组合的鉴别技术对用户进行身份鉴别，且其中一种鉴别技术至少应使用密码技术来实现。</w:t>
                  </w:r>
                </w:p>
              </w:tc>
              <w:tc>
                <w:tcPr>
                  <w:tcW w:type="dxa" w:w="750"/>
                  <w:tcBorders>
                    <w:top w:val="none" w:color="000000" w:sz="4"/>
                    <w:left w:val="none" w:color="000000" w:sz="4"/>
                    <w:bottom w:val="single" w:color="000000" w:sz="4"/>
                    <w:right w:val="single" w:color="000000" w:sz="4"/>
                  </w:tcBorders>
                </w:tcPr>
                <w:p>
                  <w:pPr>
                    <w:jc w:val="center"/>
                  </w:pPr>
                  <w:r>
                    <w:rPr>
                      <w:sz w:val="21"/>
                    </w:rPr>
                    <w:t>新增运维</w:t>
                  </w:r>
                </w:p>
              </w:tc>
              <w:tc>
                <w:tcPr>
                  <w:tcW w:type="dxa" w:w="404"/>
                  <w:tcBorders>
                    <w:top w:val="none" w:color="000000" w:sz="4"/>
                    <w:left w:val="none" w:color="000000" w:sz="4"/>
                    <w:bottom w:val="single" w:color="000000" w:sz="4"/>
                    <w:right w:val="single" w:color="000000" w:sz="4"/>
                  </w:tcBorders>
                </w:tcPr>
                <w:p>
                  <w:pPr>
                    <w:jc w:val="center"/>
                  </w:pPr>
                  <w:r>
                    <w:rPr>
                      <w:sz w:val="24"/>
                    </w:rPr>
                    <w:t>　</w:t>
                  </w:r>
                </w:p>
              </w:tc>
            </w:tr>
            <w:tr>
              <w:tc>
                <w:tcPr>
                  <w:tcW w:type="dxa" w:w="346"/>
                  <w:tcBorders>
                    <w:top w:val="none" w:color="000000" w:sz="4"/>
                    <w:left w:val="single" w:color="000000" w:sz="4"/>
                    <w:bottom w:val="single" w:color="000000" w:sz="4"/>
                    <w:right w:val="single" w:color="000000" w:sz="4"/>
                  </w:tcBorders>
                </w:tcPr>
                <w:p>
                  <w:pPr>
                    <w:jc w:val="center"/>
                  </w:pPr>
                  <w:r>
                    <w:rPr>
                      <w:sz w:val="21"/>
                    </w:rPr>
                    <w:t>7</w:t>
                  </w:r>
                </w:p>
              </w:tc>
              <w:tc>
                <w:tcPr>
                  <w:tcW w:type="dxa" w:w="404"/>
                  <w:vMerge/>
                  <w:tcBorders>
                    <w:top w:val="none" w:color="000000" w:sz="4"/>
                    <w:left w:val="none" w:color="000000" w:sz="4"/>
                    <w:bottom w:val="single" w:color="000000" w:sz="4"/>
                    <w:right w:val="single" w:color="000000" w:sz="4"/>
                  </w:tcBorders>
                </w:tcPr>
                <w:p/>
              </w:tc>
              <w:tc>
                <w:tcPr>
                  <w:tcW w:type="dxa" w:w="577"/>
                  <w:tcBorders>
                    <w:top w:val="none" w:color="000000" w:sz="4"/>
                    <w:left w:val="none" w:color="000000" w:sz="4"/>
                    <w:bottom w:val="single" w:color="000000" w:sz="4"/>
                    <w:right w:val="single" w:color="000000" w:sz="4"/>
                  </w:tcBorders>
                </w:tcPr>
                <w:p>
                  <w:pPr>
                    <w:jc w:val="center"/>
                  </w:pPr>
                  <w:r>
                    <w:rPr>
                      <w:b/>
                      <w:sz w:val="21"/>
                    </w:rPr>
                    <w:t>系统日志采集与保存</w:t>
                  </w:r>
                </w:p>
              </w:tc>
              <w:tc>
                <w:tcPr>
                  <w:tcW w:type="dxa" w:w="3116"/>
                  <w:tcBorders>
                    <w:top w:val="none" w:color="000000" w:sz="4"/>
                    <w:left w:val="none" w:color="000000" w:sz="4"/>
                    <w:bottom w:val="single" w:color="000000" w:sz="4"/>
                    <w:right w:val="single" w:color="000000" w:sz="4"/>
                  </w:tcBorders>
                  <w:vAlign w:val="top"/>
                </w:tcPr>
                <w:p>
                  <w:pPr>
                    <w:jc w:val="left"/>
                  </w:pPr>
                  <w:r>
                    <w:rPr>
                      <w:sz w:val="21"/>
                    </w:rPr>
                    <w:t>按照《中山市政务信息系统日志采集与保存管理规范》要求，做好系统服务器操作系统日志、应用程序日志、数据库日志的采集和存储</w:t>
                  </w:r>
                </w:p>
              </w:tc>
              <w:tc>
                <w:tcPr>
                  <w:tcW w:type="dxa" w:w="750"/>
                  <w:tcBorders>
                    <w:top w:val="none" w:color="000000" w:sz="4"/>
                    <w:left w:val="none" w:color="000000" w:sz="4"/>
                    <w:bottom w:val="single" w:color="000000" w:sz="4"/>
                    <w:right w:val="single" w:color="000000" w:sz="4"/>
                  </w:tcBorders>
                </w:tcPr>
                <w:p>
                  <w:pPr>
                    <w:jc w:val="center"/>
                  </w:pPr>
                  <w:r>
                    <w:rPr>
                      <w:sz w:val="21"/>
                    </w:rPr>
                    <w:t>新增运维</w:t>
                  </w:r>
                </w:p>
              </w:tc>
              <w:tc>
                <w:tcPr>
                  <w:tcW w:type="dxa" w:w="404"/>
                  <w:tcBorders>
                    <w:top w:val="none" w:color="000000" w:sz="4"/>
                    <w:left w:val="none" w:color="000000" w:sz="4"/>
                    <w:bottom w:val="single" w:color="000000" w:sz="4"/>
                    <w:right w:val="single" w:color="000000" w:sz="4"/>
                  </w:tcBorders>
                </w:tcPr>
                <w:p>
                  <w:pPr>
                    <w:jc w:val="center"/>
                  </w:pPr>
                  <w:r>
                    <w:rPr>
                      <w:sz w:val="24"/>
                    </w:rPr>
                    <w:t>　</w:t>
                  </w:r>
                </w:p>
              </w:tc>
            </w:tr>
            <w:tr>
              <w:tc>
                <w:tcPr>
                  <w:tcW w:type="dxa" w:w="346"/>
                  <w:tcBorders>
                    <w:top w:val="none" w:color="000000" w:sz="4"/>
                    <w:left w:val="single" w:color="000000" w:sz="4"/>
                    <w:bottom w:val="single" w:color="000000" w:sz="4"/>
                    <w:right w:val="single" w:color="000000" w:sz="4"/>
                  </w:tcBorders>
                </w:tcPr>
                <w:p>
                  <w:pPr>
                    <w:jc w:val="center"/>
                  </w:pPr>
                  <w:r>
                    <w:rPr>
                      <w:sz w:val="21"/>
                    </w:rPr>
                    <w:t>8</w:t>
                  </w:r>
                </w:p>
              </w:tc>
              <w:tc>
                <w:tcPr>
                  <w:tcW w:type="dxa" w:w="404"/>
                  <w:vMerge/>
                  <w:tcBorders>
                    <w:top w:val="none" w:color="000000" w:sz="4"/>
                    <w:left w:val="none" w:color="000000" w:sz="4"/>
                    <w:bottom w:val="single" w:color="000000" w:sz="4"/>
                    <w:right w:val="single" w:color="000000" w:sz="4"/>
                  </w:tcBorders>
                </w:tcPr>
                <w:p/>
              </w:tc>
              <w:tc>
                <w:tcPr>
                  <w:tcW w:type="dxa" w:w="577"/>
                  <w:tcBorders>
                    <w:top w:val="none" w:color="000000" w:sz="4"/>
                    <w:left w:val="none" w:color="000000" w:sz="4"/>
                    <w:bottom w:val="single" w:color="000000" w:sz="4"/>
                    <w:right w:val="single" w:color="000000" w:sz="4"/>
                  </w:tcBorders>
                </w:tcPr>
                <w:p>
                  <w:pPr>
                    <w:jc w:val="center"/>
                  </w:pPr>
                  <w:r>
                    <w:rPr>
                      <w:b/>
                      <w:sz w:val="21"/>
                    </w:rPr>
                    <w:t>电子证照用证安全整改</w:t>
                  </w:r>
                </w:p>
              </w:tc>
              <w:tc>
                <w:tcPr>
                  <w:tcW w:type="dxa" w:w="3116"/>
                  <w:tcBorders>
                    <w:top w:val="none" w:color="000000" w:sz="4"/>
                    <w:left w:val="none" w:color="000000" w:sz="4"/>
                    <w:bottom w:val="single" w:color="000000" w:sz="4"/>
                    <w:right w:val="single" w:color="000000" w:sz="4"/>
                  </w:tcBorders>
                </w:tcPr>
                <w:p>
                  <w:pPr>
                    <w:jc w:val="both"/>
                  </w:pPr>
                  <w:r>
                    <w:rPr>
                      <w:sz w:val="21"/>
                    </w:rPr>
                    <w:t>根据省市对电子证照用证系统的安全检查要求，进行系统安全整改，达到用证要求。</w:t>
                  </w:r>
                </w:p>
              </w:tc>
              <w:tc>
                <w:tcPr>
                  <w:tcW w:type="dxa" w:w="750"/>
                  <w:tcBorders>
                    <w:top w:val="none" w:color="000000" w:sz="4"/>
                    <w:left w:val="none" w:color="000000" w:sz="4"/>
                    <w:bottom w:val="single" w:color="000000" w:sz="4"/>
                    <w:right w:val="single" w:color="000000" w:sz="4"/>
                  </w:tcBorders>
                </w:tcPr>
                <w:p>
                  <w:pPr>
                    <w:jc w:val="center"/>
                  </w:pPr>
                  <w:r>
                    <w:rPr>
                      <w:sz w:val="21"/>
                    </w:rPr>
                    <w:t>新增运维</w:t>
                  </w:r>
                </w:p>
              </w:tc>
              <w:tc>
                <w:tcPr>
                  <w:tcW w:type="dxa" w:w="404"/>
                  <w:tcBorders>
                    <w:top w:val="none" w:color="000000" w:sz="4"/>
                    <w:left w:val="none" w:color="000000" w:sz="4"/>
                    <w:bottom w:val="single" w:color="000000" w:sz="4"/>
                    <w:right w:val="single" w:color="000000" w:sz="4"/>
                  </w:tcBorders>
                </w:tcPr>
                <w:p>
                  <w:pPr>
                    <w:jc w:val="center"/>
                  </w:pPr>
                </w:p>
              </w:tc>
            </w:tr>
            <w:tr>
              <w:tc>
                <w:tcPr>
                  <w:tcW w:type="dxa" w:w="346"/>
                  <w:tcBorders>
                    <w:top w:val="none" w:color="000000" w:sz="4"/>
                    <w:left w:val="single" w:color="000000" w:sz="4"/>
                    <w:bottom w:val="single" w:color="000000" w:sz="4"/>
                    <w:right w:val="single" w:color="000000" w:sz="4"/>
                  </w:tcBorders>
                </w:tcPr>
                <w:p>
                  <w:pPr>
                    <w:jc w:val="center"/>
                  </w:pPr>
                  <w:r>
                    <w:rPr>
                      <w:sz w:val="21"/>
                    </w:rPr>
                    <w:t>9</w:t>
                  </w:r>
                </w:p>
              </w:tc>
              <w:tc>
                <w:tcPr>
                  <w:tcW w:type="dxa" w:w="404"/>
                  <w:vMerge w:val="restart"/>
                  <w:tcBorders>
                    <w:top w:val="none" w:color="000000" w:sz="4"/>
                    <w:left w:val="none" w:color="000000" w:sz="4"/>
                    <w:bottom w:val="single" w:color="000000" w:sz="4"/>
                    <w:right w:val="single" w:color="000000" w:sz="4"/>
                  </w:tcBorders>
                </w:tcPr>
                <w:p>
                  <w:pPr>
                    <w:jc w:val="center"/>
                  </w:pPr>
                  <w:r>
                    <w:rPr>
                      <w:b/>
                      <w:sz w:val="21"/>
                    </w:rPr>
                    <w:t>系统可用性运维和系统巡检</w:t>
                  </w:r>
                </w:p>
              </w:tc>
              <w:tc>
                <w:tcPr>
                  <w:tcW w:type="dxa" w:w="577"/>
                  <w:tcBorders>
                    <w:top w:val="none" w:color="000000" w:sz="4"/>
                    <w:left w:val="none" w:color="000000" w:sz="4"/>
                    <w:bottom w:val="single" w:color="000000" w:sz="4"/>
                    <w:right w:val="single" w:color="000000" w:sz="4"/>
                  </w:tcBorders>
                </w:tcPr>
                <w:p>
                  <w:pPr>
                    <w:jc w:val="center"/>
                  </w:pPr>
                  <w:r>
                    <w:rPr>
                      <w:b/>
                      <w:sz w:val="21"/>
                    </w:rPr>
                    <w:t>软件故障诊断和数据修正</w:t>
                  </w:r>
                </w:p>
              </w:tc>
              <w:tc>
                <w:tcPr>
                  <w:tcW w:type="dxa" w:w="3116"/>
                  <w:tcBorders>
                    <w:top w:val="none" w:color="000000" w:sz="4"/>
                    <w:left w:val="none" w:color="000000" w:sz="4"/>
                    <w:bottom w:val="single" w:color="000000" w:sz="4"/>
                    <w:right w:val="single" w:color="000000" w:sz="4"/>
                  </w:tcBorders>
                </w:tcPr>
                <w:p>
                  <w:pPr>
                    <w:jc w:val="left"/>
                  </w:pPr>
                  <w:r>
                    <w:rPr>
                      <w:sz w:val="21"/>
                    </w:rPr>
                    <w:t>1</w:t>
                  </w:r>
                  <w:r>
                    <w:rPr>
                      <w:sz w:val="21"/>
                    </w:rPr>
                    <w:t>、诊断软件故障原因，并提出排除故障措施；</w:t>
                  </w:r>
                </w:p>
                <w:p>
                  <w:pPr>
                    <w:jc w:val="left"/>
                  </w:pPr>
                  <w:r>
                    <w:rPr>
                      <w:sz w:val="21"/>
                    </w:rPr>
                    <w:t>2</w:t>
                  </w:r>
                  <w:r>
                    <w:rPr>
                      <w:sz w:val="21"/>
                    </w:rPr>
                    <w:t>、查找系统中出错的数据，并进行修正。数据的错误常见于操作失误，死机、断电等意外造成的数据错误。</w:t>
                  </w:r>
                </w:p>
              </w:tc>
              <w:tc>
                <w:tcPr>
                  <w:tcW w:type="dxa" w:w="750"/>
                  <w:tcBorders>
                    <w:top w:val="none" w:color="000000" w:sz="4"/>
                    <w:left w:val="none" w:color="000000" w:sz="4"/>
                    <w:bottom w:val="single" w:color="000000" w:sz="4"/>
                    <w:right w:val="single" w:color="000000" w:sz="4"/>
                  </w:tcBorders>
                </w:tcPr>
                <w:p>
                  <w:pPr>
                    <w:jc w:val="center"/>
                  </w:pPr>
                  <w:r>
                    <w:rPr>
                      <w:sz w:val="21"/>
                    </w:rPr>
                    <w:t>延续性运维</w:t>
                  </w:r>
                </w:p>
              </w:tc>
              <w:tc>
                <w:tcPr>
                  <w:tcW w:type="dxa" w:w="404"/>
                  <w:tcBorders>
                    <w:top w:val="none" w:color="000000" w:sz="4"/>
                    <w:left w:val="none" w:color="000000" w:sz="4"/>
                    <w:bottom w:val="single" w:color="000000" w:sz="4"/>
                    <w:right w:val="single" w:color="000000" w:sz="4"/>
                  </w:tcBorders>
                </w:tcPr>
                <w:p>
                  <w:pPr>
                    <w:jc w:val="center"/>
                  </w:pPr>
                </w:p>
              </w:tc>
            </w:tr>
            <w:tr>
              <w:tc>
                <w:tcPr>
                  <w:tcW w:type="dxa" w:w="346"/>
                  <w:tcBorders>
                    <w:top w:val="none" w:color="000000" w:sz="4"/>
                    <w:left w:val="single" w:color="000000" w:sz="4"/>
                    <w:bottom w:val="single" w:color="000000" w:sz="4"/>
                    <w:right w:val="single" w:color="000000" w:sz="4"/>
                  </w:tcBorders>
                </w:tcPr>
                <w:p>
                  <w:pPr>
                    <w:jc w:val="center"/>
                  </w:pPr>
                  <w:r>
                    <w:rPr>
                      <w:sz w:val="21"/>
                    </w:rPr>
                    <w:t>10</w:t>
                  </w:r>
                </w:p>
              </w:tc>
              <w:tc>
                <w:tcPr>
                  <w:tcW w:type="dxa" w:w="404"/>
                  <w:vMerge/>
                  <w:tcBorders>
                    <w:top w:val="none" w:color="000000" w:sz="4"/>
                    <w:left w:val="none" w:color="000000" w:sz="4"/>
                    <w:bottom w:val="single" w:color="000000" w:sz="4"/>
                    <w:right w:val="single" w:color="000000" w:sz="4"/>
                  </w:tcBorders>
                </w:tcPr>
                <w:p/>
              </w:tc>
              <w:tc>
                <w:tcPr>
                  <w:tcW w:type="dxa" w:w="577"/>
                  <w:tcBorders>
                    <w:top w:val="none" w:color="000000" w:sz="4"/>
                    <w:left w:val="none" w:color="000000" w:sz="4"/>
                    <w:bottom w:val="single" w:color="000000" w:sz="4"/>
                    <w:right w:val="single" w:color="000000" w:sz="4"/>
                  </w:tcBorders>
                </w:tcPr>
                <w:p>
                  <w:pPr>
                    <w:jc w:val="center"/>
                  </w:pPr>
                  <w:r>
                    <w:rPr>
                      <w:b/>
                      <w:sz w:val="21"/>
                    </w:rPr>
                    <w:t>系统故障检测及排除</w:t>
                  </w:r>
                </w:p>
              </w:tc>
              <w:tc>
                <w:tcPr>
                  <w:tcW w:type="dxa" w:w="3116"/>
                  <w:tcBorders>
                    <w:top w:val="none" w:color="000000" w:sz="4"/>
                    <w:left w:val="none" w:color="000000" w:sz="4"/>
                    <w:bottom w:val="single" w:color="000000" w:sz="4"/>
                    <w:right w:val="single" w:color="000000" w:sz="4"/>
                  </w:tcBorders>
                </w:tcPr>
                <w:p>
                  <w:pPr>
                    <w:jc w:val="left"/>
                  </w:pPr>
                  <w:r>
                    <w:rPr>
                      <w:sz w:val="21"/>
                    </w:rPr>
                    <w:t>如出现故障，导致系统不能正常工作，尽快解决问题并保证问题完全解决。如果不能解决问题，服务方需自行请专家或其他高级技术人员对系统情况进行分析，直至解决问题。在接到采购人的现场系统维护请求后迅速响应，对宕机或紧急恢复等严重问题，应在30分钟内到达现场进行故障处理服务。</w:t>
                  </w:r>
                </w:p>
              </w:tc>
              <w:tc>
                <w:tcPr>
                  <w:tcW w:type="dxa" w:w="750"/>
                  <w:tcBorders>
                    <w:top w:val="none" w:color="000000" w:sz="4"/>
                    <w:left w:val="none" w:color="000000" w:sz="4"/>
                    <w:bottom w:val="single" w:color="000000" w:sz="4"/>
                    <w:right w:val="single" w:color="000000" w:sz="4"/>
                  </w:tcBorders>
                </w:tcPr>
                <w:p>
                  <w:pPr>
                    <w:jc w:val="center"/>
                  </w:pPr>
                  <w:r>
                    <w:rPr>
                      <w:sz w:val="21"/>
                    </w:rPr>
                    <w:t>延续性运维</w:t>
                  </w:r>
                </w:p>
              </w:tc>
              <w:tc>
                <w:tcPr>
                  <w:tcW w:type="dxa" w:w="404"/>
                  <w:tcBorders>
                    <w:top w:val="none" w:color="000000" w:sz="4"/>
                    <w:left w:val="none" w:color="000000" w:sz="4"/>
                    <w:bottom w:val="single" w:color="000000" w:sz="4"/>
                    <w:right w:val="single" w:color="000000" w:sz="4"/>
                  </w:tcBorders>
                </w:tcPr>
                <w:p>
                  <w:pPr>
                    <w:jc w:val="center"/>
                  </w:pPr>
                </w:p>
              </w:tc>
            </w:tr>
            <w:tr>
              <w:tc>
                <w:tcPr>
                  <w:tcW w:type="dxa" w:w="346"/>
                  <w:tcBorders>
                    <w:top w:val="none" w:color="000000" w:sz="4"/>
                    <w:left w:val="single" w:color="000000" w:sz="4"/>
                    <w:bottom w:val="single" w:color="000000" w:sz="4"/>
                    <w:right w:val="single" w:color="000000" w:sz="4"/>
                  </w:tcBorders>
                </w:tcPr>
                <w:p>
                  <w:pPr>
                    <w:jc w:val="center"/>
                  </w:pPr>
                  <w:r>
                    <w:rPr>
                      <w:sz w:val="21"/>
                    </w:rPr>
                    <w:t>11</w:t>
                  </w:r>
                </w:p>
              </w:tc>
              <w:tc>
                <w:tcPr>
                  <w:tcW w:type="dxa" w:w="404"/>
                  <w:vMerge/>
                  <w:tcBorders>
                    <w:top w:val="none" w:color="000000" w:sz="4"/>
                    <w:left w:val="none" w:color="000000" w:sz="4"/>
                    <w:bottom w:val="single" w:color="000000" w:sz="4"/>
                    <w:right w:val="single" w:color="000000" w:sz="4"/>
                  </w:tcBorders>
                </w:tcPr>
                <w:p/>
              </w:tc>
              <w:tc>
                <w:tcPr>
                  <w:tcW w:type="dxa" w:w="577"/>
                  <w:tcBorders>
                    <w:top w:val="none" w:color="000000" w:sz="4"/>
                    <w:left w:val="none" w:color="000000" w:sz="4"/>
                    <w:bottom w:val="single" w:color="000000" w:sz="4"/>
                    <w:right w:val="single" w:color="000000" w:sz="4"/>
                  </w:tcBorders>
                </w:tcPr>
                <w:p>
                  <w:pPr>
                    <w:jc w:val="center"/>
                  </w:pPr>
                  <w:r>
                    <w:rPr>
                      <w:b/>
                      <w:sz w:val="21"/>
                    </w:rPr>
                    <w:t>系统巡检和系统补丁</w:t>
                  </w:r>
                </w:p>
              </w:tc>
              <w:tc>
                <w:tcPr>
                  <w:tcW w:type="dxa" w:w="3116"/>
                  <w:tcBorders>
                    <w:top w:val="none" w:color="000000" w:sz="4"/>
                    <w:left w:val="none" w:color="000000" w:sz="4"/>
                    <w:bottom w:val="single" w:color="000000" w:sz="4"/>
                    <w:right w:val="single" w:color="000000" w:sz="4"/>
                  </w:tcBorders>
                </w:tcPr>
                <w:p>
                  <w:pPr>
                    <w:jc w:val="left"/>
                  </w:pPr>
                  <w:r>
                    <w:rPr>
                      <w:sz w:val="21"/>
                    </w:rPr>
                    <w:t>1</w:t>
                  </w:r>
                  <w:r>
                    <w:rPr>
                      <w:sz w:val="21"/>
                    </w:rPr>
                    <w:t>、定期巡检（月度预防性维护检查、周巡检），对系统进行全面检查，做好系统运行情况的记录，对可能出现的故障提出解决预案及系统功能改进等方面的技术咨询工作。</w:t>
                  </w:r>
                </w:p>
                <w:p>
                  <w:pPr>
                    <w:jc w:val="left"/>
                  </w:pPr>
                  <w:r>
                    <w:rPr>
                      <w:sz w:val="21"/>
                    </w:rPr>
                    <w:t>2</w:t>
                  </w:r>
                  <w:r>
                    <w:rPr>
                      <w:sz w:val="21"/>
                    </w:rPr>
                    <w:t>、应用系统安全漏洞补丁，消除漏洞给应用系统带来的安全隐患，并对安装补丁所引起的系统连锁反应进行合理的处理，不包括操作系统。</w:t>
                  </w:r>
                </w:p>
              </w:tc>
              <w:tc>
                <w:tcPr>
                  <w:tcW w:type="dxa" w:w="750"/>
                  <w:tcBorders>
                    <w:top w:val="none" w:color="000000" w:sz="4"/>
                    <w:left w:val="none" w:color="000000" w:sz="4"/>
                    <w:bottom w:val="single" w:color="000000" w:sz="4"/>
                    <w:right w:val="single" w:color="000000" w:sz="4"/>
                  </w:tcBorders>
                </w:tcPr>
                <w:p>
                  <w:pPr>
                    <w:jc w:val="center"/>
                  </w:pPr>
                  <w:r>
                    <w:rPr>
                      <w:sz w:val="21"/>
                    </w:rPr>
                    <w:t>延续性运维</w:t>
                  </w:r>
                </w:p>
              </w:tc>
              <w:tc>
                <w:tcPr>
                  <w:tcW w:type="dxa" w:w="404"/>
                  <w:tcBorders>
                    <w:top w:val="none" w:color="000000" w:sz="4"/>
                    <w:left w:val="none" w:color="000000" w:sz="4"/>
                    <w:bottom w:val="single" w:color="000000" w:sz="4"/>
                    <w:right w:val="single" w:color="000000" w:sz="4"/>
                  </w:tcBorders>
                </w:tcPr>
                <w:p>
                  <w:pPr>
                    <w:jc w:val="center"/>
                  </w:pPr>
                </w:p>
              </w:tc>
            </w:tr>
            <w:tr>
              <w:tc>
                <w:tcPr>
                  <w:tcW w:type="dxa" w:w="346"/>
                  <w:tcBorders>
                    <w:top w:val="none" w:color="000000" w:sz="4"/>
                    <w:left w:val="single" w:color="000000" w:sz="4"/>
                    <w:bottom w:val="single" w:color="000000" w:sz="4"/>
                    <w:right w:val="single" w:color="000000" w:sz="4"/>
                  </w:tcBorders>
                </w:tcPr>
                <w:p>
                  <w:pPr>
                    <w:jc w:val="center"/>
                  </w:pPr>
                  <w:r>
                    <w:rPr>
                      <w:sz w:val="21"/>
                    </w:rPr>
                    <w:t>12</w:t>
                  </w:r>
                </w:p>
              </w:tc>
              <w:tc>
                <w:tcPr>
                  <w:tcW w:type="dxa" w:w="404"/>
                  <w:vMerge w:val="restart"/>
                  <w:tcBorders>
                    <w:top w:val="none" w:color="000000" w:sz="4"/>
                    <w:left w:val="none" w:color="000000" w:sz="4"/>
                    <w:bottom w:val="single" w:color="000000" w:sz="4"/>
                    <w:right w:val="single" w:color="000000" w:sz="4"/>
                  </w:tcBorders>
                </w:tcPr>
                <w:p>
                  <w:pPr>
                    <w:jc w:val="center"/>
                  </w:pPr>
                  <w:r>
                    <w:rPr>
                      <w:b/>
                      <w:sz w:val="21"/>
                    </w:rPr>
                    <w:t>安全保障和应急值守</w:t>
                  </w:r>
                </w:p>
              </w:tc>
              <w:tc>
                <w:tcPr>
                  <w:tcW w:type="dxa" w:w="577"/>
                  <w:tcBorders>
                    <w:top w:val="none" w:color="000000" w:sz="4"/>
                    <w:left w:val="none" w:color="000000" w:sz="4"/>
                    <w:bottom w:val="single" w:color="000000" w:sz="4"/>
                    <w:right w:val="single" w:color="000000" w:sz="4"/>
                  </w:tcBorders>
                </w:tcPr>
                <w:p>
                  <w:pPr>
                    <w:jc w:val="center"/>
                  </w:pPr>
                  <w:r>
                    <w:rPr>
                      <w:b/>
                      <w:sz w:val="21"/>
                    </w:rPr>
                    <w:t>系统安全保障</w:t>
                  </w:r>
                </w:p>
              </w:tc>
              <w:tc>
                <w:tcPr>
                  <w:tcW w:type="dxa" w:w="3116"/>
                  <w:tcBorders>
                    <w:top w:val="none" w:color="000000" w:sz="4"/>
                    <w:left w:val="none" w:color="000000" w:sz="4"/>
                    <w:bottom w:val="single" w:color="000000" w:sz="4"/>
                    <w:right w:val="single" w:color="000000" w:sz="4"/>
                  </w:tcBorders>
                </w:tcPr>
                <w:p>
                  <w:pPr>
                    <w:jc w:val="left"/>
                  </w:pPr>
                  <w:r>
                    <w:rPr>
                      <w:sz w:val="21"/>
                    </w:rPr>
                    <w:t>维护平台正常运行，及时处理系统异常，以及系统运行过程中所受安全威胁的修复与解决，远程解决系统故障。</w:t>
                  </w:r>
                </w:p>
              </w:tc>
              <w:tc>
                <w:tcPr>
                  <w:tcW w:type="dxa" w:w="750"/>
                  <w:tcBorders>
                    <w:top w:val="none" w:color="000000" w:sz="4"/>
                    <w:left w:val="none" w:color="000000" w:sz="4"/>
                    <w:bottom w:val="single" w:color="000000" w:sz="4"/>
                    <w:right w:val="single" w:color="000000" w:sz="4"/>
                  </w:tcBorders>
                </w:tcPr>
                <w:p>
                  <w:pPr>
                    <w:jc w:val="center"/>
                  </w:pPr>
                  <w:r>
                    <w:rPr>
                      <w:sz w:val="21"/>
                    </w:rPr>
                    <w:t>延续性运维</w:t>
                  </w:r>
                </w:p>
              </w:tc>
              <w:tc>
                <w:tcPr>
                  <w:tcW w:type="dxa" w:w="404"/>
                  <w:tcBorders>
                    <w:top w:val="none" w:color="000000" w:sz="4"/>
                    <w:left w:val="none" w:color="000000" w:sz="4"/>
                    <w:bottom w:val="single" w:color="000000" w:sz="4"/>
                    <w:right w:val="single" w:color="000000" w:sz="4"/>
                  </w:tcBorders>
                </w:tcPr>
                <w:p>
                  <w:pPr>
                    <w:jc w:val="center"/>
                  </w:pPr>
                </w:p>
              </w:tc>
            </w:tr>
            <w:tr>
              <w:tc>
                <w:tcPr>
                  <w:tcW w:type="dxa" w:w="346"/>
                  <w:tcBorders>
                    <w:top w:val="none" w:color="000000" w:sz="4"/>
                    <w:left w:val="single" w:color="000000" w:sz="4"/>
                    <w:bottom w:val="single" w:color="000000" w:sz="4"/>
                    <w:right w:val="single" w:color="000000" w:sz="4"/>
                  </w:tcBorders>
                </w:tcPr>
                <w:p>
                  <w:pPr>
                    <w:jc w:val="center"/>
                  </w:pPr>
                  <w:r>
                    <w:rPr>
                      <w:sz w:val="21"/>
                    </w:rPr>
                    <w:t>13</w:t>
                  </w:r>
                </w:p>
              </w:tc>
              <w:tc>
                <w:tcPr>
                  <w:tcW w:type="dxa" w:w="404"/>
                  <w:vMerge/>
                  <w:tcBorders>
                    <w:top w:val="none" w:color="000000" w:sz="4"/>
                    <w:left w:val="none" w:color="000000" w:sz="4"/>
                    <w:bottom w:val="single" w:color="000000" w:sz="4"/>
                    <w:right w:val="single" w:color="000000" w:sz="4"/>
                  </w:tcBorders>
                </w:tcPr>
                <w:p/>
              </w:tc>
              <w:tc>
                <w:tcPr>
                  <w:tcW w:type="dxa" w:w="577"/>
                  <w:tcBorders>
                    <w:top w:val="none" w:color="000000" w:sz="4"/>
                    <w:left w:val="none" w:color="000000" w:sz="4"/>
                    <w:bottom w:val="single" w:color="000000" w:sz="4"/>
                    <w:right w:val="single" w:color="000000" w:sz="4"/>
                  </w:tcBorders>
                </w:tcPr>
                <w:p>
                  <w:pPr>
                    <w:jc w:val="center"/>
                  </w:pPr>
                  <w:r>
                    <w:rPr>
                      <w:b/>
                      <w:sz w:val="21"/>
                    </w:rPr>
                    <w:t>服务器安全保障</w:t>
                  </w:r>
                </w:p>
              </w:tc>
              <w:tc>
                <w:tcPr>
                  <w:tcW w:type="dxa" w:w="3116"/>
                  <w:tcBorders>
                    <w:top w:val="none" w:color="000000" w:sz="4"/>
                    <w:left w:val="none" w:color="000000" w:sz="4"/>
                    <w:bottom w:val="single" w:color="000000" w:sz="4"/>
                    <w:right w:val="single" w:color="000000" w:sz="4"/>
                  </w:tcBorders>
                </w:tcPr>
                <w:p>
                  <w:pPr>
                    <w:jc w:val="left"/>
                  </w:pPr>
                  <w:r>
                    <w:rPr>
                      <w:sz w:val="21"/>
                    </w:rPr>
                    <w:t>对服务器定期进行安全演练、打操作补丁、服务器杀毒。</w:t>
                  </w:r>
                </w:p>
              </w:tc>
              <w:tc>
                <w:tcPr>
                  <w:tcW w:type="dxa" w:w="750"/>
                  <w:tcBorders>
                    <w:top w:val="none" w:color="000000" w:sz="4"/>
                    <w:left w:val="none" w:color="000000" w:sz="4"/>
                    <w:bottom w:val="single" w:color="000000" w:sz="4"/>
                    <w:right w:val="single" w:color="000000" w:sz="4"/>
                  </w:tcBorders>
                </w:tcPr>
                <w:p>
                  <w:pPr>
                    <w:jc w:val="center"/>
                  </w:pPr>
                  <w:r>
                    <w:rPr>
                      <w:sz w:val="21"/>
                    </w:rPr>
                    <w:t>延续性运维</w:t>
                  </w:r>
                </w:p>
              </w:tc>
              <w:tc>
                <w:tcPr>
                  <w:tcW w:type="dxa" w:w="404"/>
                  <w:tcBorders>
                    <w:top w:val="none" w:color="000000" w:sz="4"/>
                    <w:left w:val="none" w:color="000000" w:sz="4"/>
                    <w:bottom w:val="single" w:color="000000" w:sz="4"/>
                    <w:right w:val="single" w:color="000000" w:sz="4"/>
                  </w:tcBorders>
                </w:tcPr>
                <w:p>
                  <w:pPr>
                    <w:jc w:val="center"/>
                  </w:pPr>
                </w:p>
              </w:tc>
            </w:tr>
            <w:tr>
              <w:tc>
                <w:tcPr>
                  <w:tcW w:type="dxa" w:w="346"/>
                  <w:tcBorders>
                    <w:top w:val="none" w:color="000000" w:sz="4"/>
                    <w:left w:val="single" w:color="000000" w:sz="4"/>
                    <w:bottom w:val="single" w:color="000000" w:sz="4"/>
                    <w:right w:val="single" w:color="000000" w:sz="4"/>
                  </w:tcBorders>
                </w:tcPr>
                <w:p>
                  <w:pPr>
                    <w:jc w:val="center"/>
                  </w:pPr>
                  <w:r>
                    <w:rPr>
                      <w:sz w:val="21"/>
                    </w:rPr>
                    <w:t>14</w:t>
                  </w:r>
                </w:p>
              </w:tc>
              <w:tc>
                <w:tcPr>
                  <w:tcW w:type="dxa" w:w="404"/>
                  <w:vMerge/>
                  <w:tcBorders>
                    <w:top w:val="none" w:color="000000" w:sz="4"/>
                    <w:left w:val="none" w:color="000000" w:sz="4"/>
                    <w:bottom w:val="single" w:color="000000" w:sz="4"/>
                    <w:right w:val="single" w:color="000000" w:sz="4"/>
                  </w:tcBorders>
                </w:tcPr>
                <w:p/>
              </w:tc>
              <w:tc>
                <w:tcPr>
                  <w:tcW w:type="dxa" w:w="577"/>
                  <w:tcBorders>
                    <w:top w:val="none" w:color="000000" w:sz="4"/>
                    <w:left w:val="none" w:color="000000" w:sz="4"/>
                    <w:bottom w:val="single" w:color="000000" w:sz="4"/>
                    <w:right w:val="single" w:color="000000" w:sz="4"/>
                  </w:tcBorders>
                </w:tcPr>
                <w:p>
                  <w:pPr>
                    <w:jc w:val="center"/>
                  </w:pPr>
                  <w:r>
                    <w:rPr>
                      <w:b/>
                      <w:sz w:val="21"/>
                    </w:rPr>
                    <w:t>系统运行状态监控及预警</w:t>
                  </w:r>
                </w:p>
              </w:tc>
              <w:tc>
                <w:tcPr>
                  <w:tcW w:type="dxa" w:w="3116"/>
                  <w:tcBorders>
                    <w:top w:val="none" w:color="000000" w:sz="4"/>
                    <w:left w:val="none" w:color="000000" w:sz="4"/>
                    <w:bottom w:val="single" w:color="000000" w:sz="4"/>
                    <w:right w:val="single" w:color="000000" w:sz="4"/>
                  </w:tcBorders>
                </w:tcPr>
                <w:p>
                  <w:pPr>
                    <w:jc w:val="left"/>
                  </w:pPr>
                  <w:r>
                    <w:rPr>
                      <w:sz w:val="21"/>
                    </w:rPr>
                    <w:t>完善系统监测模块，监控系统运行情况，发现问题及时报告并尽快解决。</w:t>
                  </w:r>
                </w:p>
              </w:tc>
              <w:tc>
                <w:tcPr>
                  <w:tcW w:type="dxa" w:w="750"/>
                  <w:tcBorders>
                    <w:top w:val="none" w:color="000000" w:sz="4"/>
                    <w:left w:val="none" w:color="000000" w:sz="4"/>
                    <w:bottom w:val="single" w:color="000000" w:sz="4"/>
                    <w:right w:val="single" w:color="000000" w:sz="4"/>
                  </w:tcBorders>
                </w:tcPr>
                <w:p>
                  <w:pPr>
                    <w:jc w:val="center"/>
                  </w:pPr>
                  <w:r>
                    <w:rPr>
                      <w:sz w:val="21"/>
                    </w:rPr>
                    <w:t>延续性运维</w:t>
                  </w:r>
                </w:p>
              </w:tc>
              <w:tc>
                <w:tcPr>
                  <w:tcW w:type="dxa" w:w="404"/>
                  <w:tcBorders>
                    <w:top w:val="none" w:color="000000" w:sz="4"/>
                    <w:left w:val="none" w:color="000000" w:sz="4"/>
                    <w:bottom w:val="single" w:color="000000" w:sz="4"/>
                    <w:right w:val="single" w:color="000000" w:sz="4"/>
                  </w:tcBorders>
                </w:tcPr>
                <w:p>
                  <w:pPr>
                    <w:jc w:val="center"/>
                  </w:pPr>
                </w:p>
              </w:tc>
            </w:tr>
            <w:tr>
              <w:tc>
                <w:tcPr>
                  <w:tcW w:type="dxa" w:w="346"/>
                  <w:tcBorders>
                    <w:top w:val="none" w:color="000000" w:sz="4"/>
                    <w:left w:val="single" w:color="000000" w:sz="4"/>
                    <w:bottom w:val="single" w:color="000000" w:sz="4"/>
                    <w:right w:val="single" w:color="000000" w:sz="4"/>
                  </w:tcBorders>
                </w:tcPr>
                <w:p>
                  <w:pPr>
                    <w:jc w:val="center"/>
                  </w:pPr>
                  <w:r>
                    <w:rPr>
                      <w:sz w:val="21"/>
                    </w:rPr>
                    <w:t>15</w:t>
                  </w:r>
                </w:p>
              </w:tc>
              <w:tc>
                <w:tcPr>
                  <w:tcW w:type="dxa" w:w="404"/>
                  <w:vMerge/>
                  <w:tcBorders>
                    <w:top w:val="none" w:color="000000" w:sz="4"/>
                    <w:left w:val="none" w:color="000000" w:sz="4"/>
                    <w:bottom w:val="single" w:color="000000" w:sz="4"/>
                    <w:right w:val="single" w:color="000000" w:sz="4"/>
                  </w:tcBorders>
                </w:tcPr>
                <w:p/>
              </w:tc>
              <w:tc>
                <w:tcPr>
                  <w:tcW w:type="dxa" w:w="577"/>
                  <w:tcBorders>
                    <w:top w:val="none" w:color="000000" w:sz="4"/>
                    <w:left w:val="none" w:color="000000" w:sz="4"/>
                    <w:bottom w:val="single" w:color="000000" w:sz="4"/>
                    <w:right w:val="single" w:color="000000" w:sz="4"/>
                  </w:tcBorders>
                </w:tcPr>
                <w:p>
                  <w:pPr>
                    <w:jc w:val="center"/>
                  </w:pPr>
                  <w:r>
                    <w:rPr>
                      <w:b/>
                      <w:sz w:val="21"/>
                    </w:rPr>
                    <w:t>安全自查和安全加固服务</w:t>
                  </w:r>
                </w:p>
              </w:tc>
              <w:tc>
                <w:tcPr>
                  <w:tcW w:type="dxa" w:w="3116"/>
                  <w:tcBorders>
                    <w:top w:val="none" w:color="000000" w:sz="4"/>
                    <w:left w:val="none" w:color="000000" w:sz="4"/>
                    <w:bottom w:val="single" w:color="000000" w:sz="4"/>
                    <w:right w:val="single" w:color="000000" w:sz="4"/>
                  </w:tcBorders>
                </w:tcPr>
                <w:p>
                  <w:pPr>
                    <w:jc w:val="left"/>
                  </w:pPr>
                  <w:r>
                    <w:rPr>
                      <w:sz w:val="21"/>
                    </w:rPr>
                    <w:t>日常安全自查、网络安全评估、上级单位检查、安全事件等各类安全问题的加固支撑及闭环管理，提供解决建议。</w:t>
                  </w:r>
                </w:p>
              </w:tc>
              <w:tc>
                <w:tcPr>
                  <w:tcW w:type="dxa" w:w="750"/>
                  <w:tcBorders>
                    <w:top w:val="none" w:color="000000" w:sz="4"/>
                    <w:left w:val="none" w:color="000000" w:sz="4"/>
                    <w:bottom w:val="single" w:color="000000" w:sz="4"/>
                    <w:right w:val="single" w:color="000000" w:sz="4"/>
                  </w:tcBorders>
                </w:tcPr>
                <w:p>
                  <w:pPr>
                    <w:jc w:val="center"/>
                  </w:pPr>
                  <w:r>
                    <w:rPr>
                      <w:sz w:val="21"/>
                    </w:rPr>
                    <w:t>延续性运维</w:t>
                  </w:r>
                </w:p>
              </w:tc>
              <w:tc>
                <w:tcPr>
                  <w:tcW w:type="dxa" w:w="404"/>
                  <w:tcBorders>
                    <w:top w:val="none" w:color="000000" w:sz="4"/>
                    <w:left w:val="none" w:color="000000" w:sz="4"/>
                    <w:bottom w:val="single" w:color="000000" w:sz="4"/>
                    <w:right w:val="single" w:color="000000" w:sz="4"/>
                  </w:tcBorders>
                </w:tcPr>
                <w:p>
                  <w:pPr>
                    <w:jc w:val="center"/>
                  </w:pPr>
                </w:p>
              </w:tc>
            </w:tr>
            <w:tr>
              <w:tc>
                <w:tcPr>
                  <w:tcW w:type="dxa" w:w="346"/>
                  <w:tcBorders>
                    <w:top w:val="none" w:color="000000" w:sz="4"/>
                    <w:left w:val="single" w:color="000000" w:sz="4"/>
                    <w:bottom w:val="single" w:color="000000" w:sz="4"/>
                    <w:right w:val="single" w:color="000000" w:sz="4"/>
                  </w:tcBorders>
                </w:tcPr>
                <w:p>
                  <w:pPr>
                    <w:jc w:val="center"/>
                  </w:pPr>
                  <w:r>
                    <w:rPr>
                      <w:sz w:val="21"/>
                    </w:rPr>
                    <w:t>16</w:t>
                  </w:r>
                </w:p>
              </w:tc>
              <w:tc>
                <w:tcPr>
                  <w:tcW w:type="dxa" w:w="404"/>
                  <w:vMerge/>
                  <w:tcBorders>
                    <w:top w:val="none" w:color="000000" w:sz="4"/>
                    <w:left w:val="none" w:color="000000" w:sz="4"/>
                    <w:bottom w:val="single" w:color="000000" w:sz="4"/>
                    <w:right w:val="single" w:color="000000" w:sz="4"/>
                  </w:tcBorders>
                </w:tcPr>
                <w:p/>
              </w:tc>
              <w:tc>
                <w:tcPr>
                  <w:tcW w:type="dxa" w:w="577"/>
                  <w:tcBorders>
                    <w:top w:val="none" w:color="000000" w:sz="4"/>
                    <w:left w:val="none" w:color="000000" w:sz="4"/>
                    <w:bottom w:val="single" w:color="000000" w:sz="4"/>
                    <w:right w:val="single" w:color="000000" w:sz="4"/>
                  </w:tcBorders>
                </w:tcPr>
                <w:p>
                  <w:pPr>
                    <w:jc w:val="center"/>
                  </w:pPr>
                  <w:r>
                    <w:rPr>
                      <w:b/>
                      <w:sz w:val="21"/>
                    </w:rPr>
                    <w:t>全流量态势感知分析检测服务</w:t>
                  </w:r>
                </w:p>
              </w:tc>
              <w:tc>
                <w:tcPr>
                  <w:tcW w:type="dxa" w:w="3116"/>
                  <w:tcBorders>
                    <w:top w:val="none" w:color="000000" w:sz="4"/>
                    <w:left w:val="none" w:color="000000" w:sz="4"/>
                    <w:bottom w:val="single" w:color="000000" w:sz="4"/>
                    <w:right w:val="single" w:color="000000" w:sz="4"/>
                  </w:tcBorders>
                </w:tcPr>
                <w:p>
                  <w:pPr>
                    <w:jc w:val="left"/>
                  </w:pPr>
                  <w:r>
                    <w:rPr>
                      <w:sz w:val="21"/>
                    </w:rPr>
                    <w:t>服务期对使用的政务外网主机提供全流量态势感知分析检测服务，对网络威胁可视化，攻击与可疑流量可视化，解决安全黑洞与安全洼地的问题，进行问题分析，并提出解决建议。</w:t>
                  </w:r>
                </w:p>
              </w:tc>
              <w:tc>
                <w:tcPr>
                  <w:tcW w:type="dxa" w:w="750"/>
                  <w:tcBorders>
                    <w:top w:val="none" w:color="000000" w:sz="4"/>
                    <w:left w:val="none" w:color="000000" w:sz="4"/>
                    <w:bottom w:val="single" w:color="000000" w:sz="4"/>
                    <w:right w:val="single" w:color="000000" w:sz="4"/>
                  </w:tcBorders>
                </w:tcPr>
                <w:p>
                  <w:pPr>
                    <w:jc w:val="center"/>
                  </w:pPr>
                  <w:r>
                    <w:rPr>
                      <w:sz w:val="21"/>
                    </w:rPr>
                    <w:t>延续性运维</w:t>
                  </w:r>
                </w:p>
              </w:tc>
              <w:tc>
                <w:tcPr>
                  <w:tcW w:type="dxa" w:w="404"/>
                  <w:tcBorders>
                    <w:top w:val="none" w:color="000000" w:sz="4"/>
                    <w:left w:val="none" w:color="000000" w:sz="4"/>
                    <w:bottom w:val="single" w:color="000000" w:sz="4"/>
                    <w:right w:val="single" w:color="000000" w:sz="4"/>
                  </w:tcBorders>
                </w:tcPr>
                <w:p>
                  <w:pPr>
                    <w:jc w:val="center"/>
                  </w:pPr>
                </w:p>
              </w:tc>
            </w:tr>
            <w:tr>
              <w:tc>
                <w:tcPr>
                  <w:tcW w:type="dxa" w:w="346"/>
                  <w:tcBorders>
                    <w:top w:val="none" w:color="000000" w:sz="4"/>
                    <w:left w:val="single" w:color="000000" w:sz="4"/>
                    <w:bottom w:val="single" w:color="000000" w:sz="4"/>
                    <w:right w:val="single" w:color="000000" w:sz="4"/>
                  </w:tcBorders>
                </w:tcPr>
                <w:p>
                  <w:pPr>
                    <w:jc w:val="center"/>
                  </w:pPr>
                  <w:r>
                    <w:rPr>
                      <w:sz w:val="21"/>
                    </w:rPr>
                    <w:t>17</w:t>
                  </w:r>
                </w:p>
              </w:tc>
              <w:tc>
                <w:tcPr>
                  <w:tcW w:type="dxa" w:w="404"/>
                  <w:vMerge/>
                  <w:tcBorders>
                    <w:top w:val="none" w:color="000000" w:sz="4"/>
                    <w:left w:val="none" w:color="000000" w:sz="4"/>
                    <w:bottom w:val="single" w:color="000000" w:sz="4"/>
                    <w:right w:val="single" w:color="000000" w:sz="4"/>
                  </w:tcBorders>
                </w:tcPr>
                <w:p/>
              </w:tc>
              <w:tc>
                <w:tcPr>
                  <w:tcW w:type="dxa" w:w="577"/>
                  <w:tcBorders>
                    <w:top w:val="none" w:color="000000" w:sz="4"/>
                    <w:left w:val="none" w:color="000000" w:sz="4"/>
                    <w:bottom w:val="single" w:color="000000" w:sz="4"/>
                    <w:right w:val="single" w:color="000000" w:sz="4"/>
                  </w:tcBorders>
                </w:tcPr>
                <w:p>
                  <w:pPr>
                    <w:jc w:val="center"/>
                  </w:pPr>
                  <w:r>
                    <w:rPr>
                      <w:b/>
                      <w:sz w:val="21"/>
                    </w:rPr>
                    <w:t>网络安全监测预警和信息通报</w:t>
                  </w:r>
                </w:p>
              </w:tc>
              <w:tc>
                <w:tcPr>
                  <w:tcW w:type="dxa" w:w="3116"/>
                  <w:tcBorders>
                    <w:top w:val="none" w:color="000000" w:sz="4"/>
                    <w:left w:val="none" w:color="000000" w:sz="4"/>
                    <w:bottom w:val="single" w:color="000000" w:sz="4"/>
                    <w:right w:val="single" w:color="000000" w:sz="4"/>
                  </w:tcBorders>
                </w:tcPr>
                <w:p>
                  <w:pPr>
                    <w:jc w:val="left"/>
                  </w:pPr>
                  <w:r>
                    <w:rPr>
                      <w:sz w:val="21"/>
                    </w:rPr>
                    <w:t>针对监管部门通报的安全预警通报、网络安全风险和网络安全事的调查、反馈和整改处置，协助网络安全相关检查的回文，针对重要时期的网络安全检查工作，提供相应的系统安全评估和安全应急服务。</w:t>
                  </w:r>
                </w:p>
              </w:tc>
              <w:tc>
                <w:tcPr>
                  <w:tcW w:type="dxa" w:w="750"/>
                  <w:tcBorders>
                    <w:top w:val="none" w:color="000000" w:sz="4"/>
                    <w:left w:val="none" w:color="000000" w:sz="4"/>
                    <w:bottom w:val="single" w:color="000000" w:sz="4"/>
                    <w:right w:val="single" w:color="000000" w:sz="4"/>
                  </w:tcBorders>
                </w:tcPr>
                <w:p>
                  <w:pPr>
                    <w:jc w:val="center"/>
                  </w:pPr>
                  <w:r>
                    <w:rPr>
                      <w:sz w:val="21"/>
                    </w:rPr>
                    <w:t>延续性运维</w:t>
                  </w:r>
                </w:p>
              </w:tc>
              <w:tc>
                <w:tcPr>
                  <w:tcW w:type="dxa" w:w="404"/>
                  <w:tcBorders>
                    <w:top w:val="none" w:color="000000" w:sz="4"/>
                    <w:left w:val="none" w:color="000000" w:sz="4"/>
                    <w:bottom w:val="single" w:color="000000" w:sz="4"/>
                    <w:right w:val="single" w:color="000000" w:sz="4"/>
                  </w:tcBorders>
                </w:tcPr>
                <w:p>
                  <w:pPr>
                    <w:jc w:val="center"/>
                  </w:pPr>
                </w:p>
              </w:tc>
            </w:tr>
            <w:tr>
              <w:tc>
                <w:tcPr>
                  <w:tcW w:type="dxa" w:w="346"/>
                  <w:tcBorders>
                    <w:top w:val="none" w:color="000000" w:sz="4"/>
                    <w:left w:val="single" w:color="000000" w:sz="4"/>
                    <w:bottom w:val="single" w:color="000000" w:sz="4"/>
                    <w:right w:val="single" w:color="000000" w:sz="4"/>
                  </w:tcBorders>
                </w:tcPr>
                <w:p>
                  <w:pPr>
                    <w:jc w:val="center"/>
                  </w:pPr>
                  <w:r>
                    <w:rPr>
                      <w:sz w:val="21"/>
                    </w:rPr>
                    <w:t>18</w:t>
                  </w:r>
                </w:p>
              </w:tc>
              <w:tc>
                <w:tcPr>
                  <w:tcW w:type="dxa" w:w="404"/>
                  <w:vMerge/>
                  <w:tcBorders>
                    <w:top w:val="none" w:color="000000" w:sz="4"/>
                    <w:left w:val="none" w:color="000000" w:sz="4"/>
                    <w:bottom w:val="single" w:color="000000" w:sz="4"/>
                    <w:right w:val="single" w:color="000000" w:sz="4"/>
                  </w:tcBorders>
                </w:tcPr>
                <w:p/>
              </w:tc>
              <w:tc>
                <w:tcPr>
                  <w:tcW w:type="dxa" w:w="577"/>
                  <w:tcBorders>
                    <w:top w:val="none" w:color="000000" w:sz="4"/>
                    <w:left w:val="none" w:color="000000" w:sz="4"/>
                    <w:bottom w:val="single" w:color="000000" w:sz="4"/>
                    <w:right w:val="single" w:color="000000" w:sz="4"/>
                  </w:tcBorders>
                </w:tcPr>
                <w:p>
                  <w:pPr>
                    <w:jc w:val="center"/>
                  </w:pPr>
                  <w:r>
                    <w:rPr>
                      <w:b/>
                      <w:sz w:val="21"/>
                    </w:rPr>
                    <w:t>系统安全值守保障</w:t>
                  </w:r>
                </w:p>
              </w:tc>
              <w:tc>
                <w:tcPr>
                  <w:tcW w:type="dxa" w:w="3116"/>
                  <w:tcBorders>
                    <w:top w:val="none" w:color="000000" w:sz="4"/>
                    <w:left w:val="none" w:color="000000" w:sz="4"/>
                    <w:bottom w:val="single" w:color="000000" w:sz="4"/>
                    <w:right w:val="single" w:color="000000" w:sz="4"/>
                  </w:tcBorders>
                </w:tcPr>
                <w:p>
                  <w:pPr>
                    <w:jc w:val="left"/>
                  </w:pPr>
                  <w:r>
                    <w:rPr>
                      <w:sz w:val="21"/>
                    </w:rPr>
                    <w:t>重大活动、法定节假日等重点保障期间需安排专人在中山市内值守，进行运维保障。</w:t>
                  </w:r>
                </w:p>
              </w:tc>
              <w:tc>
                <w:tcPr>
                  <w:tcW w:type="dxa" w:w="750"/>
                  <w:tcBorders>
                    <w:top w:val="none" w:color="000000" w:sz="4"/>
                    <w:left w:val="none" w:color="000000" w:sz="4"/>
                    <w:bottom w:val="single" w:color="000000" w:sz="4"/>
                    <w:right w:val="single" w:color="000000" w:sz="4"/>
                  </w:tcBorders>
                </w:tcPr>
                <w:p>
                  <w:pPr>
                    <w:jc w:val="center"/>
                  </w:pPr>
                  <w:r>
                    <w:rPr>
                      <w:sz w:val="21"/>
                    </w:rPr>
                    <w:t>延续性运维</w:t>
                  </w:r>
                </w:p>
              </w:tc>
              <w:tc>
                <w:tcPr>
                  <w:tcW w:type="dxa" w:w="404"/>
                  <w:tcBorders>
                    <w:top w:val="none" w:color="000000" w:sz="4"/>
                    <w:left w:val="none" w:color="000000" w:sz="4"/>
                    <w:bottom w:val="single" w:color="000000" w:sz="4"/>
                    <w:right w:val="single" w:color="000000" w:sz="4"/>
                  </w:tcBorders>
                </w:tcPr>
                <w:p>
                  <w:pPr>
                    <w:jc w:val="center"/>
                  </w:pPr>
                </w:p>
              </w:tc>
            </w:tr>
            <w:tr>
              <w:tc>
                <w:tcPr>
                  <w:tcW w:type="dxa" w:w="346"/>
                  <w:tcBorders>
                    <w:top w:val="none" w:color="000000" w:sz="4"/>
                    <w:left w:val="single" w:color="000000" w:sz="4"/>
                    <w:bottom w:val="single" w:color="000000" w:sz="4"/>
                    <w:right w:val="single" w:color="000000" w:sz="4"/>
                  </w:tcBorders>
                </w:tcPr>
                <w:p>
                  <w:pPr>
                    <w:jc w:val="center"/>
                  </w:pPr>
                  <w:r>
                    <w:rPr>
                      <w:sz w:val="21"/>
                    </w:rPr>
                    <w:t>19</w:t>
                  </w:r>
                </w:p>
              </w:tc>
              <w:tc>
                <w:tcPr>
                  <w:tcW w:type="dxa" w:w="404"/>
                  <w:vMerge w:val="restart"/>
                  <w:tcBorders>
                    <w:top w:val="none" w:color="000000" w:sz="4"/>
                    <w:left w:val="none" w:color="000000" w:sz="4"/>
                    <w:bottom w:val="single" w:color="000000" w:sz="4"/>
                    <w:right w:val="single" w:color="000000" w:sz="4"/>
                  </w:tcBorders>
                </w:tcPr>
                <w:p>
                  <w:pPr>
                    <w:jc w:val="center"/>
                  </w:pPr>
                  <w:r>
                    <w:rPr>
                      <w:b/>
                      <w:sz w:val="21"/>
                    </w:rPr>
                    <w:t>安全应急演练</w:t>
                  </w:r>
                </w:p>
              </w:tc>
              <w:tc>
                <w:tcPr>
                  <w:tcW w:type="dxa" w:w="577"/>
                  <w:tcBorders>
                    <w:top w:val="none" w:color="000000" w:sz="4"/>
                    <w:left w:val="none" w:color="000000" w:sz="4"/>
                    <w:bottom w:val="single" w:color="000000" w:sz="4"/>
                    <w:right w:val="single" w:color="000000" w:sz="4"/>
                  </w:tcBorders>
                </w:tcPr>
                <w:p>
                  <w:pPr>
                    <w:jc w:val="center"/>
                  </w:pPr>
                  <w:r>
                    <w:rPr>
                      <w:b/>
                      <w:sz w:val="21"/>
                    </w:rPr>
                    <w:t>网络安全事件应急预案</w:t>
                  </w:r>
                </w:p>
              </w:tc>
              <w:tc>
                <w:tcPr>
                  <w:tcW w:type="dxa" w:w="3116"/>
                  <w:tcBorders>
                    <w:top w:val="none" w:color="000000" w:sz="4"/>
                    <w:left w:val="none" w:color="000000" w:sz="4"/>
                    <w:bottom w:val="single" w:color="000000" w:sz="4"/>
                    <w:right w:val="single" w:color="000000" w:sz="4"/>
                  </w:tcBorders>
                </w:tcPr>
                <w:p>
                  <w:pPr>
                    <w:jc w:val="left"/>
                  </w:pPr>
                  <w:r>
                    <w:rPr>
                      <w:sz w:val="21"/>
                    </w:rPr>
                    <w:t>根据《网络安全法》及其他法规要求，结合用户实际情况，定制应急体系，预案内容包括总则、组织指挥体系及职责、预警和预防机制、应急响应处理程序、保障措施等。</w:t>
                  </w:r>
                </w:p>
              </w:tc>
              <w:tc>
                <w:tcPr>
                  <w:tcW w:type="dxa" w:w="750"/>
                  <w:tcBorders>
                    <w:top w:val="none" w:color="000000" w:sz="4"/>
                    <w:left w:val="none" w:color="000000" w:sz="4"/>
                    <w:bottom w:val="single" w:color="000000" w:sz="4"/>
                    <w:right w:val="single" w:color="000000" w:sz="4"/>
                  </w:tcBorders>
                </w:tcPr>
                <w:p>
                  <w:pPr>
                    <w:jc w:val="center"/>
                  </w:pPr>
                  <w:r>
                    <w:rPr>
                      <w:sz w:val="21"/>
                    </w:rPr>
                    <w:t>延续性运维</w:t>
                  </w:r>
                </w:p>
              </w:tc>
              <w:tc>
                <w:tcPr>
                  <w:tcW w:type="dxa" w:w="404"/>
                  <w:tcBorders>
                    <w:top w:val="none" w:color="000000" w:sz="4"/>
                    <w:left w:val="none" w:color="000000" w:sz="4"/>
                    <w:bottom w:val="single" w:color="000000" w:sz="4"/>
                    <w:right w:val="single" w:color="000000" w:sz="4"/>
                  </w:tcBorders>
                </w:tcPr>
                <w:p>
                  <w:pPr>
                    <w:jc w:val="center"/>
                  </w:pPr>
                </w:p>
              </w:tc>
            </w:tr>
            <w:tr>
              <w:tc>
                <w:tcPr>
                  <w:tcW w:type="dxa" w:w="346"/>
                  <w:tcBorders>
                    <w:top w:val="none" w:color="000000" w:sz="4"/>
                    <w:left w:val="single" w:color="000000" w:sz="4"/>
                    <w:bottom w:val="single" w:color="000000" w:sz="4"/>
                    <w:right w:val="single" w:color="000000" w:sz="4"/>
                  </w:tcBorders>
                </w:tcPr>
                <w:p>
                  <w:pPr>
                    <w:jc w:val="center"/>
                  </w:pPr>
                  <w:r>
                    <w:rPr>
                      <w:sz w:val="21"/>
                    </w:rPr>
                    <w:t>20</w:t>
                  </w:r>
                </w:p>
              </w:tc>
              <w:tc>
                <w:tcPr>
                  <w:tcW w:type="dxa" w:w="404"/>
                  <w:vMerge/>
                  <w:tcBorders>
                    <w:top w:val="none" w:color="000000" w:sz="4"/>
                    <w:left w:val="none" w:color="000000" w:sz="4"/>
                    <w:bottom w:val="single" w:color="000000" w:sz="4"/>
                    <w:right w:val="single" w:color="000000" w:sz="4"/>
                  </w:tcBorders>
                </w:tcPr>
                <w:p/>
              </w:tc>
              <w:tc>
                <w:tcPr>
                  <w:tcW w:type="dxa" w:w="577"/>
                  <w:tcBorders>
                    <w:top w:val="none" w:color="000000" w:sz="4"/>
                    <w:left w:val="none" w:color="000000" w:sz="4"/>
                    <w:bottom w:val="single" w:color="000000" w:sz="4"/>
                    <w:right w:val="single" w:color="000000" w:sz="4"/>
                  </w:tcBorders>
                </w:tcPr>
                <w:p>
                  <w:pPr>
                    <w:jc w:val="center"/>
                  </w:pPr>
                  <w:r>
                    <w:rPr>
                      <w:b/>
                      <w:sz w:val="21"/>
                    </w:rPr>
                    <w:t>安全应急演练</w:t>
                  </w:r>
                </w:p>
              </w:tc>
              <w:tc>
                <w:tcPr>
                  <w:tcW w:type="dxa" w:w="3116"/>
                  <w:tcBorders>
                    <w:top w:val="none" w:color="000000" w:sz="4"/>
                    <w:left w:val="none" w:color="000000" w:sz="4"/>
                    <w:bottom w:val="single" w:color="000000" w:sz="4"/>
                    <w:right w:val="single" w:color="000000" w:sz="4"/>
                  </w:tcBorders>
                </w:tcPr>
                <w:p>
                  <w:pPr>
                    <w:jc w:val="left"/>
                  </w:pPr>
                  <w:r>
                    <w:rPr>
                      <w:sz w:val="21"/>
                    </w:rPr>
                    <w:t>配合市相关演练要求展开工作，网络安全场景演练方案、实操演练方案、恢复指引及过程记录。制定系统应急响应预案，配合用户单位开展应急演练和攻防演练。在安全演练前做好系统安全检查，封堵系统服务器、应用程序和弱口令等各种漏洞。安全演练过程中及时发现被攻击情况，迅速采取正确处置手段应对攻击行为，并编写《网络安全演练事件调查分析报告》。</w:t>
                  </w:r>
                </w:p>
              </w:tc>
              <w:tc>
                <w:tcPr>
                  <w:tcW w:type="dxa" w:w="750"/>
                  <w:tcBorders>
                    <w:top w:val="none" w:color="000000" w:sz="4"/>
                    <w:left w:val="none" w:color="000000" w:sz="4"/>
                    <w:bottom w:val="single" w:color="000000" w:sz="4"/>
                    <w:right w:val="single" w:color="000000" w:sz="4"/>
                  </w:tcBorders>
                </w:tcPr>
                <w:p>
                  <w:pPr>
                    <w:jc w:val="center"/>
                  </w:pPr>
                  <w:r>
                    <w:rPr>
                      <w:sz w:val="21"/>
                    </w:rPr>
                    <w:t>延续性运维</w:t>
                  </w:r>
                </w:p>
              </w:tc>
              <w:tc>
                <w:tcPr>
                  <w:tcW w:type="dxa" w:w="404"/>
                  <w:tcBorders>
                    <w:top w:val="none" w:color="000000" w:sz="4"/>
                    <w:left w:val="none" w:color="000000" w:sz="4"/>
                    <w:bottom w:val="single" w:color="000000" w:sz="4"/>
                    <w:right w:val="single" w:color="000000" w:sz="4"/>
                  </w:tcBorders>
                </w:tcPr>
                <w:p>
                  <w:pPr>
                    <w:jc w:val="center"/>
                  </w:pPr>
                </w:p>
              </w:tc>
            </w:tr>
            <w:tr>
              <w:tc>
                <w:tcPr>
                  <w:tcW w:type="dxa" w:w="346"/>
                  <w:tcBorders>
                    <w:top w:val="none" w:color="000000" w:sz="4"/>
                    <w:left w:val="single" w:color="000000" w:sz="4"/>
                    <w:bottom w:val="single" w:color="000000" w:sz="4"/>
                    <w:right w:val="single" w:color="000000" w:sz="4"/>
                  </w:tcBorders>
                </w:tcPr>
                <w:p>
                  <w:pPr>
                    <w:jc w:val="center"/>
                  </w:pPr>
                  <w:r>
                    <w:rPr>
                      <w:sz w:val="21"/>
                    </w:rPr>
                    <w:t>21</w:t>
                  </w:r>
                </w:p>
              </w:tc>
              <w:tc>
                <w:tcPr>
                  <w:tcW w:type="dxa" w:w="404"/>
                  <w:tcBorders>
                    <w:top w:val="none" w:color="000000" w:sz="4"/>
                    <w:left w:val="none" w:color="000000" w:sz="4"/>
                    <w:bottom w:val="single" w:color="000000" w:sz="4"/>
                    <w:right w:val="single" w:color="000000" w:sz="4"/>
                  </w:tcBorders>
                </w:tcPr>
                <w:p>
                  <w:pPr>
                    <w:jc w:val="center"/>
                  </w:pPr>
                  <w:r>
                    <w:rPr>
                      <w:b/>
                      <w:sz w:val="21"/>
                    </w:rPr>
                    <w:t>安全培训</w:t>
                  </w:r>
                </w:p>
              </w:tc>
              <w:tc>
                <w:tcPr>
                  <w:tcW w:type="dxa" w:w="577"/>
                  <w:tcBorders>
                    <w:top w:val="none" w:color="000000" w:sz="4"/>
                    <w:left w:val="none" w:color="000000" w:sz="4"/>
                    <w:bottom w:val="single" w:color="000000" w:sz="4"/>
                    <w:right w:val="single" w:color="000000" w:sz="4"/>
                  </w:tcBorders>
                </w:tcPr>
                <w:p>
                  <w:pPr>
                    <w:jc w:val="center"/>
                  </w:pPr>
                  <w:r>
                    <w:rPr>
                      <w:b/>
                      <w:sz w:val="21"/>
                    </w:rPr>
                    <w:t>网络安全知识和技能培训</w:t>
                  </w:r>
                </w:p>
              </w:tc>
              <w:tc>
                <w:tcPr>
                  <w:tcW w:type="dxa" w:w="3116"/>
                  <w:tcBorders>
                    <w:top w:val="none" w:color="000000" w:sz="4"/>
                    <w:left w:val="none" w:color="000000" w:sz="4"/>
                    <w:bottom w:val="single" w:color="000000" w:sz="4"/>
                    <w:right w:val="single" w:color="000000" w:sz="4"/>
                  </w:tcBorders>
                </w:tcPr>
                <w:p>
                  <w:pPr>
                    <w:jc w:val="left"/>
                  </w:pPr>
                  <w:r>
                    <w:rPr>
                      <w:sz w:val="21"/>
                    </w:rPr>
                    <w:t>通过综合安全培训、演练等多种形式对工作人员系统运维人员进行安全意识教育、技能培训和相关安全技术培训，提供网络信息安全风险、非法攻击、数据安全、病毒入侵及管理漏洞风险防控等网络安全知识培训工作，并提供必要的培训资料文件。</w:t>
                  </w:r>
                </w:p>
              </w:tc>
              <w:tc>
                <w:tcPr>
                  <w:tcW w:type="dxa" w:w="750"/>
                  <w:tcBorders>
                    <w:top w:val="none" w:color="000000" w:sz="4"/>
                    <w:left w:val="none" w:color="000000" w:sz="4"/>
                    <w:bottom w:val="single" w:color="000000" w:sz="4"/>
                    <w:right w:val="single" w:color="000000" w:sz="4"/>
                  </w:tcBorders>
                </w:tcPr>
                <w:p>
                  <w:pPr>
                    <w:jc w:val="center"/>
                  </w:pPr>
                  <w:r>
                    <w:rPr>
                      <w:sz w:val="21"/>
                    </w:rPr>
                    <w:t>延续性运维</w:t>
                  </w:r>
                </w:p>
              </w:tc>
              <w:tc>
                <w:tcPr>
                  <w:tcW w:type="dxa" w:w="404"/>
                  <w:tcBorders>
                    <w:top w:val="none" w:color="000000" w:sz="4"/>
                    <w:left w:val="none" w:color="000000" w:sz="4"/>
                    <w:bottom w:val="single" w:color="000000" w:sz="4"/>
                    <w:right w:val="single" w:color="000000" w:sz="4"/>
                  </w:tcBorders>
                </w:tcPr>
                <w:p>
                  <w:pPr>
                    <w:jc w:val="center"/>
                  </w:pPr>
                </w:p>
              </w:tc>
            </w:tr>
          </w:tbl>
          <w:p>
            <w:r>
              <w:rPr/>
              <w:t xml:space="preserve"> </w:t>
            </w:r>
          </w:p>
        </w:tc>
      </w:tr>
      <w:tr>
        <w:tc>
          <w:tcPr>
            <w:tcW w:type="dxa" w:w="2076"/>
          </w:tcPr>
          <w:p/>
        </w:tc>
        <w:tc>
          <w:tcPr>
            <w:tcW w:type="dxa" w:w="415"/>
          </w:tcPr>
          <w:p>
            <w:r>
              <w:rPr/>
              <w:t>4</w:t>
            </w:r>
          </w:p>
        </w:tc>
        <w:tc>
          <w:tcPr>
            <w:tcW w:type="dxa" w:w="5814"/>
          </w:tcPr>
          <w:p>
            <w:pPr>
              <w:jc w:val="both"/>
            </w:pPr>
            <w:r>
              <w:rPr>
                <w:b/>
                <w:sz w:val="21"/>
              </w:rPr>
              <w:t>4.</w:t>
            </w:r>
            <w:r>
              <w:rPr>
                <w:b/>
                <w:sz w:val="21"/>
              </w:rPr>
              <w:t>运维工作机制</w:t>
            </w:r>
          </w:p>
          <w:p>
            <w:pPr>
              <w:jc w:val="both"/>
            </w:pPr>
            <w:r>
              <w:rPr>
                <w:sz w:val="21"/>
              </w:rPr>
              <w:t>运维公司应严格按照《中山市自然资源局软件系统维护管理办法》开展运维工作，并编制详细、可实施的系统运维方案，明确系统运维任务的工作流程，开展系统运行风险评估，提出整改措施并落实，完善系统应急响应方案，健全系统维护响应机制。</w:t>
            </w:r>
          </w:p>
          <w:p>
            <w:pPr>
              <w:jc w:val="both"/>
            </w:pPr>
            <w:r>
              <w:rPr>
                <w:sz w:val="21"/>
              </w:rPr>
              <w:t>对于重要运维任务，如系统迁移、重大版本更新、重大业务流程或功能调整，运维公司在接到运维需求后，应严格按照需求调研、方案设计、编码、测试、功能上线几个阶段来实施。全面开展需求分析，形成需求分析书，经业务科室确认后，深入分析、全面评估、有效防控风险，编制技术方案，并经中山市自然资源信息中心审核和业务科室确认后，方可开展工作。对应功能上线前需进行测试，并经业务科室进行功能确认并进行培训后方可上线。上线初期配置好运维人员保证功能故障能快速响应、及时解决。</w:t>
            </w:r>
          </w:p>
          <w:p>
            <w:pPr>
              <w:jc w:val="both"/>
            </w:pPr>
            <w:r>
              <w:rPr>
                <w:sz w:val="21"/>
              </w:rPr>
              <w:t>项目运维过程中出现故障应立即向局信息化部门上报，由信息化部门统筹故障的处置，根据实际情况启动有关应急响应。运维公司不得瞒报，故障处理进展应及时上报。</w:t>
            </w:r>
          </w:p>
          <w:p>
            <w:pPr>
              <w:jc w:val="both"/>
            </w:pPr>
            <w:r>
              <w:rPr>
                <w:sz w:val="21"/>
              </w:rPr>
              <w:t>运维重点方案和重要运维任务的技术方案，运维团队内部应有审核审批机制。重要方案一般应经过起草、审查、审批三个环节，各环节应由不同的责任人完成，承担相应的责任。</w:t>
            </w:r>
          </w:p>
          <w:p>
            <w:pPr>
              <w:jc w:val="both"/>
            </w:pPr>
            <w:r>
              <w:rPr>
                <w:sz w:val="21"/>
              </w:rPr>
              <w:t>一般运维任务，业务科室和运维公司可直接对接，并做好相关记录。</w:t>
            </w:r>
          </w:p>
          <w:p>
            <w:pPr>
              <w:jc w:val="both"/>
            </w:pPr>
            <w:r>
              <w:rPr>
                <w:sz w:val="21"/>
              </w:rPr>
              <w:t>对于短时无法完成的运维任务，运维公司应及时报告，由中山市自然资源信息中心综合研判，形成运维决定后，方可回复运维需求提出人。</w:t>
            </w:r>
          </w:p>
          <w:p>
            <w:r>
              <w:rPr>
                <w:sz w:val="21"/>
              </w:rPr>
              <w:t>运维公司应建立运维风险定期评估机制，与中山市自然资源局信息化部门和业务科室共同开展运维风险评估，对运维动作带来的风险提前预判，及时完善风险防控措施，明确风险防控工作中运维的责任。</w:t>
            </w:r>
          </w:p>
        </w:tc>
      </w:tr>
      <w:tr>
        <w:tc>
          <w:tcPr>
            <w:tcW w:type="dxa" w:w="2076"/>
          </w:tcPr>
          <w:p/>
        </w:tc>
        <w:tc>
          <w:tcPr>
            <w:tcW w:type="dxa" w:w="415"/>
          </w:tcPr>
          <w:p>
            <w:r>
              <w:rPr/>
              <w:t>5</w:t>
            </w:r>
          </w:p>
        </w:tc>
        <w:tc>
          <w:tcPr>
            <w:tcW w:type="dxa" w:w="5814"/>
          </w:tcPr>
          <w:p>
            <w:pPr>
              <w:jc w:val="both"/>
            </w:pPr>
            <w:r>
              <w:rPr>
                <w:b/>
                <w:sz w:val="21"/>
              </w:rPr>
              <w:t>5.</w:t>
            </w:r>
            <w:r>
              <w:rPr>
                <w:b/>
                <w:sz w:val="21"/>
              </w:rPr>
              <w:t>运维执行的标准规范及政策文件</w:t>
            </w:r>
          </w:p>
          <w:p>
            <w:pPr>
              <w:jc w:val="both"/>
            </w:pPr>
            <w:r>
              <w:rPr>
                <w:sz w:val="21"/>
              </w:rPr>
              <w:t xml:space="preserve">(1)   </w:t>
            </w:r>
            <w:r>
              <w:rPr>
                <w:sz w:val="21"/>
              </w:rPr>
              <w:t>广东省地理空间数据管理办法（试行）</w:t>
            </w:r>
          </w:p>
          <w:p>
            <w:pPr>
              <w:jc w:val="both"/>
            </w:pPr>
            <w:r>
              <w:rPr>
                <w:sz w:val="21"/>
              </w:rPr>
              <w:t xml:space="preserve">(2)   </w:t>
            </w:r>
            <w:r>
              <w:rPr>
                <w:sz w:val="21"/>
              </w:rPr>
              <w:t>广东省自然资源网络安全工作指引</w:t>
            </w:r>
          </w:p>
          <w:p>
            <w:pPr>
              <w:jc w:val="both"/>
            </w:pPr>
            <w:r>
              <w:rPr>
                <w:sz w:val="21"/>
              </w:rPr>
              <w:t xml:space="preserve">(3)   </w:t>
            </w:r>
            <w:r>
              <w:rPr>
                <w:sz w:val="21"/>
              </w:rPr>
              <w:t>广东省自然资源厅政务办公系统运行管理规定（试行）</w:t>
            </w:r>
          </w:p>
          <w:p>
            <w:pPr>
              <w:jc w:val="both"/>
            </w:pPr>
            <w:r>
              <w:rPr>
                <w:sz w:val="21"/>
              </w:rPr>
              <w:t xml:space="preserve">(4)   </w:t>
            </w:r>
            <w:r>
              <w:rPr>
                <w:sz w:val="21"/>
              </w:rPr>
              <w:t>广东省自然资源厅非涉密信息系统网络安全管理规定</w:t>
            </w:r>
          </w:p>
          <w:p>
            <w:pPr>
              <w:jc w:val="both"/>
            </w:pPr>
            <w:r>
              <w:rPr>
                <w:sz w:val="21"/>
              </w:rPr>
              <w:t xml:space="preserve">(5)   </w:t>
            </w:r>
            <w:r>
              <w:rPr>
                <w:sz w:val="21"/>
              </w:rPr>
              <w:t>广东省自然资源厅网络安全事件综合应急预案</w:t>
            </w:r>
          </w:p>
          <w:p>
            <w:pPr>
              <w:jc w:val="both"/>
            </w:pPr>
            <w:r>
              <w:rPr>
                <w:sz w:val="21"/>
              </w:rPr>
              <w:t xml:space="preserve">(6)   </w:t>
            </w:r>
            <w:r>
              <w:rPr>
                <w:sz w:val="21"/>
              </w:rPr>
              <w:t>广东省自然资源网络安全工作指引</w:t>
            </w:r>
          </w:p>
          <w:p>
            <w:pPr>
              <w:jc w:val="both"/>
            </w:pPr>
            <w:r>
              <w:rPr>
                <w:sz w:val="21"/>
              </w:rPr>
              <w:t xml:space="preserve">(7)   </w:t>
            </w:r>
            <w:r>
              <w:rPr>
                <w:sz w:val="21"/>
              </w:rPr>
              <w:t>中山市电子政务云服务平台上云安全审查指引（试行）</w:t>
            </w:r>
          </w:p>
          <w:p>
            <w:pPr>
              <w:jc w:val="both"/>
            </w:pPr>
            <w:r>
              <w:rPr>
                <w:sz w:val="21"/>
              </w:rPr>
              <w:t xml:space="preserve">(8)   </w:t>
            </w:r>
            <w:r>
              <w:rPr>
                <w:sz w:val="21"/>
              </w:rPr>
              <w:t>中山市电子政务云服务平台资源管理实施细则（</w:t>
            </w:r>
            <w:r>
              <w:rPr>
                <w:sz w:val="21"/>
              </w:rPr>
              <w:t>2021</w:t>
            </w:r>
            <w:r>
              <w:rPr>
                <w:sz w:val="21"/>
              </w:rPr>
              <w:t>年修订版）</w:t>
            </w:r>
          </w:p>
          <w:p>
            <w:pPr>
              <w:jc w:val="both"/>
            </w:pPr>
            <w:r>
              <w:rPr>
                <w:sz w:val="21"/>
              </w:rPr>
              <w:t xml:space="preserve">(9)   </w:t>
            </w:r>
            <w:r>
              <w:rPr>
                <w:sz w:val="21"/>
              </w:rPr>
              <w:t>关于进一步加强中山市电子政务外网接入单位内部网络安全管理有关工作的通知</w:t>
            </w:r>
          </w:p>
          <w:p>
            <w:pPr>
              <w:jc w:val="both"/>
            </w:pPr>
            <w:r>
              <w:rPr>
                <w:sz w:val="21"/>
              </w:rPr>
              <w:t xml:space="preserve">(10) </w:t>
            </w:r>
            <w:r>
              <w:rPr>
                <w:sz w:val="21"/>
              </w:rPr>
              <w:t>中山市电子政务外网网络安全管理办法</w:t>
            </w:r>
          </w:p>
          <w:p>
            <w:pPr>
              <w:jc w:val="both"/>
            </w:pPr>
            <w:r>
              <w:rPr>
                <w:sz w:val="21"/>
              </w:rPr>
              <w:t xml:space="preserve">(11) </w:t>
            </w:r>
            <w:r>
              <w:rPr>
                <w:sz w:val="21"/>
              </w:rPr>
              <w:t>中山市电子政务云服务平台管理办法</w:t>
            </w:r>
          </w:p>
          <w:p>
            <w:pPr>
              <w:jc w:val="both"/>
            </w:pPr>
            <w:r>
              <w:rPr>
                <w:sz w:val="21"/>
              </w:rPr>
              <w:t xml:space="preserve">(12) </w:t>
            </w:r>
            <w:r>
              <w:rPr>
                <w:sz w:val="21"/>
              </w:rPr>
              <w:t>中山市政务数据管理办法</w:t>
            </w:r>
          </w:p>
          <w:p>
            <w:pPr>
              <w:jc w:val="both"/>
            </w:pPr>
            <w:r>
              <w:rPr>
                <w:sz w:val="21"/>
              </w:rPr>
              <w:t xml:space="preserve">(13) </w:t>
            </w:r>
            <w:r>
              <w:rPr>
                <w:sz w:val="21"/>
              </w:rPr>
              <w:t>中山市政务信息化项目管理办法</w:t>
            </w:r>
          </w:p>
          <w:p>
            <w:pPr>
              <w:jc w:val="both"/>
            </w:pPr>
            <w:r>
              <w:rPr>
                <w:sz w:val="21"/>
              </w:rPr>
              <w:t xml:space="preserve">(14) </w:t>
            </w:r>
            <w:r>
              <w:rPr>
                <w:sz w:val="21"/>
              </w:rPr>
              <w:t>中山市政务信息化项目管理办法实施细则</w:t>
            </w:r>
          </w:p>
          <w:p>
            <w:pPr>
              <w:jc w:val="both"/>
            </w:pPr>
            <w:r>
              <w:rPr>
                <w:sz w:val="21"/>
              </w:rPr>
              <w:t xml:space="preserve">(15) </w:t>
            </w:r>
            <w:r>
              <w:rPr>
                <w:sz w:val="21"/>
              </w:rPr>
              <w:t>中山市政务信息化系统安全认证登录工作方案</w:t>
            </w:r>
          </w:p>
          <w:p>
            <w:pPr>
              <w:jc w:val="both"/>
            </w:pPr>
            <w:r>
              <w:rPr>
                <w:sz w:val="21"/>
              </w:rPr>
              <w:t xml:space="preserve">(16) </w:t>
            </w:r>
            <w:r>
              <w:rPr>
                <w:sz w:val="21"/>
              </w:rPr>
              <w:t>中山市政务信息系统日志采集与保存管理规范</w:t>
            </w:r>
          </w:p>
          <w:p>
            <w:pPr>
              <w:jc w:val="both"/>
            </w:pPr>
            <w:r>
              <w:rPr>
                <w:sz w:val="21"/>
              </w:rPr>
              <w:t xml:space="preserve">(17) </w:t>
            </w:r>
            <w:r>
              <w:rPr>
                <w:sz w:val="21"/>
              </w:rPr>
              <w:t>中山市政务领域网络与信息安全防护考核机制</w:t>
            </w:r>
          </w:p>
          <w:p>
            <w:pPr>
              <w:jc w:val="both"/>
            </w:pPr>
            <w:r>
              <w:rPr>
                <w:sz w:val="21"/>
              </w:rPr>
              <w:t xml:space="preserve">(18) </w:t>
            </w:r>
            <w:r>
              <w:rPr>
                <w:sz w:val="21"/>
              </w:rPr>
              <w:t>中山市自然资源局计算机网络管理制度</w:t>
            </w:r>
          </w:p>
          <w:p>
            <w:pPr>
              <w:jc w:val="both"/>
            </w:pPr>
            <w:r>
              <w:rPr>
                <w:sz w:val="21"/>
              </w:rPr>
              <w:t xml:space="preserve">(19) </w:t>
            </w:r>
            <w:r>
              <w:rPr>
                <w:sz w:val="21"/>
              </w:rPr>
              <w:t>中山市自然资源局网站运行管理办法</w:t>
            </w:r>
          </w:p>
          <w:p>
            <w:pPr>
              <w:jc w:val="both"/>
            </w:pPr>
            <w:r>
              <w:rPr>
                <w:sz w:val="21"/>
              </w:rPr>
              <w:t xml:space="preserve">(20) </w:t>
            </w:r>
            <w:r>
              <w:rPr>
                <w:sz w:val="21"/>
              </w:rPr>
              <w:t>中山市自然资源局保密自查、自评工作办法（试行）</w:t>
            </w:r>
          </w:p>
          <w:p>
            <w:pPr>
              <w:jc w:val="both"/>
            </w:pPr>
            <w:r>
              <w:rPr>
                <w:sz w:val="21"/>
              </w:rPr>
              <w:t xml:space="preserve">(21) </w:t>
            </w:r>
            <w:r>
              <w:rPr>
                <w:sz w:val="21"/>
              </w:rPr>
              <w:t>中山市自然资源局软件系统维护管理办法</w:t>
            </w:r>
          </w:p>
          <w:p>
            <w:pPr>
              <w:jc w:val="both"/>
            </w:pPr>
            <w:r>
              <w:rPr>
                <w:sz w:val="21"/>
              </w:rPr>
              <w:t xml:space="preserve">(22) </w:t>
            </w:r>
            <w:r>
              <w:rPr>
                <w:sz w:val="21"/>
              </w:rPr>
              <w:t>中山市自然资源局网络安全应急预案（试行）</w:t>
            </w:r>
          </w:p>
          <w:p>
            <w:pPr>
              <w:jc w:val="both"/>
            </w:pPr>
            <w:r>
              <w:rPr>
                <w:sz w:val="21"/>
              </w:rPr>
              <w:t xml:space="preserve">(23) </w:t>
            </w:r>
            <w:r>
              <w:rPr>
                <w:sz w:val="21"/>
              </w:rPr>
              <w:t>中山市自然资源局非涉密信息系统网络安全管理规定（试行）</w:t>
            </w:r>
          </w:p>
          <w:p>
            <w:pPr>
              <w:jc w:val="both"/>
            </w:pPr>
            <w:r>
              <w:rPr>
                <w:sz w:val="21"/>
              </w:rPr>
              <w:t xml:space="preserve">(24) </w:t>
            </w:r>
            <w:r>
              <w:rPr>
                <w:sz w:val="21"/>
              </w:rPr>
              <w:t>中山市自然资源局个人信息安全管理规定</w:t>
            </w:r>
          </w:p>
          <w:p>
            <w:pPr>
              <w:jc w:val="both"/>
            </w:pPr>
            <w:r>
              <w:rPr>
                <w:sz w:val="21"/>
              </w:rPr>
              <w:t xml:space="preserve">(25) </w:t>
            </w:r>
            <w:r>
              <w:rPr>
                <w:sz w:val="21"/>
              </w:rPr>
              <w:t>中山市自然资源局个人信息安全事件应急预案</w:t>
            </w:r>
          </w:p>
          <w:p>
            <w:r>
              <w:rPr>
                <w:sz w:val="21"/>
              </w:rPr>
              <w:t xml:space="preserve">(26) </w:t>
            </w:r>
            <w:r>
              <w:rPr>
                <w:sz w:val="21"/>
              </w:rPr>
              <w:t>项目实施前或实施过程中国家、省、市政务信息化部门及自然资源部门印发的数字政府、电子政务、网络安全等相关法律法规、标准规范、规章制度、政策文件</w:t>
            </w:r>
          </w:p>
        </w:tc>
      </w:tr>
      <w:tr>
        <w:tc>
          <w:tcPr>
            <w:tcW w:type="dxa" w:w="2076"/>
          </w:tcPr>
          <w:p/>
        </w:tc>
        <w:tc>
          <w:tcPr>
            <w:tcW w:type="dxa" w:w="415"/>
          </w:tcPr>
          <w:p>
            <w:r>
              <w:rPr/>
              <w:t>6</w:t>
            </w:r>
          </w:p>
        </w:tc>
        <w:tc>
          <w:tcPr>
            <w:tcW w:type="dxa" w:w="5814"/>
          </w:tcPr>
          <w:p>
            <w:pPr>
              <w:jc w:val="both"/>
            </w:pPr>
            <w:r>
              <w:rPr>
                <w:b/>
                <w:sz w:val="21"/>
              </w:rPr>
              <w:t>6.</w:t>
            </w:r>
            <w:r>
              <w:rPr>
                <w:b/>
                <w:sz w:val="21"/>
              </w:rPr>
              <w:t>考核办法</w:t>
            </w:r>
          </w:p>
          <w:p>
            <w:pPr>
              <w:jc w:val="both"/>
            </w:pPr>
            <w:r>
              <w:rPr>
                <w:sz w:val="21"/>
              </w:rPr>
              <w:t>中山市自然资源信息中心组织开展对成交供应商运维服务的评价工作。评价以系统为单位进行，总分为</w:t>
            </w:r>
            <w:r>
              <w:rPr>
                <w:sz w:val="21"/>
              </w:rPr>
              <w:t>100</w:t>
            </w:r>
            <w:r>
              <w:rPr>
                <w:sz w:val="21"/>
              </w:rPr>
              <w:t>分，初始分为</w:t>
            </w:r>
            <w:r>
              <w:rPr>
                <w:sz w:val="21"/>
              </w:rPr>
              <w:t>100</w:t>
            </w:r>
            <w:r>
              <w:rPr>
                <w:sz w:val="21"/>
              </w:rPr>
              <w:t>分。评价在项目最后一次款项支付前开展，评价结果作为合同履约情况的依据。若评价分≤</w:t>
            </w:r>
            <w:r>
              <w:rPr>
                <w:sz w:val="21"/>
              </w:rPr>
              <w:t>70</w:t>
            </w:r>
            <w:r>
              <w:rPr>
                <w:sz w:val="21"/>
              </w:rPr>
              <w:t>分，认定为运维服务不合格。评价结果可用于结算运维服务费的依据。服务考核评价细则如下：</w:t>
            </w:r>
          </w:p>
          <w:tbl>
            <w:tblPr>
              <w:tblBorders>
                <w:top w:val="none" w:color="000000" w:sz="4"/>
                <w:left w:val="none" w:color="000000" w:sz="4"/>
                <w:bottom w:val="none" w:color="000000" w:sz="4"/>
                <w:right w:val="none" w:color="000000" w:sz="4"/>
                <w:insideH w:val="none"/>
                <w:insideV w:val="none"/>
              </w:tblBorders>
            </w:tblPr>
            <w:tblGrid>
              <w:gridCol w:w="809"/>
              <w:gridCol w:w="955"/>
              <w:gridCol w:w="1809"/>
              <w:gridCol w:w="955"/>
              <w:gridCol w:w="1067"/>
            </w:tblGrid>
            <w:tr>
              <w:tc>
                <w:tcPr>
                  <w:tcW w:type="dxa" w:w="809"/>
                  <w:tcBorders>
                    <w:top w:val="single" w:color="000000" w:sz="4"/>
                    <w:left w:val="single" w:color="000000" w:sz="4"/>
                    <w:bottom w:val="single" w:color="000000" w:sz="4"/>
                    <w:right w:val="single" w:color="000000" w:sz="4"/>
                  </w:tcBorders>
                </w:tcPr>
                <w:p>
                  <w:pPr>
                    <w:jc w:val="both"/>
                  </w:pPr>
                  <w:r>
                    <w:rPr>
                      <w:sz w:val="21"/>
                    </w:rPr>
                    <w:t>评价类别</w:t>
                  </w:r>
                </w:p>
              </w:tc>
              <w:tc>
                <w:tcPr>
                  <w:tcW w:type="dxa" w:w="955"/>
                  <w:tcBorders>
                    <w:top w:val="single" w:color="000000" w:sz="4"/>
                    <w:left w:val="none" w:color="000000" w:sz="4"/>
                    <w:bottom w:val="single" w:color="000000" w:sz="4"/>
                    <w:right w:val="single" w:color="000000" w:sz="4"/>
                  </w:tcBorders>
                </w:tcPr>
                <w:p>
                  <w:pPr>
                    <w:jc w:val="both"/>
                  </w:pPr>
                  <w:r>
                    <w:rPr>
                      <w:sz w:val="21"/>
                    </w:rPr>
                    <w:t>评价项目</w:t>
                  </w:r>
                </w:p>
              </w:tc>
              <w:tc>
                <w:tcPr>
                  <w:tcW w:type="dxa" w:w="1809"/>
                  <w:tcBorders>
                    <w:top w:val="single" w:color="000000" w:sz="4"/>
                    <w:left w:val="none" w:color="000000" w:sz="4"/>
                    <w:bottom w:val="single" w:color="000000" w:sz="4"/>
                    <w:right w:val="single" w:color="000000" w:sz="4"/>
                  </w:tcBorders>
                </w:tcPr>
                <w:p>
                  <w:pPr>
                    <w:jc w:val="both"/>
                  </w:pPr>
                  <w:r>
                    <w:rPr>
                      <w:sz w:val="21"/>
                    </w:rPr>
                    <w:t>评价标准</w:t>
                  </w:r>
                </w:p>
              </w:tc>
              <w:tc>
                <w:tcPr>
                  <w:tcW w:type="dxa" w:w="955"/>
                  <w:tcBorders>
                    <w:top w:val="single" w:color="000000" w:sz="4"/>
                    <w:left w:val="none" w:color="000000" w:sz="4"/>
                    <w:bottom w:val="single" w:color="000000" w:sz="4"/>
                    <w:right w:val="single" w:color="000000" w:sz="4"/>
                  </w:tcBorders>
                </w:tcPr>
                <w:p>
                  <w:pPr>
                    <w:jc w:val="both"/>
                  </w:pPr>
                  <w:r>
                    <w:rPr>
                      <w:sz w:val="21"/>
                    </w:rPr>
                    <w:t>分值</w:t>
                  </w:r>
                </w:p>
              </w:tc>
              <w:tc>
                <w:tcPr>
                  <w:tcW w:type="dxa" w:w="1067"/>
                  <w:tcBorders>
                    <w:top w:val="single" w:color="000000" w:sz="4"/>
                    <w:left w:val="none" w:color="000000" w:sz="4"/>
                    <w:bottom w:val="single" w:color="000000" w:sz="4"/>
                    <w:right w:val="single" w:color="000000" w:sz="4"/>
                  </w:tcBorders>
                </w:tcPr>
                <w:p>
                  <w:pPr>
                    <w:jc w:val="both"/>
                  </w:pPr>
                  <w:r>
                    <w:rPr>
                      <w:sz w:val="21"/>
                    </w:rPr>
                    <w:t>依据</w:t>
                  </w:r>
                </w:p>
              </w:tc>
            </w:tr>
            <w:tr>
              <w:tc>
                <w:tcPr>
                  <w:tcW w:type="dxa" w:w="809"/>
                  <w:vMerge w:val="restart"/>
                  <w:tcBorders>
                    <w:top w:val="none" w:color="000000" w:sz="4"/>
                    <w:left w:val="single" w:color="000000" w:sz="4"/>
                    <w:bottom w:val="single" w:color="000000" w:sz="4"/>
                    <w:right w:val="single" w:color="000000" w:sz="4"/>
                  </w:tcBorders>
                </w:tcPr>
                <w:p>
                  <w:pPr>
                    <w:jc w:val="both"/>
                  </w:pPr>
                  <w:r>
                    <w:rPr>
                      <w:sz w:val="21"/>
                    </w:rPr>
                    <w:t>故障频次</w:t>
                  </w:r>
                </w:p>
              </w:tc>
              <w:tc>
                <w:tcPr>
                  <w:tcW w:type="dxa" w:w="955"/>
                  <w:tcBorders>
                    <w:top w:val="none" w:color="000000" w:sz="4"/>
                    <w:left w:val="none" w:color="000000" w:sz="4"/>
                    <w:bottom w:val="single" w:color="000000" w:sz="4"/>
                    <w:right w:val="single" w:color="000000" w:sz="4"/>
                  </w:tcBorders>
                </w:tcPr>
                <w:p>
                  <w:pPr>
                    <w:jc w:val="both"/>
                  </w:pPr>
                  <w:r>
                    <w:rPr>
                      <w:sz w:val="21"/>
                    </w:rPr>
                    <w:t>重大故障</w:t>
                  </w:r>
                </w:p>
              </w:tc>
              <w:tc>
                <w:tcPr>
                  <w:tcW w:type="dxa" w:w="1809"/>
                  <w:tcBorders>
                    <w:top w:val="none" w:color="000000" w:sz="4"/>
                    <w:left w:val="none" w:color="000000" w:sz="4"/>
                    <w:bottom w:val="single" w:color="000000" w:sz="4"/>
                    <w:right w:val="single" w:color="000000" w:sz="4"/>
                  </w:tcBorders>
                </w:tcPr>
                <w:p>
                  <w:pPr>
                    <w:jc w:val="both"/>
                  </w:pPr>
                  <w:r>
                    <w:rPr>
                      <w:sz w:val="21"/>
                    </w:rPr>
                    <w:t>被维护某个系统因软件的原因导致服务完全中止无法使用超过</w:t>
                  </w:r>
                  <w:r>
                    <w:rPr>
                      <w:sz w:val="21"/>
                    </w:rPr>
                    <w:t>0.5</w:t>
                  </w:r>
                  <w:r>
                    <w:rPr>
                      <w:sz w:val="21"/>
                    </w:rPr>
                    <w:t>天以上</w:t>
                  </w:r>
                </w:p>
              </w:tc>
              <w:tc>
                <w:tcPr>
                  <w:tcW w:type="dxa" w:w="955"/>
                  <w:tcBorders>
                    <w:top w:val="none" w:color="000000" w:sz="4"/>
                    <w:left w:val="none" w:color="000000" w:sz="4"/>
                    <w:bottom w:val="single" w:color="000000" w:sz="4"/>
                    <w:right w:val="single" w:color="000000" w:sz="4"/>
                  </w:tcBorders>
                </w:tcPr>
                <w:p>
                  <w:pPr>
                    <w:jc w:val="both"/>
                  </w:pPr>
                  <w:r>
                    <w:rPr>
                      <w:sz w:val="21"/>
                    </w:rPr>
                    <w:t>扣</w:t>
                  </w:r>
                  <w:r>
                    <w:rPr>
                      <w:sz w:val="21"/>
                    </w:rPr>
                    <w:t>10</w:t>
                  </w:r>
                  <w:r>
                    <w:rPr>
                      <w:sz w:val="21"/>
                    </w:rPr>
                    <w:t>分</w:t>
                  </w:r>
                  <w:r>
                    <w:rPr>
                      <w:sz w:val="21"/>
                    </w:rPr>
                    <w:t>/</w:t>
                  </w:r>
                  <w:r>
                    <w:rPr>
                      <w:sz w:val="21"/>
                    </w:rPr>
                    <w:t>次</w:t>
                  </w:r>
                </w:p>
              </w:tc>
              <w:tc>
                <w:tcPr>
                  <w:tcW w:type="dxa" w:w="1067"/>
                  <w:tcBorders>
                    <w:top w:val="none" w:color="000000" w:sz="4"/>
                    <w:left w:val="none" w:color="000000" w:sz="4"/>
                    <w:bottom w:val="single" w:color="000000" w:sz="4"/>
                    <w:right w:val="single" w:color="000000" w:sz="4"/>
                  </w:tcBorders>
                </w:tcPr>
                <w:p>
                  <w:pPr>
                    <w:jc w:val="both"/>
                  </w:pPr>
                  <w:r>
                    <w:rPr>
                      <w:sz w:val="21"/>
                    </w:rPr>
                    <w:t>中山市自然资源信息中心故障发生、持续时间记录</w:t>
                  </w:r>
                </w:p>
              </w:tc>
            </w:tr>
            <w:tr>
              <w:tc>
                <w:tcPr>
                  <w:tcW w:type="dxa" w:w="809"/>
                  <w:vMerge/>
                  <w:tcBorders>
                    <w:top w:val="none" w:color="000000" w:sz="4"/>
                    <w:left w:val="single" w:color="000000" w:sz="4"/>
                    <w:bottom w:val="single" w:color="000000" w:sz="4"/>
                    <w:right w:val="single" w:color="000000" w:sz="4"/>
                  </w:tcBorders>
                </w:tcPr>
                <w:p/>
              </w:tc>
              <w:tc>
                <w:tcPr>
                  <w:tcW w:type="dxa" w:w="955"/>
                  <w:tcBorders>
                    <w:top w:val="none" w:color="000000" w:sz="4"/>
                    <w:left w:val="none" w:color="000000" w:sz="4"/>
                    <w:bottom w:val="single" w:color="000000" w:sz="4"/>
                    <w:right w:val="single" w:color="000000" w:sz="4"/>
                  </w:tcBorders>
                </w:tcPr>
                <w:p>
                  <w:pPr>
                    <w:jc w:val="both"/>
                  </w:pPr>
                  <w:r>
                    <w:rPr>
                      <w:sz w:val="21"/>
                    </w:rPr>
                    <w:t>一般故障</w:t>
                  </w:r>
                </w:p>
              </w:tc>
              <w:tc>
                <w:tcPr>
                  <w:tcW w:type="dxa" w:w="1809"/>
                  <w:tcBorders>
                    <w:top w:val="none" w:color="000000" w:sz="4"/>
                    <w:left w:val="none" w:color="000000" w:sz="4"/>
                    <w:bottom w:val="single" w:color="000000" w:sz="4"/>
                    <w:right w:val="single" w:color="000000" w:sz="4"/>
                  </w:tcBorders>
                </w:tcPr>
                <w:p>
                  <w:pPr>
                    <w:jc w:val="both"/>
                  </w:pPr>
                  <w:r>
                    <w:rPr>
                      <w:sz w:val="21"/>
                    </w:rPr>
                    <w:t>被维护某个系统因软件的原因导致</w:t>
                  </w:r>
                  <w:r>
                    <w:rPr>
                      <w:sz w:val="21"/>
                    </w:rPr>
                    <w:t>2</w:t>
                  </w:r>
                  <w:r>
                    <w:rPr>
                      <w:sz w:val="21"/>
                    </w:rPr>
                    <w:t>个及以上功能模块无法使用或</w:t>
                  </w:r>
                  <w:r>
                    <w:rPr>
                      <w:sz w:val="21"/>
                    </w:rPr>
                    <w:t>2</w:t>
                  </w:r>
                  <w:r>
                    <w:rPr>
                      <w:sz w:val="21"/>
                    </w:rPr>
                    <w:t>个以上业务无法办理超过</w:t>
                  </w:r>
                  <w:r>
                    <w:rPr>
                      <w:sz w:val="21"/>
                    </w:rPr>
                    <w:t>0.5</w:t>
                  </w:r>
                  <w:r>
                    <w:rPr>
                      <w:sz w:val="21"/>
                    </w:rPr>
                    <w:t>天以上</w:t>
                  </w:r>
                </w:p>
              </w:tc>
              <w:tc>
                <w:tcPr>
                  <w:tcW w:type="dxa" w:w="955"/>
                  <w:tcBorders>
                    <w:top w:val="none" w:color="000000" w:sz="4"/>
                    <w:left w:val="none" w:color="000000" w:sz="4"/>
                    <w:bottom w:val="single" w:color="000000" w:sz="4"/>
                    <w:right w:val="single" w:color="000000" w:sz="4"/>
                  </w:tcBorders>
                </w:tcPr>
                <w:p>
                  <w:pPr>
                    <w:jc w:val="both"/>
                  </w:pPr>
                  <w:r>
                    <w:rPr>
                      <w:sz w:val="21"/>
                    </w:rPr>
                    <w:t>扣</w:t>
                  </w:r>
                  <w:r>
                    <w:rPr>
                      <w:sz w:val="21"/>
                    </w:rPr>
                    <w:t>5</w:t>
                  </w:r>
                  <w:r>
                    <w:rPr>
                      <w:sz w:val="21"/>
                    </w:rPr>
                    <w:t>分</w:t>
                  </w:r>
                  <w:r>
                    <w:rPr>
                      <w:sz w:val="21"/>
                    </w:rPr>
                    <w:t>/</w:t>
                  </w:r>
                  <w:r>
                    <w:rPr>
                      <w:sz w:val="21"/>
                    </w:rPr>
                    <w:t>次</w:t>
                  </w:r>
                </w:p>
              </w:tc>
              <w:tc>
                <w:tcPr>
                  <w:tcW w:type="dxa" w:w="1067"/>
                  <w:tcBorders>
                    <w:top w:val="none" w:color="000000" w:sz="4"/>
                    <w:left w:val="none" w:color="000000" w:sz="4"/>
                    <w:bottom w:val="single" w:color="000000" w:sz="4"/>
                    <w:right w:val="single" w:color="000000" w:sz="4"/>
                  </w:tcBorders>
                </w:tcPr>
                <w:p>
                  <w:pPr>
                    <w:jc w:val="both"/>
                  </w:pPr>
                  <w:r>
                    <w:rPr>
                      <w:sz w:val="21"/>
                    </w:rPr>
                    <w:t>中山市自然资源信息中心故障发生、持续时间记录</w:t>
                  </w:r>
                </w:p>
              </w:tc>
            </w:tr>
            <w:tr>
              <w:tc>
                <w:tcPr>
                  <w:tcW w:type="dxa" w:w="809"/>
                  <w:vMerge/>
                  <w:tcBorders>
                    <w:top w:val="none" w:color="000000" w:sz="4"/>
                    <w:left w:val="single" w:color="000000" w:sz="4"/>
                    <w:bottom w:val="single" w:color="000000" w:sz="4"/>
                    <w:right w:val="single" w:color="000000" w:sz="4"/>
                  </w:tcBorders>
                </w:tcPr>
                <w:p/>
              </w:tc>
              <w:tc>
                <w:tcPr>
                  <w:tcW w:type="dxa" w:w="955"/>
                  <w:tcBorders>
                    <w:top w:val="none" w:color="000000" w:sz="4"/>
                    <w:left w:val="none" w:color="000000" w:sz="4"/>
                    <w:bottom w:val="single" w:color="000000" w:sz="4"/>
                    <w:right w:val="single" w:color="000000" w:sz="4"/>
                  </w:tcBorders>
                </w:tcPr>
                <w:p>
                  <w:pPr>
                    <w:jc w:val="both"/>
                  </w:pPr>
                  <w:r>
                    <w:rPr>
                      <w:sz w:val="21"/>
                    </w:rPr>
                    <w:t>重大故障</w:t>
                  </w:r>
                </w:p>
              </w:tc>
              <w:tc>
                <w:tcPr>
                  <w:tcW w:type="dxa" w:w="1809"/>
                  <w:tcBorders>
                    <w:top w:val="none" w:color="000000" w:sz="4"/>
                    <w:left w:val="none" w:color="000000" w:sz="4"/>
                    <w:bottom w:val="single" w:color="000000" w:sz="4"/>
                    <w:right w:val="single" w:color="000000" w:sz="4"/>
                  </w:tcBorders>
                </w:tcPr>
                <w:p>
                  <w:pPr>
                    <w:jc w:val="both"/>
                  </w:pPr>
                  <w:r>
                    <w:rPr>
                      <w:sz w:val="21"/>
                    </w:rPr>
                    <w:t>因系统出现故障或运维不及时或错误运维被省自然资源厅、市政务服务数据管理局、市网信办、保密局等部门通报的</w:t>
                  </w:r>
                </w:p>
              </w:tc>
              <w:tc>
                <w:tcPr>
                  <w:tcW w:type="dxa" w:w="955"/>
                  <w:tcBorders>
                    <w:top w:val="none" w:color="000000" w:sz="4"/>
                    <w:left w:val="none" w:color="000000" w:sz="4"/>
                    <w:bottom w:val="single" w:color="000000" w:sz="4"/>
                    <w:right w:val="single" w:color="000000" w:sz="4"/>
                  </w:tcBorders>
                </w:tcPr>
                <w:p>
                  <w:pPr>
                    <w:jc w:val="both"/>
                  </w:pPr>
                  <w:r>
                    <w:rPr>
                      <w:sz w:val="21"/>
                    </w:rPr>
                    <w:t>扣</w:t>
                  </w:r>
                  <w:r>
                    <w:rPr>
                      <w:sz w:val="21"/>
                    </w:rPr>
                    <w:t>10</w:t>
                  </w:r>
                  <w:r>
                    <w:rPr>
                      <w:sz w:val="21"/>
                    </w:rPr>
                    <w:t>分</w:t>
                  </w:r>
                  <w:r>
                    <w:rPr>
                      <w:sz w:val="21"/>
                    </w:rPr>
                    <w:t>/</w:t>
                  </w:r>
                  <w:r>
                    <w:rPr>
                      <w:sz w:val="21"/>
                    </w:rPr>
                    <w:t>次</w:t>
                  </w:r>
                </w:p>
              </w:tc>
              <w:tc>
                <w:tcPr>
                  <w:tcW w:type="dxa" w:w="1067"/>
                  <w:tcBorders>
                    <w:top w:val="none" w:color="000000" w:sz="4"/>
                    <w:left w:val="none" w:color="000000" w:sz="4"/>
                    <w:bottom w:val="single" w:color="000000" w:sz="4"/>
                    <w:right w:val="single" w:color="000000" w:sz="4"/>
                  </w:tcBorders>
                </w:tcPr>
                <w:p>
                  <w:pPr>
                    <w:jc w:val="both"/>
                  </w:pPr>
                  <w:r>
                    <w:rPr>
                      <w:sz w:val="21"/>
                    </w:rPr>
                    <w:t>通报文件</w:t>
                  </w:r>
                </w:p>
              </w:tc>
            </w:tr>
            <w:tr>
              <w:tc>
                <w:tcPr>
                  <w:tcW w:type="dxa" w:w="809"/>
                  <w:vMerge w:val="restart"/>
                  <w:tcBorders>
                    <w:top w:val="none" w:color="000000" w:sz="4"/>
                    <w:left w:val="single" w:color="000000" w:sz="4"/>
                    <w:bottom w:val="single" w:color="000000" w:sz="4"/>
                    <w:right w:val="single" w:color="000000" w:sz="4"/>
                  </w:tcBorders>
                </w:tcPr>
                <w:p>
                  <w:pPr>
                    <w:jc w:val="both"/>
                  </w:pPr>
                  <w:r>
                    <w:rPr>
                      <w:sz w:val="21"/>
                    </w:rPr>
                    <w:t>运维响应</w:t>
                  </w:r>
                </w:p>
              </w:tc>
              <w:tc>
                <w:tcPr>
                  <w:tcW w:type="dxa" w:w="955"/>
                  <w:tcBorders>
                    <w:top w:val="none" w:color="000000" w:sz="4"/>
                    <w:left w:val="none" w:color="000000" w:sz="4"/>
                    <w:bottom w:val="single" w:color="000000" w:sz="4"/>
                    <w:right w:val="single" w:color="000000" w:sz="4"/>
                  </w:tcBorders>
                </w:tcPr>
                <w:p>
                  <w:pPr>
                    <w:jc w:val="both"/>
                  </w:pPr>
                  <w:r>
                    <w:rPr>
                      <w:sz w:val="21"/>
                    </w:rPr>
                    <w:t>故障响应不及时、不专业</w:t>
                  </w:r>
                </w:p>
              </w:tc>
              <w:tc>
                <w:tcPr>
                  <w:tcW w:type="dxa" w:w="1809"/>
                  <w:tcBorders>
                    <w:top w:val="none" w:color="000000" w:sz="4"/>
                    <w:left w:val="none" w:color="000000" w:sz="4"/>
                    <w:bottom w:val="single" w:color="000000" w:sz="4"/>
                    <w:right w:val="single" w:color="000000" w:sz="4"/>
                  </w:tcBorders>
                </w:tcPr>
                <w:p>
                  <w:pPr>
                    <w:jc w:val="both"/>
                  </w:pPr>
                  <w:r>
                    <w:rPr>
                      <w:sz w:val="21"/>
                    </w:rPr>
                    <w:t>未按运维方案或有关规范、文件要求及时响应故障、解决故障的</w:t>
                  </w:r>
                </w:p>
              </w:tc>
              <w:tc>
                <w:tcPr>
                  <w:tcW w:type="dxa" w:w="955"/>
                  <w:tcBorders>
                    <w:top w:val="none" w:color="000000" w:sz="4"/>
                    <w:left w:val="none" w:color="000000" w:sz="4"/>
                    <w:bottom w:val="single" w:color="000000" w:sz="4"/>
                    <w:right w:val="single" w:color="000000" w:sz="4"/>
                  </w:tcBorders>
                </w:tcPr>
                <w:p>
                  <w:pPr>
                    <w:jc w:val="both"/>
                  </w:pPr>
                  <w:r>
                    <w:rPr>
                      <w:sz w:val="21"/>
                    </w:rPr>
                    <w:t>扣</w:t>
                  </w:r>
                  <w:r>
                    <w:rPr>
                      <w:sz w:val="21"/>
                    </w:rPr>
                    <w:t>5</w:t>
                  </w:r>
                  <w:r>
                    <w:rPr>
                      <w:sz w:val="21"/>
                    </w:rPr>
                    <w:t>分</w:t>
                  </w:r>
                  <w:r>
                    <w:rPr>
                      <w:sz w:val="21"/>
                    </w:rPr>
                    <w:t>/</w:t>
                  </w:r>
                  <w:r>
                    <w:rPr>
                      <w:sz w:val="21"/>
                    </w:rPr>
                    <w:t>次</w:t>
                  </w:r>
                </w:p>
              </w:tc>
              <w:tc>
                <w:tcPr>
                  <w:tcW w:type="dxa" w:w="1067"/>
                  <w:tcBorders>
                    <w:top w:val="none" w:color="000000" w:sz="4"/>
                    <w:left w:val="none" w:color="000000" w:sz="4"/>
                    <w:bottom w:val="single" w:color="000000" w:sz="4"/>
                    <w:right w:val="single" w:color="000000" w:sz="4"/>
                  </w:tcBorders>
                </w:tcPr>
                <w:p>
                  <w:pPr>
                    <w:jc w:val="both"/>
                  </w:pPr>
                  <w:r>
                    <w:rPr>
                      <w:sz w:val="21"/>
                    </w:rPr>
                    <w:t>中山市自然资源信息中心故障发生、持续时间记录</w:t>
                  </w:r>
                </w:p>
              </w:tc>
            </w:tr>
            <w:tr>
              <w:tc>
                <w:tcPr>
                  <w:tcW w:type="dxa" w:w="809"/>
                  <w:vMerge/>
                  <w:tcBorders>
                    <w:top w:val="none" w:color="000000" w:sz="4"/>
                    <w:left w:val="single" w:color="000000" w:sz="4"/>
                    <w:bottom w:val="single" w:color="000000" w:sz="4"/>
                    <w:right w:val="single" w:color="000000" w:sz="4"/>
                  </w:tcBorders>
                </w:tcPr>
                <w:p/>
              </w:tc>
              <w:tc>
                <w:tcPr>
                  <w:tcW w:type="dxa" w:w="955"/>
                  <w:tcBorders>
                    <w:top w:val="none" w:color="000000" w:sz="4"/>
                    <w:left w:val="none" w:color="000000" w:sz="4"/>
                    <w:bottom w:val="single" w:color="000000" w:sz="4"/>
                    <w:right w:val="single" w:color="000000" w:sz="4"/>
                  </w:tcBorders>
                </w:tcPr>
                <w:p>
                  <w:pPr>
                    <w:jc w:val="both"/>
                  </w:pPr>
                  <w:r>
                    <w:rPr>
                      <w:sz w:val="21"/>
                    </w:rPr>
                    <w:t>故障响应文档提交不及时或不符合要求</w:t>
                  </w:r>
                </w:p>
              </w:tc>
              <w:tc>
                <w:tcPr>
                  <w:tcW w:type="dxa" w:w="1809"/>
                  <w:tcBorders>
                    <w:top w:val="none" w:color="000000" w:sz="4"/>
                    <w:left w:val="none" w:color="000000" w:sz="4"/>
                    <w:bottom w:val="single" w:color="000000" w:sz="4"/>
                    <w:right w:val="single" w:color="000000" w:sz="4"/>
                  </w:tcBorders>
                </w:tcPr>
                <w:p>
                  <w:pPr>
                    <w:jc w:val="both"/>
                  </w:pPr>
                  <w:r>
                    <w:rPr>
                      <w:sz w:val="21"/>
                    </w:rPr>
                    <w:t>超过预定期限提交故障处理相关材料</w:t>
                  </w:r>
                  <w:r>
                    <w:rPr>
                      <w:sz w:val="21"/>
                    </w:rPr>
                    <w:t>5</w:t>
                  </w:r>
                  <w:r>
                    <w:rPr>
                      <w:sz w:val="21"/>
                    </w:rPr>
                    <w:t>天以上</w:t>
                  </w:r>
                </w:p>
              </w:tc>
              <w:tc>
                <w:tcPr>
                  <w:tcW w:type="dxa" w:w="955"/>
                  <w:tcBorders>
                    <w:top w:val="none" w:color="000000" w:sz="4"/>
                    <w:left w:val="none" w:color="000000" w:sz="4"/>
                    <w:bottom w:val="single" w:color="000000" w:sz="4"/>
                    <w:right w:val="single" w:color="000000" w:sz="4"/>
                  </w:tcBorders>
                </w:tcPr>
                <w:p>
                  <w:pPr>
                    <w:jc w:val="both"/>
                  </w:pPr>
                  <w:r>
                    <w:rPr>
                      <w:sz w:val="21"/>
                    </w:rPr>
                    <w:t>扣</w:t>
                  </w:r>
                  <w:r>
                    <w:rPr>
                      <w:sz w:val="21"/>
                    </w:rPr>
                    <w:t>5</w:t>
                  </w:r>
                  <w:r>
                    <w:rPr>
                      <w:sz w:val="21"/>
                    </w:rPr>
                    <w:t>分</w:t>
                  </w:r>
                  <w:r>
                    <w:rPr>
                      <w:sz w:val="21"/>
                    </w:rPr>
                    <w:t>/</w:t>
                  </w:r>
                  <w:r>
                    <w:rPr>
                      <w:sz w:val="21"/>
                    </w:rPr>
                    <w:t>次</w:t>
                  </w:r>
                </w:p>
              </w:tc>
              <w:tc>
                <w:tcPr>
                  <w:tcW w:type="dxa" w:w="1067"/>
                  <w:tcBorders>
                    <w:top w:val="none" w:color="000000" w:sz="4"/>
                    <w:left w:val="none" w:color="000000" w:sz="4"/>
                    <w:bottom w:val="single" w:color="000000" w:sz="4"/>
                    <w:right w:val="single" w:color="000000" w:sz="4"/>
                  </w:tcBorders>
                </w:tcPr>
                <w:p>
                  <w:pPr>
                    <w:jc w:val="both"/>
                  </w:pPr>
                  <w:r>
                    <w:rPr>
                      <w:sz w:val="21"/>
                    </w:rPr>
                    <w:t>中山市自然资源信息中心认定</w:t>
                  </w:r>
                </w:p>
              </w:tc>
            </w:tr>
            <w:tr>
              <w:tc>
                <w:tcPr>
                  <w:tcW w:type="dxa" w:w="809"/>
                  <w:vMerge/>
                  <w:tcBorders>
                    <w:top w:val="none" w:color="000000" w:sz="4"/>
                    <w:left w:val="single" w:color="000000" w:sz="4"/>
                    <w:bottom w:val="single" w:color="000000" w:sz="4"/>
                    <w:right w:val="single" w:color="000000" w:sz="4"/>
                  </w:tcBorders>
                </w:tcPr>
                <w:p/>
              </w:tc>
              <w:tc>
                <w:tcPr>
                  <w:tcW w:type="dxa" w:w="955"/>
                  <w:tcBorders>
                    <w:top w:val="none" w:color="000000" w:sz="4"/>
                    <w:left w:val="none" w:color="000000" w:sz="4"/>
                    <w:bottom w:val="single" w:color="000000" w:sz="4"/>
                    <w:right w:val="single" w:color="000000" w:sz="4"/>
                  </w:tcBorders>
                </w:tcPr>
                <w:p>
                  <w:pPr>
                    <w:jc w:val="both"/>
                  </w:pPr>
                  <w:r>
                    <w:rPr>
                      <w:sz w:val="21"/>
                    </w:rPr>
                    <w:t>重大运维失误</w:t>
                  </w:r>
                </w:p>
              </w:tc>
              <w:tc>
                <w:tcPr>
                  <w:tcW w:type="dxa" w:w="1809"/>
                  <w:tcBorders>
                    <w:top w:val="none" w:color="000000" w:sz="4"/>
                    <w:left w:val="none" w:color="000000" w:sz="4"/>
                    <w:bottom w:val="single" w:color="000000" w:sz="4"/>
                    <w:right w:val="single" w:color="000000" w:sz="4"/>
                  </w:tcBorders>
                </w:tcPr>
                <w:p>
                  <w:pPr>
                    <w:jc w:val="both"/>
                  </w:pPr>
                  <w:r>
                    <w:rPr>
                      <w:sz w:val="21"/>
                    </w:rPr>
                    <w:t>重大运维发生错误的，且造成了后续不良影响</w:t>
                  </w:r>
                </w:p>
              </w:tc>
              <w:tc>
                <w:tcPr>
                  <w:tcW w:type="dxa" w:w="955"/>
                  <w:tcBorders>
                    <w:top w:val="none" w:color="000000" w:sz="4"/>
                    <w:left w:val="none" w:color="000000" w:sz="4"/>
                    <w:bottom w:val="single" w:color="000000" w:sz="4"/>
                    <w:right w:val="single" w:color="000000" w:sz="4"/>
                  </w:tcBorders>
                </w:tcPr>
                <w:p>
                  <w:pPr>
                    <w:jc w:val="both"/>
                  </w:pPr>
                  <w:r>
                    <w:rPr>
                      <w:sz w:val="21"/>
                    </w:rPr>
                    <w:t>扣</w:t>
                  </w:r>
                  <w:r>
                    <w:rPr>
                      <w:sz w:val="21"/>
                    </w:rPr>
                    <w:t>10</w:t>
                  </w:r>
                  <w:r>
                    <w:rPr>
                      <w:sz w:val="21"/>
                    </w:rPr>
                    <w:t>分</w:t>
                  </w:r>
                  <w:r>
                    <w:rPr>
                      <w:sz w:val="21"/>
                    </w:rPr>
                    <w:t>/</w:t>
                  </w:r>
                  <w:r>
                    <w:rPr>
                      <w:sz w:val="21"/>
                    </w:rPr>
                    <w:t>次</w:t>
                  </w:r>
                </w:p>
              </w:tc>
              <w:tc>
                <w:tcPr>
                  <w:tcW w:type="dxa" w:w="1067"/>
                  <w:tcBorders>
                    <w:top w:val="none" w:color="000000" w:sz="4"/>
                    <w:left w:val="none" w:color="000000" w:sz="4"/>
                    <w:bottom w:val="single" w:color="000000" w:sz="4"/>
                    <w:right w:val="single" w:color="000000" w:sz="4"/>
                  </w:tcBorders>
                </w:tcPr>
                <w:p>
                  <w:pPr>
                    <w:jc w:val="both"/>
                  </w:pPr>
                  <w:r>
                    <w:rPr>
                      <w:sz w:val="21"/>
                    </w:rPr>
                    <w:t>中山市自然资源信息中心及业务科室认定</w:t>
                  </w:r>
                </w:p>
              </w:tc>
            </w:tr>
            <w:tr>
              <w:tc>
                <w:tcPr>
                  <w:tcW w:type="dxa" w:w="809"/>
                  <w:vMerge/>
                  <w:tcBorders>
                    <w:top w:val="none" w:color="000000" w:sz="4"/>
                    <w:left w:val="single" w:color="000000" w:sz="4"/>
                    <w:bottom w:val="single" w:color="000000" w:sz="4"/>
                    <w:right w:val="single" w:color="000000" w:sz="4"/>
                  </w:tcBorders>
                </w:tcPr>
                <w:p/>
              </w:tc>
              <w:tc>
                <w:tcPr>
                  <w:tcW w:type="dxa" w:w="955"/>
                  <w:tcBorders>
                    <w:top w:val="none" w:color="000000" w:sz="4"/>
                    <w:left w:val="none" w:color="000000" w:sz="4"/>
                    <w:bottom w:val="single" w:color="000000" w:sz="4"/>
                    <w:right w:val="single" w:color="000000" w:sz="4"/>
                  </w:tcBorders>
                </w:tcPr>
                <w:p>
                  <w:pPr>
                    <w:jc w:val="both"/>
                  </w:pPr>
                  <w:r>
                    <w:rPr>
                      <w:sz w:val="21"/>
                    </w:rPr>
                    <w:t>一般运维失误</w:t>
                  </w:r>
                </w:p>
              </w:tc>
              <w:tc>
                <w:tcPr>
                  <w:tcW w:type="dxa" w:w="1809"/>
                  <w:tcBorders>
                    <w:top w:val="none" w:color="000000" w:sz="4"/>
                    <w:left w:val="none" w:color="000000" w:sz="4"/>
                    <w:bottom w:val="single" w:color="000000" w:sz="4"/>
                    <w:right w:val="single" w:color="000000" w:sz="4"/>
                  </w:tcBorders>
                </w:tcPr>
                <w:p>
                  <w:pPr>
                    <w:jc w:val="both"/>
                  </w:pPr>
                  <w:r>
                    <w:rPr>
                      <w:sz w:val="21"/>
                    </w:rPr>
                    <w:t>一般运维关键环节未经确认，且上线后出现</w:t>
                  </w:r>
                  <w:r>
                    <w:rPr>
                      <w:sz w:val="21"/>
                    </w:rPr>
                    <w:t>bug</w:t>
                  </w:r>
                  <w:r>
                    <w:rPr>
                      <w:sz w:val="21"/>
                    </w:rPr>
                    <w:t>的</w:t>
                  </w:r>
                </w:p>
              </w:tc>
              <w:tc>
                <w:tcPr>
                  <w:tcW w:type="dxa" w:w="955"/>
                  <w:tcBorders>
                    <w:top w:val="none" w:color="000000" w:sz="4"/>
                    <w:left w:val="none" w:color="000000" w:sz="4"/>
                    <w:bottom w:val="single" w:color="000000" w:sz="4"/>
                    <w:right w:val="single" w:color="000000" w:sz="4"/>
                  </w:tcBorders>
                </w:tcPr>
                <w:p>
                  <w:pPr>
                    <w:jc w:val="both"/>
                  </w:pPr>
                  <w:r>
                    <w:rPr>
                      <w:sz w:val="21"/>
                    </w:rPr>
                    <w:t>扣</w:t>
                  </w:r>
                  <w:r>
                    <w:rPr>
                      <w:sz w:val="21"/>
                    </w:rPr>
                    <w:t>5</w:t>
                  </w:r>
                  <w:r>
                    <w:rPr>
                      <w:sz w:val="21"/>
                    </w:rPr>
                    <w:t>分</w:t>
                  </w:r>
                  <w:r>
                    <w:rPr>
                      <w:sz w:val="21"/>
                    </w:rPr>
                    <w:t>/</w:t>
                  </w:r>
                  <w:r>
                    <w:rPr>
                      <w:sz w:val="21"/>
                    </w:rPr>
                    <w:t>次</w:t>
                  </w:r>
                </w:p>
              </w:tc>
              <w:tc>
                <w:tcPr>
                  <w:tcW w:type="dxa" w:w="1067"/>
                  <w:tcBorders>
                    <w:top w:val="none" w:color="000000" w:sz="4"/>
                    <w:left w:val="none" w:color="000000" w:sz="4"/>
                    <w:bottom w:val="single" w:color="000000" w:sz="4"/>
                    <w:right w:val="single" w:color="000000" w:sz="4"/>
                  </w:tcBorders>
                </w:tcPr>
                <w:p>
                  <w:pPr>
                    <w:jc w:val="both"/>
                  </w:pPr>
                  <w:r>
                    <w:rPr>
                      <w:sz w:val="21"/>
                    </w:rPr>
                    <w:t>中山市自然资源信息中心及业务科室认定</w:t>
                  </w:r>
                </w:p>
              </w:tc>
            </w:tr>
            <w:tr>
              <w:tc>
                <w:tcPr>
                  <w:tcW w:type="dxa" w:w="809"/>
                  <w:vMerge/>
                  <w:tcBorders>
                    <w:top w:val="none" w:color="000000" w:sz="4"/>
                    <w:left w:val="single" w:color="000000" w:sz="4"/>
                    <w:bottom w:val="single" w:color="000000" w:sz="4"/>
                    <w:right w:val="single" w:color="000000" w:sz="4"/>
                  </w:tcBorders>
                </w:tcPr>
                <w:p/>
              </w:tc>
              <w:tc>
                <w:tcPr>
                  <w:tcW w:type="dxa" w:w="955"/>
                  <w:tcBorders>
                    <w:top w:val="none" w:color="000000" w:sz="4"/>
                    <w:left w:val="none" w:color="000000" w:sz="4"/>
                    <w:bottom w:val="single" w:color="000000" w:sz="4"/>
                    <w:right w:val="single" w:color="000000" w:sz="4"/>
                  </w:tcBorders>
                </w:tcPr>
                <w:p>
                  <w:pPr>
                    <w:jc w:val="both"/>
                  </w:pPr>
                  <w:r>
                    <w:rPr>
                      <w:sz w:val="21"/>
                    </w:rPr>
                    <w:t>一般运维失误</w:t>
                  </w:r>
                </w:p>
              </w:tc>
              <w:tc>
                <w:tcPr>
                  <w:tcW w:type="dxa" w:w="1809"/>
                  <w:tcBorders>
                    <w:top w:val="none" w:color="000000" w:sz="4"/>
                    <w:left w:val="none" w:color="000000" w:sz="4"/>
                    <w:bottom w:val="single" w:color="000000" w:sz="4"/>
                    <w:right w:val="single" w:color="000000" w:sz="4"/>
                  </w:tcBorders>
                </w:tcPr>
                <w:p>
                  <w:pPr>
                    <w:jc w:val="both"/>
                  </w:pPr>
                  <w:r>
                    <w:rPr>
                      <w:sz w:val="21"/>
                    </w:rPr>
                    <w:t>人为数据修改错误且未及时纠正带来不良后果的</w:t>
                  </w:r>
                </w:p>
              </w:tc>
              <w:tc>
                <w:tcPr>
                  <w:tcW w:type="dxa" w:w="955"/>
                  <w:tcBorders>
                    <w:top w:val="none" w:color="000000" w:sz="4"/>
                    <w:left w:val="none" w:color="000000" w:sz="4"/>
                    <w:bottom w:val="single" w:color="000000" w:sz="4"/>
                    <w:right w:val="single" w:color="000000" w:sz="4"/>
                  </w:tcBorders>
                </w:tcPr>
                <w:p>
                  <w:pPr>
                    <w:jc w:val="both"/>
                  </w:pPr>
                  <w:r>
                    <w:rPr>
                      <w:sz w:val="21"/>
                    </w:rPr>
                    <w:t>扣</w:t>
                  </w:r>
                  <w:r>
                    <w:rPr>
                      <w:sz w:val="21"/>
                    </w:rPr>
                    <w:t>2</w:t>
                  </w:r>
                  <w:r>
                    <w:rPr>
                      <w:sz w:val="21"/>
                    </w:rPr>
                    <w:t>分</w:t>
                  </w:r>
                  <w:r>
                    <w:rPr>
                      <w:sz w:val="21"/>
                    </w:rPr>
                    <w:t>/</w:t>
                  </w:r>
                  <w:r>
                    <w:rPr>
                      <w:sz w:val="21"/>
                    </w:rPr>
                    <w:t>条</w:t>
                  </w:r>
                </w:p>
              </w:tc>
              <w:tc>
                <w:tcPr>
                  <w:tcW w:type="dxa" w:w="1067"/>
                  <w:tcBorders>
                    <w:top w:val="none" w:color="000000" w:sz="4"/>
                    <w:left w:val="none" w:color="000000" w:sz="4"/>
                    <w:bottom w:val="single" w:color="000000" w:sz="4"/>
                    <w:right w:val="single" w:color="000000" w:sz="4"/>
                  </w:tcBorders>
                </w:tcPr>
                <w:p>
                  <w:pPr>
                    <w:jc w:val="both"/>
                  </w:pPr>
                  <w:r>
                    <w:rPr>
                      <w:sz w:val="21"/>
                    </w:rPr>
                    <w:t>中山市自然资源信息中心及业务科室认定</w:t>
                  </w:r>
                </w:p>
              </w:tc>
            </w:tr>
            <w:tr>
              <w:tc>
                <w:tcPr>
                  <w:tcW w:type="dxa" w:w="809"/>
                  <w:vMerge/>
                  <w:tcBorders>
                    <w:top w:val="none" w:color="000000" w:sz="4"/>
                    <w:left w:val="single" w:color="000000" w:sz="4"/>
                    <w:bottom w:val="single" w:color="000000" w:sz="4"/>
                    <w:right w:val="single" w:color="000000" w:sz="4"/>
                  </w:tcBorders>
                </w:tcPr>
                <w:p/>
              </w:tc>
              <w:tc>
                <w:tcPr>
                  <w:tcW w:type="dxa" w:w="955"/>
                  <w:tcBorders>
                    <w:top w:val="none" w:color="000000" w:sz="4"/>
                    <w:left w:val="none" w:color="000000" w:sz="4"/>
                    <w:bottom w:val="single" w:color="000000" w:sz="4"/>
                    <w:right w:val="single" w:color="000000" w:sz="4"/>
                  </w:tcBorders>
                </w:tcPr>
                <w:p>
                  <w:pPr>
                    <w:jc w:val="both"/>
                  </w:pPr>
                  <w:r>
                    <w:rPr>
                      <w:sz w:val="21"/>
                    </w:rPr>
                    <w:t>重大运维不及时</w:t>
                  </w:r>
                </w:p>
              </w:tc>
              <w:tc>
                <w:tcPr>
                  <w:tcW w:type="dxa" w:w="1809"/>
                  <w:tcBorders>
                    <w:top w:val="none" w:color="000000" w:sz="4"/>
                    <w:left w:val="none" w:color="000000" w:sz="4"/>
                    <w:bottom w:val="single" w:color="000000" w:sz="4"/>
                    <w:right w:val="single" w:color="000000" w:sz="4"/>
                  </w:tcBorders>
                </w:tcPr>
                <w:p>
                  <w:pPr>
                    <w:jc w:val="both"/>
                  </w:pPr>
                  <w:r>
                    <w:rPr>
                      <w:sz w:val="21"/>
                    </w:rPr>
                    <w:t>未在规定时间内完成政策文件要求的考核任务或上级指派的运维任务。</w:t>
                  </w:r>
                </w:p>
              </w:tc>
              <w:tc>
                <w:tcPr>
                  <w:tcW w:type="dxa" w:w="955"/>
                  <w:tcBorders>
                    <w:top w:val="none" w:color="000000" w:sz="4"/>
                    <w:left w:val="none" w:color="000000" w:sz="4"/>
                    <w:bottom w:val="single" w:color="000000" w:sz="4"/>
                    <w:right w:val="single" w:color="000000" w:sz="4"/>
                  </w:tcBorders>
                </w:tcPr>
                <w:p>
                  <w:pPr>
                    <w:jc w:val="both"/>
                  </w:pPr>
                  <w:r>
                    <w:rPr>
                      <w:sz w:val="21"/>
                    </w:rPr>
                    <w:t>扣</w:t>
                  </w:r>
                  <w:r>
                    <w:rPr>
                      <w:sz w:val="21"/>
                    </w:rPr>
                    <w:t>10</w:t>
                  </w:r>
                  <w:r>
                    <w:rPr>
                      <w:sz w:val="21"/>
                    </w:rPr>
                    <w:t>分</w:t>
                  </w:r>
                  <w:r>
                    <w:rPr>
                      <w:sz w:val="21"/>
                    </w:rPr>
                    <w:t>/</w:t>
                  </w:r>
                  <w:r>
                    <w:rPr>
                      <w:sz w:val="21"/>
                    </w:rPr>
                    <w:t>次</w:t>
                  </w:r>
                </w:p>
              </w:tc>
              <w:tc>
                <w:tcPr>
                  <w:tcW w:type="dxa" w:w="1067"/>
                  <w:tcBorders>
                    <w:top w:val="none" w:color="000000" w:sz="4"/>
                    <w:left w:val="none" w:color="000000" w:sz="4"/>
                    <w:bottom w:val="single" w:color="000000" w:sz="4"/>
                    <w:right w:val="single" w:color="000000" w:sz="4"/>
                  </w:tcBorders>
                </w:tcPr>
                <w:p>
                  <w:pPr>
                    <w:jc w:val="both"/>
                  </w:pPr>
                  <w:r>
                    <w:rPr>
                      <w:sz w:val="21"/>
                    </w:rPr>
                    <w:t>自然资源信息中心认定</w:t>
                  </w:r>
                </w:p>
              </w:tc>
            </w:tr>
            <w:tr>
              <w:tc>
                <w:tcPr>
                  <w:tcW w:type="dxa" w:w="809"/>
                  <w:vMerge/>
                  <w:tcBorders>
                    <w:top w:val="none" w:color="000000" w:sz="4"/>
                    <w:left w:val="single" w:color="000000" w:sz="4"/>
                    <w:bottom w:val="single" w:color="000000" w:sz="4"/>
                    <w:right w:val="single" w:color="000000" w:sz="4"/>
                  </w:tcBorders>
                </w:tcPr>
                <w:p/>
              </w:tc>
              <w:tc>
                <w:tcPr>
                  <w:tcW w:type="dxa" w:w="955"/>
                  <w:tcBorders>
                    <w:top w:val="none" w:color="000000" w:sz="4"/>
                    <w:left w:val="none" w:color="000000" w:sz="4"/>
                    <w:bottom w:val="single" w:color="000000" w:sz="4"/>
                    <w:right w:val="single" w:color="000000" w:sz="4"/>
                  </w:tcBorders>
                </w:tcPr>
                <w:p>
                  <w:pPr>
                    <w:jc w:val="both"/>
                  </w:pPr>
                  <w:r>
                    <w:rPr>
                      <w:sz w:val="21"/>
                    </w:rPr>
                    <w:t>服务效率</w:t>
                  </w:r>
                </w:p>
              </w:tc>
              <w:tc>
                <w:tcPr>
                  <w:tcW w:type="dxa" w:w="1809"/>
                  <w:tcBorders>
                    <w:top w:val="none" w:color="000000" w:sz="4"/>
                    <w:left w:val="none" w:color="000000" w:sz="4"/>
                    <w:bottom w:val="single" w:color="000000" w:sz="4"/>
                    <w:right w:val="single" w:color="000000" w:sz="4"/>
                  </w:tcBorders>
                </w:tcPr>
                <w:p>
                  <w:pPr>
                    <w:jc w:val="both"/>
                  </w:pPr>
                  <w:r>
                    <w:rPr>
                      <w:sz w:val="21"/>
                    </w:rPr>
                    <w:t>沟通效率低下或推诿扯皮，被业务部门或对接单位投诉</w:t>
                  </w:r>
                </w:p>
              </w:tc>
              <w:tc>
                <w:tcPr>
                  <w:tcW w:type="dxa" w:w="955"/>
                  <w:tcBorders>
                    <w:top w:val="none" w:color="000000" w:sz="4"/>
                    <w:left w:val="none" w:color="000000" w:sz="4"/>
                    <w:bottom w:val="single" w:color="000000" w:sz="4"/>
                    <w:right w:val="single" w:color="000000" w:sz="4"/>
                  </w:tcBorders>
                </w:tcPr>
                <w:p>
                  <w:pPr>
                    <w:jc w:val="both"/>
                  </w:pPr>
                  <w:r>
                    <w:rPr>
                      <w:sz w:val="21"/>
                    </w:rPr>
                    <w:t>扣</w:t>
                  </w:r>
                  <w:r>
                    <w:rPr>
                      <w:sz w:val="21"/>
                    </w:rPr>
                    <w:t>5</w:t>
                  </w:r>
                  <w:r>
                    <w:rPr>
                      <w:sz w:val="21"/>
                    </w:rPr>
                    <w:t>分</w:t>
                  </w:r>
                  <w:r>
                    <w:rPr>
                      <w:sz w:val="21"/>
                    </w:rPr>
                    <w:t>/</w:t>
                  </w:r>
                  <w:r>
                    <w:rPr>
                      <w:sz w:val="21"/>
                    </w:rPr>
                    <w:t>次</w:t>
                  </w:r>
                </w:p>
              </w:tc>
              <w:tc>
                <w:tcPr>
                  <w:tcW w:type="dxa" w:w="1067"/>
                  <w:tcBorders>
                    <w:top w:val="none" w:color="000000" w:sz="4"/>
                    <w:left w:val="none" w:color="000000" w:sz="4"/>
                    <w:bottom w:val="single" w:color="000000" w:sz="4"/>
                    <w:right w:val="single" w:color="000000" w:sz="4"/>
                  </w:tcBorders>
                </w:tcPr>
                <w:p>
                  <w:pPr>
                    <w:jc w:val="both"/>
                  </w:pPr>
                  <w:r>
                    <w:rPr>
                      <w:sz w:val="21"/>
                    </w:rPr>
                    <w:t>自然资源信息中心认定</w:t>
                  </w:r>
                </w:p>
              </w:tc>
            </w:tr>
            <w:tr>
              <w:tc>
                <w:tcPr>
                  <w:tcW w:type="dxa" w:w="809"/>
                  <w:vMerge w:val="restart"/>
                  <w:tcBorders>
                    <w:top w:val="none" w:color="000000" w:sz="4"/>
                    <w:left w:val="single" w:color="000000" w:sz="4"/>
                    <w:bottom w:val="single" w:color="000000" w:sz="4"/>
                    <w:right w:val="single" w:color="000000" w:sz="4"/>
                  </w:tcBorders>
                </w:tcPr>
                <w:p>
                  <w:pPr>
                    <w:jc w:val="both"/>
                  </w:pPr>
                  <w:r>
                    <w:rPr>
                      <w:sz w:val="21"/>
                    </w:rPr>
                    <w:t>运维内容完成率</w:t>
                  </w:r>
                </w:p>
              </w:tc>
              <w:tc>
                <w:tcPr>
                  <w:tcW w:type="dxa" w:w="955"/>
                  <w:vMerge w:val="restart"/>
                  <w:tcBorders>
                    <w:top w:val="none" w:color="000000" w:sz="4"/>
                    <w:left w:val="none" w:color="000000" w:sz="4"/>
                    <w:bottom w:val="single" w:color="000000" w:sz="4"/>
                    <w:right w:val="single" w:color="000000" w:sz="4"/>
                  </w:tcBorders>
                </w:tcPr>
                <w:p>
                  <w:pPr>
                    <w:jc w:val="both"/>
                  </w:pPr>
                  <w:r>
                    <w:rPr>
                      <w:sz w:val="21"/>
                    </w:rPr>
                    <w:t>运维工作详细内容完成率不高</w:t>
                  </w:r>
                </w:p>
              </w:tc>
              <w:tc>
                <w:tcPr>
                  <w:tcW w:type="dxa" w:w="1809"/>
                  <w:tcBorders>
                    <w:top w:val="none" w:color="000000" w:sz="4"/>
                    <w:left w:val="none" w:color="000000" w:sz="4"/>
                    <w:bottom w:val="single" w:color="000000" w:sz="4"/>
                    <w:right w:val="single" w:color="000000" w:sz="4"/>
                  </w:tcBorders>
                </w:tcPr>
                <w:p>
                  <w:pPr>
                    <w:jc w:val="both"/>
                  </w:pPr>
                  <w:r>
                    <w:rPr>
                      <w:sz w:val="21"/>
                    </w:rPr>
                    <w:t>未完成任务</w:t>
                  </w:r>
                  <w:r>
                    <w:rPr>
                      <w:sz w:val="21"/>
                    </w:rPr>
                    <w:t>1-2</w:t>
                  </w:r>
                  <w:r>
                    <w:rPr>
                      <w:sz w:val="21"/>
                    </w:rPr>
                    <w:t>项的</w:t>
                  </w:r>
                </w:p>
              </w:tc>
              <w:tc>
                <w:tcPr>
                  <w:tcW w:type="dxa" w:w="955"/>
                  <w:tcBorders>
                    <w:top w:val="none" w:color="000000" w:sz="4"/>
                    <w:left w:val="none" w:color="000000" w:sz="4"/>
                    <w:bottom w:val="single" w:color="000000" w:sz="4"/>
                    <w:right w:val="single" w:color="000000" w:sz="4"/>
                  </w:tcBorders>
                </w:tcPr>
                <w:p>
                  <w:pPr>
                    <w:jc w:val="both"/>
                  </w:pPr>
                  <w:r>
                    <w:rPr>
                      <w:sz w:val="21"/>
                    </w:rPr>
                    <w:t>扣</w:t>
                  </w:r>
                  <w:r>
                    <w:rPr>
                      <w:sz w:val="21"/>
                    </w:rPr>
                    <w:t>5</w:t>
                  </w:r>
                  <w:r>
                    <w:rPr>
                      <w:sz w:val="21"/>
                    </w:rPr>
                    <w:t>分</w:t>
                  </w:r>
                </w:p>
              </w:tc>
              <w:tc>
                <w:tcPr>
                  <w:tcW w:type="dxa" w:w="1067"/>
                  <w:vMerge w:val="restart"/>
                  <w:tcBorders>
                    <w:top w:val="none" w:color="000000" w:sz="4"/>
                    <w:left w:val="none" w:color="000000" w:sz="4"/>
                    <w:bottom w:val="single" w:color="000000" w:sz="4"/>
                    <w:right w:val="single" w:color="000000" w:sz="4"/>
                  </w:tcBorders>
                </w:tcPr>
                <w:p>
                  <w:pPr>
                    <w:jc w:val="both"/>
                  </w:pPr>
                  <w:r>
                    <w:rPr>
                      <w:sz w:val="21"/>
                    </w:rPr>
                    <w:t>市自然资源局根据实际情况认为考核期内不需要完成的除外</w:t>
                  </w:r>
                </w:p>
              </w:tc>
            </w:tr>
            <w:tr>
              <w:tc>
                <w:tcPr>
                  <w:tcW w:type="dxa" w:w="809"/>
                  <w:vMerge/>
                  <w:tcBorders>
                    <w:top w:val="none" w:color="000000" w:sz="4"/>
                    <w:left w:val="single" w:color="000000" w:sz="4"/>
                    <w:bottom w:val="single" w:color="000000" w:sz="4"/>
                    <w:right w:val="single" w:color="000000" w:sz="4"/>
                  </w:tcBorders>
                </w:tcPr>
                <w:p/>
              </w:tc>
              <w:tc>
                <w:tcPr>
                  <w:tcW w:type="dxa" w:w="955"/>
                  <w:vMerge/>
                  <w:tcBorders>
                    <w:top w:val="none" w:color="000000" w:sz="4"/>
                    <w:left w:val="none" w:color="000000" w:sz="4"/>
                    <w:bottom w:val="single" w:color="000000" w:sz="4"/>
                    <w:right w:val="single" w:color="000000" w:sz="4"/>
                  </w:tcBorders>
                </w:tcPr>
                <w:p/>
              </w:tc>
              <w:tc>
                <w:tcPr>
                  <w:tcW w:type="dxa" w:w="1809"/>
                  <w:tcBorders>
                    <w:top w:val="none" w:color="000000" w:sz="4"/>
                    <w:left w:val="none" w:color="000000" w:sz="4"/>
                    <w:bottom w:val="single" w:color="000000" w:sz="4"/>
                    <w:right w:val="single" w:color="000000" w:sz="4"/>
                  </w:tcBorders>
                </w:tcPr>
                <w:p>
                  <w:pPr>
                    <w:jc w:val="both"/>
                  </w:pPr>
                  <w:r>
                    <w:rPr>
                      <w:sz w:val="21"/>
                    </w:rPr>
                    <w:t>未完成任务</w:t>
                  </w:r>
                  <w:r>
                    <w:rPr>
                      <w:sz w:val="21"/>
                    </w:rPr>
                    <w:t>3-4</w:t>
                  </w:r>
                  <w:r>
                    <w:rPr>
                      <w:sz w:val="21"/>
                    </w:rPr>
                    <w:t>项的</w:t>
                  </w:r>
                </w:p>
              </w:tc>
              <w:tc>
                <w:tcPr>
                  <w:tcW w:type="dxa" w:w="955"/>
                  <w:tcBorders>
                    <w:top w:val="none" w:color="000000" w:sz="4"/>
                    <w:left w:val="none" w:color="000000" w:sz="4"/>
                    <w:bottom w:val="single" w:color="000000" w:sz="4"/>
                    <w:right w:val="single" w:color="000000" w:sz="4"/>
                  </w:tcBorders>
                </w:tcPr>
                <w:p>
                  <w:pPr>
                    <w:jc w:val="both"/>
                  </w:pPr>
                  <w:r>
                    <w:rPr>
                      <w:sz w:val="21"/>
                    </w:rPr>
                    <w:t>扣</w:t>
                  </w:r>
                  <w:r>
                    <w:rPr>
                      <w:sz w:val="21"/>
                    </w:rPr>
                    <w:t>10</w:t>
                  </w:r>
                  <w:r>
                    <w:rPr>
                      <w:sz w:val="21"/>
                    </w:rPr>
                    <w:t>分</w:t>
                  </w:r>
                </w:p>
              </w:tc>
            </w:tr>
            <w:tr>
              <w:tc>
                <w:tcPr>
                  <w:tcW w:type="dxa" w:w="809"/>
                  <w:vMerge/>
                  <w:tcBorders>
                    <w:top w:val="none" w:color="000000" w:sz="4"/>
                    <w:left w:val="single" w:color="000000" w:sz="4"/>
                    <w:bottom w:val="single" w:color="000000" w:sz="4"/>
                    <w:right w:val="single" w:color="000000" w:sz="4"/>
                  </w:tcBorders>
                </w:tcPr>
                <w:p/>
              </w:tc>
              <w:tc>
                <w:tcPr>
                  <w:tcW w:type="dxa" w:w="955"/>
                  <w:vMerge/>
                  <w:tcBorders>
                    <w:top w:val="none" w:color="000000" w:sz="4"/>
                    <w:left w:val="none" w:color="000000" w:sz="4"/>
                    <w:bottom w:val="single" w:color="000000" w:sz="4"/>
                    <w:right w:val="single" w:color="000000" w:sz="4"/>
                  </w:tcBorders>
                </w:tcPr>
                <w:p/>
              </w:tc>
              <w:tc>
                <w:tcPr>
                  <w:tcW w:type="dxa" w:w="1809"/>
                  <w:tcBorders>
                    <w:top w:val="none" w:color="000000" w:sz="4"/>
                    <w:left w:val="none" w:color="000000" w:sz="4"/>
                    <w:bottom w:val="single" w:color="000000" w:sz="4"/>
                    <w:right w:val="single" w:color="000000" w:sz="4"/>
                  </w:tcBorders>
                </w:tcPr>
                <w:p>
                  <w:pPr>
                    <w:jc w:val="both"/>
                  </w:pPr>
                  <w:r>
                    <w:rPr>
                      <w:sz w:val="21"/>
                    </w:rPr>
                    <w:t>未完成任务</w:t>
                  </w:r>
                  <w:r>
                    <w:rPr>
                      <w:sz w:val="21"/>
                    </w:rPr>
                    <w:t>5-8</w:t>
                  </w:r>
                  <w:r>
                    <w:rPr>
                      <w:sz w:val="21"/>
                    </w:rPr>
                    <w:t>项的</w:t>
                  </w:r>
                </w:p>
              </w:tc>
              <w:tc>
                <w:tcPr>
                  <w:tcW w:type="dxa" w:w="955"/>
                  <w:tcBorders>
                    <w:top w:val="none" w:color="000000" w:sz="4"/>
                    <w:left w:val="none" w:color="000000" w:sz="4"/>
                    <w:bottom w:val="single" w:color="000000" w:sz="4"/>
                    <w:right w:val="single" w:color="000000" w:sz="4"/>
                  </w:tcBorders>
                </w:tcPr>
                <w:p>
                  <w:pPr>
                    <w:jc w:val="both"/>
                  </w:pPr>
                  <w:r>
                    <w:rPr>
                      <w:sz w:val="21"/>
                    </w:rPr>
                    <w:t>扣</w:t>
                  </w:r>
                  <w:r>
                    <w:rPr>
                      <w:sz w:val="21"/>
                    </w:rPr>
                    <w:t>20</w:t>
                  </w:r>
                  <w:r>
                    <w:rPr>
                      <w:sz w:val="21"/>
                    </w:rPr>
                    <w:t>分</w:t>
                  </w:r>
                </w:p>
              </w:tc>
            </w:tr>
            <w:tr>
              <w:tc>
                <w:tcPr>
                  <w:tcW w:type="dxa" w:w="809"/>
                  <w:vMerge/>
                  <w:tcBorders>
                    <w:top w:val="none" w:color="000000" w:sz="4"/>
                    <w:left w:val="single" w:color="000000" w:sz="4"/>
                    <w:bottom w:val="single" w:color="000000" w:sz="4"/>
                    <w:right w:val="single" w:color="000000" w:sz="4"/>
                  </w:tcBorders>
                </w:tcPr>
                <w:p/>
              </w:tc>
              <w:tc>
                <w:tcPr>
                  <w:tcW w:type="dxa" w:w="955"/>
                  <w:vMerge/>
                  <w:tcBorders>
                    <w:top w:val="none" w:color="000000" w:sz="4"/>
                    <w:left w:val="none" w:color="000000" w:sz="4"/>
                    <w:bottom w:val="single" w:color="000000" w:sz="4"/>
                    <w:right w:val="single" w:color="000000" w:sz="4"/>
                  </w:tcBorders>
                </w:tcPr>
                <w:p/>
              </w:tc>
              <w:tc>
                <w:tcPr>
                  <w:tcW w:type="dxa" w:w="1809"/>
                  <w:tcBorders>
                    <w:top w:val="none" w:color="000000" w:sz="4"/>
                    <w:left w:val="none" w:color="000000" w:sz="4"/>
                    <w:bottom w:val="single" w:color="000000" w:sz="4"/>
                    <w:right w:val="single" w:color="000000" w:sz="4"/>
                  </w:tcBorders>
                </w:tcPr>
                <w:p>
                  <w:pPr>
                    <w:jc w:val="both"/>
                  </w:pPr>
                  <w:r>
                    <w:rPr>
                      <w:sz w:val="21"/>
                    </w:rPr>
                    <w:t>未完成任务</w:t>
                  </w:r>
                  <w:r>
                    <w:rPr>
                      <w:sz w:val="21"/>
                    </w:rPr>
                    <w:t>9</w:t>
                  </w:r>
                  <w:r>
                    <w:rPr>
                      <w:sz w:val="21"/>
                    </w:rPr>
                    <w:t>项以上的</w:t>
                  </w:r>
                </w:p>
              </w:tc>
              <w:tc>
                <w:tcPr>
                  <w:tcW w:type="dxa" w:w="955"/>
                  <w:tcBorders>
                    <w:top w:val="none" w:color="000000" w:sz="4"/>
                    <w:left w:val="none" w:color="000000" w:sz="4"/>
                    <w:bottom w:val="single" w:color="000000" w:sz="4"/>
                    <w:right w:val="single" w:color="000000" w:sz="4"/>
                  </w:tcBorders>
                </w:tcPr>
                <w:p>
                  <w:pPr>
                    <w:jc w:val="both"/>
                  </w:pPr>
                  <w:r>
                    <w:rPr>
                      <w:sz w:val="21"/>
                    </w:rPr>
                    <w:t>扣</w:t>
                  </w:r>
                  <w:r>
                    <w:rPr>
                      <w:sz w:val="21"/>
                    </w:rPr>
                    <w:t>40</w:t>
                  </w:r>
                  <w:r>
                    <w:rPr>
                      <w:sz w:val="21"/>
                    </w:rPr>
                    <w:t>分</w:t>
                  </w:r>
                </w:p>
              </w:tc>
            </w:tr>
            <w:tr>
              <w:tc>
                <w:tcPr>
                  <w:tcW w:type="dxa" w:w="809"/>
                  <w:vMerge w:val="restart"/>
                  <w:tcBorders>
                    <w:top w:val="none" w:color="000000" w:sz="4"/>
                    <w:left w:val="single" w:color="000000" w:sz="4"/>
                    <w:bottom w:val="single" w:color="000000" w:sz="4"/>
                    <w:right w:val="single" w:color="000000" w:sz="4"/>
                  </w:tcBorders>
                </w:tcPr>
                <w:p>
                  <w:pPr>
                    <w:jc w:val="both"/>
                  </w:pPr>
                  <w:r>
                    <w:rPr>
                      <w:sz w:val="21"/>
                    </w:rPr>
                    <w:t>局信息化部门及用户评价</w:t>
                  </w:r>
                </w:p>
              </w:tc>
              <w:tc>
                <w:tcPr>
                  <w:tcW w:type="dxa" w:w="955"/>
                  <w:tcBorders>
                    <w:top w:val="none" w:color="000000" w:sz="4"/>
                    <w:left w:val="none" w:color="000000" w:sz="4"/>
                    <w:bottom w:val="single" w:color="000000" w:sz="4"/>
                    <w:right w:val="single" w:color="000000" w:sz="4"/>
                  </w:tcBorders>
                </w:tcPr>
                <w:p>
                  <w:pPr>
                    <w:jc w:val="both"/>
                  </w:pPr>
                  <w:r>
                    <w:rPr>
                      <w:sz w:val="21"/>
                    </w:rPr>
                    <w:t>测信科评价</w:t>
                  </w:r>
                </w:p>
              </w:tc>
              <w:tc>
                <w:tcPr>
                  <w:tcW w:type="dxa" w:w="1809"/>
                  <w:tcBorders>
                    <w:top w:val="none" w:color="000000" w:sz="4"/>
                    <w:left w:val="none" w:color="000000" w:sz="4"/>
                    <w:bottom w:val="single" w:color="000000" w:sz="4"/>
                    <w:right w:val="single" w:color="000000" w:sz="4"/>
                  </w:tcBorders>
                </w:tcPr>
                <w:p>
                  <w:pPr>
                    <w:jc w:val="both"/>
                  </w:pPr>
                  <w:r>
                    <w:rPr>
                      <w:sz w:val="21"/>
                    </w:rPr>
                    <w:t>服务综合评价不满意</w:t>
                  </w:r>
                </w:p>
              </w:tc>
              <w:tc>
                <w:tcPr>
                  <w:tcW w:type="dxa" w:w="955"/>
                  <w:tcBorders>
                    <w:top w:val="none" w:color="000000" w:sz="4"/>
                    <w:left w:val="none" w:color="000000" w:sz="4"/>
                    <w:bottom w:val="single" w:color="000000" w:sz="4"/>
                    <w:right w:val="single" w:color="000000" w:sz="4"/>
                  </w:tcBorders>
                </w:tcPr>
                <w:p>
                  <w:pPr>
                    <w:jc w:val="both"/>
                  </w:pPr>
                  <w:r>
                    <w:rPr>
                      <w:sz w:val="21"/>
                    </w:rPr>
                    <w:t>扣</w:t>
                  </w:r>
                  <w:r>
                    <w:rPr>
                      <w:sz w:val="21"/>
                    </w:rPr>
                    <w:t>10</w:t>
                  </w:r>
                  <w:r>
                    <w:rPr>
                      <w:sz w:val="21"/>
                    </w:rPr>
                    <w:t>分</w:t>
                  </w:r>
                </w:p>
              </w:tc>
              <w:tc>
                <w:tcPr>
                  <w:tcW w:type="dxa" w:w="1067"/>
                  <w:tcBorders>
                    <w:top w:val="none" w:color="000000" w:sz="4"/>
                    <w:left w:val="none" w:color="000000" w:sz="4"/>
                    <w:bottom w:val="single" w:color="000000" w:sz="4"/>
                    <w:right w:val="single" w:color="000000" w:sz="4"/>
                  </w:tcBorders>
                </w:tcPr>
                <w:p>
                  <w:pPr>
                    <w:jc w:val="both"/>
                  </w:pPr>
                  <w:r>
                    <w:rPr>
                      <w:sz w:val="21"/>
                    </w:rPr>
                    <w:t>评价问卷</w:t>
                  </w:r>
                </w:p>
              </w:tc>
            </w:tr>
            <w:tr>
              <w:tc>
                <w:tcPr>
                  <w:tcW w:type="dxa" w:w="809"/>
                  <w:vMerge/>
                  <w:tcBorders>
                    <w:top w:val="none" w:color="000000" w:sz="4"/>
                    <w:left w:val="single" w:color="000000" w:sz="4"/>
                    <w:bottom w:val="single" w:color="000000" w:sz="4"/>
                    <w:right w:val="single" w:color="000000" w:sz="4"/>
                  </w:tcBorders>
                </w:tcPr>
                <w:p/>
              </w:tc>
              <w:tc>
                <w:tcPr>
                  <w:tcW w:type="dxa" w:w="955"/>
                  <w:tcBorders>
                    <w:top w:val="none" w:color="000000" w:sz="4"/>
                    <w:left w:val="none" w:color="000000" w:sz="4"/>
                    <w:bottom w:val="single" w:color="000000" w:sz="4"/>
                    <w:right w:val="single" w:color="000000" w:sz="4"/>
                  </w:tcBorders>
                </w:tcPr>
                <w:p>
                  <w:pPr>
                    <w:jc w:val="both"/>
                  </w:pPr>
                  <w:r>
                    <w:rPr>
                      <w:sz w:val="21"/>
                    </w:rPr>
                    <w:t>信息中心评价</w:t>
                  </w:r>
                </w:p>
              </w:tc>
              <w:tc>
                <w:tcPr>
                  <w:tcW w:type="dxa" w:w="1809"/>
                  <w:tcBorders>
                    <w:top w:val="none" w:color="000000" w:sz="4"/>
                    <w:left w:val="none" w:color="000000" w:sz="4"/>
                    <w:bottom w:val="single" w:color="000000" w:sz="4"/>
                    <w:right w:val="single" w:color="000000" w:sz="4"/>
                  </w:tcBorders>
                </w:tcPr>
                <w:p>
                  <w:pPr>
                    <w:jc w:val="both"/>
                  </w:pPr>
                  <w:r>
                    <w:rPr>
                      <w:sz w:val="21"/>
                    </w:rPr>
                    <w:t>服务综合评价不满意</w:t>
                  </w:r>
                </w:p>
              </w:tc>
              <w:tc>
                <w:tcPr>
                  <w:tcW w:type="dxa" w:w="955"/>
                  <w:tcBorders>
                    <w:top w:val="none" w:color="000000" w:sz="4"/>
                    <w:left w:val="none" w:color="000000" w:sz="4"/>
                    <w:bottom w:val="single" w:color="000000" w:sz="4"/>
                    <w:right w:val="single" w:color="000000" w:sz="4"/>
                  </w:tcBorders>
                </w:tcPr>
                <w:p>
                  <w:pPr>
                    <w:jc w:val="both"/>
                  </w:pPr>
                  <w:r>
                    <w:rPr>
                      <w:sz w:val="21"/>
                    </w:rPr>
                    <w:t>扣</w:t>
                  </w:r>
                  <w:r>
                    <w:rPr>
                      <w:sz w:val="21"/>
                    </w:rPr>
                    <w:t>10</w:t>
                  </w:r>
                  <w:r>
                    <w:rPr>
                      <w:sz w:val="21"/>
                    </w:rPr>
                    <w:t>分</w:t>
                  </w:r>
                </w:p>
              </w:tc>
              <w:tc>
                <w:tcPr>
                  <w:tcW w:type="dxa" w:w="1067"/>
                  <w:tcBorders>
                    <w:top w:val="none" w:color="000000" w:sz="4"/>
                    <w:left w:val="none" w:color="000000" w:sz="4"/>
                    <w:bottom w:val="single" w:color="000000" w:sz="4"/>
                    <w:right w:val="single" w:color="000000" w:sz="4"/>
                  </w:tcBorders>
                </w:tcPr>
                <w:p>
                  <w:pPr>
                    <w:jc w:val="both"/>
                  </w:pPr>
                  <w:r>
                    <w:rPr>
                      <w:sz w:val="21"/>
                    </w:rPr>
                    <w:t>评价问卷</w:t>
                  </w:r>
                </w:p>
              </w:tc>
            </w:tr>
            <w:tr>
              <w:tc>
                <w:tcPr>
                  <w:tcW w:type="dxa" w:w="809"/>
                  <w:vMerge/>
                  <w:tcBorders>
                    <w:top w:val="none" w:color="000000" w:sz="4"/>
                    <w:left w:val="single" w:color="000000" w:sz="4"/>
                    <w:bottom w:val="single" w:color="000000" w:sz="4"/>
                    <w:right w:val="single" w:color="000000" w:sz="4"/>
                  </w:tcBorders>
                </w:tcPr>
                <w:p/>
              </w:tc>
              <w:tc>
                <w:tcPr>
                  <w:tcW w:type="dxa" w:w="955"/>
                  <w:tcBorders>
                    <w:top w:val="none" w:color="000000" w:sz="4"/>
                    <w:left w:val="none" w:color="000000" w:sz="4"/>
                    <w:bottom w:val="single" w:color="000000" w:sz="4"/>
                    <w:right w:val="single" w:color="000000" w:sz="4"/>
                  </w:tcBorders>
                </w:tcPr>
                <w:p>
                  <w:pPr>
                    <w:jc w:val="both"/>
                  </w:pPr>
                  <w:r>
                    <w:rPr>
                      <w:sz w:val="21"/>
                    </w:rPr>
                    <w:t>业务科室评价</w:t>
                  </w:r>
                </w:p>
              </w:tc>
              <w:tc>
                <w:tcPr>
                  <w:tcW w:type="dxa" w:w="1809"/>
                  <w:tcBorders>
                    <w:top w:val="none" w:color="000000" w:sz="4"/>
                    <w:left w:val="none" w:color="000000" w:sz="4"/>
                    <w:bottom w:val="single" w:color="000000" w:sz="4"/>
                    <w:right w:val="single" w:color="000000" w:sz="4"/>
                  </w:tcBorders>
                </w:tcPr>
                <w:p>
                  <w:pPr>
                    <w:jc w:val="both"/>
                  </w:pPr>
                  <w:r>
                    <w:rPr>
                      <w:sz w:val="21"/>
                    </w:rPr>
                    <w:t>服务综合评价不满意</w:t>
                  </w:r>
                </w:p>
              </w:tc>
              <w:tc>
                <w:tcPr>
                  <w:tcW w:type="dxa" w:w="955"/>
                  <w:tcBorders>
                    <w:top w:val="none" w:color="000000" w:sz="4"/>
                    <w:left w:val="none" w:color="000000" w:sz="4"/>
                    <w:bottom w:val="single" w:color="000000" w:sz="4"/>
                    <w:right w:val="single" w:color="000000" w:sz="4"/>
                  </w:tcBorders>
                </w:tcPr>
                <w:p>
                  <w:pPr>
                    <w:jc w:val="both"/>
                  </w:pPr>
                  <w:r>
                    <w:rPr>
                      <w:sz w:val="21"/>
                    </w:rPr>
                    <w:t>扣</w:t>
                  </w:r>
                  <w:r>
                    <w:rPr>
                      <w:sz w:val="21"/>
                    </w:rPr>
                    <w:t>10</w:t>
                  </w:r>
                  <w:r>
                    <w:rPr>
                      <w:sz w:val="21"/>
                    </w:rPr>
                    <w:t>分</w:t>
                  </w:r>
                  <w:r>
                    <w:rPr>
                      <w:sz w:val="21"/>
                    </w:rPr>
                    <w:t>/</w:t>
                  </w:r>
                  <w:r>
                    <w:rPr>
                      <w:sz w:val="21"/>
                    </w:rPr>
                    <w:t>份</w:t>
                  </w:r>
                </w:p>
              </w:tc>
              <w:tc>
                <w:tcPr>
                  <w:tcW w:type="dxa" w:w="1067"/>
                  <w:tcBorders>
                    <w:top w:val="none" w:color="000000" w:sz="4"/>
                    <w:left w:val="none" w:color="000000" w:sz="4"/>
                    <w:bottom w:val="single" w:color="000000" w:sz="4"/>
                    <w:right w:val="single" w:color="000000" w:sz="4"/>
                  </w:tcBorders>
                </w:tcPr>
                <w:p>
                  <w:pPr>
                    <w:jc w:val="both"/>
                  </w:pPr>
                  <w:r>
                    <w:rPr>
                      <w:sz w:val="21"/>
                    </w:rPr>
                    <w:t>评价问卷</w:t>
                  </w:r>
                </w:p>
              </w:tc>
            </w:tr>
            <w:tr>
              <w:tc>
                <w:tcPr>
                  <w:tcW w:type="dxa" w:w="809"/>
                  <w:vMerge/>
                  <w:tcBorders>
                    <w:top w:val="none" w:color="000000" w:sz="4"/>
                    <w:left w:val="single" w:color="000000" w:sz="4"/>
                    <w:bottom w:val="single" w:color="000000" w:sz="4"/>
                    <w:right w:val="single" w:color="000000" w:sz="4"/>
                  </w:tcBorders>
                </w:tcPr>
                <w:p/>
              </w:tc>
              <w:tc>
                <w:tcPr>
                  <w:tcW w:type="dxa" w:w="955"/>
                  <w:tcBorders>
                    <w:top w:val="none" w:color="000000" w:sz="4"/>
                    <w:left w:val="none" w:color="000000" w:sz="4"/>
                    <w:bottom w:val="single" w:color="000000" w:sz="4"/>
                    <w:right w:val="single" w:color="000000" w:sz="4"/>
                  </w:tcBorders>
                </w:tcPr>
                <w:p>
                  <w:pPr>
                    <w:jc w:val="both"/>
                  </w:pPr>
                  <w:r>
                    <w:rPr>
                      <w:sz w:val="21"/>
                    </w:rPr>
                    <w:t>监管部门通报或批评</w:t>
                  </w:r>
                </w:p>
              </w:tc>
              <w:tc>
                <w:tcPr>
                  <w:tcW w:type="dxa" w:w="1809"/>
                  <w:tcBorders>
                    <w:top w:val="none" w:color="000000" w:sz="4"/>
                    <w:left w:val="none" w:color="000000" w:sz="4"/>
                    <w:bottom w:val="single" w:color="000000" w:sz="4"/>
                    <w:right w:val="single" w:color="000000" w:sz="4"/>
                  </w:tcBorders>
                </w:tcPr>
                <w:p>
                  <w:pPr>
                    <w:jc w:val="both"/>
                  </w:pPr>
                  <w:r>
                    <w:rPr>
                      <w:sz w:val="21"/>
                    </w:rPr>
                    <w:t>机关党委、纪检组、局办公室、局安全生产办公室等监管部门的通报或批次</w:t>
                  </w:r>
                </w:p>
              </w:tc>
              <w:tc>
                <w:tcPr>
                  <w:tcW w:type="dxa" w:w="955"/>
                  <w:tcBorders>
                    <w:top w:val="none" w:color="000000" w:sz="4"/>
                    <w:left w:val="none" w:color="000000" w:sz="4"/>
                    <w:bottom w:val="single" w:color="000000" w:sz="4"/>
                    <w:right w:val="single" w:color="000000" w:sz="4"/>
                  </w:tcBorders>
                </w:tcPr>
                <w:p>
                  <w:pPr>
                    <w:jc w:val="both"/>
                  </w:pPr>
                  <w:r>
                    <w:rPr>
                      <w:sz w:val="21"/>
                    </w:rPr>
                    <w:t>扣</w:t>
                  </w:r>
                  <w:r>
                    <w:rPr>
                      <w:sz w:val="21"/>
                    </w:rPr>
                    <w:t>5</w:t>
                  </w:r>
                  <w:r>
                    <w:rPr>
                      <w:sz w:val="21"/>
                    </w:rPr>
                    <w:t>分</w:t>
                  </w:r>
                  <w:r>
                    <w:rPr>
                      <w:sz w:val="21"/>
                    </w:rPr>
                    <w:t>/</w:t>
                  </w:r>
                  <w:r>
                    <w:rPr>
                      <w:sz w:val="21"/>
                    </w:rPr>
                    <w:t>次</w:t>
                  </w:r>
                </w:p>
              </w:tc>
              <w:tc>
                <w:tcPr>
                  <w:tcW w:type="dxa" w:w="1067"/>
                  <w:tcBorders>
                    <w:top w:val="none" w:color="000000" w:sz="4"/>
                    <w:left w:val="none" w:color="000000" w:sz="4"/>
                    <w:bottom w:val="single" w:color="000000" w:sz="4"/>
                    <w:right w:val="single" w:color="000000" w:sz="4"/>
                  </w:tcBorders>
                </w:tcPr>
                <w:p>
                  <w:pPr>
                    <w:jc w:val="both"/>
                  </w:pPr>
                  <w:r>
                    <w:rPr>
                      <w:sz w:val="21"/>
                    </w:rPr>
                    <w:t>相关佐证材料</w:t>
                  </w:r>
                </w:p>
              </w:tc>
            </w:tr>
            <w:tr>
              <w:tc>
                <w:tcPr>
                  <w:tcW w:type="dxa" w:w="809"/>
                  <w:vMerge/>
                  <w:tcBorders>
                    <w:top w:val="none" w:color="000000" w:sz="4"/>
                    <w:left w:val="single" w:color="000000" w:sz="4"/>
                    <w:bottom w:val="single" w:color="000000" w:sz="4"/>
                    <w:right w:val="single" w:color="000000" w:sz="4"/>
                  </w:tcBorders>
                </w:tcPr>
                <w:p/>
              </w:tc>
              <w:tc>
                <w:tcPr>
                  <w:tcW w:type="dxa" w:w="955"/>
                  <w:tcBorders>
                    <w:top w:val="none" w:color="000000" w:sz="4"/>
                    <w:left w:val="none" w:color="000000" w:sz="4"/>
                    <w:bottom w:val="single" w:color="000000" w:sz="4"/>
                    <w:right w:val="single" w:color="000000" w:sz="4"/>
                  </w:tcBorders>
                </w:tcPr>
                <w:p>
                  <w:pPr>
                    <w:jc w:val="both"/>
                  </w:pPr>
                  <w:r>
                    <w:rPr>
                      <w:sz w:val="21"/>
                    </w:rPr>
                    <w:t>群众投诉</w:t>
                  </w:r>
                </w:p>
              </w:tc>
              <w:tc>
                <w:tcPr>
                  <w:tcW w:type="dxa" w:w="1809"/>
                  <w:tcBorders>
                    <w:top w:val="none" w:color="000000" w:sz="4"/>
                    <w:left w:val="none" w:color="000000" w:sz="4"/>
                    <w:bottom w:val="single" w:color="000000" w:sz="4"/>
                    <w:right w:val="single" w:color="000000" w:sz="4"/>
                  </w:tcBorders>
                </w:tcPr>
                <w:p>
                  <w:pPr>
                    <w:jc w:val="both"/>
                  </w:pPr>
                  <w:r>
                    <w:rPr>
                      <w:sz w:val="21"/>
                    </w:rPr>
                    <w:t>好差评、</w:t>
                  </w:r>
                  <w:r>
                    <w:rPr>
                      <w:sz w:val="21"/>
                    </w:rPr>
                    <w:t>12345</w:t>
                  </w:r>
                  <w:r>
                    <w:rPr>
                      <w:sz w:val="21"/>
                    </w:rPr>
                    <w:t>、码上反映等群众投诉渠道反馈</w:t>
                  </w:r>
                </w:p>
              </w:tc>
              <w:tc>
                <w:tcPr>
                  <w:tcW w:type="dxa" w:w="955"/>
                  <w:tcBorders>
                    <w:top w:val="none" w:color="000000" w:sz="4"/>
                    <w:left w:val="none" w:color="000000" w:sz="4"/>
                    <w:bottom w:val="single" w:color="000000" w:sz="4"/>
                    <w:right w:val="single" w:color="000000" w:sz="4"/>
                  </w:tcBorders>
                </w:tcPr>
                <w:p>
                  <w:pPr>
                    <w:jc w:val="both"/>
                  </w:pPr>
                  <w:r>
                    <w:rPr>
                      <w:sz w:val="21"/>
                    </w:rPr>
                    <w:t>扣</w:t>
                  </w:r>
                  <w:r>
                    <w:rPr>
                      <w:sz w:val="21"/>
                    </w:rPr>
                    <w:t>3</w:t>
                  </w:r>
                  <w:r>
                    <w:rPr>
                      <w:sz w:val="21"/>
                    </w:rPr>
                    <w:t>分</w:t>
                  </w:r>
                  <w:r>
                    <w:rPr>
                      <w:sz w:val="21"/>
                    </w:rPr>
                    <w:t>/</w:t>
                  </w:r>
                  <w:r>
                    <w:rPr>
                      <w:sz w:val="21"/>
                    </w:rPr>
                    <w:t>次</w:t>
                  </w:r>
                </w:p>
              </w:tc>
              <w:tc>
                <w:tcPr>
                  <w:tcW w:type="dxa" w:w="1067"/>
                  <w:tcBorders>
                    <w:top w:val="none" w:color="000000" w:sz="4"/>
                    <w:left w:val="none" w:color="000000" w:sz="4"/>
                    <w:bottom w:val="single" w:color="000000" w:sz="4"/>
                    <w:right w:val="single" w:color="000000" w:sz="4"/>
                  </w:tcBorders>
                </w:tcPr>
                <w:p>
                  <w:pPr>
                    <w:jc w:val="both"/>
                  </w:pPr>
                  <w:r>
                    <w:rPr>
                      <w:sz w:val="21"/>
                    </w:rPr>
                    <w:t>相关佐证材料</w:t>
                  </w:r>
                </w:p>
              </w:tc>
            </w:tr>
            <w:tr>
              <w:tc>
                <w:tcPr>
                  <w:tcW w:type="dxa" w:w="809"/>
                  <w:vMerge w:val="restart"/>
                  <w:tcBorders>
                    <w:top w:val="none" w:color="000000" w:sz="4"/>
                    <w:left w:val="single" w:color="000000" w:sz="4"/>
                    <w:bottom w:val="single" w:color="000000" w:sz="4"/>
                    <w:right w:val="single" w:color="000000" w:sz="4"/>
                  </w:tcBorders>
                </w:tcPr>
                <w:p>
                  <w:pPr>
                    <w:jc w:val="both"/>
                  </w:pPr>
                  <w:r>
                    <w:rPr>
                      <w:sz w:val="21"/>
                    </w:rPr>
                    <w:t>人</w:t>
                  </w:r>
                  <w:r>
                    <w:rPr>
                      <w:sz w:val="21"/>
                    </w:rPr>
                    <w:t xml:space="preserve"> </w:t>
                  </w:r>
                  <w:r>
                    <w:rPr>
                      <w:sz w:val="21"/>
                    </w:rPr>
                    <w:t>员</w:t>
                  </w:r>
                </w:p>
              </w:tc>
              <w:tc>
                <w:tcPr>
                  <w:tcW w:type="dxa" w:w="955"/>
                  <w:tcBorders>
                    <w:top w:val="none" w:color="000000" w:sz="4"/>
                    <w:left w:val="none" w:color="000000" w:sz="4"/>
                    <w:bottom w:val="single" w:color="000000" w:sz="4"/>
                    <w:right w:val="single" w:color="000000" w:sz="4"/>
                  </w:tcBorders>
                </w:tcPr>
                <w:p>
                  <w:pPr>
                    <w:jc w:val="both"/>
                  </w:pPr>
                  <w:r>
                    <w:rPr>
                      <w:sz w:val="21"/>
                    </w:rPr>
                    <w:t>数量不足</w:t>
                  </w:r>
                </w:p>
              </w:tc>
              <w:tc>
                <w:tcPr>
                  <w:tcW w:type="dxa" w:w="1809"/>
                  <w:tcBorders>
                    <w:top w:val="none" w:color="000000" w:sz="4"/>
                    <w:left w:val="none" w:color="000000" w:sz="4"/>
                    <w:bottom w:val="single" w:color="000000" w:sz="4"/>
                    <w:right w:val="single" w:color="000000" w:sz="4"/>
                  </w:tcBorders>
                </w:tcPr>
                <w:p>
                  <w:pPr>
                    <w:jc w:val="both"/>
                  </w:pPr>
                  <w:r>
                    <w:rPr>
                      <w:sz w:val="21"/>
                    </w:rPr>
                    <w:t>未按要求配足驻场人员</w:t>
                  </w:r>
                </w:p>
              </w:tc>
              <w:tc>
                <w:tcPr>
                  <w:tcW w:type="dxa" w:w="955"/>
                  <w:tcBorders>
                    <w:top w:val="none" w:color="000000" w:sz="4"/>
                    <w:left w:val="none" w:color="000000" w:sz="4"/>
                    <w:bottom w:val="single" w:color="000000" w:sz="4"/>
                    <w:right w:val="single" w:color="000000" w:sz="4"/>
                  </w:tcBorders>
                </w:tcPr>
                <w:p>
                  <w:pPr>
                    <w:jc w:val="both"/>
                  </w:pPr>
                  <w:r>
                    <w:rPr>
                      <w:sz w:val="21"/>
                    </w:rPr>
                    <w:t>少</w:t>
                  </w:r>
                  <w:r>
                    <w:rPr>
                      <w:sz w:val="21"/>
                    </w:rPr>
                    <w:t>1</w:t>
                  </w:r>
                  <w:r>
                    <w:rPr>
                      <w:sz w:val="21"/>
                    </w:rPr>
                    <w:t>人扣</w:t>
                  </w:r>
                  <w:r>
                    <w:rPr>
                      <w:sz w:val="21"/>
                    </w:rPr>
                    <w:t>5</w:t>
                  </w:r>
                  <w:r>
                    <w:rPr>
                      <w:sz w:val="21"/>
                    </w:rPr>
                    <w:t>分</w:t>
                  </w:r>
                </w:p>
              </w:tc>
              <w:tc>
                <w:tcPr>
                  <w:tcW w:type="dxa" w:w="1067"/>
                  <w:tcBorders>
                    <w:top w:val="none" w:color="000000" w:sz="4"/>
                    <w:left w:val="none" w:color="000000" w:sz="4"/>
                    <w:bottom w:val="single" w:color="000000" w:sz="4"/>
                    <w:right w:val="single" w:color="000000" w:sz="4"/>
                  </w:tcBorders>
                </w:tcPr>
                <w:p>
                  <w:pPr>
                    <w:jc w:val="both"/>
                  </w:pPr>
                  <w:r>
                    <w:rPr>
                      <w:sz w:val="21"/>
                    </w:rPr>
                    <w:t>人员相关材料</w:t>
                  </w:r>
                </w:p>
              </w:tc>
            </w:tr>
            <w:tr>
              <w:tc>
                <w:tcPr>
                  <w:tcW w:type="dxa" w:w="809"/>
                  <w:vMerge/>
                  <w:tcBorders>
                    <w:top w:val="none" w:color="000000" w:sz="4"/>
                    <w:left w:val="single" w:color="000000" w:sz="4"/>
                    <w:bottom w:val="single" w:color="000000" w:sz="4"/>
                    <w:right w:val="single" w:color="000000" w:sz="4"/>
                  </w:tcBorders>
                </w:tcPr>
                <w:p/>
              </w:tc>
              <w:tc>
                <w:tcPr>
                  <w:tcW w:type="dxa" w:w="955"/>
                  <w:tcBorders>
                    <w:top w:val="none" w:color="000000" w:sz="4"/>
                    <w:left w:val="none" w:color="000000" w:sz="4"/>
                    <w:bottom w:val="single" w:color="000000" w:sz="4"/>
                    <w:right w:val="single" w:color="000000" w:sz="4"/>
                  </w:tcBorders>
                </w:tcPr>
                <w:p>
                  <w:pPr>
                    <w:jc w:val="both"/>
                  </w:pPr>
                  <w:r>
                    <w:rPr>
                      <w:sz w:val="21"/>
                    </w:rPr>
                    <w:t>素质未达标</w:t>
                  </w:r>
                </w:p>
              </w:tc>
              <w:tc>
                <w:tcPr>
                  <w:tcW w:type="dxa" w:w="1809"/>
                  <w:tcBorders>
                    <w:top w:val="none" w:color="000000" w:sz="4"/>
                    <w:left w:val="none" w:color="000000" w:sz="4"/>
                    <w:bottom w:val="single" w:color="000000" w:sz="4"/>
                    <w:right w:val="single" w:color="000000" w:sz="4"/>
                  </w:tcBorders>
                </w:tcPr>
                <w:p>
                  <w:pPr>
                    <w:jc w:val="both"/>
                  </w:pPr>
                  <w:r>
                    <w:rPr>
                      <w:sz w:val="21"/>
                    </w:rPr>
                    <w:t>人员学历、经验、职称未达到要求</w:t>
                  </w:r>
                </w:p>
              </w:tc>
              <w:tc>
                <w:tcPr>
                  <w:tcW w:type="dxa" w:w="955"/>
                  <w:tcBorders>
                    <w:top w:val="none" w:color="000000" w:sz="4"/>
                    <w:left w:val="none" w:color="000000" w:sz="4"/>
                    <w:bottom w:val="single" w:color="000000" w:sz="4"/>
                    <w:right w:val="single" w:color="000000" w:sz="4"/>
                  </w:tcBorders>
                </w:tcPr>
                <w:p>
                  <w:pPr>
                    <w:jc w:val="both"/>
                  </w:pPr>
                  <w:r>
                    <w:rPr>
                      <w:sz w:val="21"/>
                    </w:rPr>
                    <w:t>少</w:t>
                  </w:r>
                  <w:r>
                    <w:rPr>
                      <w:sz w:val="21"/>
                    </w:rPr>
                    <w:t>1</w:t>
                  </w:r>
                  <w:r>
                    <w:rPr>
                      <w:sz w:val="21"/>
                    </w:rPr>
                    <w:t>人扣</w:t>
                  </w:r>
                  <w:r>
                    <w:rPr>
                      <w:sz w:val="21"/>
                    </w:rPr>
                    <w:t>5</w:t>
                  </w:r>
                  <w:r>
                    <w:rPr>
                      <w:sz w:val="21"/>
                    </w:rPr>
                    <w:t>分</w:t>
                  </w:r>
                </w:p>
              </w:tc>
              <w:tc>
                <w:tcPr>
                  <w:tcW w:type="dxa" w:w="1067"/>
                  <w:tcBorders>
                    <w:top w:val="none" w:color="000000" w:sz="4"/>
                    <w:left w:val="none" w:color="000000" w:sz="4"/>
                    <w:bottom w:val="single" w:color="000000" w:sz="4"/>
                    <w:right w:val="single" w:color="000000" w:sz="4"/>
                  </w:tcBorders>
                </w:tcPr>
                <w:p>
                  <w:pPr>
                    <w:jc w:val="both"/>
                  </w:pPr>
                  <w:r>
                    <w:rPr>
                      <w:sz w:val="21"/>
                    </w:rPr>
                    <w:t>人员相关材料</w:t>
                  </w:r>
                </w:p>
              </w:tc>
            </w:tr>
            <w:tr>
              <w:tc>
                <w:tcPr>
                  <w:tcW w:type="dxa" w:w="809"/>
                  <w:vMerge/>
                  <w:tcBorders>
                    <w:top w:val="none" w:color="000000" w:sz="4"/>
                    <w:left w:val="single" w:color="000000" w:sz="4"/>
                    <w:bottom w:val="single" w:color="000000" w:sz="4"/>
                    <w:right w:val="single" w:color="000000" w:sz="4"/>
                  </w:tcBorders>
                </w:tcPr>
                <w:p/>
              </w:tc>
              <w:tc>
                <w:tcPr>
                  <w:tcW w:type="dxa" w:w="955"/>
                  <w:tcBorders>
                    <w:top w:val="none" w:color="000000" w:sz="4"/>
                    <w:left w:val="none" w:color="000000" w:sz="4"/>
                    <w:bottom w:val="single" w:color="000000" w:sz="4"/>
                    <w:right w:val="single" w:color="000000" w:sz="4"/>
                  </w:tcBorders>
                </w:tcPr>
                <w:p>
                  <w:pPr>
                    <w:jc w:val="both"/>
                  </w:pPr>
                  <w:r>
                    <w:rPr>
                      <w:sz w:val="21"/>
                    </w:rPr>
                    <w:t>考</w:t>
                  </w:r>
                  <w:r>
                    <w:rPr>
                      <w:sz w:val="21"/>
                    </w:rPr>
                    <w:t xml:space="preserve"> </w:t>
                  </w:r>
                  <w:r>
                    <w:rPr>
                      <w:sz w:val="21"/>
                    </w:rPr>
                    <w:t>勤</w:t>
                  </w:r>
                </w:p>
              </w:tc>
              <w:tc>
                <w:tcPr>
                  <w:tcW w:type="dxa" w:w="1809"/>
                  <w:tcBorders>
                    <w:top w:val="none" w:color="000000" w:sz="4"/>
                    <w:left w:val="none" w:color="000000" w:sz="4"/>
                    <w:bottom w:val="single" w:color="000000" w:sz="4"/>
                    <w:right w:val="single" w:color="000000" w:sz="4"/>
                  </w:tcBorders>
                </w:tcPr>
                <w:p>
                  <w:pPr>
                    <w:jc w:val="both"/>
                  </w:pPr>
                  <w:r>
                    <w:rPr>
                      <w:sz w:val="21"/>
                    </w:rPr>
                    <w:t>休假未按规定请假、报备或旷工，开会无故缺席或迟到</w:t>
                  </w:r>
                  <w:r>
                    <w:rPr>
                      <w:sz w:val="21"/>
                    </w:rPr>
                    <w:t>10</w:t>
                  </w:r>
                  <w:r>
                    <w:rPr>
                      <w:sz w:val="21"/>
                    </w:rPr>
                    <w:t>分钟以上</w:t>
                  </w:r>
                </w:p>
              </w:tc>
              <w:tc>
                <w:tcPr>
                  <w:tcW w:type="dxa" w:w="955"/>
                  <w:tcBorders>
                    <w:top w:val="none" w:color="000000" w:sz="4"/>
                    <w:left w:val="none" w:color="000000" w:sz="4"/>
                    <w:bottom w:val="single" w:color="000000" w:sz="4"/>
                    <w:right w:val="single" w:color="000000" w:sz="4"/>
                  </w:tcBorders>
                </w:tcPr>
                <w:p>
                  <w:pPr>
                    <w:jc w:val="both"/>
                  </w:pPr>
                  <w:r>
                    <w:rPr>
                      <w:sz w:val="21"/>
                    </w:rPr>
                    <w:t>扣</w:t>
                  </w:r>
                  <w:r>
                    <w:rPr>
                      <w:sz w:val="21"/>
                    </w:rPr>
                    <w:t>2</w:t>
                  </w:r>
                  <w:r>
                    <w:rPr>
                      <w:sz w:val="21"/>
                    </w:rPr>
                    <w:t>分</w:t>
                  </w:r>
                  <w:r>
                    <w:rPr>
                      <w:sz w:val="21"/>
                    </w:rPr>
                    <w:t>/</w:t>
                  </w:r>
                  <w:r>
                    <w:rPr>
                      <w:sz w:val="21"/>
                    </w:rPr>
                    <w:t>人次</w:t>
                  </w:r>
                </w:p>
              </w:tc>
              <w:tc>
                <w:tcPr>
                  <w:tcW w:type="dxa" w:w="1067"/>
                  <w:tcBorders>
                    <w:top w:val="none" w:color="000000" w:sz="4"/>
                    <w:left w:val="none" w:color="000000" w:sz="4"/>
                    <w:bottom w:val="single" w:color="000000" w:sz="4"/>
                    <w:right w:val="single" w:color="000000" w:sz="4"/>
                  </w:tcBorders>
                </w:tcPr>
                <w:p>
                  <w:pPr>
                    <w:jc w:val="both"/>
                  </w:pPr>
                  <w:r>
                    <w:rPr>
                      <w:sz w:val="21"/>
                    </w:rPr>
                    <w:t>考勤记录及查岗材料</w:t>
                  </w:r>
                </w:p>
              </w:tc>
            </w:tr>
            <w:tr>
              <w:tc>
                <w:tcPr>
                  <w:tcW w:type="dxa" w:w="809"/>
                  <w:vMerge/>
                  <w:tcBorders>
                    <w:top w:val="none" w:color="000000" w:sz="4"/>
                    <w:left w:val="single" w:color="000000" w:sz="4"/>
                    <w:bottom w:val="single" w:color="000000" w:sz="4"/>
                    <w:right w:val="single" w:color="000000" w:sz="4"/>
                  </w:tcBorders>
                </w:tcPr>
                <w:p/>
              </w:tc>
              <w:tc>
                <w:tcPr>
                  <w:tcW w:type="dxa" w:w="955"/>
                  <w:tcBorders>
                    <w:top w:val="none" w:color="000000" w:sz="4"/>
                    <w:left w:val="none" w:color="000000" w:sz="4"/>
                    <w:bottom w:val="single" w:color="000000" w:sz="4"/>
                    <w:right w:val="single" w:color="000000" w:sz="4"/>
                  </w:tcBorders>
                </w:tcPr>
                <w:p>
                  <w:pPr>
                    <w:jc w:val="both"/>
                  </w:pPr>
                  <w:r>
                    <w:rPr>
                      <w:sz w:val="21"/>
                    </w:rPr>
                    <w:t>随意更换项目人员</w:t>
                  </w:r>
                </w:p>
              </w:tc>
              <w:tc>
                <w:tcPr>
                  <w:tcW w:type="dxa" w:w="1809"/>
                  <w:tcBorders>
                    <w:top w:val="none" w:color="000000" w:sz="4"/>
                    <w:left w:val="none" w:color="000000" w:sz="4"/>
                    <w:bottom w:val="single" w:color="000000" w:sz="4"/>
                    <w:right w:val="single" w:color="000000" w:sz="4"/>
                  </w:tcBorders>
                </w:tcPr>
                <w:p>
                  <w:pPr>
                    <w:jc w:val="both"/>
                  </w:pPr>
                  <w:r>
                    <w:rPr>
                      <w:sz w:val="21"/>
                    </w:rPr>
                    <w:t>更换人员不符合本方案或未按本方案工作的要求进行更换</w:t>
                  </w:r>
                </w:p>
              </w:tc>
              <w:tc>
                <w:tcPr>
                  <w:tcW w:type="dxa" w:w="955"/>
                  <w:tcBorders>
                    <w:top w:val="none" w:color="000000" w:sz="4"/>
                    <w:left w:val="none" w:color="000000" w:sz="4"/>
                    <w:bottom w:val="single" w:color="000000" w:sz="4"/>
                    <w:right w:val="single" w:color="000000" w:sz="4"/>
                  </w:tcBorders>
                </w:tcPr>
                <w:p>
                  <w:pPr>
                    <w:jc w:val="both"/>
                  </w:pPr>
                  <w:r>
                    <w:rPr>
                      <w:sz w:val="21"/>
                    </w:rPr>
                    <w:t>扣</w:t>
                  </w:r>
                  <w:r>
                    <w:rPr>
                      <w:sz w:val="21"/>
                    </w:rPr>
                    <w:t>20</w:t>
                  </w:r>
                  <w:r>
                    <w:rPr>
                      <w:sz w:val="21"/>
                    </w:rPr>
                    <w:t>分</w:t>
                  </w:r>
                </w:p>
              </w:tc>
              <w:tc>
                <w:tcPr>
                  <w:tcW w:type="dxa" w:w="1067"/>
                  <w:tcBorders>
                    <w:top w:val="none" w:color="000000" w:sz="4"/>
                    <w:left w:val="none" w:color="000000" w:sz="4"/>
                    <w:bottom w:val="single" w:color="000000" w:sz="4"/>
                    <w:right w:val="single" w:color="000000" w:sz="4"/>
                  </w:tcBorders>
                </w:tcPr>
                <w:p>
                  <w:pPr>
                    <w:jc w:val="both"/>
                  </w:pPr>
                  <w:r>
                    <w:rPr>
                      <w:sz w:val="21"/>
                    </w:rPr>
                    <w:t>自然资源信息中心认定</w:t>
                  </w:r>
                </w:p>
              </w:tc>
            </w:tr>
            <w:tr>
              <w:tc>
                <w:tcPr>
                  <w:tcW w:type="dxa" w:w="809"/>
                  <w:vMerge/>
                  <w:tcBorders>
                    <w:top w:val="none" w:color="000000" w:sz="4"/>
                    <w:left w:val="single" w:color="000000" w:sz="4"/>
                    <w:bottom w:val="single" w:color="000000" w:sz="4"/>
                    <w:right w:val="single" w:color="000000" w:sz="4"/>
                  </w:tcBorders>
                </w:tcPr>
                <w:p/>
              </w:tc>
              <w:tc>
                <w:tcPr>
                  <w:tcW w:type="dxa" w:w="955"/>
                  <w:tcBorders>
                    <w:top w:val="none" w:color="000000" w:sz="4"/>
                    <w:left w:val="none" w:color="000000" w:sz="4"/>
                    <w:bottom w:val="single" w:color="000000" w:sz="4"/>
                    <w:right w:val="single" w:color="000000" w:sz="4"/>
                  </w:tcBorders>
                </w:tcPr>
                <w:p>
                  <w:pPr>
                    <w:jc w:val="both"/>
                  </w:pPr>
                  <w:r>
                    <w:rPr>
                      <w:sz w:val="21"/>
                    </w:rPr>
                    <w:t>更换项目负责人</w:t>
                  </w:r>
                </w:p>
              </w:tc>
              <w:tc>
                <w:tcPr>
                  <w:tcW w:type="dxa" w:w="1809"/>
                  <w:tcBorders>
                    <w:top w:val="none" w:color="000000" w:sz="4"/>
                    <w:left w:val="none" w:color="000000" w:sz="4"/>
                    <w:bottom w:val="single" w:color="000000" w:sz="4"/>
                    <w:right w:val="single" w:color="000000" w:sz="4"/>
                  </w:tcBorders>
                </w:tcPr>
                <w:p>
                  <w:pPr>
                    <w:jc w:val="both"/>
                  </w:pPr>
                  <w:r>
                    <w:rPr>
                      <w:sz w:val="21"/>
                    </w:rPr>
                    <w:t>更换项目负责人或项目负责人与投标文件不一致</w:t>
                  </w:r>
                </w:p>
              </w:tc>
              <w:tc>
                <w:tcPr>
                  <w:tcW w:type="dxa" w:w="955"/>
                  <w:tcBorders>
                    <w:top w:val="none" w:color="000000" w:sz="4"/>
                    <w:left w:val="none" w:color="000000" w:sz="4"/>
                    <w:bottom w:val="single" w:color="000000" w:sz="4"/>
                    <w:right w:val="single" w:color="000000" w:sz="4"/>
                  </w:tcBorders>
                </w:tcPr>
                <w:p>
                  <w:pPr>
                    <w:jc w:val="both"/>
                  </w:pPr>
                  <w:r>
                    <w:rPr>
                      <w:sz w:val="21"/>
                    </w:rPr>
                    <w:t>扣</w:t>
                  </w:r>
                  <w:r>
                    <w:rPr>
                      <w:sz w:val="21"/>
                    </w:rPr>
                    <w:t>20</w:t>
                  </w:r>
                  <w:r>
                    <w:rPr>
                      <w:sz w:val="21"/>
                    </w:rPr>
                    <w:t>分</w:t>
                  </w:r>
                </w:p>
              </w:tc>
              <w:tc>
                <w:tcPr>
                  <w:tcW w:type="dxa" w:w="1067"/>
                  <w:tcBorders>
                    <w:top w:val="none" w:color="000000" w:sz="4"/>
                    <w:left w:val="none" w:color="000000" w:sz="4"/>
                    <w:bottom w:val="single" w:color="000000" w:sz="4"/>
                    <w:right w:val="single" w:color="000000" w:sz="4"/>
                  </w:tcBorders>
                </w:tcPr>
                <w:p>
                  <w:pPr>
                    <w:jc w:val="both"/>
                  </w:pPr>
                  <w:r>
                    <w:rPr>
                      <w:sz w:val="21"/>
                    </w:rPr>
                    <w:t>自然资源信息中心认定</w:t>
                  </w:r>
                </w:p>
              </w:tc>
            </w:tr>
            <w:tr>
              <w:tc>
                <w:tcPr>
                  <w:tcW w:type="dxa" w:w="809"/>
                  <w:vMerge/>
                  <w:tcBorders>
                    <w:top w:val="none" w:color="000000" w:sz="4"/>
                    <w:left w:val="single" w:color="000000" w:sz="4"/>
                    <w:bottom w:val="single" w:color="000000" w:sz="4"/>
                    <w:right w:val="single" w:color="000000" w:sz="4"/>
                  </w:tcBorders>
                </w:tcPr>
                <w:p/>
              </w:tc>
              <w:tc>
                <w:tcPr>
                  <w:tcW w:type="dxa" w:w="955"/>
                  <w:tcBorders>
                    <w:top w:val="none" w:color="000000" w:sz="4"/>
                    <w:left w:val="none" w:color="000000" w:sz="4"/>
                    <w:bottom w:val="single" w:color="000000" w:sz="4"/>
                    <w:right w:val="single" w:color="000000" w:sz="4"/>
                  </w:tcBorders>
                </w:tcPr>
                <w:p>
                  <w:pPr>
                    <w:jc w:val="both"/>
                  </w:pPr>
                  <w:r>
                    <w:rPr>
                      <w:sz w:val="21"/>
                    </w:rPr>
                    <w:t>更换运维人员</w:t>
                  </w:r>
                </w:p>
              </w:tc>
              <w:tc>
                <w:tcPr>
                  <w:tcW w:type="dxa" w:w="1809"/>
                  <w:tcBorders>
                    <w:top w:val="none" w:color="000000" w:sz="4"/>
                    <w:left w:val="none" w:color="000000" w:sz="4"/>
                    <w:bottom w:val="single" w:color="000000" w:sz="4"/>
                    <w:right w:val="single" w:color="000000" w:sz="4"/>
                  </w:tcBorders>
                </w:tcPr>
                <w:p>
                  <w:pPr>
                    <w:jc w:val="both"/>
                  </w:pPr>
                  <w:r>
                    <w:rPr>
                      <w:sz w:val="21"/>
                    </w:rPr>
                    <w:t>更换运维人员</w:t>
                  </w:r>
                </w:p>
              </w:tc>
              <w:tc>
                <w:tcPr>
                  <w:tcW w:type="dxa" w:w="955"/>
                  <w:tcBorders>
                    <w:top w:val="none" w:color="000000" w:sz="4"/>
                    <w:left w:val="none" w:color="000000" w:sz="4"/>
                    <w:bottom w:val="single" w:color="000000" w:sz="4"/>
                    <w:right w:val="single" w:color="000000" w:sz="4"/>
                  </w:tcBorders>
                </w:tcPr>
                <w:p>
                  <w:pPr>
                    <w:jc w:val="both"/>
                  </w:pPr>
                  <w:r>
                    <w:rPr>
                      <w:sz w:val="21"/>
                    </w:rPr>
                    <w:t>扣</w:t>
                  </w:r>
                  <w:r>
                    <w:rPr>
                      <w:sz w:val="21"/>
                    </w:rPr>
                    <w:t>5</w:t>
                  </w:r>
                  <w:r>
                    <w:rPr>
                      <w:sz w:val="21"/>
                    </w:rPr>
                    <w:t>分</w:t>
                  </w:r>
                  <w:r>
                    <w:rPr>
                      <w:sz w:val="21"/>
                    </w:rPr>
                    <w:t>/</w:t>
                  </w:r>
                  <w:r>
                    <w:rPr>
                      <w:sz w:val="21"/>
                    </w:rPr>
                    <w:t>人次</w:t>
                  </w:r>
                </w:p>
              </w:tc>
              <w:tc>
                <w:tcPr>
                  <w:tcW w:type="dxa" w:w="1067"/>
                  <w:tcBorders>
                    <w:top w:val="none" w:color="000000" w:sz="4"/>
                    <w:left w:val="none" w:color="000000" w:sz="4"/>
                    <w:bottom w:val="single" w:color="000000" w:sz="4"/>
                    <w:right w:val="single" w:color="000000" w:sz="4"/>
                  </w:tcBorders>
                </w:tcPr>
                <w:p>
                  <w:pPr>
                    <w:jc w:val="both"/>
                  </w:pPr>
                  <w:r>
                    <w:rPr>
                      <w:sz w:val="21"/>
                    </w:rPr>
                    <w:t>自然资源信息中心认定</w:t>
                  </w:r>
                </w:p>
              </w:tc>
            </w:tr>
            <w:tr>
              <w:tc>
                <w:tcPr>
                  <w:tcW w:type="dxa" w:w="809"/>
                  <w:vMerge w:val="restart"/>
                  <w:tcBorders>
                    <w:top w:val="none" w:color="000000" w:sz="4"/>
                    <w:left w:val="single" w:color="000000" w:sz="4"/>
                    <w:bottom w:val="single" w:color="000000" w:sz="4"/>
                    <w:right w:val="single" w:color="000000" w:sz="4"/>
                  </w:tcBorders>
                </w:tcPr>
                <w:p>
                  <w:pPr>
                    <w:jc w:val="both"/>
                  </w:pPr>
                  <w:r>
                    <w:rPr>
                      <w:sz w:val="21"/>
                    </w:rPr>
                    <w:t>安全事故</w:t>
                  </w:r>
                </w:p>
              </w:tc>
              <w:tc>
                <w:tcPr>
                  <w:tcW w:type="dxa" w:w="955"/>
                  <w:tcBorders>
                    <w:top w:val="none" w:color="000000" w:sz="4"/>
                    <w:left w:val="none" w:color="000000" w:sz="4"/>
                    <w:bottom w:val="single" w:color="000000" w:sz="4"/>
                    <w:right w:val="single" w:color="000000" w:sz="4"/>
                  </w:tcBorders>
                </w:tcPr>
                <w:p>
                  <w:pPr>
                    <w:jc w:val="both"/>
                  </w:pPr>
                  <w:r>
                    <w:rPr>
                      <w:sz w:val="21"/>
                    </w:rPr>
                    <w:t>发生泄密、敏感数据泄露等安全事故</w:t>
                  </w:r>
                </w:p>
              </w:tc>
              <w:tc>
                <w:tcPr>
                  <w:tcW w:type="dxa" w:w="1809"/>
                  <w:tcBorders>
                    <w:top w:val="none" w:color="000000" w:sz="4"/>
                    <w:left w:val="none" w:color="000000" w:sz="4"/>
                    <w:bottom w:val="single" w:color="000000" w:sz="4"/>
                    <w:right w:val="single" w:color="000000" w:sz="4"/>
                  </w:tcBorders>
                </w:tcPr>
                <w:p>
                  <w:pPr>
                    <w:jc w:val="both"/>
                  </w:pPr>
                  <w:r>
                    <w:rPr>
                      <w:sz w:val="21"/>
                    </w:rPr>
                    <w:t>违规使用账号、权限，违规查找相关信息或发生泄密等安全事故</w:t>
                  </w:r>
                </w:p>
              </w:tc>
              <w:tc>
                <w:tcPr>
                  <w:tcW w:type="dxa" w:w="955"/>
                  <w:tcBorders>
                    <w:top w:val="none" w:color="000000" w:sz="4"/>
                    <w:left w:val="none" w:color="000000" w:sz="4"/>
                    <w:bottom w:val="single" w:color="000000" w:sz="4"/>
                    <w:right w:val="single" w:color="000000" w:sz="4"/>
                  </w:tcBorders>
                </w:tcPr>
                <w:p>
                  <w:pPr>
                    <w:jc w:val="both"/>
                  </w:pPr>
                  <w:r>
                    <w:rPr>
                      <w:sz w:val="21"/>
                    </w:rPr>
                    <w:t>扣</w:t>
                  </w:r>
                  <w:r>
                    <w:rPr>
                      <w:sz w:val="21"/>
                    </w:rPr>
                    <w:t>20</w:t>
                  </w:r>
                  <w:r>
                    <w:rPr>
                      <w:sz w:val="21"/>
                    </w:rPr>
                    <w:t>分</w:t>
                  </w:r>
                  <w:r>
                    <w:rPr>
                      <w:sz w:val="21"/>
                    </w:rPr>
                    <w:t>/</w:t>
                  </w:r>
                  <w:r>
                    <w:rPr>
                      <w:sz w:val="21"/>
                    </w:rPr>
                    <w:t>次</w:t>
                  </w:r>
                </w:p>
              </w:tc>
              <w:tc>
                <w:tcPr>
                  <w:tcW w:type="dxa" w:w="1067"/>
                  <w:tcBorders>
                    <w:top w:val="none" w:color="000000" w:sz="4"/>
                    <w:left w:val="none" w:color="000000" w:sz="4"/>
                    <w:bottom w:val="single" w:color="000000" w:sz="4"/>
                    <w:right w:val="single" w:color="000000" w:sz="4"/>
                  </w:tcBorders>
                </w:tcPr>
                <w:p>
                  <w:pPr>
                    <w:jc w:val="both"/>
                  </w:pPr>
                  <w:r>
                    <w:rPr>
                      <w:sz w:val="21"/>
                    </w:rPr>
                    <w:t>局保密部门检查或上级保密主管部门检查，数据责任部门反馈</w:t>
                  </w:r>
                </w:p>
              </w:tc>
            </w:tr>
            <w:tr>
              <w:tc>
                <w:tcPr>
                  <w:tcW w:type="dxa" w:w="809"/>
                  <w:vMerge/>
                  <w:tcBorders>
                    <w:top w:val="none" w:color="000000" w:sz="4"/>
                    <w:left w:val="single" w:color="000000" w:sz="4"/>
                    <w:bottom w:val="single" w:color="000000" w:sz="4"/>
                    <w:right w:val="single" w:color="000000" w:sz="4"/>
                  </w:tcBorders>
                </w:tcPr>
                <w:p/>
              </w:tc>
              <w:tc>
                <w:tcPr>
                  <w:tcW w:type="dxa" w:w="955"/>
                  <w:tcBorders>
                    <w:top w:val="none" w:color="000000" w:sz="4"/>
                    <w:left w:val="none" w:color="000000" w:sz="4"/>
                    <w:bottom w:val="single" w:color="000000" w:sz="4"/>
                    <w:right w:val="single" w:color="000000" w:sz="4"/>
                  </w:tcBorders>
                </w:tcPr>
                <w:p>
                  <w:pPr>
                    <w:jc w:val="both"/>
                  </w:pPr>
                  <w:r>
                    <w:rPr>
                      <w:sz w:val="21"/>
                    </w:rPr>
                    <w:t>发生网络安全事故</w:t>
                  </w:r>
                </w:p>
              </w:tc>
              <w:tc>
                <w:tcPr>
                  <w:tcW w:type="dxa" w:w="1809"/>
                  <w:tcBorders>
                    <w:top w:val="none" w:color="000000" w:sz="4"/>
                    <w:left w:val="none" w:color="000000" w:sz="4"/>
                    <w:bottom w:val="single" w:color="000000" w:sz="4"/>
                    <w:right w:val="single" w:color="000000" w:sz="4"/>
                  </w:tcBorders>
                </w:tcPr>
                <w:p>
                  <w:pPr>
                    <w:jc w:val="both"/>
                  </w:pPr>
                  <w:r>
                    <w:rPr>
                      <w:sz w:val="21"/>
                    </w:rPr>
                    <w:t>违规使用网络或发生网络安全事故，被网络安全部门通报、批评或造成较大影响</w:t>
                  </w:r>
                </w:p>
              </w:tc>
              <w:tc>
                <w:tcPr>
                  <w:tcW w:type="dxa" w:w="955"/>
                  <w:tcBorders>
                    <w:top w:val="none" w:color="000000" w:sz="4"/>
                    <w:left w:val="none" w:color="000000" w:sz="4"/>
                    <w:bottom w:val="single" w:color="000000" w:sz="4"/>
                    <w:right w:val="single" w:color="000000" w:sz="4"/>
                  </w:tcBorders>
                </w:tcPr>
                <w:p>
                  <w:pPr>
                    <w:jc w:val="both"/>
                  </w:pPr>
                  <w:r>
                    <w:rPr>
                      <w:sz w:val="21"/>
                    </w:rPr>
                    <w:t>扣</w:t>
                  </w:r>
                  <w:r>
                    <w:rPr>
                      <w:sz w:val="21"/>
                    </w:rPr>
                    <w:t>20</w:t>
                  </w:r>
                  <w:r>
                    <w:rPr>
                      <w:sz w:val="21"/>
                    </w:rPr>
                    <w:t>分</w:t>
                  </w:r>
                  <w:r>
                    <w:rPr>
                      <w:sz w:val="21"/>
                    </w:rPr>
                    <w:t>/</w:t>
                  </w:r>
                  <w:r>
                    <w:rPr>
                      <w:sz w:val="21"/>
                    </w:rPr>
                    <w:t>次</w:t>
                  </w:r>
                </w:p>
              </w:tc>
              <w:tc>
                <w:tcPr>
                  <w:tcW w:type="dxa" w:w="1067"/>
                  <w:tcBorders>
                    <w:top w:val="none" w:color="000000" w:sz="4"/>
                    <w:left w:val="none" w:color="000000" w:sz="4"/>
                    <w:bottom w:val="single" w:color="000000" w:sz="4"/>
                    <w:right w:val="single" w:color="000000" w:sz="4"/>
                  </w:tcBorders>
                </w:tcPr>
                <w:p>
                  <w:pPr>
                    <w:jc w:val="both"/>
                  </w:pPr>
                  <w:r>
                    <w:rPr>
                      <w:sz w:val="21"/>
                    </w:rPr>
                    <w:t>局网信办及上级网信办的反馈</w:t>
                  </w:r>
                </w:p>
              </w:tc>
            </w:tr>
            <w:tr>
              <w:tc>
                <w:tcPr>
                  <w:tcW w:type="dxa" w:w="809"/>
                  <w:vMerge/>
                  <w:tcBorders>
                    <w:top w:val="none" w:color="000000" w:sz="4"/>
                    <w:left w:val="single" w:color="000000" w:sz="4"/>
                    <w:bottom w:val="single" w:color="000000" w:sz="4"/>
                    <w:right w:val="single" w:color="000000" w:sz="4"/>
                  </w:tcBorders>
                </w:tcPr>
                <w:p/>
              </w:tc>
              <w:tc>
                <w:tcPr>
                  <w:tcW w:type="dxa" w:w="955"/>
                  <w:tcBorders>
                    <w:top w:val="none" w:color="000000" w:sz="4"/>
                    <w:left w:val="none" w:color="000000" w:sz="4"/>
                    <w:bottom w:val="single" w:color="000000" w:sz="4"/>
                    <w:right w:val="single" w:color="000000" w:sz="4"/>
                  </w:tcBorders>
                </w:tcPr>
                <w:p>
                  <w:pPr>
                    <w:jc w:val="both"/>
                  </w:pPr>
                  <w:r>
                    <w:rPr>
                      <w:sz w:val="21"/>
                    </w:rPr>
                    <w:t>安全演练</w:t>
                  </w:r>
                </w:p>
              </w:tc>
              <w:tc>
                <w:tcPr>
                  <w:tcW w:type="dxa" w:w="1809"/>
                  <w:tcBorders>
                    <w:top w:val="none" w:color="000000" w:sz="4"/>
                    <w:left w:val="none" w:color="000000" w:sz="4"/>
                    <w:bottom w:val="single" w:color="000000" w:sz="4"/>
                    <w:right w:val="single" w:color="000000" w:sz="4"/>
                  </w:tcBorders>
                </w:tcPr>
                <w:p>
                  <w:pPr>
                    <w:jc w:val="both"/>
                  </w:pPr>
                  <w:r>
                    <w:rPr>
                      <w:sz w:val="21"/>
                    </w:rPr>
                    <w:t>在各级网络安全攻防演练中系统被攻破</w:t>
                  </w:r>
                </w:p>
              </w:tc>
              <w:tc>
                <w:tcPr>
                  <w:tcW w:type="dxa" w:w="955"/>
                  <w:tcBorders>
                    <w:top w:val="none" w:color="000000" w:sz="4"/>
                    <w:left w:val="none" w:color="000000" w:sz="4"/>
                    <w:bottom w:val="single" w:color="000000" w:sz="4"/>
                    <w:right w:val="single" w:color="000000" w:sz="4"/>
                  </w:tcBorders>
                </w:tcPr>
                <w:p>
                  <w:pPr>
                    <w:jc w:val="both"/>
                  </w:pPr>
                  <w:r>
                    <w:rPr>
                      <w:sz w:val="21"/>
                    </w:rPr>
                    <w:t>扣</w:t>
                  </w:r>
                  <w:r>
                    <w:rPr>
                      <w:sz w:val="21"/>
                    </w:rPr>
                    <w:t>15</w:t>
                  </w:r>
                  <w:r>
                    <w:rPr>
                      <w:sz w:val="21"/>
                    </w:rPr>
                    <w:t>分</w:t>
                  </w:r>
                  <w:r>
                    <w:rPr>
                      <w:sz w:val="21"/>
                    </w:rPr>
                    <w:t>/</w:t>
                  </w:r>
                  <w:r>
                    <w:rPr>
                      <w:sz w:val="21"/>
                    </w:rPr>
                    <w:t>次</w:t>
                  </w:r>
                </w:p>
              </w:tc>
              <w:tc>
                <w:tcPr>
                  <w:tcW w:type="dxa" w:w="1067"/>
                  <w:tcBorders>
                    <w:top w:val="none" w:color="000000" w:sz="4"/>
                    <w:left w:val="none" w:color="000000" w:sz="4"/>
                    <w:bottom w:val="single" w:color="000000" w:sz="4"/>
                    <w:right w:val="single" w:color="000000" w:sz="4"/>
                  </w:tcBorders>
                </w:tcPr>
                <w:p>
                  <w:pPr>
                    <w:jc w:val="both"/>
                  </w:pPr>
                  <w:r>
                    <w:rPr>
                      <w:sz w:val="21"/>
                    </w:rPr>
                    <w:t>安全攻防演练中攻击方提交的佐证材料</w:t>
                  </w:r>
                </w:p>
              </w:tc>
            </w:tr>
            <w:tr>
              <w:tc>
                <w:tcPr>
                  <w:tcW w:type="dxa" w:w="809"/>
                  <w:vMerge/>
                  <w:tcBorders>
                    <w:top w:val="none" w:color="000000" w:sz="4"/>
                    <w:left w:val="single" w:color="000000" w:sz="4"/>
                    <w:bottom w:val="single" w:color="000000" w:sz="4"/>
                    <w:right w:val="single" w:color="000000" w:sz="4"/>
                  </w:tcBorders>
                </w:tcPr>
                <w:p/>
              </w:tc>
              <w:tc>
                <w:tcPr>
                  <w:tcW w:type="dxa" w:w="955"/>
                  <w:tcBorders>
                    <w:top w:val="none" w:color="000000" w:sz="4"/>
                    <w:left w:val="none" w:color="000000" w:sz="4"/>
                    <w:bottom w:val="single" w:color="000000" w:sz="4"/>
                    <w:right w:val="single" w:color="000000" w:sz="4"/>
                  </w:tcBorders>
                </w:tcPr>
                <w:p>
                  <w:pPr>
                    <w:jc w:val="both"/>
                  </w:pPr>
                  <w:r>
                    <w:rPr>
                      <w:sz w:val="21"/>
                    </w:rPr>
                    <w:t>安全演练</w:t>
                  </w:r>
                </w:p>
              </w:tc>
              <w:tc>
                <w:tcPr>
                  <w:tcW w:type="dxa" w:w="1809"/>
                  <w:tcBorders>
                    <w:top w:val="none" w:color="000000" w:sz="4"/>
                    <w:left w:val="none" w:color="000000" w:sz="4"/>
                    <w:bottom w:val="single" w:color="000000" w:sz="4"/>
                    <w:right w:val="single" w:color="000000" w:sz="4"/>
                  </w:tcBorders>
                </w:tcPr>
                <w:p>
                  <w:pPr>
                    <w:jc w:val="both"/>
                  </w:pPr>
                  <w:r>
                    <w:rPr>
                      <w:sz w:val="21"/>
                    </w:rPr>
                    <w:t>安全演练中系统被攻破后，未及时编写《网络安全演练事件调查分析报告》或《防守方演练总结报告》</w:t>
                  </w:r>
                </w:p>
              </w:tc>
              <w:tc>
                <w:tcPr>
                  <w:tcW w:type="dxa" w:w="955"/>
                  <w:tcBorders>
                    <w:top w:val="none" w:color="000000" w:sz="4"/>
                    <w:left w:val="none" w:color="000000" w:sz="4"/>
                    <w:bottom w:val="single" w:color="000000" w:sz="4"/>
                    <w:right w:val="single" w:color="000000" w:sz="4"/>
                  </w:tcBorders>
                </w:tcPr>
                <w:p>
                  <w:pPr>
                    <w:jc w:val="both"/>
                  </w:pPr>
                  <w:r>
                    <w:rPr>
                      <w:sz w:val="21"/>
                    </w:rPr>
                    <w:t>扣</w:t>
                  </w:r>
                  <w:r>
                    <w:rPr>
                      <w:sz w:val="21"/>
                    </w:rPr>
                    <w:t>10</w:t>
                  </w:r>
                  <w:r>
                    <w:rPr>
                      <w:sz w:val="21"/>
                    </w:rPr>
                    <w:t>分</w:t>
                  </w:r>
                  <w:r>
                    <w:rPr>
                      <w:sz w:val="21"/>
                    </w:rPr>
                    <w:t>/</w:t>
                  </w:r>
                  <w:r>
                    <w:rPr>
                      <w:sz w:val="21"/>
                    </w:rPr>
                    <w:t>次</w:t>
                  </w:r>
                </w:p>
              </w:tc>
              <w:tc>
                <w:tcPr>
                  <w:tcW w:type="dxa" w:w="1067"/>
                  <w:tcBorders>
                    <w:top w:val="none" w:color="000000" w:sz="4"/>
                    <w:left w:val="none" w:color="000000" w:sz="4"/>
                    <w:bottom w:val="single" w:color="000000" w:sz="4"/>
                    <w:right w:val="single" w:color="000000" w:sz="4"/>
                  </w:tcBorders>
                </w:tcPr>
                <w:p>
                  <w:pPr>
                    <w:jc w:val="both"/>
                  </w:pPr>
                  <w:r>
                    <w:rPr>
                      <w:sz w:val="21"/>
                    </w:rPr>
                    <w:t>自然资源信息中心认定</w:t>
                  </w:r>
                </w:p>
              </w:tc>
            </w:tr>
            <w:tr>
              <w:tc>
                <w:tcPr>
                  <w:tcW w:type="dxa" w:w="809"/>
                  <w:vMerge/>
                  <w:tcBorders>
                    <w:top w:val="none" w:color="000000" w:sz="4"/>
                    <w:left w:val="single" w:color="000000" w:sz="4"/>
                    <w:bottom w:val="single" w:color="000000" w:sz="4"/>
                    <w:right w:val="single" w:color="000000" w:sz="4"/>
                  </w:tcBorders>
                </w:tcPr>
                <w:p/>
              </w:tc>
              <w:tc>
                <w:tcPr>
                  <w:tcW w:type="dxa" w:w="955"/>
                  <w:tcBorders>
                    <w:top w:val="none" w:color="000000" w:sz="4"/>
                    <w:left w:val="none" w:color="000000" w:sz="4"/>
                    <w:bottom w:val="single" w:color="000000" w:sz="4"/>
                    <w:right w:val="single" w:color="000000" w:sz="4"/>
                  </w:tcBorders>
                </w:tcPr>
                <w:p>
                  <w:pPr>
                    <w:jc w:val="both"/>
                  </w:pPr>
                  <w:r>
                    <w:rPr>
                      <w:sz w:val="21"/>
                    </w:rPr>
                    <w:t>病毒木马防治</w:t>
                  </w:r>
                </w:p>
              </w:tc>
              <w:tc>
                <w:tcPr>
                  <w:tcW w:type="dxa" w:w="1809"/>
                  <w:tcBorders>
                    <w:top w:val="none" w:color="000000" w:sz="4"/>
                    <w:left w:val="none" w:color="000000" w:sz="4"/>
                    <w:bottom w:val="single" w:color="000000" w:sz="4"/>
                    <w:right w:val="single" w:color="000000" w:sz="4"/>
                  </w:tcBorders>
                </w:tcPr>
                <w:p>
                  <w:pPr>
                    <w:jc w:val="both"/>
                  </w:pPr>
                  <w:r>
                    <w:rPr>
                      <w:sz w:val="21"/>
                    </w:rPr>
                    <w:t>未及时查杀木马病毒，造成数据丢失、中病毒或影响系统正常运行的</w:t>
                  </w:r>
                </w:p>
              </w:tc>
              <w:tc>
                <w:tcPr>
                  <w:tcW w:type="dxa" w:w="955"/>
                  <w:tcBorders>
                    <w:top w:val="none" w:color="000000" w:sz="4"/>
                    <w:left w:val="none" w:color="000000" w:sz="4"/>
                    <w:bottom w:val="single" w:color="000000" w:sz="4"/>
                    <w:right w:val="single" w:color="000000" w:sz="4"/>
                  </w:tcBorders>
                </w:tcPr>
                <w:p>
                  <w:pPr>
                    <w:jc w:val="both"/>
                  </w:pPr>
                  <w:r>
                    <w:rPr>
                      <w:sz w:val="21"/>
                    </w:rPr>
                    <w:t>扣</w:t>
                  </w:r>
                  <w:r>
                    <w:rPr>
                      <w:sz w:val="21"/>
                    </w:rPr>
                    <w:t>10</w:t>
                  </w:r>
                  <w:r>
                    <w:rPr>
                      <w:sz w:val="21"/>
                    </w:rPr>
                    <w:t>分</w:t>
                  </w:r>
                  <w:r>
                    <w:rPr>
                      <w:sz w:val="21"/>
                    </w:rPr>
                    <w:t>/</w:t>
                  </w:r>
                  <w:r>
                    <w:rPr>
                      <w:sz w:val="21"/>
                    </w:rPr>
                    <w:t>次</w:t>
                  </w:r>
                </w:p>
              </w:tc>
              <w:tc>
                <w:tcPr>
                  <w:tcW w:type="dxa" w:w="1067"/>
                  <w:tcBorders>
                    <w:top w:val="none" w:color="000000" w:sz="4"/>
                    <w:left w:val="none" w:color="000000" w:sz="4"/>
                    <w:bottom w:val="single" w:color="000000" w:sz="4"/>
                    <w:right w:val="single" w:color="000000" w:sz="4"/>
                  </w:tcBorders>
                </w:tcPr>
                <w:p>
                  <w:pPr>
                    <w:jc w:val="both"/>
                  </w:pPr>
                  <w:r>
                    <w:rPr>
                      <w:sz w:val="21"/>
                    </w:rPr>
                    <w:t>局网信办、上级网信办、政数局、公安局的反馈</w:t>
                  </w:r>
                </w:p>
              </w:tc>
            </w:tr>
            <w:tr>
              <w:tc>
                <w:tcPr>
                  <w:tcW w:type="dxa" w:w="809"/>
                  <w:vMerge/>
                  <w:tcBorders>
                    <w:top w:val="none" w:color="000000" w:sz="4"/>
                    <w:left w:val="single" w:color="000000" w:sz="4"/>
                    <w:bottom w:val="single" w:color="000000" w:sz="4"/>
                    <w:right w:val="single" w:color="000000" w:sz="4"/>
                  </w:tcBorders>
                </w:tcPr>
                <w:p/>
              </w:tc>
              <w:tc>
                <w:tcPr>
                  <w:tcW w:type="dxa" w:w="955"/>
                  <w:tcBorders>
                    <w:top w:val="none" w:color="000000" w:sz="4"/>
                    <w:left w:val="none" w:color="000000" w:sz="4"/>
                    <w:bottom w:val="single" w:color="000000" w:sz="4"/>
                    <w:right w:val="single" w:color="000000" w:sz="4"/>
                  </w:tcBorders>
                </w:tcPr>
                <w:p>
                  <w:pPr>
                    <w:jc w:val="both"/>
                  </w:pPr>
                  <w:r>
                    <w:rPr>
                      <w:sz w:val="21"/>
                    </w:rPr>
                    <w:t>数据备份</w:t>
                  </w:r>
                </w:p>
              </w:tc>
              <w:tc>
                <w:tcPr>
                  <w:tcW w:type="dxa" w:w="1809"/>
                  <w:tcBorders>
                    <w:top w:val="none" w:color="000000" w:sz="4"/>
                    <w:left w:val="none" w:color="000000" w:sz="4"/>
                    <w:bottom w:val="single" w:color="000000" w:sz="4"/>
                    <w:right w:val="single" w:color="000000" w:sz="4"/>
                  </w:tcBorders>
                </w:tcPr>
                <w:p>
                  <w:pPr>
                    <w:jc w:val="both"/>
                  </w:pPr>
                  <w:r>
                    <w:rPr>
                      <w:sz w:val="21"/>
                    </w:rPr>
                    <w:t>数据未按时备份，造成数据丢失的</w:t>
                  </w:r>
                </w:p>
              </w:tc>
              <w:tc>
                <w:tcPr>
                  <w:tcW w:type="dxa" w:w="955"/>
                  <w:tcBorders>
                    <w:top w:val="none" w:color="000000" w:sz="4"/>
                    <w:left w:val="none" w:color="000000" w:sz="4"/>
                    <w:bottom w:val="single" w:color="000000" w:sz="4"/>
                    <w:right w:val="single" w:color="000000" w:sz="4"/>
                  </w:tcBorders>
                </w:tcPr>
                <w:p>
                  <w:pPr>
                    <w:jc w:val="both"/>
                  </w:pPr>
                  <w:r>
                    <w:rPr>
                      <w:sz w:val="21"/>
                    </w:rPr>
                    <w:t>扣</w:t>
                  </w:r>
                  <w:r>
                    <w:rPr>
                      <w:sz w:val="21"/>
                    </w:rPr>
                    <w:t>20</w:t>
                  </w:r>
                  <w:r>
                    <w:rPr>
                      <w:sz w:val="21"/>
                    </w:rPr>
                    <w:t>分</w:t>
                  </w:r>
                  <w:r>
                    <w:rPr>
                      <w:sz w:val="21"/>
                    </w:rPr>
                    <w:t>/</w:t>
                  </w:r>
                  <w:r>
                    <w:rPr>
                      <w:sz w:val="21"/>
                    </w:rPr>
                    <w:t>次</w:t>
                  </w:r>
                </w:p>
              </w:tc>
              <w:tc>
                <w:tcPr>
                  <w:tcW w:type="dxa" w:w="1067"/>
                  <w:tcBorders>
                    <w:top w:val="none" w:color="000000" w:sz="4"/>
                    <w:left w:val="none" w:color="000000" w:sz="4"/>
                    <w:bottom w:val="single" w:color="000000" w:sz="4"/>
                    <w:right w:val="single" w:color="000000" w:sz="4"/>
                  </w:tcBorders>
                </w:tcPr>
                <w:p>
                  <w:pPr>
                    <w:jc w:val="both"/>
                  </w:pPr>
                  <w:r>
                    <w:rPr>
                      <w:sz w:val="21"/>
                    </w:rPr>
                    <w:t>自然资源信息中心认定</w:t>
                  </w:r>
                </w:p>
              </w:tc>
            </w:tr>
            <w:tr>
              <w:tc>
                <w:tcPr>
                  <w:tcW w:type="dxa" w:w="809"/>
                  <w:vMerge w:val="restart"/>
                  <w:tcBorders>
                    <w:top w:val="none" w:color="000000" w:sz="4"/>
                    <w:left w:val="single" w:color="000000" w:sz="4"/>
                    <w:bottom w:val="single" w:color="000000" w:sz="4"/>
                    <w:right w:val="single" w:color="000000" w:sz="4"/>
                  </w:tcBorders>
                </w:tcPr>
                <w:p>
                  <w:pPr>
                    <w:jc w:val="both"/>
                  </w:pPr>
                  <w:r>
                    <w:rPr>
                      <w:sz w:val="21"/>
                    </w:rPr>
                    <w:t>成果提交</w:t>
                  </w:r>
                </w:p>
              </w:tc>
              <w:tc>
                <w:tcPr>
                  <w:tcW w:type="dxa" w:w="955"/>
                  <w:tcBorders>
                    <w:top w:val="none" w:color="000000" w:sz="4"/>
                    <w:left w:val="none" w:color="000000" w:sz="4"/>
                    <w:bottom w:val="single" w:color="000000" w:sz="4"/>
                    <w:right w:val="single" w:color="000000" w:sz="4"/>
                  </w:tcBorders>
                </w:tcPr>
                <w:p>
                  <w:pPr>
                    <w:jc w:val="both"/>
                  </w:pPr>
                  <w:r>
                    <w:rPr>
                      <w:sz w:val="21"/>
                    </w:rPr>
                    <w:t>重要成果</w:t>
                  </w:r>
                </w:p>
              </w:tc>
              <w:tc>
                <w:tcPr>
                  <w:tcW w:type="dxa" w:w="1809"/>
                  <w:tcBorders>
                    <w:top w:val="none" w:color="000000" w:sz="4"/>
                    <w:left w:val="none" w:color="000000" w:sz="4"/>
                    <w:bottom w:val="single" w:color="000000" w:sz="4"/>
                    <w:right w:val="single" w:color="000000" w:sz="4"/>
                  </w:tcBorders>
                </w:tcPr>
                <w:p>
                  <w:pPr>
                    <w:jc w:val="both"/>
                  </w:pPr>
                  <w:r>
                    <w:rPr>
                      <w:sz w:val="21"/>
                    </w:rPr>
                    <w:t>源代码、部署文档、数据库设计等关键成果未按时提交或不符合要求</w:t>
                  </w:r>
                </w:p>
              </w:tc>
              <w:tc>
                <w:tcPr>
                  <w:tcW w:type="dxa" w:w="955"/>
                  <w:tcBorders>
                    <w:top w:val="none" w:color="000000" w:sz="4"/>
                    <w:left w:val="none" w:color="000000" w:sz="4"/>
                    <w:bottom w:val="single" w:color="000000" w:sz="4"/>
                    <w:right w:val="single" w:color="000000" w:sz="4"/>
                  </w:tcBorders>
                </w:tcPr>
                <w:p>
                  <w:pPr>
                    <w:jc w:val="both"/>
                  </w:pPr>
                  <w:r>
                    <w:rPr>
                      <w:sz w:val="21"/>
                    </w:rPr>
                    <w:t>扣</w:t>
                  </w:r>
                  <w:r>
                    <w:rPr>
                      <w:sz w:val="21"/>
                    </w:rPr>
                    <w:t>20</w:t>
                  </w:r>
                  <w:r>
                    <w:rPr>
                      <w:sz w:val="21"/>
                    </w:rPr>
                    <w:t>分</w:t>
                  </w:r>
                  <w:r>
                    <w:rPr>
                      <w:sz w:val="21"/>
                    </w:rPr>
                    <w:t>/</w:t>
                  </w:r>
                  <w:r>
                    <w:rPr>
                      <w:sz w:val="21"/>
                    </w:rPr>
                    <w:t>个</w:t>
                  </w:r>
                </w:p>
              </w:tc>
              <w:tc>
                <w:tcPr>
                  <w:tcW w:type="dxa" w:w="1067"/>
                  <w:tcBorders>
                    <w:top w:val="none" w:color="000000" w:sz="4"/>
                    <w:left w:val="none" w:color="000000" w:sz="4"/>
                    <w:bottom w:val="single" w:color="000000" w:sz="4"/>
                    <w:right w:val="single" w:color="000000" w:sz="4"/>
                  </w:tcBorders>
                </w:tcPr>
                <w:p>
                  <w:pPr>
                    <w:jc w:val="both"/>
                  </w:pPr>
                  <w:r>
                    <w:rPr>
                      <w:sz w:val="21"/>
                    </w:rPr>
                    <w:t>自然资源信息中心认定</w:t>
                  </w:r>
                </w:p>
              </w:tc>
            </w:tr>
            <w:tr>
              <w:tc>
                <w:tcPr>
                  <w:tcW w:type="dxa" w:w="809"/>
                  <w:vMerge/>
                  <w:tcBorders>
                    <w:top w:val="none" w:color="000000" w:sz="4"/>
                    <w:left w:val="single" w:color="000000" w:sz="4"/>
                    <w:bottom w:val="single" w:color="000000" w:sz="4"/>
                    <w:right w:val="single" w:color="000000" w:sz="4"/>
                  </w:tcBorders>
                </w:tcPr>
                <w:p/>
              </w:tc>
              <w:tc>
                <w:tcPr>
                  <w:tcW w:type="dxa" w:w="955"/>
                  <w:tcBorders>
                    <w:top w:val="none" w:color="000000" w:sz="4"/>
                    <w:left w:val="none" w:color="000000" w:sz="4"/>
                    <w:bottom w:val="single" w:color="000000" w:sz="4"/>
                    <w:right w:val="single" w:color="000000" w:sz="4"/>
                  </w:tcBorders>
                </w:tcPr>
                <w:p>
                  <w:pPr>
                    <w:jc w:val="both"/>
                  </w:pPr>
                  <w:r>
                    <w:rPr>
                      <w:sz w:val="21"/>
                    </w:rPr>
                    <w:t>一般成果</w:t>
                  </w:r>
                </w:p>
              </w:tc>
              <w:tc>
                <w:tcPr>
                  <w:tcW w:type="dxa" w:w="1809"/>
                  <w:tcBorders>
                    <w:top w:val="none" w:color="000000" w:sz="4"/>
                    <w:left w:val="none" w:color="000000" w:sz="4"/>
                    <w:bottom w:val="single" w:color="000000" w:sz="4"/>
                    <w:right w:val="single" w:color="000000" w:sz="4"/>
                  </w:tcBorders>
                </w:tcPr>
                <w:p>
                  <w:pPr>
                    <w:jc w:val="both"/>
                  </w:pPr>
                  <w:r>
                    <w:rPr>
                      <w:sz w:val="21"/>
                    </w:rPr>
                    <w:t>未按时提交或成果质量存在较大问题的</w:t>
                  </w:r>
                </w:p>
              </w:tc>
              <w:tc>
                <w:tcPr>
                  <w:tcW w:type="dxa" w:w="955"/>
                  <w:tcBorders>
                    <w:top w:val="none" w:color="000000" w:sz="4"/>
                    <w:left w:val="none" w:color="000000" w:sz="4"/>
                    <w:bottom w:val="single" w:color="000000" w:sz="4"/>
                    <w:right w:val="single" w:color="000000" w:sz="4"/>
                  </w:tcBorders>
                </w:tcPr>
                <w:p>
                  <w:pPr>
                    <w:jc w:val="both"/>
                  </w:pPr>
                  <w:r>
                    <w:rPr>
                      <w:sz w:val="21"/>
                    </w:rPr>
                    <w:t>扣</w:t>
                  </w:r>
                  <w:r>
                    <w:rPr>
                      <w:sz w:val="21"/>
                    </w:rPr>
                    <w:t>5</w:t>
                  </w:r>
                  <w:r>
                    <w:rPr>
                      <w:sz w:val="21"/>
                    </w:rPr>
                    <w:t>分</w:t>
                  </w:r>
                  <w:r>
                    <w:rPr>
                      <w:sz w:val="21"/>
                    </w:rPr>
                    <w:t>/</w:t>
                  </w:r>
                  <w:r>
                    <w:rPr>
                      <w:sz w:val="21"/>
                    </w:rPr>
                    <w:t>个</w:t>
                  </w:r>
                </w:p>
              </w:tc>
              <w:tc>
                <w:tcPr>
                  <w:tcW w:type="dxa" w:w="1067"/>
                  <w:tcBorders>
                    <w:top w:val="none" w:color="000000" w:sz="4"/>
                    <w:left w:val="none" w:color="000000" w:sz="4"/>
                    <w:bottom w:val="single" w:color="000000" w:sz="4"/>
                    <w:right w:val="single" w:color="000000" w:sz="4"/>
                  </w:tcBorders>
                </w:tcPr>
                <w:p>
                  <w:pPr>
                    <w:jc w:val="both"/>
                  </w:pPr>
                  <w:r>
                    <w:rPr>
                      <w:sz w:val="21"/>
                    </w:rPr>
                    <w:t>自然资源信息中心认定</w:t>
                  </w:r>
                </w:p>
              </w:tc>
            </w:tr>
            <w:tr>
              <w:tc>
                <w:tcPr>
                  <w:tcW w:type="dxa" w:w="809"/>
                  <w:vMerge w:val="restart"/>
                  <w:tcBorders>
                    <w:top w:val="none" w:color="000000" w:sz="4"/>
                    <w:left w:val="single" w:color="000000" w:sz="4"/>
                    <w:bottom w:val="single" w:color="000000" w:sz="4"/>
                    <w:right w:val="single" w:color="000000" w:sz="4"/>
                  </w:tcBorders>
                </w:tcPr>
                <w:p>
                  <w:pPr>
                    <w:jc w:val="both"/>
                  </w:pPr>
                  <w:r>
                    <w:rPr>
                      <w:sz w:val="21"/>
                    </w:rPr>
                    <w:t>其他事项</w:t>
                  </w:r>
                </w:p>
              </w:tc>
              <w:tc>
                <w:tcPr>
                  <w:tcW w:type="dxa" w:w="955"/>
                  <w:tcBorders>
                    <w:top w:val="none" w:color="000000" w:sz="4"/>
                    <w:left w:val="none" w:color="000000" w:sz="4"/>
                    <w:bottom w:val="single" w:color="000000" w:sz="4"/>
                    <w:right w:val="single" w:color="000000" w:sz="4"/>
                  </w:tcBorders>
                </w:tcPr>
                <w:p>
                  <w:pPr>
                    <w:jc w:val="both"/>
                  </w:pPr>
                  <w:r>
                    <w:rPr>
                      <w:sz w:val="21"/>
                    </w:rPr>
                    <w:t>主观恶性行为</w:t>
                  </w:r>
                </w:p>
              </w:tc>
              <w:tc>
                <w:tcPr>
                  <w:tcW w:type="dxa" w:w="1809"/>
                  <w:tcBorders>
                    <w:top w:val="none" w:color="000000" w:sz="4"/>
                    <w:left w:val="none" w:color="000000" w:sz="4"/>
                    <w:bottom w:val="single" w:color="000000" w:sz="4"/>
                    <w:right w:val="single" w:color="000000" w:sz="4"/>
                  </w:tcBorders>
                </w:tcPr>
                <w:p>
                  <w:pPr>
                    <w:jc w:val="both"/>
                  </w:pPr>
                  <w:r>
                    <w:rPr>
                      <w:sz w:val="21"/>
                    </w:rPr>
                    <w:t>运维公司或运维人员主观恶意泄露工作秘密、设置</w:t>
                  </w:r>
                  <w:r>
                    <w:rPr>
                      <w:sz w:val="21"/>
                    </w:rPr>
                    <w:t>bug</w:t>
                  </w:r>
                  <w:r>
                    <w:rPr>
                      <w:sz w:val="21"/>
                    </w:rPr>
                    <w:t>，对系统人为设置障碍、滥用运维权限，侵犯系统版权或授权，消极怠工、拒不配合的，影响系统正常使用、本系统业务及相关业务办理的</w:t>
                  </w:r>
                </w:p>
              </w:tc>
              <w:tc>
                <w:tcPr>
                  <w:tcW w:type="dxa" w:w="955"/>
                  <w:tcBorders>
                    <w:top w:val="none" w:color="000000" w:sz="4"/>
                    <w:left w:val="none" w:color="000000" w:sz="4"/>
                    <w:bottom w:val="single" w:color="000000" w:sz="4"/>
                    <w:right w:val="single" w:color="000000" w:sz="4"/>
                  </w:tcBorders>
                </w:tcPr>
                <w:p>
                  <w:pPr>
                    <w:jc w:val="both"/>
                  </w:pPr>
                  <w:r>
                    <w:rPr>
                      <w:sz w:val="21"/>
                    </w:rPr>
                    <w:t>扣</w:t>
                  </w:r>
                  <w:r>
                    <w:rPr>
                      <w:sz w:val="21"/>
                    </w:rPr>
                    <w:t>50</w:t>
                  </w:r>
                  <w:r>
                    <w:rPr>
                      <w:sz w:val="21"/>
                    </w:rPr>
                    <w:t>分</w:t>
                  </w:r>
                  <w:r>
                    <w:rPr>
                      <w:sz w:val="21"/>
                    </w:rPr>
                    <w:t>/</w:t>
                  </w:r>
                  <w:r>
                    <w:rPr>
                      <w:sz w:val="21"/>
                    </w:rPr>
                    <w:t>次</w:t>
                  </w:r>
                </w:p>
              </w:tc>
              <w:tc>
                <w:tcPr>
                  <w:tcW w:type="dxa" w:w="1067"/>
                  <w:tcBorders>
                    <w:top w:val="none" w:color="000000" w:sz="4"/>
                    <w:left w:val="none" w:color="000000" w:sz="4"/>
                    <w:bottom w:val="single" w:color="000000" w:sz="4"/>
                    <w:right w:val="single" w:color="000000" w:sz="4"/>
                  </w:tcBorders>
                </w:tcPr>
                <w:p>
                  <w:pPr>
                    <w:jc w:val="both"/>
                  </w:pPr>
                  <w:r>
                    <w:rPr>
                      <w:sz w:val="21"/>
                    </w:rPr>
                    <w:t>市自然资源局认定</w:t>
                  </w:r>
                </w:p>
              </w:tc>
            </w:tr>
            <w:tr>
              <w:tc>
                <w:tcPr>
                  <w:tcW w:type="dxa" w:w="809"/>
                  <w:vMerge/>
                  <w:tcBorders>
                    <w:top w:val="none" w:color="000000" w:sz="4"/>
                    <w:left w:val="single" w:color="000000" w:sz="4"/>
                    <w:bottom w:val="single" w:color="000000" w:sz="4"/>
                    <w:right w:val="single" w:color="000000" w:sz="4"/>
                  </w:tcBorders>
                </w:tcPr>
                <w:p/>
              </w:tc>
              <w:tc>
                <w:tcPr>
                  <w:tcW w:type="dxa" w:w="955"/>
                  <w:tcBorders>
                    <w:top w:val="none" w:color="000000" w:sz="4"/>
                    <w:left w:val="none" w:color="000000" w:sz="4"/>
                    <w:bottom w:val="single" w:color="000000" w:sz="4"/>
                    <w:right w:val="single" w:color="000000" w:sz="4"/>
                  </w:tcBorders>
                </w:tcPr>
                <w:p>
                  <w:pPr>
                    <w:jc w:val="both"/>
                  </w:pPr>
                  <w:r>
                    <w:rPr>
                      <w:sz w:val="21"/>
                    </w:rPr>
                    <w:t>协调管理</w:t>
                  </w:r>
                </w:p>
              </w:tc>
              <w:tc>
                <w:tcPr>
                  <w:tcW w:type="dxa" w:w="1809"/>
                  <w:tcBorders>
                    <w:top w:val="none" w:color="000000" w:sz="4"/>
                    <w:left w:val="none" w:color="000000" w:sz="4"/>
                    <w:bottom w:val="single" w:color="000000" w:sz="4"/>
                    <w:right w:val="single" w:color="000000" w:sz="4"/>
                  </w:tcBorders>
                </w:tcPr>
                <w:p>
                  <w:r>
                    <w:rPr/>
                    <w:t>若项目由联合体承担，联合体成员间出现推诿扯皮，导致无法及时提供运维服务的；或由于运维公司对外采购问题，导致无法及时提供运维服务的。</w:t>
                  </w:r>
                </w:p>
              </w:tc>
              <w:tc>
                <w:tcPr>
                  <w:tcW w:type="dxa" w:w="955"/>
                  <w:tcBorders>
                    <w:top w:val="none" w:color="000000" w:sz="4"/>
                    <w:left w:val="none" w:color="000000" w:sz="4"/>
                    <w:bottom w:val="single" w:color="000000" w:sz="4"/>
                    <w:right w:val="single" w:color="000000" w:sz="4"/>
                  </w:tcBorders>
                </w:tcPr>
                <w:p>
                  <w:pPr>
                    <w:jc w:val="both"/>
                  </w:pPr>
                  <w:r>
                    <w:rPr>
                      <w:sz w:val="21"/>
                    </w:rPr>
                    <w:t xml:space="preserve">  扣10-</w:t>
                  </w:r>
                  <w:r>
                    <w:rPr>
                      <w:sz w:val="21"/>
                    </w:rPr>
                    <w:t>30</w:t>
                  </w:r>
                  <w:r>
                    <w:rPr>
                      <w:sz w:val="21"/>
                    </w:rPr>
                    <w:t>分</w:t>
                  </w:r>
                  <w:r>
                    <w:rPr>
                      <w:sz w:val="21"/>
                    </w:rPr>
                    <w:t>/</w:t>
                  </w:r>
                  <w:r>
                    <w:rPr>
                      <w:sz w:val="21"/>
                    </w:rPr>
                    <w:t>次</w:t>
                  </w:r>
                </w:p>
              </w:tc>
              <w:tc>
                <w:tcPr>
                  <w:tcW w:type="dxa" w:w="1067"/>
                  <w:tcBorders>
                    <w:top w:val="none" w:color="000000" w:sz="4"/>
                    <w:left w:val="none" w:color="000000" w:sz="4"/>
                    <w:bottom w:val="single" w:color="000000" w:sz="4"/>
                    <w:right w:val="single" w:color="000000" w:sz="4"/>
                  </w:tcBorders>
                </w:tcPr>
                <w:p>
                  <w:pPr>
                    <w:jc w:val="both"/>
                  </w:pPr>
                  <w:r>
                    <w:rPr>
                      <w:sz w:val="21"/>
                    </w:rPr>
                    <w:t>自然资源信息中心及业务部门认定</w:t>
                  </w:r>
                </w:p>
              </w:tc>
            </w:tr>
            <w:tr>
              <w:tc>
                <w:tcPr>
                  <w:tcW w:type="dxa" w:w="809"/>
                  <w:vMerge w:val="restart"/>
                  <w:tcBorders>
                    <w:top w:val="none" w:color="000000" w:sz="4"/>
                    <w:left w:val="single" w:color="000000" w:sz="4"/>
                    <w:bottom w:val="single" w:color="000000" w:sz="4"/>
                    <w:right w:val="single" w:color="000000" w:sz="4"/>
                  </w:tcBorders>
                </w:tcPr>
                <w:p>
                  <w:pPr>
                    <w:jc w:val="both"/>
                  </w:pPr>
                  <w:r>
                    <w:rPr>
                      <w:sz w:val="21"/>
                    </w:rPr>
                    <w:t>加分</w:t>
                  </w:r>
                </w:p>
              </w:tc>
              <w:tc>
                <w:tcPr>
                  <w:tcW w:type="dxa" w:w="955"/>
                  <w:tcBorders>
                    <w:top w:val="none" w:color="000000" w:sz="4"/>
                    <w:left w:val="none" w:color="000000" w:sz="4"/>
                    <w:bottom w:val="single" w:color="000000" w:sz="4"/>
                    <w:right w:val="single" w:color="000000" w:sz="4"/>
                  </w:tcBorders>
                </w:tcPr>
                <w:p>
                  <w:pPr>
                    <w:jc w:val="both"/>
                  </w:pPr>
                  <w:r>
                    <w:rPr>
                      <w:sz w:val="21"/>
                    </w:rPr>
                    <w:t>故障处理</w:t>
                  </w:r>
                </w:p>
              </w:tc>
              <w:tc>
                <w:tcPr>
                  <w:tcW w:type="dxa" w:w="1809"/>
                  <w:tcBorders>
                    <w:top w:val="none" w:color="000000" w:sz="4"/>
                    <w:left w:val="none" w:color="000000" w:sz="4"/>
                    <w:bottom w:val="single" w:color="000000" w:sz="4"/>
                    <w:right w:val="single" w:color="000000" w:sz="4"/>
                  </w:tcBorders>
                  <w:vAlign w:val="top"/>
                </w:tcPr>
                <w:p>
                  <w:pPr>
                    <w:jc w:val="both"/>
                  </w:pPr>
                  <w:r>
                    <w:rPr>
                      <w:sz w:val="21"/>
                    </w:rPr>
                    <w:t>在处理复杂故障过程中，主动增派力量，及时修复故障，且有效控制了故障负面影响的。</w:t>
                  </w:r>
                </w:p>
              </w:tc>
              <w:tc>
                <w:tcPr>
                  <w:tcW w:type="dxa" w:w="955"/>
                  <w:tcBorders>
                    <w:top w:val="none" w:color="000000" w:sz="4"/>
                    <w:left w:val="none" w:color="000000" w:sz="4"/>
                    <w:bottom w:val="single" w:color="000000" w:sz="4"/>
                    <w:right w:val="single" w:color="000000" w:sz="4"/>
                  </w:tcBorders>
                  <w:vAlign w:val="top"/>
                </w:tcPr>
                <w:p>
                  <w:pPr>
                    <w:jc w:val="both"/>
                  </w:pPr>
                  <w:r>
                    <w:rPr>
                      <w:sz w:val="21"/>
                    </w:rPr>
                    <w:t>加</w:t>
                  </w:r>
                  <w:r>
                    <w:rPr>
                      <w:sz w:val="21"/>
                    </w:rPr>
                    <w:t>5-10</w:t>
                  </w:r>
                  <w:r>
                    <w:rPr>
                      <w:sz w:val="21"/>
                    </w:rPr>
                    <w:t>分</w:t>
                  </w:r>
                  <w:r>
                    <w:rPr>
                      <w:sz w:val="21"/>
                    </w:rPr>
                    <w:t>/</w:t>
                  </w:r>
                  <w:r>
                    <w:rPr>
                      <w:sz w:val="21"/>
                    </w:rPr>
                    <w:t>次</w:t>
                  </w:r>
                </w:p>
              </w:tc>
              <w:tc>
                <w:tcPr>
                  <w:tcW w:type="dxa" w:w="1067"/>
                  <w:tcBorders>
                    <w:top w:val="none" w:color="000000" w:sz="4"/>
                    <w:left w:val="none" w:color="000000" w:sz="4"/>
                    <w:bottom w:val="single" w:color="000000" w:sz="4"/>
                    <w:right w:val="single" w:color="000000" w:sz="4"/>
                  </w:tcBorders>
                  <w:vAlign w:val="top"/>
                </w:tcPr>
                <w:p>
                  <w:pPr>
                    <w:jc w:val="both"/>
                  </w:pPr>
                  <w:r>
                    <w:rPr>
                      <w:sz w:val="21"/>
                    </w:rPr>
                    <w:t>自然资源信息中心认定</w:t>
                  </w:r>
                </w:p>
              </w:tc>
            </w:tr>
            <w:tr>
              <w:tc>
                <w:tcPr>
                  <w:tcW w:type="dxa" w:w="809"/>
                  <w:vMerge/>
                  <w:tcBorders>
                    <w:top w:val="none" w:color="000000" w:sz="4"/>
                    <w:left w:val="single" w:color="000000" w:sz="4"/>
                    <w:bottom w:val="single" w:color="000000" w:sz="4"/>
                    <w:right w:val="single" w:color="000000" w:sz="4"/>
                  </w:tcBorders>
                </w:tcPr>
                <w:p/>
              </w:tc>
              <w:tc>
                <w:tcPr>
                  <w:tcW w:type="dxa" w:w="955"/>
                  <w:tcBorders>
                    <w:top w:val="none" w:color="000000" w:sz="4"/>
                    <w:left w:val="none" w:color="000000" w:sz="4"/>
                    <w:bottom w:val="single" w:color="000000" w:sz="4"/>
                    <w:right w:val="single" w:color="000000" w:sz="4"/>
                  </w:tcBorders>
                </w:tcPr>
                <w:p>
                  <w:pPr>
                    <w:jc w:val="both"/>
                  </w:pPr>
                  <w:r>
                    <w:rPr>
                      <w:sz w:val="21"/>
                    </w:rPr>
                    <w:t>支撑有力</w:t>
                  </w:r>
                </w:p>
              </w:tc>
              <w:tc>
                <w:tcPr>
                  <w:tcW w:type="dxa" w:w="1809"/>
                  <w:tcBorders>
                    <w:top w:val="none" w:color="000000" w:sz="4"/>
                    <w:left w:val="none" w:color="000000" w:sz="4"/>
                    <w:bottom w:val="single" w:color="000000" w:sz="4"/>
                    <w:right w:val="single" w:color="000000" w:sz="4"/>
                  </w:tcBorders>
                  <w:vAlign w:val="top"/>
                </w:tcPr>
                <w:p>
                  <w:pPr>
                    <w:jc w:val="both"/>
                  </w:pPr>
                  <w:r>
                    <w:rPr>
                      <w:sz w:val="21"/>
                    </w:rPr>
                    <w:t>根据上级部门下发的专项工作通知开展相应工作，并进行支撑保障，得到业务科室或第三方认可的。</w:t>
                  </w:r>
                </w:p>
              </w:tc>
              <w:tc>
                <w:tcPr>
                  <w:tcW w:type="dxa" w:w="955"/>
                  <w:tcBorders>
                    <w:top w:val="none" w:color="000000" w:sz="4"/>
                    <w:left w:val="none" w:color="000000" w:sz="4"/>
                    <w:bottom w:val="single" w:color="000000" w:sz="4"/>
                    <w:right w:val="single" w:color="000000" w:sz="4"/>
                  </w:tcBorders>
                  <w:vAlign w:val="top"/>
                </w:tcPr>
                <w:p>
                  <w:pPr>
                    <w:jc w:val="both"/>
                  </w:pPr>
                  <w:r>
                    <w:rPr>
                      <w:sz w:val="21"/>
                    </w:rPr>
                    <w:t>加5-</w:t>
                  </w:r>
                  <w:r>
                    <w:rPr>
                      <w:sz w:val="21"/>
                    </w:rPr>
                    <w:t>20</w:t>
                  </w:r>
                  <w:r>
                    <w:rPr>
                      <w:sz w:val="21"/>
                    </w:rPr>
                    <w:t>分</w:t>
                  </w:r>
                  <w:r>
                    <w:rPr>
                      <w:sz w:val="21"/>
                    </w:rPr>
                    <w:t>/</w:t>
                  </w:r>
                  <w:r>
                    <w:rPr>
                      <w:sz w:val="21"/>
                    </w:rPr>
                    <w:t>次</w:t>
                  </w:r>
                </w:p>
              </w:tc>
              <w:tc>
                <w:tcPr>
                  <w:tcW w:type="dxa" w:w="1067"/>
                  <w:tcBorders>
                    <w:top w:val="none" w:color="000000" w:sz="4"/>
                    <w:left w:val="none" w:color="000000" w:sz="4"/>
                    <w:bottom w:val="single" w:color="000000" w:sz="4"/>
                    <w:right w:val="single" w:color="000000" w:sz="4"/>
                  </w:tcBorders>
                  <w:vAlign w:val="top"/>
                </w:tcPr>
                <w:p>
                  <w:pPr>
                    <w:jc w:val="both"/>
                  </w:pPr>
                  <w:r>
                    <w:rPr>
                      <w:sz w:val="21"/>
                    </w:rPr>
                    <w:t>自然资源信息中心认定</w:t>
                  </w:r>
                </w:p>
              </w:tc>
            </w:tr>
            <w:tr>
              <w:tc>
                <w:tcPr>
                  <w:tcW w:type="dxa" w:w="809"/>
                  <w:vMerge/>
                  <w:tcBorders>
                    <w:top w:val="none" w:color="000000" w:sz="4"/>
                    <w:left w:val="single" w:color="000000" w:sz="4"/>
                    <w:bottom w:val="single" w:color="000000" w:sz="4"/>
                    <w:right w:val="single" w:color="000000" w:sz="4"/>
                  </w:tcBorders>
                </w:tcPr>
                <w:p/>
              </w:tc>
              <w:tc>
                <w:tcPr>
                  <w:tcW w:type="dxa" w:w="955"/>
                  <w:tcBorders>
                    <w:top w:val="none" w:color="000000" w:sz="4"/>
                    <w:left w:val="none" w:color="000000" w:sz="4"/>
                    <w:bottom w:val="single" w:color="000000" w:sz="4"/>
                    <w:right w:val="single" w:color="000000" w:sz="4"/>
                  </w:tcBorders>
                </w:tcPr>
                <w:p>
                  <w:pPr>
                    <w:jc w:val="both"/>
                  </w:pPr>
                  <w:r>
                    <w:rPr>
                      <w:sz w:val="21"/>
                    </w:rPr>
                    <w:t>主动作为</w:t>
                  </w:r>
                </w:p>
              </w:tc>
              <w:tc>
                <w:tcPr>
                  <w:tcW w:type="dxa" w:w="1809"/>
                  <w:tcBorders>
                    <w:top w:val="none" w:color="000000" w:sz="4"/>
                    <w:left w:val="none" w:color="000000" w:sz="4"/>
                    <w:bottom w:val="single" w:color="000000" w:sz="4"/>
                    <w:right w:val="single" w:color="000000" w:sz="4"/>
                  </w:tcBorders>
                  <w:vAlign w:val="top"/>
                </w:tcPr>
                <w:p>
                  <w:pPr>
                    <w:jc w:val="both"/>
                  </w:pPr>
                  <w:r>
                    <w:rPr>
                      <w:sz w:val="21"/>
                    </w:rPr>
                    <w:t>提出了有利于故障或工程、技术、管理等方面改进的建设性意见或建议，并得到采纳的。</w:t>
                  </w:r>
                </w:p>
              </w:tc>
              <w:tc>
                <w:tcPr>
                  <w:tcW w:type="dxa" w:w="955"/>
                  <w:tcBorders>
                    <w:top w:val="none" w:color="000000" w:sz="4"/>
                    <w:left w:val="none" w:color="000000" w:sz="4"/>
                    <w:bottom w:val="single" w:color="000000" w:sz="4"/>
                    <w:right w:val="single" w:color="000000" w:sz="4"/>
                  </w:tcBorders>
                  <w:vAlign w:val="top"/>
                </w:tcPr>
                <w:p>
                  <w:pPr>
                    <w:jc w:val="both"/>
                  </w:pPr>
                  <w:r>
                    <w:rPr>
                      <w:sz w:val="21"/>
                    </w:rPr>
                    <w:t>加5-</w:t>
                  </w:r>
                  <w:r>
                    <w:rPr>
                      <w:sz w:val="21"/>
                    </w:rPr>
                    <w:t>20</w:t>
                  </w:r>
                  <w:r>
                    <w:rPr>
                      <w:sz w:val="21"/>
                    </w:rPr>
                    <w:t>分</w:t>
                  </w:r>
                  <w:r>
                    <w:rPr>
                      <w:sz w:val="21"/>
                    </w:rPr>
                    <w:t>/</w:t>
                  </w:r>
                  <w:r>
                    <w:rPr>
                      <w:sz w:val="21"/>
                    </w:rPr>
                    <w:t>次</w:t>
                  </w:r>
                </w:p>
              </w:tc>
              <w:tc>
                <w:tcPr>
                  <w:tcW w:type="dxa" w:w="1067"/>
                  <w:tcBorders>
                    <w:top w:val="none" w:color="000000" w:sz="4"/>
                    <w:left w:val="none" w:color="000000" w:sz="4"/>
                    <w:bottom w:val="single" w:color="000000" w:sz="4"/>
                    <w:right w:val="single" w:color="000000" w:sz="4"/>
                  </w:tcBorders>
                  <w:vAlign w:val="top"/>
                </w:tcPr>
                <w:p>
                  <w:pPr>
                    <w:jc w:val="both"/>
                  </w:pPr>
                  <w:r>
                    <w:rPr>
                      <w:sz w:val="21"/>
                    </w:rPr>
                    <w:t>自然资源信息中心认定</w:t>
                  </w:r>
                </w:p>
              </w:tc>
            </w:tr>
            <w:tr>
              <w:tc>
                <w:tcPr>
                  <w:tcW w:type="dxa" w:w="809"/>
                  <w:vMerge/>
                  <w:tcBorders>
                    <w:top w:val="none" w:color="000000" w:sz="4"/>
                    <w:left w:val="single" w:color="000000" w:sz="4"/>
                    <w:bottom w:val="single" w:color="000000" w:sz="4"/>
                    <w:right w:val="single" w:color="000000" w:sz="4"/>
                  </w:tcBorders>
                </w:tcPr>
                <w:p/>
              </w:tc>
              <w:tc>
                <w:tcPr>
                  <w:tcW w:type="dxa" w:w="955"/>
                  <w:tcBorders>
                    <w:top w:val="none" w:color="000000" w:sz="4"/>
                    <w:left w:val="none" w:color="000000" w:sz="4"/>
                    <w:bottom w:val="single" w:color="000000" w:sz="4"/>
                    <w:right w:val="single" w:color="000000" w:sz="4"/>
                  </w:tcBorders>
                </w:tcPr>
                <w:p>
                  <w:pPr>
                    <w:jc w:val="both"/>
                  </w:pPr>
                  <w:r>
                    <w:rPr>
                      <w:sz w:val="21"/>
                    </w:rPr>
                    <w:t>勇于担当</w:t>
                  </w:r>
                </w:p>
              </w:tc>
              <w:tc>
                <w:tcPr>
                  <w:tcW w:type="dxa" w:w="1809"/>
                  <w:tcBorders>
                    <w:top w:val="none" w:color="000000" w:sz="4"/>
                    <w:left w:val="none" w:color="000000" w:sz="4"/>
                    <w:bottom w:val="single" w:color="000000" w:sz="4"/>
                    <w:right w:val="single" w:color="000000" w:sz="4"/>
                  </w:tcBorders>
                  <w:vAlign w:val="top"/>
                </w:tcPr>
                <w:p>
                  <w:pPr>
                    <w:jc w:val="both"/>
                  </w:pPr>
                  <w:r>
                    <w:rPr>
                      <w:sz w:val="21"/>
                    </w:rPr>
                    <w:t>重大运维保障期工作出色</w:t>
                  </w:r>
                </w:p>
              </w:tc>
              <w:tc>
                <w:tcPr>
                  <w:tcW w:type="dxa" w:w="955"/>
                  <w:tcBorders>
                    <w:top w:val="none" w:color="000000" w:sz="4"/>
                    <w:left w:val="none" w:color="000000" w:sz="4"/>
                    <w:bottom w:val="single" w:color="000000" w:sz="4"/>
                    <w:right w:val="single" w:color="000000" w:sz="4"/>
                  </w:tcBorders>
                  <w:vAlign w:val="top"/>
                </w:tcPr>
                <w:p>
                  <w:pPr>
                    <w:jc w:val="both"/>
                  </w:pPr>
                  <w:r>
                    <w:rPr>
                      <w:sz w:val="21"/>
                    </w:rPr>
                    <w:t>加</w:t>
                  </w:r>
                  <w:r>
                    <w:rPr>
                      <w:sz w:val="21"/>
                    </w:rPr>
                    <w:t>10-20</w:t>
                  </w:r>
                  <w:r>
                    <w:rPr>
                      <w:sz w:val="21"/>
                    </w:rPr>
                    <w:t>分</w:t>
                  </w:r>
                  <w:r>
                    <w:rPr>
                      <w:sz w:val="21"/>
                    </w:rPr>
                    <w:t>/</w:t>
                  </w:r>
                  <w:r>
                    <w:rPr>
                      <w:sz w:val="21"/>
                    </w:rPr>
                    <w:t>次</w:t>
                  </w:r>
                </w:p>
              </w:tc>
              <w:tc>
                <w:tcPr>
                  <w:tcW w:type="dxa" w:w="1067"/>
                  <w:tcBorders>
                    <w:top w:val="none" w:color="000000" w:sz="4"/>
                    <w:left w:val="none" w:color="000000" w:sz="4"/>
                    <w:bottom w:val="single" w:color="000000" w:sz="4"/>
                    <w:right w:val="single" w:color="000000" w:sz="4"/>
                  </w:tcBorders>
                  <w:vAlign w:val="top"/>
                </w:tcPr>
                <w:p>
                  <w:pPr>
                    <w:jc w:val="both"/>
                  </w:pPr>
                  <w:r>
                    <w:rPr>
                      <w:sz w:val="21"/>
                    </w:rPr>
                    <w:t>自然资源信息中心认定</w:t>
                  </w:r>
                </w:p>
              </w:tc>
            </w:tr>
            <w:tr>
              <w:tc>
                <w:tcPr>
                  <w:tcW w:type="dxa" w:w="809"/>
                  <w:vMerge/>
                  <w:tcBorders>
                    <w:top w:val="none" w:color="000000" w:sz="4"/>
                    <w:left w:val="single" w:color="000000" w:sz="4"/>
                    <w:bottom w:val="single" w:color="000000" w:sz="4"/>
                    <w:right w:val="single" w:color="000000" w:sz="4"/>
                  </w:tcBorders>
                </w:tcPr>
                <w:p/>
              </w:tc>
              <w:tc>
                <w:tcPr>
                  <w:tcW w:type="dxa" w:w="955"/>
                  <w:tcBorders>
                    <w:top w:val="none" w:color="000000" w:sz="4"/>
                    <w:left w:val="none" w:color="000000" w:sz="4"/>
                    <w:bottom w:val="single" w:color="000000" w:sz="4"/>
                    <w:right w:val="single" w:color="000000" w:sz="4"/>
                  </w:tcBorders>
                </w:tcPr>
                <w:p>
                  <w:pPr>
                    <w:jc w:val="both"/>
                  </w:pPr>
                  <w:r>
                    <w:rPr>
                      <w:sz w:val="21"/>
                    </w:rPr>
                    <w:t>嘉奖表扬</w:t>
                  </w:r>
                </w:p>
              </w:tc>
              <w:tc>
                <w:tcPr>
                  <w:tcW w:type="dxa" w:w="1809"/>
                  <w:tcBorders>
                    <w:top w:val="none" w:color="000000" w:sz="4"/>
                    <w:left w:val="none" w:color="000000" w:sz="4"/>
                    <w:bottom w:val="single" w:color="000000" w:sz="4"/>
                    <w:right w:val="single" w:color="000000" w:sz="4"/>
                  </w:tcBorders>
                  <w:vAlign w:val="top"/>
                </w:tcPr>
                <w:p>
                  <w:pPr>
                    <w:jc w:val="both"/>
                  </w:pPr>
                  <w:r>
                    <w:rPr>
                      <w:sz w:val="21"/>
                    </w:rPr>
                    <w:t>系统对应的业务工作因信息化保障有力得到上级部门、政数局、网信办、公安等表扬或肯定的</w:t>
                  </w:r>
                </w:p>
              </w:tc>
              <w:tc>
                <w:tcPr>
                  <w:tcW w:type="dxa" w:w="955"/>
                  <w:tcBorders>
                    <w:top w:val="none" w:color="000000" w:sz="4"/>
                    <w:left w:val="none" w:color="000000" w:sz="4"/>
                    <w:bottom w:val="single" w:color="000000" w:sz="4"/>
                    <w:right w:val="single" w:color="000000" w:sz="4"/>
                  </w:tcBorders>
                  <w:vAlign w:val="top"/>
                </w:tcPr>
                <w:p>
                  <w:pPr>
                    <w:jc w:val="both"/>
                  </w:pPr>
                  <w:r>
                    <w:rPr>
                      <w:sz w:val="21"/>
                    </w:rPr>
                    <w:t>加</w:t>
                  </w:r>
                  <w:r>
                    <w:rPr>
                      <w:sz w:val="21"/>
                    </w:rPr>
                    <w:t>20</w:t>
                  </w:r>
                  <w:r>
                    <w:rPr>
                      <w:sz w:val="21"/>
                    </w:rPr>
                    <w:t>分</w:t>
                  </w:r>
                  <w:r>
                    <w:rPr>
                      <w:sz w:val="21"/>
                    </w:rPr>
                    <w:t>/</w:t>
                  </w:r>
                  <w:r>
                    <w:rPr>
                      <w:sz w:val="21"/>
                    </w:rPr>
                    <w:t>次</w:t>
                  </w:r>
                </w:p>
              </w:tc>
              <w:tc>
                <w:tcPr>
                  <w:tcW w:type="dxa" w:w="1067"/>
                  <w:tcBorders>
                    <w:top w:val="none" w:color="000000" w:sz="4"/>
                    <w:left w:val="none" w:color="000000" w:sz="4"/>
                    <w:bottom w:val="single" w:color="000000" w:sz="4"/>
                    <w:right w:val="single" w:color="000000" w:sz="4"/>
                  </w:tcBorders>
                  <w:vAlign w:val="top"/>
                </w:tcPr>
                <w:p>
                  <w:pPr>
                    <w:jc w:val="both"/>
                  </w:pPr>
                  <w:r>
                    <w:rPr>
                      <w:sz w:val="21"/>
                    </w:rPr>
                    <w:t>自然资源信息中心认定</w:t>
                  </w:r>
                </w:p>
              </w:tc>
            </w:tr>
            <w:tr>
              <w:tc>
                <w:tcPr>
                  <w:tcW w:type="dxa" w:w="809"/>
                  <w:vMerge/>
                  <w:tcBorders>
                    <w:top w:val="none" w:color="000000" w:sz="4"/>
                    <w:left w:val="single" w:color="000000" w:sz="4"/>
                    <w:bottom w:val="single" w:color="000000" w:sz="4"/>
                    <w:right w:val="single" w:color="000000" w:sz="4"/>
                  </w:tcBorders>
                </w:tcPr>
                <w:p/>
              </w:tc>
              <w:tc>
                <w:tcPr>
                  <w:tcW w:type="dxa" w:w="955"/>
                  <w:tcBorders>
                    <w:top w:val="none" w:color="000000" w:sz="4"/>
                    <w:left w:val="none" w:color="000000" w:sz="4"/>
                    <w:bottom w:val="single" w:color="000000" w:sz="4"/>
                    <w:right w:val="single" w:color="000000" w:sz="4"/>
                  </w:tcBorders>
                </w:tcPr>
                <w:p>
                  <w:pPr>
                    <w:jc w:val="both"/>
                  </w:pPr>
                  <w:r>
                    <w:rPr>
                      <w:sz w:val="21"/>
                    </w:rPr>
                    <w:t>风险防控扎实</w:t>
                  </w:r>
                </w:p>
              </w:tc>
              <w:tc>
                <w:tcPr>
                  <w:tcW w:type="dxa" w:w="1809"/>
                  <w:tcBorders>
                    <w:top w:val="none" w:color="000000" w:sz="4"/>
                    <w:left w:val="none" w:color="000000" w:sz="4"/>
                    <w:bottom w:val="single" w:color="000000" w:sz="4"/>
                    <w:right w:val="single" w:color="000000" w:sz="4"/>
                  </w:tcBorders>
                  <w:vAlign w:val="top"/>
                </w:tcPr>
                <w:p>
                  <w:pPr>
                    <w:jc w:val="both"/>
                  </w:pPr>
                  <w:r>
                    <w:rPr>
                      <w:sz w:val="21"/>
                    </w:rPr>
                    <w:t>创新工作方法，开展风险评估及时，结果可靠，措施有力，整改到位，成效显著，得到业务部门、人事纪检部门或信息化部门高度认可</w:t>
                  </w:r>
                </w:p>
              </w:tc>
              <w:tc>
                <w:tcPr>
                  <w:tcW w:type="dxa" w:w="955"/>
                  <w:tcBorders>
                    <w:top w:val="none" w:color="000000" w:sz="4"/>
                    <w:left w:val="none" w:color="000000" w:sz="4"/>
                    <w:bottom w:val="single" w:color="000000" w:sz="4"/>
                    <w:right w:val="single" w:color="000000" w:sz="4"/>
                  </w:tcBorders>
                  <w:vAlign w:val="top"/>
                </w:tcPr>
                <w:p>
                  <w:pPr>
                    <w:jc w:val="both"/>
                  </w:pPr>
                  <w:r>
                    <w:rPr>
                      <w:sz w:val="21"/>
                    </w:rPr>
                    <w:t>加</w:t>
                  </w:r>
                  <w:r>
                    <w:rPr>
                      <w:sz w:val="21"/>
                    </w:rPr>
                    <w:t>20</w:t>
                  </w:r>
                  <w:r>
                    <w:rPr>
                      <w:sz w:val="21"/>
                    </w:rPr>
                    <w:t>分</w:t>
                  </w:r>
                  <w:r>
                    <w:rPr>
                      <w:sz w:val="21"/>
                    </w:rPr>
                    <w:t>/</w:t>
                  </w:r>
                  <w:r>
                    <w:rPr>
                      <w:sz w:val="21"/>
                    </w:rPr>
                    <w:t>次</w:t>
                  </w:r>
                </w:p>
              </w:tc>
              <w:tc>
                <w:tcPr>
                  <w:tcW w:type="dxa" w:w="1067"/>
                  <w:tcBorders>
                    <w:top w:val="none" w:color="000000" w:sz="4"/>
                    <w:left w:val="none" w:color="000000" w:sz="4"/>
                    <w:bottom w:val="single" w:color="000000" w:sz="4"/>
                    <w:right w:val="single" w:color="000000" w:sz="4"/>
                  </w:tcBorders>
                  <w:vAlign w:val="top"/>
                </w:tcPr>
                <w:p>
                  <w:pPr>
                    <w:jc w:val="both"/>
                  </w:pPr>
                  <w:r>
                    <w:rPr>
                      <w:sz w:val="21"/>
                    </w:rPr>
                    <w:t>相关部门</w:t>
                  </w:r>
                </w:p>
              </w:tc>
            </w:tr>
          </w:tbl>
        </w:tc>
      </w:tr>
      <w:tr>
        <w:tc>
          <w:tcPr>
            <w:tcW w:type="dxa" w:w="2076"/>
          </w:tcPr>
          <w:p/>
        </w:tc>
        <w:tc>
          <w:tcPr>
            <w:tcW w:type="dxa" w:w="415"/>
          </w:tcPr>
          <w:p>
            <w:r>
              <w:rPr/>
              <w:t>7</w:t>
            </w:r>
          </w:p>
        </w:tc>
        <w:tc>
          <w:tcPr>
            <w:tcW w:type="dxa" w:w="5814"/>
          </w:tcPr>
          <w:p>
            <w:pPr>
              <w:jc w:val="both"/>
            </w:pPr>
            <w:r>
              <w:rPr>
                <w:b/>
                <w:sz w:val="21"/>
              </w:rPr>
              <w:t>7.</w:t>
            </w:r>
            <w:r>
              <w:rPr>
                <w:b/>
                <w:sz w:val="21"/>
              </w:rPr>
              <w:t>运维绩效指标</w:t>
            </w:r>
          </w:p>
          <w:p>
            <w:pPr>
              <w:jc w:val="both"/>
            </w:pPr>
            <w:r>
              <w:rPr>
                <w:sz w:val="21"/>
              </w:rPr>
              <w:t>运维绩效是衡量运维工作成效的重要标准之一，中山市自然资源局将依据以下标准，根据运维成果开展运维绩效分析，并根据分析结果的反馈落实改进措施。</w:t>
            </w:r>
          </w:p>
          <w:p>
            <w:pPr>
              <w:jc w:val="both"/>
            </w:pPr>
            <w:r>
              <w:rPr>
                <w:b/>
                <w:sz w:val="21"/>
              </w:rPr>
              <w:t>故障率</w:t>
            </w:r>
          </w:p>
          <w:p>
            <w:pPr>
              <w:jc w:val="both"/>
            </w:pPr>
            <w:r>
              <w:rPr>
                <w:sz w:val="21"/>
              </w:rPr>
              <w:t>故障率是衡量系统可靠性和运维工作质量的重要指标，高故障率可能意味着运维单位对维护系统和及时处理问题的能力有限。</w:t>
            </w:r>
          </w:p>
          <w:p>
            <w:pPr>
              <w:jc w:val="both"/>
            </w:pPr>
            <w:r>
              <w:rPr>
                <w:b/>
                <w:sz w:val="21"/>
              </w:rPr>
              <w:t>处理时间</w:t>
            </w:r>
          </w:p>
          <w:p>
            <w:pPr>
              <w:jc w:val="both"/>
            </w:pPr>
            <w:r>
              <w:rPr>
                <w:sz w:val="21"/>
              </w:rPr>
              <w:t>故障处理时间是处理故障并恢复系统正常运行所花费的时间。较短的响应时间和处理时间表明运维单位能够迅速识别、反应和解决问题。</w:t>
            </w:r>
          </w:p>
          <w:p>
            <w:pPr>
              <w:jc w:val="both"/>
            </w:pPr>
            <w:r>
              <w:rPr>
                <w:b/>
                <w:sz w:val="21"/>
              </w:rPr>
              <w:t>可用性</w:t>
            </w:r>
          </w:p>
          <w:p>
            <w:pPr>
              <w:jc w:val="both"/>
            </w:pPr>
            <w:r>
              <w:rPr>
                <w:sz w:val="21"/>
              </w:rPr>
              <w:t>系统可用性是衡量系统稳定性和可靠性的指标，表示系统正常运行时间与总运行时间之比。高可用性表明系统运维单位对系统及时维护、调优和问题解决能力的高效性能。</w:t>
            </w:r>
          </w:p>
          <w:p>
            <w:pPr>
              <w:jc w:val="both"/>
            </w:pPr>
            <w:r>
              <w:rPr>
                <w:b/>
                <w:sz w:val="21"/>
              </w:rPr>
              <w:t>安全性</w:t>
            </w:r>
          </w:p>
          <w:p>
            <w:pPr>
              <w:jc w:val="both"/>
            </w:pPr>
            <w:r>
              <w:rPr>
                <w:sz w:val="21"/>
              </w:rPr>
              <w:t>安全性是衡量系统防御能力和信息安全的重要指标。运维单位需要采取有效的措施确保系统和数据的保密性、完整性和可用性，以及防止安全漏洞和攻击。安全性指标包括漏洞数量、漏洞修复率、攻击发现率等。</w:t>
            </w:r>
          </w:p>
          <w:p>
            <w:pPr>
              <w:jc w:val="both"/>
            </w:pPr>
            <w:r>
              <w:rPr>
                <w:b/>
                <w:sz w:val="21"/>
              </w:rPr>
              <w:t>用户满意度</w:t>
            </w:r>
          </w:p>
          <w:p>
            <w:r>
              <w:rPr>
                <w:sz w:val="21"/>
              </w:rPr>
              <w:t>用户满意度是衡量系统使用体验和服务质量的指标。运维单位需要保证系统能够满足用户需求，以及提供及时、高效的技术支持服务，提高用户满意度。</w:t>
            </w:r>
          </w:p>
        </w:tc>
      </w:tr>
      <w:tr>
        <w:tc>
          <w:tcPr>
            <w:tcW w:type="dxa" w:w="2076"/>
          </w:tcPr>
          <w:p/>
        </w:tc>
        <w:tc>
          <w:tcPr>
            <w:tcW w:type="dxa" w:w="415"/>
          </w:tcPr>
          <w:p>
            <w:r>
              <w:rPr/>
              <w:t>8</w:t>
            </w:r>
          </w:p>
        </w:tc>
        <w:tc>
          <w:tcPr>
            <w:tcW w:type="dxa" w:w="5814"/>
          </w:tcPr>
          <w:p>
            <w:pPr>
              <w:jc w:val="both"/>
            </w:pPr>
            <w:r>
              <w:rPr>
                <w:b/>
                <w:sz w:val="21"/>
              </w:rPr>
              <w:t>8.</w:t>
            </w:r>
            <w:r>
              <w:rPr>
                <w:b/>
                <w:sz w:val="21"/>
              </w:rPr>
              <w:t>安全生产要求</w:t>
            </w:r>
          </w:p>
          <w:p>
            <w:pPr>
              <w:jc w:val="both"/>
            </w:pPr>
            <w:r>
              <w:rPr>
                <w:sz w:val="21"/>
              </w:rPr>
              <w:t>运维单位是外包业务安全生产管理主体，对所承包业务安全生产管理工作负全责。运维单位负责日常安全生产管理，中山市自然资源局只负责对运维单位进行考核和必要的监督检查。按“谁聘用、谁负责”原则，运维单位负责从业人员安全教育培训工作。若运维业务发生生产安全事故，事故处理及赔偿由运维单位负责，中山市自然资源局予以必要协助。运维业务所涉及的驻点场地租赁费用、水电费和安全生产费用由运维单位负责，本项目费用已含从业人员安全教育培训、劳动防护用品费用等。</w:t>
            </w:r>
          </w:p>
          <w:p>
            <w:r>
              <w:rPr>
                <w:sz w:val="21"/>
              </w:rPr>
              <w:t>运维单位驻场和来访人员进出办公场所应遵守相关制度，服从有关行为规范的管理。驻场负责人休假或离开驻场地点一天以上应经市自然资源局运维项目管理部门书面审批同意，一般运维人员休假应提前报项目管理部门备案。根据市自然资源局的要求制作并佩戴工牌出入驻点办公场所。</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供应商须知</w:t>
      </w:r>
    </w:p>
    <w:p>
      <w:pPr>
        <w:ind w:firstLine="480"/>
      </w:pPr>
      <w:r>
        <w:rPr/>
        <w:t>供应商必须认真阅读磋商文件中所有的事项、格式、条款和采购需求等。供应商没有按照磋商文件要求提交全部资料，或者响应文件没有对磋商文件在各方面都做出实质性响应的可能导致其响应无效或被拒绝。</w:t>
      </w:r>
    </w:p>
    <w:p>
      <w:pPr>
        <w:ind w:firstLine="480"/>
      </w:pPr>
      <w:r>
        <w:rPr/>
        <w:t>请注意：供应商需在响应文件截止时间前，将加密响应文件上传至云平台项目采购系统中并取得回执，逾期上传或错误方式投递送达将导致响应无效。</w:t>
      </w:r>
    </w:p>
    <w:p>
      <w:r>
        <w:rPr>
          <w:b/>
          <w:sz w:val="24"/>
        </w:rPr>
        <w:t>一、名词解释</w:t>
      </w:r>
    </w:p>
    <w:p>
      <w:pPr>
        <w:ind w:firstLine="480"/>
      </w:pPr>
      <w:r>
        <w:rPr/>
        <w:t>1.采购代理机构：本项目是指广东志正招标有限公司中山分公司，负责整个采购活动的组织，依法负责编制和发布磋商文件，对磋商文件拥有最终的解释权，不以任何身份出任磋商小组成员。</w:t>
      </w:r>
    </w:p>
    <w:p>
      <w:pPr>
        <w:ind w:firstLine="480"/>
      </w:pPr>
      <w:r>
        <w:rPr/>
        <w:t>2.采购人：本项目是指</w:t>
      </w:r>
      <w:r>
        <w:rPr/>
        <w:t>中山市自然资源局</w:t>
      </w:r>
      <w:r>
        <w:rPr/>
        <w:t>，是采购活动当事人之一，负责项目的整体规划、技术方案可行性设计论证与实施，作为合同采购方（用户）的主体承担质疑回复、履行合同、验收与评价等义务。</w:t>
      </w:r>
    </w:p>
    <w:p>
      <w:pPr>
        <w:ind w:firstLine="480"/>
      </w:pPr>
      <w:r>
        <w:rPr/>
        <w:t>3.供应商：是指在云平台项目采购系统完成本项目响应登记并提交电子响应文件的供应商。</w:t>
      </w:r>
    </w:p>
    <w:p>
      <w:pPr>
        <w:ind w:firstLine="480"/>
      </w:pPr>
      <w:r>
        <w:rPr/>
        <w:t>4.“磋商小组”是指根据《中华人民共和国政府采购法》等法律法规规定，由采购人代表和有关专家组成以确定成交供应商或者推荐成交候选供应商的临时组织。</w:t>
      </w:r>
    </w:p>
    <w:p>
      <w:pPr>
        <w:ind w:firstLine="480"/>
      </w:pPr>
      <w:r>
        <w:rPr/>
        <w:t>5.“成交供应商”是指经磋商小组评审确定的对磋商文件做出实质性响应，经采购人按照规定在磋商小组推荐的成交候选供应商中确定的或磋商小组受采购人委托直接确认的供应商。</w:t>
      </w:r>
    </w:p>
    <w:p>
      <w:pPr>
        <w:ind w:firstLine="480"/>
      </w:pPr>
      <w:r>
        <w:rPr/>
        <w:t>6.磋商文件：是指包括磋商公告和磋商文件及其补充、变更和澄清等一系列文件。</w:t>
      </w:r>
    </w:p>
    <w:p>
      <w:pPr>
        <w:ind w:firstLine="480"/>
      </w:pPr>
      <w:r>
        <w:rPr/>
        <w:t>7.电子响应文件：是指使用云平台提供的投标客户端制作加密并上传到系统的响应文件。（投标客户端制作响应文件时，生成的后缀为“.标书”的文件）</w:t>
      </w:r>
    </w:p>
    <w:p>
      <w:pPr>
        <w:ind w:firstLine="480"/>
      </w:pPr>
      <w:r>
        <w:rPr/>
        <w:t>8.备用电子响应文件：是指使用云平台提供的投标客户端制作电子响应文件时，同时生成的同一版本的备用响应文件。（投标客户端制作响应文件时，生成的后缀为“.备用标书”的文件）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本表与磋商文件对应章节的内容若不一致，以本表为准。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pPr>
              <w:jc w:val="center"/>
            </w:pPr>
            <w:r>
              <w:rPr/>
              <w:t>1</w:t>
            </w:r>
          </w:p>
        </w:tc>
        <w:tc>
          <w:tcPr>
            <w:tcW w:type="dxa" w:w="2252"/>
          </w:tcPr>
          <w:p>
            <w:r>
              <w:rPr/>
              <w:t>采购包情况</w:t>
            </w:r>
          </w:p>
        </w:tc>
        <w:tc>
          <w:tcPr>
            <w:tcW w:type="dxa" w:w="5004"/>
          </w:tcPr>
          <w:p>
            <w:r>
              <w:rPr/>
              <w:t>本项目共</w:t>
            </w:r>
            <w:r>
              <w:rPr/>
              <w:t>2</w:t>
            </w:r>
            <w:r>
              <w:rPr/>
              <w:t>个采购包</w:t>
            </w:r>
          </w:p>
        </w:tc>
      </w:tr>
      <w:tr>
        <w:tc>
          <w:tcPr>
            <w:tcW w:type="dxa" w:w="1051"/>
          </w:tcPr>
          <w:p>
            <w:pPr>
              <w:jc w:val="center"/>
            </w:pPr>
            <w:r>
              <w:rPr/>
              <w:t>2</w:t>
            </w:r>
          </w:p>
        </w:tc>
        <w:tc>
          <w:tcPr>
            <w:tcW w:type="dxa" w:w="2252"/>
          </w:tcPr>
          <w:p>
            <w:r>
              <w:rPr/>
              <w:t>开启方式</w:t>
            </w:r>
          </w:p>
        </w:tc>
        <w:tc>
          <w:tcPr>
            <w:tcW w:type="dxa" w:w="5004"/>
          </w:tcPr>
          <w:p>
            <w:r>
              <w:rPr/>
              <w:t>远程电子开标</w:t>
            </w:r>
          </w:p>
        </w:tc>
      </w:tr>
      <w:tr>
        <w:tc>
          <w:tcPr>
            <w:tcW w:type="dxa" w:w="1051"/>
          </w:tcPr>
          <w:p>
            <w:pPr>
              <w:jc w:val="center"/>
            </w:pPr>
            <w:r>
              <w:rPr/>
              <w:t>3</w:t>
            </w:r>
          </w:p>
        </w:tc>
        <w:tc>
          <w:tcPr>
            <w:tcW w:type="dxa" w:w="2252"/>
          </w:tcPr>
          <w:p>
            <w:r>
              <w:rPr/>
              <w:t>评审方式</w:t>
            </w:r>
          </w:p>
        </w:tc>
        <w:tc>
          <w:tcPr>
            <w:tcW w:type="dxa" w:w="5004"/>
          </w:tcPr>
          <w:p>
            <w:r>
              <w:rPr/>
              <w:t>现场电子评标</w:t>
            </w:r>
            <w:r>
              <w:rPr/>
              <w:t>（供应商应当审慎标记各评审项的应答部分，标记内容清晰且完整，否则将自行承担不利后果）</w:t>
            </w:r>
          </w:p>
        </w:tc>
      </w:tr>
      <w:tr>
        <w:tc>
          <w:tcPr>
            <w:tcW w:type="dxa" w:w="1051"/>
          </w:tcPr>
          <w:p>
            <w:pPr>
              <w:jc w:val="center"/>
            </w:pPr>
            <w:r>
              <w:rPr/>
              <w:t>4</w:t>
            </w:r>
          </w:p>
        </w:tc>
        <w:tc>
          <w:tcPr>
            <w:tcW w:type="dxa" w:w="2252"/>
          </w:tcPr>
          <w:p>
            <w:r>
              <w:rPr/>
              <w:t>评审办法</w:t>
            </w:r>
          </w:p>
        </w:tc>
        <w:tc>
          <w:tcPr>
            <w:tcW w:type="dxa" w:w="5004"/>
          </w:tcPr>
          <w:p>
            <w:r>
              <w:rPr/>
              <w:t>采购包1：综合评分法</w:t>
            </w:r>
          </w:p>
          <w:p>
            <w:r>
              <w:rPr/>
              <w:t>采购包2：综合评分法</w:t>
            </w:r>
          </w:p>
        </w:tc>
      </w:tr>
      <w:tr>
        <w:tc>
          <w:tcPr>
            <w:tcW w:type="dxa" w:w="1051"/>
          </w:tcPr>
          <w:p>
            <w:pPr>
              <w:jc w:val="center"/>
            </w:pPr>
            <w:r>
              <w:rPr/>
              <w:t>5</w:t>
            </w:r>
          </w:p>
        </w:tc>
        <w:tc>
          <w:tcPr>
            <w:tcW w:type="dxa" w:w="2252"/>
          </w:tcPr>
          <w:p>
            <w:r>
              <w:rPr/>
              <w:t>报价形式</w:t>
            </w:r>
          </w:p>
        </w:tc>
        <w:tc>
          <w:tcPr>
            <w:tcW w:type="dxa" w:w="5004"/>
          </w:tcPr>
          <w:p/>
          <w:p>
            <w:r>
              <w:rPr/>
              <w:t>采购包1：总价</w:t>
            </w:r>
          </w:p>
          <w:p/>
          <w:p>
            <w:r>
              <w:rPr/>
              <w:t>采购包2：总价</w:t>
            </w:r>
          </w:p>
        </w:tc>
      </w:tr>
      <w:tr>
        <w:tc>
          <w:tcPr>
            <w:tcW w:type="dxa" w:w="1051"/>
          </w:tcPr>
          <w:p>
            <w:pPr>
              <w:jc w:val="center"/>
            </w:pPr>
            <w:r>
              <w:rPr/>
              <w:t>6</w:t>
            </w:r>
          </w:p>
        </w:tc>
        <w:tc>
          <w:tcPr>
            <w:tcW w:type="dxa" w:w="2252"/>
          </w:tcPr>
          <w:p>
            <w:r>
              <w:rPr/>
              <w:t>报价要求</w:t>
            </w:r>
          </w:p>
        </w:tc>
        <w:tc>
          <w:tcPr>
            <w:tcW w:type="dxa" w:w="5004"/>
          </w:tcPr>
          <w:p>
            <w:r>
              <w:rPr/>
              <w:t>各采购包报价不超过预算总价</w:t>
            </w:r>
          </w:p>
        </w:tc>
      </w:tr>
      <w:tr>
        <w:tc>
          <w:tcPr>
            <w:tcW w:type="dxa" w:w="1051"/>
          </w:tcPr>
          <w:p>
            <w:pPr>
              <w:jc w:val="center"/>
            </w:pPr>
            <w:r>
              <w:rPr/>
              <w:t>7</w:t>
            </w:r>
          </w:p>
        </w:tc>
        <w:tc>
          <w:tcPr>
            <w:tcW w:type="dxa" w:w="2252"/>
          </w:tcPr>
          <w:p>
            <w:r>
              <w:rPr/>
              <w:t>现场踏勘</w:t>
            </w:r>
          </w:p>
        </w:tc>
        <w:tc>
          <w:tcPr>
            <w:tcW w:type="dxa" w:w="5004"/>
          </w:tcPr>
          <w:p/>
          <w:p>
            <w:r>
              <w:rPr/>
              <w:t>否</w:t>
            </w:r>
          </w:p>
        </w:tc>
      </w:tr>
      <w:tr>
        <w:tc>
          <w:tcPr>
            <w:tcW w:type="dxa" w:w="1051"/>
          </w:tcPr>
          <w:p>
            <w:pPr>
              <w:jc w:val="center"/>
            </w:pPr>
            <w:r>
              <w:rPr/>
              <w:t>8</w:t>
            </w:r>
          </w:p>
        </w:tc>
        <w:tc>
          <w:tcPr>
            <w:tcW w:type="dxa" w:w="2252"/>
          </w:tcPr>
          <w:p>
            <w:r>
              <w:rPr/>
              <w:t>响应有效期</w:t>
            </w:r>
          </w:p>
        </w:tc>
        <w:tc>
          <w:tcPr>
            <w:tcW w:type="dxa" w:w="5004"/>
          </w:tcPr>
          <w:p>
            <w:r>
              <w:rPr/>
              <w:t>从提交投标（响应）文件的截止之日起90日历天</w:t>
            </w:r>
          </w:p>
        </w:tc>
      </w:tr>
      <w:tr>
        <w:tc>
          <w:tcPr>
            <w:tcW w:type="dxa" w:w="1051"/>
          </w:tcPr>
          <w:p>
            <w:pPr>
              <w:jc w:val="center"/>
            </w:pPr>
            <w:r>
              <w:rPr/>
              <w:t>9</w:t>
            </w:r>
          </w:p>
        </w:tc>
        <w:tc>
          <w:tcPr>
            <w:tcW w:type="dxa" w:w="2252"/>
          </w:tcPr>
          <w:p>
            <w:r>
              <w:rPr/>
              <w:t>响应保证金</w:t>
            </w:r>
          </w:p>
        </w:tc>
        <w:tc>
          <w:tcPr>
            <w:tcW w:type="dxa" w:w="5004"/>
          </w:tcPr>
          <w:p/>
          <w:p>
            <w:r>
              <w:rPr/>
              <w:t>采购包1：保证金人民币：0.00元整。</w:t>
            </w:r>
            <w:r>
              <w:rPr/>
              <w:t>采购包2：保证金人民币：0.00元整。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r>
              <w:rPr/>
              <w:t>响应保证金有效期∶与响应有效期一致。</w:t>
            </w:r>
          </w:p>
          <w:p>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jc w:val="center"/>
            </w:pPr>
            <w:r>
              <w:rPr/>
              <w:t>10</w:t>
            </w:r>
          </w:p>
        </w:tc>
        <w:tc>
          <w:tcPr>
            <w:tcW w:type="dxa" w:w="2252"/>
          </w:tcPr>
          <w:p>
            <w:r>
              <w:rPr/>
              <w:t>成交候选供应商推荐家数</w:t>
            </w:r>
          </w:p>
        </w:tc>
        <w:tc>
          <w:tcPr>
            <w:tcW w:type="dxa" w:w="5004"/>
          </w:tcPr>
          <w:p>
            <w:r>
              <w:rPr/>
              <w:t>采购包1：</w:t>
            </w:r>
            <w:r>
              <w:rPr/>
              <w:t>3家</w:t>
            </w:r>
          </w:p>
          <w:p>
            <w:r>
              <w:rPr/>
              <w:t>采购包2：</w:t>
            </w:r>
            <w:r>
              <w:rPr/>
              <w:t>3家</w:t>
            </w:r>
          </w:p>
        </w:tc>
      </w:tr>
      <w:tr>
        <w:tc>
          <w:tcPr>
            <w:tcW w:type="dxa" w:w="1051"/>
          </w:tcPr>
          <w:p>
            <w:pPr>
              <w:jc w:val="center"/>
            </w:pPr>
            <w:r>
              <w:rPr/>
              <w:t>11</w:t>
            </w:r>
          </w:p>
        </w:tc>
        <w:tc>
          <w:tcPr>
            <w:tcW w:type="dxa" w:w="2252"/>
          </w:tcPr>
          <w:p>
            <w:r>
              <w:rPr/>
              <w:t>成交供应商家数</w:t>
            </w:r>
          </w:p>
        </w:tc>
        <w:tc>
          <w:tcPr>
            <w:tcW w:type="dxa" w:w="5004"/>
          </w:tcPr>
          <w:p>
            <w:r>
              <w:rPr/>
              <w:t>采购包1：</w:t>
            </w:r>
            <w:r>
              <w:rPr/>
              <w:t>1家</w:t>
            </w:r>
          </w:p>
          <w:p>
            <w:r>
              <w:rPr/>
              <w:t>采购包2：</w:t>
            </w:r>
            <w:r>
              <w:rPr/>
              <w:t>1家</w:t>
            </w:r>
          </w:p>
        </w:tc>
      </w:tr>
      <w:tr>
        <w:tc>
          <w:tcPr>
            <w:tcW w:type="dxa" w:w="1051"/>
          </w:tcPr>
          <w:p>
            <w:pPr>
              <w:jc w:val="center"/>
            </w:pPr>
            <w:r>
              <w:rPr/>
              <w:t>12</w:t>
            </w:r>
          </w:p>
        </w:tc>
        <w:tc>
          <w:tcPr>
            <w:tcW w:type="dxa" w:w="2252"/>
          </w:tcPr>
          <w:p>
            <w:r>
              <w:rPr/>
              <w:t>有效供应商家数</w:t>
            </w:r>
          </w:p>
        </w:tc>
        <w:tc>
          <w:tcPr>
            <w:tcW w:type="dxa" w:w="5004"/>
          </w:tcPr>
          <w:p/>
          <w:p>
            <w:pPr>
              <w:jc w:val="left"/>
            </w:pPr>
          </w:p>
          <w:p>
            <w:r>
              <w:rPr/>
              <w:t>采购包1：3家</w:t>
            </w:r>
          </w:p>
          <w:p>
            <w:pPr>
              <w:jc w:val="left"/>
            </w:pPr>
          </w:p>
          <w:p>
            <w:r>
              <w:rPr/>
              <w:t>采购包2：3家</w:t>
            </w:r>
          </w:p>
          <w:p/>
          <w:p>
            <w:r>
              <w:rPr/>
              <w:t>此人数约定了开启与评审过程中的最低有效供应商家数，当家数不足时项目将不得开启、不得评审或直接终止采购。</w:t>
            </w:r>
          </w:p>
        </w:tc>
      </w:tr>
      <w:tr>
        <w:tc>
          <w:tcPr>
            <w:tcW w:type="dxa" w:w="1051"/>
          </w:tcPr>
          <w:p>
            <w:pPr>
              <w:jc w:val="center"/>
            </w:pPr>
            <w:r>
              <w:rPr/>
              <w:t>13</w:t>
            </w:r>
          </w:p>
        </w:tc>
        <w:tc>
          <w:tcPr>
            <w:tcW w:type="dxa" w:w="2252"/>
          </w:tcPr>
          <w:p>
            <w:r>
              <w:rPr/>
              <w:t>项目兼投兼中（兼投不兼中）规则</w:t>
            </w:r>
          </w:p>
        </w:tc>
        <w:tc>
          <w:tcPr>
            <w:tcW w:type="dxa" w:w="5004"/>
          </w:tcPr>
          <w:p>
            <w:r>
              <w:rPr/>
              <w:t>无：本项目兼投兼中。</w:t>
            </w:r>
          </w:p>
        </w:tc>
      </w:tr>
      <w:tr>
        <w:tc>
          <w:tcPr>
            <w:tcW w:type="dxa" w:w="1051"/>
          </w:tcPr>
          <w:p>
            <w:pPr>
              <w:jc w:val="center"/>
            </w:pPr>
            <w:r>
              <w:rPr/>
              <w:t>14</w:t>
            </w:r>
          </w:p>
        </w:tc>
        <w:tc>
          <w:tcPr>
            <w:tcW w:type="dxa" w:w="2252"/>
          </w:tcPr>
          <w:p>
            <w:r>
              <w:rPr/>
              <w:t>成交供应商确定方式</w:t>
            </w:r>
          </w:p>
        </w:tc>
        <w:tc>
          <w:tcPr>
            <w:tcW w:type="dxa" w:w="5004"/>
          </w:tcPr>
          <w:p>
            <w:r>
              <w:rPr/>
              <w:t>采购人按照评审报告中推荐的成交候选人确定中标（成交）人。</w:t>
            </w:r>
          </w:p>
        </w:tc>
      </w:tr>
      <w:tr>
        <w:tc>
          <w:tcPr>
            <w:tcW w:type="dxa" w:w="1051"/>
          </w:tcPr>
          <w:p>
            <w:pPr>
              <w:jc w:val="center"/>
            </w:pPr>
            <w:r>
              <w:rPr/>
              <w:t>15</w:t>
            </w:r>
          </w:p>
        </w:tc>
        <w:tc>
          <w:tcPr>
            <w:tcW w:type="dxa" w:w="2252"/>
          </w:tcPr>
          <w:p>
            <w:r>
              <w:rPr/>
              <w:t>代理服务费</w:t>
            </w:r>
          </w:p>
        </w:tc>
        <w:tc>
          <w:tcPr>
            <w:tcW w:type="dxa" w:w="5004"/>
          </w:tcPr>
          <w:p>
            <w:r>
              <w:rPr/>
              <w:t>收取。</w:t>
            </w:r>
          </w:p>
          <w:p>
            <w:r>
              <w:rPr/>
              <w:t>采购机构代理服务收费标准：(1)按下列差额定率累进法计算标准收取: 1.成交金额（100万元或以下），招标收费费率1.5%；2.成交金额（100万元（不含）-500万元（含）），招标收费费率1.1%；3.成交金额（500万元（不含）-1000万元（含）），招标收费费率0.8%；(2)代理服务费的货币为人民币；(3)代理服务费支付方式：一次性以银行划帐、电汇、汇票或支票的形式支付；(4)代理服务费支付时间：代理服务费必须在成交供应商领取《成交通知书》时一次性付清，如果成交供应商未能按时交纳代理服务费，采购代理机构/采购人保留追究其法律责任的权利；(5)代理服务费不在报价中单列。</w:t>
            </w:r>
          </w:p>
        </w:tc>
      </w:tr>
      <w:tr>
        <w:tc>
          <w:tcPr>
            <w:tcW w:type="dxa" w:w="1051"/>
          </w:tcPr>
          <w:p>
            <w:pPr>
              <w:jc w:val="center"/>
            </w:pPr>
            <w:r>
              <w:rPr/>
              <w:t>16</w:t>
            </w:r>
          </w:p>
        </w:tc>
        <w:tc>
          <w:tcPr>
            <w:tcW w:type="dxa" w:w="2252"/>
          </w:tcPr>
          <w:p>
            <w:r>
              <w:rPr/>
              <w:t>代理服务费收取方式</w:t>
            </w:r>
          </w:p>
        </w:tc>
        <w:tc>
          <w:tcPr>
            <w:tcW w:type="dxa" w:w="5004"/>
          </w:tcPr>
          <w:p>
            <w:r>
              <w:rPr/>
              <w:t>向中标/成交供应商收取</w:t>
            </w:r>
          </w:p>
        </w:tc>
      </w:tr>
      <w:tr>
        <w:tc>
          <w:tcPr>
            <w:tcW w:type="dxa" w:w="1051"/>
          </w:tcPr>
          <w:p>
            <w:pPr>
              <w:jc w:val="center"/>
            </w:pPr>
            <w:r>
              <w:rPr/>
              <w:t>17</w:t>
            </w:r>
          </w:p>
        </w:tc>
        <w:tc>
          <w:tcPr>
            <w:tcW w:type="dxa" w:w="2252"/>
          </w:tcPr>
          <w:p>
            <w:r>
              <w:rPr/>
              <w:t>响应文件要求</w:t>
            </w:r>
          </w:p>
        </w:tc>
        <w:tc>
          <w:tcPr>
            <w:tcW w:type="dxa" w:w="5004"/>
          </w:tcPr>
          <w:p>
            <w:pPr>
              <w:ind w:firstLine="480"/>
            </w:pPr>
            <w:r>
              <w:rPr>
                <w:b/>
              </w:rPr>
              <w:t>一、电子响应文件（必须提供）：</w:t>
            </w:r>
          </w:p>
          <w:p>
            <w:pPr>
              <w:ind w:firstLine="480"/>
            </w:pPr>
            <w:r>
              <w:rPr/>
              <w:t>（1）加密的电子响应文件 1 份（需在递交响应文件截止时间前成功上传至云平台项目采购系统）。</w:t>
            </w:r>
          </w:p>
          <w:p>
            <w:pPr>
              <w:ind w:firstLine="480"/>
            </w:pPr>
            <w:r>
              <w:rPr/>
              <w:t>（2）非加密电子版文件 U 盘(或光盘)</w:t>
            </w:r>
            <w:r>
              <w:rPr/>
              <w:t>0</w:t>
            </w:r>
            <w:r>
              <w:rPr/>
              <w:t>份，加密的电子响应文件与非加密的电子响应文件必须完全一致。</w:t>
            </w:r>
          </w:p>
          <w:p>
            <w:pPr>
              <w:ind w:firstLine="480"/>
            </w:pPr>
            <w:r>
              <w:rPr>
                <w:b/>
              </w:rPr>
              <w:t>非加密电子版响应文件使用情形:</w:t>
            </w:r>
            <w:r>
              <w:rPr/>
              <w:t>当无法使用 CA 证书在云平台项目采购系统进行电子响应文件开标解密时，供应商须在代理机构指引下启用非加密电子版响应文件。</w:t>
            </w:r>
          </w:p>
          <w:p>
            <w:pPr>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jc w:val="center"/>
            </w:pPr>
            <w:r>
              <w:rPr/>
              <w:t>18</w:t>
            </w:r>
          </w:p>
        </w:tc>
        <w:tc>
          <w:tcPr>
            <w:tcW w:type="dxa" w:w="2252"/>
          </w:tcPr>
          <w:p>
            <w:r>
              <w:rPr/>
              <w:t>其他</w:t>
            </w:r>
          </w:p>
        </w:tc>
        <w:tc>
          <w:tcPr>
            <w:tcW w:type="dxa" w:w="5004"/>
          </w:tcPr>
          <w:p>
            <w:pPr>
              <w:jc w:val="left"/>
            </w:pPr>
            <w:r>
              <w:rPr/>
              <w:t>关于中山市政府采购支持中小微企业质押融资优惠政策，1.根据《中国人民银行中山市中心支行 中山市财政局 中山市经济和信息化局 中山市人民政府金融工作局关于印发&lt;中山市政府采购支持中小微企业质押融资的实施意见&gt;的通知》（中人银发【2017】82号）规定，凡通过政府采购法定程序取得我市政府采购合同的中小微企业，均可向辖内开展政府采购质押融资业务的银行机构申请办理融资业务。 截至当前，辖内开展政府采购质押融资业务的银行机构报备的联系方式如下： 序号</w:t>
              <w:tab/>
              <w:t>银行机构</w:t>
              <w:tab/>
              <w:t>经办部门</w:t>
              <w:tab/>
              <w:t>联系人</w:t>
              <w:tab/>
              <w:t>联系方式 1</w:t>
              <w:tab/>
              <w:t>中国农业发展银行中山市分行</w:t>
              <w:tab/>
              <w:t>客户业务部</w:t>
              <w:tab/>
              <w:t>邹可仕</w:t>
              <w:tab/>
              <w:t>18802598981</w:t>
              <w:tab/>
              <w:tab/>
              <w:t xml:space="preserve"> 信贷与风险管理部</w:t>
              <w:tab/>
              <w:t>陈小龙</w:t>
              <w:tab/>
              <w:t>15889891688 2</w:t>
              <w:tab/>
              <w:t>中国工商银行中山分行</w:t>
              <w:tab/>
              <w:t>普惠金融事业部</w:t>
              <w:tab/>
              <w:t>陈炳菁</w:t>
              <w:tab/>
              <w:t>18928108782</w:t>
              <w:tab/>
              <w:tab/>
              <w:t xml:space="preserve"> 普惠金融事业部</w:t>
              <w:tab/>
              <w:t>杨培鹏</w:t>
              <w:tab/>
              <w:t>15900085352 3</w:t>
              <w:tab/>
              <w:t>中国农业银行中山分行</w:t>
              <w:tab/>
              <w:t>普惠金融事业部</w:t>
              <w:tab/>
              <w:t>赖思韵</w:t>
              <w:tab/>
              <w:t>22644682 4</w:t>
              <w:tab/>
              <w:t>广发银行中山分行</w:t>
              <w:tab/>
              <w:t>普惠金融部</w:t>
              <w:tab/>
              <w:t>林光宇</w:t>
              <w:tab/>
              <w:t>88862643 5</w:t>
              <w:tab/>
              <w:t>中国邮政储蓄银行中山市分行</w:t>
              <w:tab/>
              <w:t>小企业金融部</w:t>
              <w:tab/>
              <w:t>黄嘉霖</w:t>
              <w:tab/>
              <w:t>13824720741 6</w:t>
              <w:tab/>
              <w:t>中山农村商业银行</w:t>
              <w:tab/>
              <w:t>总行公司业务部</w:t>
              <w:tab/>
              <w:t>杜保森</w:t>
              <w:tab/>
              <w:t>88884181 7</w:t>
              <w:tab/>
              <w:t>平安银行中山分行</w:t>
              <w:tab/>
              <w:t>普惠金融部</w:t>
              <w:tab/>
              <w:t>林晓冰</w:t>
              <w:tab/>
              <w:t>13823931817 8</w:t>
              <w:tab/>
              <w:t>兴业银行中山分行</w:t>
              <w:tab/>
              <w:t>企业金融部</w:t>
              <w:tab/>
              <w:t>刘中芳</w:t>
              <w:tab/>
              <w:t>0760-88368666-203172 9</w:t>
              <w:tab/>
              <w:t>招商银行中山分行</w:t>
              <w:tab/>
              <w:t>公司金融事业部</w:t>
              <w:tab/>
              <w:t>唐庆颖</w:t>
              <w:tab/>
              <w:t>13924998608 10</w:t>
              <w:tab/>
              <w:t>中国光大银行中山分行</w:t>
              <w:tab/>
              <w:t>公司业务管理部</w:t>
              <w:tab/>
              <w:t>张梓颖</w:t>
              <w:tab/>
              <w:t>0760-88858067 11</w:t>
              <w:tab/>
              <w:t>广州银行中山分行</w:t>
              <w:tab/>
              <w:t>公司金融部</w:t>
              <w:tab/>
              <w:t>杨顺龙</w:t>
              <w:tab/>
              <w:t>88776919 12</w:t>
              <w:tab/>
              <w:t>中信银行中山分行</w:t>
              <w:tab/>
              <w:t>普惠金融部</w:t>
              <w:tab/>
              <w:t>陈廷忠</w:t>
              <w:tab/>
              <w:t>15113386853</w:t>
              <w:tab/>
              <w:tab/>
              <w:t xml:space="preserve"> 普惠金融部</w:t>
              <w:tab/>
              <w:t>余超贤</w:t>
              <w:tab/>
              <w:t>15918291829 13</w:t>
              <w:tab/>
              <w:t>渤海银行中山分行</w:t>
              <w:tab/>
              <w:t>公司金融部</w:t>
              <w:tab/>
              <w:t>李建夏</w:t>
              <w:tab/>
              <w:t>13631124024、0760-87911816</w:t>
              <w:tab/>
              <w:tab/>
              <w:t xml:space="preserve"> 分行营业部</w:t>
              <w:tab/>
              <w:t>徐艺</w:t>
              <w:tab/>
              <w:t>13928142042、0760-87911808 14</w:t>
              <w:tab/>
              <w:t>华夏银行中山分行</w:t>
              <w:tab/>
              <w:t>营销管理部</w:t>
              <w:tab/>
              <w:t>叶怡</w:t>
              <w:tab/>
              <w:t>28137855 15</w:t>
              <w:tab/>
              <w:t>东莞银行中山分行</w:t>
              <w:tab/>
              <w:t>业务部</w:t>
              <w:tab/>
              <w:t>赵荣耀</w:t>
              <w:tab/>
              <w:t>13042854636/86939959 16</w:t>
              <w:tab/>
              <w:t>东亚银行（中国）有限公司中山支行</w:t>
              <w:tab/>
              <w:t>中山支行</w:t>
              <w:tab/>
              <w:t>王涛</w:t>
              <w:tab/>
              <w:t>89986282/18926998881 17</w:t>
              <w:tab/>
              <w:t>浦发银行中山分行</w:t>
              <w:tab/>
              <w:t>交易银行部</w:t>
              <w:tab/>
              <w:t>付涛</w:t>
              <w:tab/>
              <w:t>0760-89982303 2.中小微企业有融资需求的，可通过应收账款融资服务平台（网址：www.crcrfsp.com ）和中山市社会征信和金融服务一体化系统（网址：www.zsythxt.zs.gov.cn ）向辖内特定或非特定银行机构咨询并提出融资申请。 3.采购人应当及时在应收账款融资服务平台（网址：www.crcrfsp.com ）确认债权债务关系，支持中小微企业融资。 4.中小微企业与银行机构签订政府采购质押融资合同的，由采购人牵头与中小微企业和银行机构三方签署《政府采购合同项下政府采购资金唯一回款账户确认函》，确保合同款支付到中小微企业在融资银行机构开立的回款账号。 5.财政部门根据《政府采购法》等相关法规、规章规定，对参加政府采购活动的供应商的不良行为予以记录，并纳入中山市社会征信和金融服务一体化系统，供银行机构融资授信时审慎性参考。</w:t>
            </w:r>
          </w:p>
        </w:tc>
      </w:tr>
      <w:tr>
        <w:tc>
          <w:tcPr>
            <w:tcW w:type="dxa" w:w="1051"/>
          </w:tcPr>
          <w:p>
            <w:pPr>
              <w:jc w:val="center"/>
            </w:pPr>
            <w:r>
              <w:rPr/>
              <w:t>19</w:t>
            </w:r>
          </w:p>
        </w:tc>
        <w:tc>
          <w:tcPr>
            <w:tcW w:type="dxa" w:w="2252"/>
          </w:tcPr>
          <w:p>
            <w:r>
              <w:rPr/>
              <w:t>开标解密时长</w:t>
            </w:r>
          </w:p>
        </w:tc>
        <w:tc>
          <w:tcPr>
            <w:tcW w:type="dxa" w:w="5004"/>
          </w:tcPr>
          <w:p>
            <w:r>
              <w:rPr/>
              <w:t>具体情况根据开标时现场代理机构人员设置为准</w:t>
            </w:r>
          </w:p>
          <w:p>
            <w:r>
              <w:rPr/>
              <w:t>说明：具体情况根据开标时现场代理机构人员设置为准</w:t>
            </w:r>
          </w:p>
        </w:tc>
      </w:tr>
      <w:tr>
        <w:tc>
          <w:tcPr>
            <w:tcW w:type="dxa" w:w="1051"/>
          </w:tcPr>
          <w:p>
            <w:pPr>
              <w:jc w:val="center"/>
            </w:pPr>
            <w:r>
              <w:rPr/>
              <w:t>20</w:t>
            </w:r>
          </w:p>
        </w:tc>
        <w:tc>
          <w:tcPr>
            <w:tcW w:type="dxa" w:w="2252"/>
          </w:tcPr>
          <w:p>
            <w:r>
              <w:rPr/>
              <w:t>专门面向中小企业采购</w:t>
            </w:r>
          </w:p>
        </w:tc>
        <w:tc>
          <w:tcPr>
            <w:tcW w:type="dxa" w:w="5004"/>
          </w:tcPr>
          <w:p>
            <w:pPr>
              <w:jc w:val="left"/>
            </w:pPr>
            <w:r>
              <w:rPr/>
              <w:t>采购包1：非专门面向中小企业</w:t>
            </w:r>
          </w:p>
          <w:p>
            <w:pPr>
              <w:jc w:val="left"/>
            </w:pPr>
            <w:r>
              <w:rPr/>
              <w:t>采购包2：非专门面向中小企业</w:t>
            </w:r>
          </w:p>
        </w:tc>
      </w:tr>
    </w:tbl>
    <w:p>
      <w:r>
        <w:rPr>
          <w:b/>
          <w:sz w:val="28"/>
        </w:rPr>
        <w:t>三、说明</w:t>
      </w:r>
    </w:p>
    <w:p>
      <w:r>
        <w:rPr>
          <w:b/>
          <w:sz w:val="24"/>
        </w:rPr>
        <w:t>1.总则</w:t>
      </w:r>
    </w:p>
    <w:p>
      <w:pPr>
        <w:ind w:firstLine="480"/>
      </w:pPr>
      <w:r>
        <w:rPr/>
        <w:t>本磋商文件依据《中华人民共和国政府采购法》、《中华人民共和国政府采购法实施条例》（国务院令第658号）和《政府采购竞争性磋商采购方式管理暂行办法》（财库〔2014〕214号）及国家和广东省有关法律、法规、规章制度编制。</w:t>
      </w:r>
    </w:p>
    <w:p>
      <w:pPr>
        <w:ind w:firstLine="480"/>
      </w:pPr>
      <w:r>
        <w:rPr/>
        <w:t>供应商应仔细阅读本项目信息公告及磋商文件的所有内容（包括变更、补充、澄清以及修改等，且均为磋商文件的组成部分），按照磋商文件要求以及格式编制响应文件，并保证其真实性，否则一切后果自负。</w:t>
      </w:r>
    </w:p>
    <w:p>
      <w:pPr>
        <w:ind w:firstLine="480"/>
      </w:pPr>
      <w:r>
        <w:rPr/>
        <w:t>本次竞争性磋商项目，是以磋商公告的方式邀请非特定的供应商参加磋商。</w:t>
      </w:r>
    </w:p>
    <w:p>
      <w:r>
        <w:rPr>
          <w:b/>
          <w:sz w:val="24"/>
        </w:rPr>
        <w:t>2.适用范围</w:t>
      </w:r>
    </w:p>
    <w:p>
      <w:pPr>
        <w:ind w:firstLine="480"/>
      </w:pPr>
      <w:r>
        <w:rPr/>
        <w:t>本磋商文件仅适用于本次磋商公告中所涉及的项目和内容。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4.磋商费用</w:t>
      </w:r>
    </w:p>
    <w:p>
      <w:pPr>
        <w:ind w:firstLine="480"/>
      </w:pPr>
      <w:r>
        <w:rPr/>
        <w:t>不论磋商结果如何，供应商应承担所有与准备和参加磋商有关的费用。采购代理机构和采购人均无义务和责任承担相关费用。</w:t>
      </w:r>
    </w:p>
    <w:p>
      <w:r>
        <w:rPr>
          <w:b/>
          <w:sz w:val="24"/>
        </w:rPr>
        <w:t>5.以联合体形式磋商的，应符合以下规定：</w:t>
      </w:r>
    </w:p>
    <w:p>
      <w:pPr>
        <w:ind w:firstLine="480"/>
      </w:pPr>
      <w:r>
        <w:rPr/>
        <w:t>5.1联合体各方均应当满足《中华人民共和国政府采购法》第二十二条规定的条件，并在响应文件中提供联合体各方的相关证明材料。</w:t>
      </w:r>
    </w:p>
    <w:p>
      <w:pPr>
        <w:ind w:firstLine="480"/>
      </w:pPr>
      <w:r>
        <w:rPr/>
        <w:t>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ind w:firstLine="480"/>
      </w:pPr>
      <w:r>
        <w:rPr/>
        <w:t>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6.关联企业响应说明</w:t>
      </w:r>
    </w:p>
    <w:p>
      <w:pPr>
        <w:ind w:firstLine="480"/>
      </w:pPr>
      <w:r>
        <w:rPr/>
        <w:t>6.1对于不接受联合体响应的采购项目（采购包）：法定代表人或单位负责人为同一个人或者存在直接控股、管理关系的不同供应商，不得同时参加同一项目或同一采购包的响应。如同时参加，则评审时将同时被拒绝。</w:t>
      </w:r>
    </w:p>
    <w:p>
      <w:pPr>
        <w:ind w:firstLine="480"/>
      </w:pPr>
      <w:r>
        <w:rPr/>
        <w:t>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r>
        <w:rPr>
          <w:b/>
          <w:sz w:val="24"/>
        </w:rPr>
        <w:t>7.关于中小微企业响应</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ind w:firstLine="480"/>
      </w:pPr>
      <w:r>
        <w:rPr/>
        <w:t>8.2供应商不得与采购人就响应价格、响应方案等实质性内容进行磋商，也不得私下接触磋商小组成员。</w:t>
      </w:r>
    </w:p>
    <w:p>
      <w:pPr>
        <w:ind w:firstLine="480"/>
      </w:pPr>
      <w:r>
        <w:rPr/>
        <w:t>8.3在确定成交供应商之前，供应商试图在响应文件审查、澄清、比较和评价时对磋商小组、采购人和采购代理机构施加任何影响都可能导致其响应无效。</w:t>
      </w:r>
    </w:p>
    <w:p>
      <w:pPr>
        <w:ind w:firstLine="480"/>
      </w:pPr>
      <w:r>
        <w:rPr/>
        <w:t>8.4获得本磋商文件者，须履行本磋商项目下保密义务，不得将因本次磋商获得的信息向第三人外传，不得将磋商文件用作本次响应以外的任何用途。</w:t>
      </w:r>
    </w:p>
    <w:p>
      <w:pPr>
        <w:ind w:firstLine="480"/>
      </w:pPr>
      <w:r>
        <w:rPr/>
        <w:t>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ind w:firstLine="480"/>
      </w:pPr>
      <w:r>
        <w:rPr/>
        <w:t>8.6采购人或采购代理机构有权将供应商提供的所有资料向有关政府部门或询价小组披露。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9.2除非磋商文件的技术规格中另有规定，供应商在响应文件中及其与采购人和采购代理机构的所有往来文件中的计量单位均应采用中华人民共和国法定计量单位。</w:t>
      </w:r>
    </w:p>
    <w:p>
      <w:pPr>
        <w:ind w:firstLine="480"/>
      </w:pPr>
      <w:r>
        <w:rPr/>
        <w:t>9.3供应商所提供的货物和服务均应以人民币报价，货币单位：元。</w:t>
      </w:r>
    </w:p>
    <w:p>
      <w:r>
        <w:rPr>
          <w:b/>
          <w:sz w:val="24"/>
        </w:rPr>
        <w:t>10. 现场踏勘（如有）</w:t>
      </w:r>
    </w:p>
    <w:p>
      <w:pPr>
        <w:ind w:firstLine="480"/>
      </w:pPr>
      <w:r>
        <w:rPr/>
        <w:t>10.1磋商文件规定组织踏勘现场的，采购人按磋商文件规定的时间、地点组织供应商踏勘项目现场。</w:t>
      </w:r>
    </w:p>
    <w:p>
      <w:pPr>
        <w:ind w:firstLine="480"/>
      </w:pPr>
      <w:r>
        <w:rPr/>
        <w:t>10.2供应商自行承担踏勘现场发生的责任、风险和自身费用。</w:t>
      </w:r>
    </w:p>
    <w:p>
      <w:pPr>
        <w:ind w:firstLine="480"/>
      </w:pPr>
      <w:r>
        <w:rPr/>
        <w:t>10.3采购人在踏勘现场中介绍的资料和数据等，不构成对磋商文件的修改或不作为供应商编制响应文件的依据。</w:t>
      </w:r>
    </w:p>
    <w:p>
      <w:r>
        <w:rPr>
          <w:b/>
          <w:sz w:val="28"/>
        </w:rPr>
        <w:t>四、磋商文件的澄清和修改</w:t>
      </w:r>
    </w:p>
    <w:p>
      <w:pPr>
        <w:ind w:firstLine="480"/>
      </w:pPr>
      <w:r>
        <w:rPr/>
        <w:t>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ind w:firstLine="480"/>
      </w:pPr>
      <w:r>
        <w:rPr/>
        <w:t>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ind w:firstLine="480"/>
      </w:pPr>
      <w:r>
        <w:rPr/>
        <w:t>3.如更正公告有重新发布电子磋商文件的，供应商应登录云平台项目采购系统下载最新发布的电子磋商文件制作响应文件。</w:t>
      </w:r>
    </w:p>
    <w:p>
      <w:pPr>
        <w:ind w:firstLine="480"/>
      </w:pPr>
      <w:r>
        <w:rPr/>
        <w:t>4.供应商在规定的时间内未对磋商文件提出疑问、质疑或要求澄清的，将视其为无异议。对磋商文件中描述有歧义或前后不一致的地方，磋商小组有权进行评判，但对同一条款的评判应适用于每个供应商。</w:t>
      </w:r>
    </w:p>
    <w:p>
      <w:r>
        <w:rPr>
          <w:b/>
          <w:sz w:val="28"/>
        </w:rPr>
        <w:t>五、响应要求</w:t>
      </w:r>
    </w:p>
    <w:p>
      <w:r>
        <w:rPr>
          <w:b/>
          <w:sz w:val="24"/>
        </w:rPr>
        <w:t>1.响应登记</w:t>
      </w:r>
    </w:p>
    <w:p>
      <w:pPr>
        <w:ind w:firstLine="480"/>
      </w:pPr>
      <w:r>
        <w:rPr/>
        <w:t>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r>
        <w:rPr>
          <w:b/>
          <w:sz w:val="24"/>
        </w:rPr>
        <w:t>2.响应文件的制作</w:t>
      </w:r>
    </w:p>
    <w:p>
      <w:pPr>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ind w:firstLine="480"/>
      </w:pPr>
      <w:r>
        <w:rPr/>
        <w:t>2.2供应商应使用云平台提供的投标客户端编制、标记、加密响应文件，成功加密后将生成指定格式的电子响应文件和电子备用响应文件。所有响应文件不能进行压缩处理。关于电子磋商报价说明如下：</w:t>
      </w:r>
    </w:p>
    <w:p>
      <w:pPr>
        <w:ind w:firstLine="480"/>
      </w:pPr>
      <w:r>
        <w:rPr/>
        <w:t>（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ind w:firstLine="480"/>
      </w:pPr>
      <w:r>
        <w:rPr/>
        <w:t>（2）磋商报价包括本项目采购需求和投入使用的所有费用，包括但不限于主件、标准附件、备品备件、施工、服务、专用工具、安装、调试、检验、培训、运输、保险、税款等。</w:t>
      </w:r>
    </w:p>
    <w:p>
      <w:pPr>
        <w:ind w:firstLine="480"/>
      </w:pPr>
      <w:r>
        <w:rPr/>
        <w:t>（3）磋商报价不得有选择性报价和附有条件的报价，否则将导致响应无效。</w:t>
      </w:r>
    </w:p>
    <w:p>
      <w:pPr>
        <w:ind w:firstLine="480"/>
      </w:pPr>
      <w:r>
        <w:rPr/>
        <w:t>2.3如有对多个采购包响应的，要对每个采购包独立制作电子响应文件。</w:t>
      </w:r>
    </w:p>
    <w:p>
      <w:pPr>
        <w:ind w:firstLine="480"/>
      </w:pPr>
      <w:r>
        <w:rPr/>
        <w:t>2.4供应商不得将同一个项目或同一个采购包的内容拆开响应，否则其报价将被视为非实质性响应。</w:t>
      </w:r>
    </w:p>
    <w:p>
      <w:pPr>
        <w:ind w:firstLine="480"/>
      </w:pPr>
      <w:r>
        <w:rPr/>
        <w:t>2.5供应商须对磋商文件的对应要求给予唯一的实质性响应，否则将视为不响应。</w:t>
      </w:r>
    </w:p>
    <w:p>
      <w:pPr>
        <w:ind w:firstLine="480"/>
      </w:pPr>
      <w:r>
        <w:rPr/>
        <w:t>2.6磋商文件中，凡标有“★”的地方均为实质性响应条款，供应商若有一项带“★”的条款未响应或不满足，将按无效响应处理。</w:t>
      </w:r>
    </w:p>
    <w:p>
      <w:pPr>
        <w:ind w:firstLine="480"/>
      </w:pPr>
      <w:r>
        <w:rPr/>
        <w:t>2.7供应商必须按磋商文件指定的格式填写各种报价，各报价应计算正确。除在磋商文件另有规定外（如：报折扣、报优惠率等），计量单位应使用中华人民共和国法定计量单位，以人民币填报所有报价。</w:t>
      </w:r>
    </w:p>
    <w:p>
      <w:pPr>
        <w:ind w:firstLine="480"/>
      </w:pPr>
      <w:r>
        <w:rPr/>
        <w:t>2.8响应文件以及供应商与采购人、代理机构就有关响应的往来函电均应使用中文。供应商提交的支持性文件和印制的文件可以用另一种语言，但相应内容应翻译成中文，在解释响应文件时以中文文本为准。</w:t>
      </w:r>
    </w:p>
    <w:p>
      <w:pPr>
        <w:ind w:firstLine="480"/>
      </w:pPr>
      <w:r>
        <w:rPr/>
        <w:t>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3.响应文件的提交</w:t>
      </w:r>
    </w:p>
    <w:p>
      <w:pPr>
        <w:ind w:firstLine="480"/>
      </w:pPr>
      <w:r>
        <w:rPr/>
        <w:t>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ind w:firstLine="480"/>
      </w:pPr>
      <w:r>
        <w:rPr/>
        <w:t>3.2代理机构对因不可抗力事件造成的响应文件的损坏、丢失的，不承担责任。</w:t>
      </w:r>
    </w:p>
    <w:p>
      <w:pPr>
        <w:ind w:firstLine="480"/>
      </w:pPr>
      <w:r>
        <w:rPr/>
        <w:t>3.3出现下述情形之一，属于未成功提交响应文件，按无效响应处理：</w:t>
      </w:r>
    </w:p>
    <w:p>
      <w:pPr>
        <w:ind w:firstLine="480"/>
      </w:pPr>
      <w:r>
        <w:rPr/>
        <w:t>（1）至提交响应文件截止时，响应文件未完整上传并取得响应回执的。</w:t>
      </w:r>
    </w:p>
    <w:p>
      <w:pPr>
        <w:ind w:firstLine="480"/>
      </w:pPr>
      <w:r>
        <w:rPr/>
        <w:t>（2）响应文件未按响应格式中注明需签字盖章的要求进行签名（含电子签名）和加盖电子印章，或签名（含电子签名）或电子印章不完整的。</w:t>
      </w:r>
    </w:p>
    <w:p>
      <w:pPr>
        <w:ind w:firstLine="480"/>
      </w:pPr>
      <w:r>
        <w:rPr/>
        <w:t>（3）响应文件损坏或格式不正确的。</w:t>
      </w:r>
    </w:p>
    <w:p>
      <w:r>
        <w:rPr>
          <w:b/>
          <w:sz w:val="24"/>
        </w:rPr>
        <w:t>4.响应文件的修改、撤回与撤销</w:t>
      </w:r>
    </w:p>
    <w:p>
      <w:pPr>
        <w:ind w:firstLine="480"/>
      </w:pPr>
      <w:r>
        <w:rPr/>
        <w:t>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ind w:firstLine="480"/>
      </w:pPr>
      <w:r>
        <w:rPr/>
        <w:t>4.2在提交响应文件截止时间后，供应商不得补充、修改和更换响应文件。</w:t>
      </w:r>
    </w:p>
    <w:p>
      <w:r>
        <w:rPr>
          <w:b/>
          <w:sz w:val="24"/>
        </w:rPr>
        <w:t>5.响应文件的解密</w:t>
      </w:r>
    </w:p>
    <w:p>
      <w:pPr>
        <w:ind w:firstLine="480"/>
      </w:pPr>
      <w:r>
        <w:rPr/>
        <w:t>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r>
        <w:rPr>
          <w:b/>
          <w:sz w:val="24"/>
        </w:rPr>
        <w:t>6.响应保证金</w:t>
      </w:r>
    </w:p>
    <w:p>
      <w:pPr>
        <w:ind w:firstLine="480"/>
      </w:pPr>
      <w:r>
        <w:rPr/>
        <w:t>6.1响应保证金的缴纳</w:t>
      </w:r>
    </w:p>
    <w:p>
      <w:pPr>
        <w:ind w:firstLine="480"/>
      </w:pPr>
      <w:r>
        <w:rPr/>
        <w:t>供应商在提交响应文件的同时，应按供应商须知前附表规定的金额和缴纳要求缴纳响应保证金，并作为其响应文件的组成部分。</w:t>
      </w:r>
    </w:p>
    <w:p>
      <w:pPr>
        <w:ind w:firstLine="480"/>
      </w:pPr>
      <w:r>
        <w:rPr/>
        <w:t>如采用转账、支票、本票、汇票形式提交的，响应保证金从供应商基本账户递交，由</w:t>
      </w:r>
      <w:r>
        <w:rPr/>
        <w:t>广东志正招标有限公司中山分公司</w:t>
      </w:r>
      <w:r>
        <w:rPr/>
        <w:t>代收。具体操作要求详见</w:t>
      </w:r>
      <w:r>
        <w:rPr/>
        <w:t>广东志正招标有限公司中山分公司</w:t>
      </w:r>
      <w:r>
        <w:rPr/>
        <w:t>有关指引，递交事宜请自行咨询</w:t>
      </w:r>
      <w:r>
        <w:rPr/>
        <w:t>广东志正招标有限公司中山分公司</w:t>
      </w:r>
      <w:r>
        <w:rPr/>
        <w:t>；请各供应商在响应文件递交截止时间前按须知前附表规定的金额递交至</w:t>
      </w:r>
      <w:r>
        <w:rPr/>
        <w:t>广东志正招标有限公司中山分公司</w:t>
      </w:r>
      <w:r>
        <w:rPr/>
        <w:t>，到账情况以开启时</w:t>
      </w:r>
      <w:r>
        <w:rPr/>
        <w:t>广东志正招标有限公司中山分公司</w:t>
      </w:r>
      <w:r>
        <w:rPr/>
        <w:t>查询的信息为准。</w:t>
      </w:r>
    </w:p>
    <w:p>
      <w:pPr>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ind w:firstLine="480"/>
      </w:pPr>
      <w:r>
        <w:rPr/>
        <w:t>供应商可通过"广东政府采购智慧云平台金融服务中心"(https://gdgpo.czt.gd.gov.cn/zcdservice/zcd/guangdong/)，申请办理电子保函，电子保函与纸质保函具有同样效力。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ind w:firstLine="480"/>
      </w:pPr>
      <w:r>
        <w:rPr/>
        <w:t>6.2响应保证金的退还：</w:t>
      </w:r>
    </w:p>
    <w:p>
      <w:pPr>
        <w:ind w:firstLine="480"/>
      </w:pPr>
      <w:r>
        <w:rPr/>
        <w:t>（1）供应商在递交响应文件截止时间前放弃响应的，自所投采购包结果公告发出后5个工作日内退还。</w:t>
      </w:r>
    </w:p>
    <w:p>
      <w:pPr>
        <w:ind w:firstLine="480"/>
      </w:pPr>
      <w:r>
        <w:rPr/>
        <w:t>（2）未成交的供应商保证金，在成交供应商发出后5个工作日内原额退还。</w:t>
      </w:r>
    </w:p>
    <w:p>
      <w:pPr>
        <w:ind w:firstLine="480"/>
      </w:pPr>
      <w:r>
        <w:rPr/>
        <w:t>（3）成交供应商的响应保证金,在成交供应商与采购人签订采购合同后5个工作日内原额退还。</w:t>
      </w:r>
    </w:p>
    <w:p>
      <w:pPr>
        <w:ind w:firstLine="480"/>
      </w:pPr>
      <w:r>
        <w:rPr/>
        <w:t>备注：但因供应商自身原因导致无法及时退还的除外。</w:t>
      </w:r>
    </w:p>
    <w:p>
      <w:pPr>
        <w:ind w:firstLine="480"/>
      </w:pPr>
      <w:r>
        <w:rPr/>
        <w:t>6.3有下列情形之一的，响应保证金将不予退还并上缴国库：</w:t>
      </w:r>
    </w:p>
    <w:p>
      <w:pPr>
        <w:ind w:firstLine="480"/>
      </w:pPr>
      <w:r>
        <w:rPr/>
        <w:t>（1）提供虚假材料谋取成交的；</w:t>
      </w:r>
    </w:p>
    <w:p>
      <w:pPr>
        <w:ind w:firstLine="480"/>
      </w:pPr>
      <w:r>
        <w:rPr/>
        <w:t>（2）供应商在磋商文件规定的响应有效期内撤销其响应；</w:t>
      </w:r>
    </w:p>
    <w:p>
      <w:pPr>
        <w:ind w:firstLine="480"/>
      </w:pPr>
      <w:r>
        <w:rPr/>
        <w:t>（3）成交后，无正当理由放弃成交资格；</w:t>
      </w:r>
    </w:p>
    <w:p>
      <w:pPr>
        <w:ind w:firstLine="480"/>
      </w:pPr>
      <w:r>
        <w:rPr/>
        <w:t>（4）成交后，无正当理由不与采购人签订合同；</w:t>
      </w:r>
    </w:p>
    <w:p>
      <w:pPr>
        <w:ind w:firstLine="480"/>
      </w:pPr>
      <w:r>
        <w:rPr/>
        <w:t>（5）法律法规和磋商文件规定的其他情形。</w:t>
      </w:r>
    </w:p>
    <w:p>
      <w:r>
        <w:rPr>
          <w:b/>
          <w:sz w:val="24"/>
        </w:rPr>
        <w:t>7.响应有效期</w:t>
      </w:r>
    </w:p>
    <w:p>
      <w:pPr>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ind w:firstLine="480"/>
      </w:pPr>
      <w:r>
        <w:rPr/>
        <w:t>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r>
        <w:rPr>
          <w:b/>
          <w:sz w:val="24"/>
        </w:rPr>
        <w:t>8.样品（演示）</w:t>
      </w:r>
    </w:p>
    <w:p>
      <w:pPr>
        <w:ind w:firstLine="480"/>
      </w:pPr>
      <w:r>
        <w:rPr/>
        <w:t>8.1磋商文件规定供应商提交样品的，样品属于响应文件的组成部分。样品的生产、运输、安装、保全等一切费用由供应商自理。</w:t>
      </w:r>
    </w:p>
    <w:p>
      <w:pPr>
        <w:ind w:firstLine="480"/>
      </w:pPr>
      <w:r>
        <w:rPr/>
        <w:t>8.2递交响应文件截止时间前，供应商应将样品送达至指定地点。若需要现场演示的，供应商应提前做好演示准备（包括演示设备）。</w:t>
      </w:r>
    </w:p>
    <w:p>
      <w:pPr>
        <w:ind w:firstLine="480"/>
      </w:pPr>
      <w:r>
        <w:rPr/>
        <w:t>8.3采购结果公告发布后，成交供应商的样品由采购人封存，作为履约验收的依据之一。未成交供应商在接到采购代理机构通知后，应按规定时间尽快自行取回样品，否则视同供应商不再认领，代理机构有权进行处理。</w:t>
      </w:r>
    </w:p>
    <w:p>
      <w:r>
        <w:rPr>
          <w:b/>
          <w:sz w:val="24"/>
        </w:rPr>
        <w:t>9.除磋商文件另有规定外，有下列情形之一的，响应无效：</w:t>
      </w:r>
    </w:p>
    <w:p>
      <w:pPr>
        <w:ind w:firstLine="480"/>
      </w:pPr>
      <w:r>
        <w:rPr/>
        <w:t>9.1响应文件未按照磋商文件要求签署、盖章；</w:t>
      </w:r>
    </w:p>
    <w:p>
      <w:pPr>
        <w:ind w:firstLine="480"/>
      </w:pPr>
      <w:r>
        <w:rPr/>
        <w:t>9.2不符合磋商文件中规定的资格要求；</w:t>
      </w:r>
    </w:p>
    <w:p>
      <w:pPr>
        <w:ind w:firstLine="480"/>
      </w:pPr>
      <w:r>
        <w:rPr/>
        <w:t>9.3磋商报价超过磋商文件中规定的预算金额或最高限价；</w:t>
      </w:r>
    </w:p>
    <w:p>
      <w:pPr>
        <w:ind w:firstLine="480"/>
      </w:pPr>
      <w:r>
        <w:rPr/>
        <w:t>9.4响应文件含有采购人不能接受的附加条件；</w:t>
      </w:r>
    </w:p>
    <w:p>
      <w:pPr>
        <w:ind w:firstLine="480"/>
      </w:pPr>
      <w:r>
        <w:rPr/>
        <w:t>9.5有关法律、法规和规章及磋商文件规定的其他无效情形。</w:t>
      </w:r>
    </w:p>
    <w:p>
      <w:r>
        <w:rPr>
          <w:b/>
          <w:sz w:val="28"/>
        </w:rPr>
        <w:t>六、磋商、评审和结果确定</w:t>
      </w:r>
    </w:p>
    <w:p>
      <w:r>
        <w:rPr>
          <w:b/>
          <w:sz w:val="24"/>
        </w:rPr>
        <w:t>1.响应文件的开启</w:t>
      </w:r>
    </w:p>
    <w:p>
      <w:pPr>
        <w:ind w:firstLine="480"/>
      </w:pPr>
      <w:r>
        <w:rPr/>
        <w:t>1.1开启程序</w:t>
      </w:r>
    </w:p>
    <w:p>
      <w:pPr>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ind w:firstLine="480"/>
      </w:pPr>
      <w:r>
        <w:rPr/>
        <w:t>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ind w:firstLine="480"/>
      </w:pPr>
      <w:r>
        <w:rPr/>
        <w:t>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ind w:firstLine="480"/>
      </w:pPr>
      <w:r>
        <w:rPr/>
        <w:t>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ind w:firstLine="480"/>
      </w:pPr>
      <w:r>
        <w:rPr/>
        <w:t>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ind w:firstLine="480"/>
      </w:pPr>
      <w:r>
        <w:rPr/>
        <w:t>1.2异议</w:t>
      </w:r>
    </w:p>
    <w:p>
      <w:pPr>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ind w:firstLine="480"/>
      </w:pPr>
      <w:r>
        <w:rPr/>
        <w:t>1.3开启时出现下列情况的，视为响应无效处理</w:t>
      </w:r>
    </w:p>
    <w:p>
      <w:pPr>
        <w:ind w:firstLine="480"/>
      </w:pPr>
      <w:r>
        <w:rPr/>
        <w:t>（1）经检查数字证书无效的；</w:t>
      </w:r>
    </w:p>
    <w:p>
      <w:pPr>
        <w:ind w:firstLine="480"/>
      </w:pPr>
      <w:r>
        <w:rPr/>
        <w:t>（2）因供应商自身原因，未在规定时间内完成电子响应文件解密的；</w:t>
      </w:r>
    </w:p>
    <w:p>
      <w:pPr>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r>
        <w:rPr>
          <w:b/>
          <w:sz w:val="24"/>
        </w:rPr>
        <w:t>2.评审（详见第四章）</w:t>
      </w:r>
    </w:p>
    <w:p>
      <w:r>
        <w:rPr>
          <w:b/>
          <w:sz w:val="24"/>
        </w:rPr>
        <w:t>3.成交</w:t>
      </w:r>
    </w:p>
    <w:p>
      <w:pPr>
        <w:ind w:firstLine="480"/>
      </w:pPr>
      <w:r>
        <w:rPr/>
        <w:t>3.1成交结果公告：</w:t>
      </w:r>
    </w:p>
    <w:p>
      <w:pPr>
        <w:ind w:firstLine="480"/>
      </w:pPr>
      <w:r>
        <w:rPr/>
        <w:t>成交供应商确定之日起2个工作日内，采购人或采购代理机构将在中国政府采购网(www.ccgp.gov.cn)、广东省政府采购网(https://gdgpo.czt.gd.gov.cn/)、上以公告的形式发布成交结果，结果公告的公告期限为</w:t>
        <w:tab/>
        <w:tab/>
        <w:t xml:space="preserve"> 1 个工作日。结果公告同时作为采购代理机构通知除成交供应商外的其他供应商没有成交的书面形式，采购代理机构不再以其它方式另行通知。</w:t>
      </w:r>
    </w:p>
    <w:p>
      <w:pPr>
        <w:ind w:firstLine="480"/>
      </w:pPr>
      <w:r>
        <w:rPr/>
        <w:t>3.2成交通知书：</w:t>
      </w:r>
    </w:p>
    <w:p>
      <w:pPr>
        <w:ind w:firstLine="480"/>
      </w:pPr>
      <w:r>
        <w:rPr/>
        <w:t>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ind w:firstLine="480"/>
      </w:pPr>
      <w:r>
        <w:rPr/>
        <w:t>3.3终止公告：</w:t>
      </w:r>
    </w:p>
    <w:p>
      <w:pPr>
        <w:ind w:firstLine="480"/>
      </w:pPr>
      <w:r>
        <w:rPr/>
        <w:t>终止磋商采购活动后，采购人或采购代理机构将在中国政府采购网(www.ccgp.gov.cn)、广东省政府采购网(https://gdgpo.czt.gd.gov.cn/)、上发布终止公告，终止公告的公告期限为</w:t>
        <w:tab/>
        <w:tab/>
        <w:t xml:space="preserve"> 1 个工作日。</w:t>
      </w:r>
    </w:p>
    <w:p>
      <w:r>
        <w:rPr>
          <w:b/>
          <w:sz w:val="28"/>
        </w:rPr>
        <w:t>七、询问、质疑与投诉</w:t>
      </w:r>
    </w:p>
    <w:p>
      <w:r>
        <w:rPr>
          <w:b/>
          <w:sz w:val="24"/>
        </w:rPr>
        <w:t>1.询问</w:t>
      </w:r>
    </w:p>
    <w:p>
      <w:pPr>
        <w:ind w:firstLine="480"/>
      </w:pPr>
      <w:r>
        <w:rPr/>
        <w:t>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r>
        <w:rPr>
          <w:b/>
          <w:sz w:val="24"/>
        </w:rPr>
        <w:t>2.质疑</w:t>
      </w:r>
    </w:p>
    <w:p>
      <w:pPr>
        <w:ind w:firstLine="480"/>
      </w:pPr>
      <w:r>
        <w:rPr/>
        <w:t>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（1）对磋商文件提出质疑的，为获取磋商文件之日或者磋商文件公告期限届满之日；</w:t>
      </w:r>
    </w:p>
    <w:p>
      <w:pPr>
        <w:ind w:firstLine="480"/>
      </w:pPr>
      <w:r>
        <w:rPr/>
        <w:t>（2）对采购过程提出质疑的，为各采购程序环节结束之日；</w:t>
      </w:r>
    </w:p>
    <w:p>
      <w:pPr>
        <w:ind w:firstLine="480"/>
      </w:pPr>
      <w:r>
        <w:rPr/>
        <w:t>（3）对成交结果提出质疑的，为成交结果公告期限届满之日。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（3）认为磋商文件、采购过程和成交结果使自己的合法权益受到损害的法律依据、事实依据、相关证明材料及证据来源；</w:t>
      </w:r>
    </w:p>
    <w:p>
      <w:pPr>
        <w:ind w:firstLine="480"/>
      </w:pPr>
      <w:r>
        <w:rPr/>
        <w:t>（4）提出质疑的日期。</w:t>
      </w:r>
    </w:p>
    <w:p>
      <w:pPr>
        <w:ind w:firstLine="480"/>
      </w:pPr>
      <w:r>
        <w:rPr/>
        <w:t>2.3质疑函应当署名。质疑供应商为自然人的，应当由本人签字；质疑供应商为法人或者其他组织的，应当由法定代表人、主要负责人，或者其授权代表签字或者盖章，并加盖公章。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凌小姐</w:t>
      </w:r>
    </w:p>
    <w:p>
      <w:pPr>
        <w:ind w:firstLine="480"/>
      </w:pPr>
      <w:r>
        <w:rPr/>
        <w:t>电话：</w:t>
      </w:r>
      <w:r>
        <w:rPr/>
        <w:t>0760-88808187、88811601</w:t>
      </w:r>
    </w:p>
    <w:p>
      <w:pPr>
        <w:ind w:firstLine="480"/>
      </w:pPr>
      <w:r>
        <w:rPr/>
        <w:t>传真：</w:t>
      </w:r>
      <w:r>
        <w:rPr/>
        <w:t>0760-88819856</w:t>
      </w:r>
    </w:p>
    <w:p>
      <w:pPr>
        <w:ind w:firstLine="480"/>
      </w:pPr>
      <w:r>
        <w:rPr/>
        <w:t>邮箱：</w:t>
      </w:r>
      <w:r>
        <w:rPr/>
        <w:t>tenderzs@163.com</w:t>
      </w:r>
    </w:p>
    <w:p>
      <w:pPr>
        <w:ind w:firstLine="480"/>
      </w:pPr>
      <w:r>
        <w:rPr/>
        <w:t>地址：</w:t>
      </w:r>
      <w:r>
        <w:rPr/>
        <w:t>中山市东区中山四路亨尾大街3号软件园东园区2楼22室</w:t>
      </w:r>
    </w:p>
    <w:p>
      <w:pPr>
        <w:ind w:firstLine="480"/>
      </w:pPr>
      <w:r>
        <w:rPr/>
        <w:t>邮编：</w:t>
      </w:r>
      <w:r>
        <w:rPr/>
        <w:t>528400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政府采购监督管理机构名称：中山市财政局政府采购监管科</w:t>
      </w:r>
    </w:p>
    <w:p>
      <w:r>
        <w:rPr/>
        <w:t>地  址：广东省中山市兴中道63号101室</w:t>
      </w:r>
    </w:p>
    <w:p>
      <w:r>
        <w:rPr/>
        <w:t>电  话：0760-88266297、88266299</w:t>
      </w:r>
    </w:p>
    <w:p>
      <w:r>
        <w:rPr/>
        <w:t>邮  编：528400</w:t>
      </w:r>
    </w:p>
    <w:p>
      <w:r>
        <w:rPr/>
        <w:t>传  真：0760-88266215</w:t>
      </w:r>
    </w:p>
    <w:p/>
    <w:p>
      <w:r>
        <w:rPr>
          <w:b/>
          <w:sz w:val="28"/>
        </w:rPr>
        <w:t>八、合同签订和履行</w:t>
      </w:r>
    </w:p>
    <w:p>
      <w:r>
        <w:rPr>
          <w:b/>
          <w:sz w:val="24"/>
        </w:rPr>
        <w:t>1.合同签订</w:t>
      </w:r>
    </w:p>
    <w:p>
      <w:pPr>
        <w:ind w:firstLine="480"/>
      </w:pPr>
      <w:r>
        <w:rPr/>
        <w:t>1.1采购人应当自《成交通知书》发出之日起三十日内，按照磋商文件和成交供应商响应文件的约定，与成交供应商签订合同。所签订的合同不得对磋商文件和成交供应商响应文件作实质性修改。</w:t>
      </w:r>
    </w:p>
    <w:p>
      <w:pPr>
        <w:ind w:firstLine="480"/>
      </w:pPr>
      <w:r>
        <w:rPr/>
        <w:t>1.2采购人不得提出试用合格等任何不合理的要求作为签订合同的条件，且不得与成交供应商私下订立背离合同实质性内容的协议。</w:t>
      </w:r>
    </w:p>
    <w:p>
      <w:pPr>
        <w:ind w:firstLine="480"/>
      </w:pPr>
      <w:r>
        <w:rPr/>
        <w:t>1.3合同条款中应规定，乙方完全遵守《中华人民共和国劳动合同法》有关规定和《中华人民共和国妇女权益保障法》中关于“劳动和社会保障权益”的有关要求。</w:t>
      </w:r>
    </w:p>
    <w:p>
      <w:pPr>
        <w:ind w:firstLine="480"/>
      </w:pPr>
      <w:r>
        <w:rPr/>
        <w:t>1.4采购人应当自政府采购合同签订之日起2个工作日内，将政府采购合同在省级以上人民政府财政部门指定的媒体上公告，但政府采购合同中涉及国家秘密、商业秘密的内容除外。</w:t>
      </w:r>
    </w:p>
    <w:p>
      <w:pPr>
        <w:ind w:firstLine="480"/>
      </w:pPr>
      <w:r>
        <w:rPr/>
        <w:t>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评审</w:t>
      </w:r>
    </w:p>
    <w:p>
      <w:r>
        <w:rPr>
          <w:b/>
          <w:sz w:val="28"/>
        </w:rPr>
        <w:t>一、评审要求</w:t>
      </w:r>
    </w:p>
    <w:p>
      <w:r>
        <w:rPr>
          <w:b/>
          <w:sz w:val="24"/>
        </w:rPr>
        <w:t>1.评审方法</w:t>
      </w:r>
    </w:p>
    <w:p>
      <w:pPr>
        <w:ind w:firstLine="480"/>
      </w:pPr>
    </w:p>
    <w:p/>
    <w:p>
      <w:r>
        <w:rPr/>
        <w:t>采购包1(中山市自然资源大数据中心维护)：综合评分法,是指响应文件满足磋商文件全部实质性要求，且按照评审因素的量化指标评审得分最高的投标人为成交候选人的评标方法。（最低报价不是成交的唯一依据。）</w:t>
      </w:r>
    </w:p>
    <w:p/>
    <w:p>
      <w:r>
        <w:rPr/>
        <w:t>采购包2(中山市自然资源综合业务平台及自然资源决策支持平台维护)：综合评分法,是指响应文件满足磋商文件全部实质性要求，且按照评审因素的量化指标评审得分最高的投标人为成交候选人的评标方法。（最低报价不是成交的唯一依据。）</w:t>
      </w:r>
    </w:p>
    <w:p/>
    <w:p>
      <w:r>
        <w:rPr>
          <w:b/>
          <w:sz w:val="24"/>
        </w:rPr>
        <w:t>2.评审原则</w:t>
      </w:r>
    </w:p>
    <w:p>
      <w:pPr>
        <w:ind w:firstLine="480"/>
      </w:pPr>
      <w:r>
        <w:rPr/>
        <w:t>2.1评审活动遵循公平、公正、科学和择优的原则，以磋商文件和响应文件为评审的基本依据，并按照磋商文件规定的评审方法和评审标准进行评审。</w:t>
      </w:r>
    </w:p>
    <w:p>
      <w:pPr>
        <w:ind w:firstLine="480"/>
      </w:pPr>
      <w:r>
        <w:rPr/>
        <w:t>2.2具体评审事项由磋商小组负责，并按磋商文件的规定办法进行评审。对磋商文件中描述有歧义或前后不一致的地方，磋商小组有权按法律法规的规定进行评判，但对同一条款的评判应适用于每个响应供应商。</w:t>
      </w:r>
    </w:p>
    <w:p>
      <w:r>
        <w:rPr>
          <w:b/>
          <w:sz w:val="24"/>
        </w:rPr>
        <w:t>3.磋商小组</w:t>
      </w:r>
    </w:p>
    <w:p>
      <w:pPr>
        <w:ind w:firstLine="480"/>
      </w:pPr>
      <w:r>
        <w:rPr/>
        <w:t>3.1磋商小组由采购人代表和评审专家组成，成员人数应当为3人及以上单数，其中技术、经济等方面的评审专家不得少于成员总数的三分之二。</w:t>
      </w:r>
    </w:p>
    <w:p>
      <w:pPr>
        <w:ind w:firstLine="480"/>
      </w:pPr>
      <w:r>
        <w:rPr/>
        <w:t>3.2评审应遵守下列评审纪律：</w:t>
      </w:r>
    </w:p>
    <w:p>
      <w:pPr>
        <w:ind w:firstLine="480"/>
      </w:pPr>
      <w:r>
        <w:rPr/>
        <w:t>（1）评审情况不得私自外泄，有关信息由</w:t>
      </w:r>
      <w:r>
        <w:rPr/>
        <w:t>广东志正招标有限公司中山分公司</w:t>
      </w:r>
      <w:r>
        <w:rPr/>
        <w:t>统一对外发布。</w:t>
      </w:r>
    </w:p>
    <w:p>
      <w:pPr>
        <w:ind w:firstLine="480"/>
      </w:pPr>
      <w:r>
        <w:rPr/>
        <w:t>（2）对</w:t>
      </w:r>
      <w:r>
        <w:rPr/>
        <w:t>广东志正招标有限公司中山分公司</w:t>
      </w:r>
      <w:r>
        <w:rPr/>
        <w:t>或供应商提供的要求保密的资料，不得摘记翻印和外传。</w:t>
      </w:r>
    </w:p>
    <w:p>
      <w:pPr>
        <w:ind w:firstLine="480"/>
      </w:pPr>
      <w:r>
        <w:rPr/>
        <w:t>（3）不得收受响应供应商或有关人员的任何礼物，不得串联鼓动其他人袒护某供应商。若与供应商存在利害关系，则应主动声明并回避。</w:t>
      </w:r>
    </w:p>
    <w:p>
      <w:pPr>
        <w:ind w:firstLine="480"/>
      </w:pPr>
      <w:r>
        <w:rPr/>
        <w:t>（4）全体评委应按照磋商文件规定进行评审，一切认定事项应查有实据且不得弄虚作假。</w:t>
      </w:r>
    </w:p>
    <w:p>
      <w:pPr>
        <w:ind w:firstLine="480"/>
      </w:pPr>
      <w:r>
        <w:rPr/>
        <w:t>（5）磋商小组各成员应当独立对每个响应供应商的响应文件进行评价，并对评价意见承担个人责任。评审过程中，不得发表倾向性言论。</w:t>
      </w:r>
    </w:p>
    <w:p>
      <w:pPr>
        <w:ind w:firstLine="480"/>
      </w:pPr>
      <w:r>
        <w:rPr/>
        <w:t>※对违反评审纪律的评委，将取消其评委资格，对评审工作造成严重损失者将予以通报批评乃至追究法律责任。</w:t>
      </w:r>
    </w:p>
    <w:p>
      <w:r>
        <w:rPr>
          <w:b/>
          <w:sz w:val="24"/>
        </w:rPr>
        <w:t>4.有下列情形之一的，视为供应商串通响应，其响应无效</w:t>
      </w:r>
    </w:p>
    <w:p>
      <w:pPr>
        <w:ind w:firstLine="480"/>
      </w:pPr>
      <w:r>
        <w:rPr/>
        <w:t>4.1不同供应商的响应文件由同一单位或者个人编制；</w:t>
      </w:r>
    </w:p>
    <w:p>
      <w:pPr>
        <w:ind w:firstLine="480"/>
      </w:pPr>
      <w:r>
        <w:rPr/>
        <w:t>4.2不同供应商委托同一单位或者个人办理响应事宜；</w:t>
      </w:r>
    </w:p>
    <w:p>
      <w:pPr>
        <w:ind w:firstLine="480"/>
      </w:pPr>
      <w:r>
        <w:rPr/>
        <w:t>4.3不同供应商的响应文件载明的项目管理成员或者联系人员为同一人；</w:t>
      </w:r>
    </w:p>
    <w:p>
      <w:pPr>
        <w:ind w:firstLine="480"/>
      </w:pPr>
      <w:r>
        <w:rPr/>
        <w:t>4.4不同供应商的响应文件异常一致或者响应报价呈规律性差异；</w:t>
      </w:r>
    </w:p>
    <w:p>
      <w:pPr>
        <w:ind w:firstLine="480"/>
      </w:pPr>
      <w:r>
        <w:rPr/>
        <w:t>4.5不同供应商的响应文件相互混装；</w:t>
      </w:r>
    </w:p>
    <w:p>
      <w:pPr>
        <w:ind w:firstLine="480"/>
      </w:pPr>
      <w:r>
        <w:rPr/>
        <w:t>4.6不同供应商的响应保证金或购买电子保函支付款为从同一单位或个人的账户转出。</w:t>
      </w:r>
    </w:p>
    <w:p>
      <w:pPr>
        <w:ind w:firstLine="480"/>
      </w:pPr>
      <w:r>
        <w:rPr/>
        <w:t>4.7供应商上传的电子响应文件使用该项目其他响应供应商的数字证书加密的或加盖该项目的其他响应供应商的电子印章的。</w:t>
      </w:r>
    </w:p>
    <w:p>
      <w:pPr>
        <w:ind w:firstLine="480"/>
      </w:pPr>
      <w:r>
        <w:rPr/>
        <w:t xml:space="preserve"> 说明：在评审过程中发现供应商有上述情形的，磋商小组应当认定其响应无效。同时，项目评审时被认定为串通响应的供应商不得参加该合同项下的采购活动。</w:t>
      </w:r>
    </w:p>
    <w:p>
      <w:r>
        <w:rPr>
          <w:b/>
          <w:sz w:val="24"/>
        </w:rPr>
        <w:t>5.有下列情形之一的，属于恶意串通响应：</w:t>
      </w:r>
    </w:p>
    <w:p>
      <w:pPr>
        <w:ind w:firstLine="480"/>
      </w:pPr>
      <w:r>
        <w:rPr/>
        <w:t>（1）供应商直接或者间接从采购人或者采购代理机构处获得其他供应商的相关情况并修改其响应文件；</w:t>
      </w:r>
    </w:p>
    <w:p>
      <w:pPr>
        <w:ind w:firstLine="480"/>
      </w:pPr>
      <w:r>
        <w:rPr/>
        <w:t>（2）供应商按照采购人或者采购代理机构的授意撤换、修改响应文件；</w:t>
      </w:r>
    </w:p>
    <w:p>
      <w:pPr>
        <w:ind w:firstLine="480"/>
      </w:pPr>
      <w:r>
        <w:rPr/>
        <w:t>（3）供应商之间协商报价、技术方案等响应文件的实质性内容；</w:t>
      </w:r>
    </w:p>
    <w:p>
      <w:pPr>
        <w:ind w:firstLine="480"/>
      </w:pPr>
      <w:r>
        <w:rPr/>
        <w:t>（4）属于同一集团、协会、商会等组织成员的供应商按照该组织要求协同参加政府采购活动；</w:t>
      </w:r>
    </w:p>
    <w:p>
      <w:pPr>
        <w:ind w:firstLine="480"/>
      </w:pPr>
      <w:r>
        <w:rPr/>
        <w:t>（5）供应商之间事先约定由某一特定供应商成交；</w:t>
      </w:r>
    </w:p>
    <w:p>
      <w:pPr>
        <w:ind w:firstLine="480"/>
      </w:pPr>
      <w:r>
        <w:rPr/>
        <w:t>（6）供应商之间商定部分供应商放弃参加政府采购活动或者放弃成交；</w:t>
      </w:r>
    </w:p>
    <w:p>
      <w:pPr>
        <w:ind w:firstLine="480"/>
      </w:pPr>
      <w:r>
        <w:rPr/>
        <w:t>（7）供应商与采购人或者采购代理机构之间、供应商相互之间，为谋求特定供应商成交或者排斥其他供应商的其他串通行为。</w:t>
      </w:r>
    </w:p>
    <w:p>
      <w:r>
        <w:rPr>
          <w:b/>
          <w:sz w:val="24"/>
        </w:rPr>
        <w:t>6.其他响应无效的情形</w:t>
      </w:r>
    </w:p>
    <w:p>
      <w:pPr>
        <w:ind w:firstLine="480"/>
      </w:pPr>
      <w:r>
        <w:rPr/>
        <w:t>详见资格性审查、符合性审查和磋商文件其他响应无效条款。</w:t>
      </w:r>
    </w:p>
    <w:p>
      <w:r>
        <w:rPr>
          <w:b/>
          <w:sz w:val="24"/>
        </w:rPr>
        <w:t>7.终止竞争性磋商采购活动的情形</w:t>
      </w:r>
    </w:p>
    <w:p>
      <w:pPr>
        <w:ind w:firstLine="480"/>
      </w:pPr>
      <w:r>
        <w:rPr/>
        <w:t>出现下列情形之一的，采购人或者采购代理机构应当终止竞争性磋商采购活动，发布项目终止公告并说明原因，重新开展采购活动：</w:t>
      </w:r>
    </w:p>
    <w:p>
      <w:pPr>
        <w:ind w:firstLine="480"/>
      </w:pPr>
      <w:r>
        <w:rPr/>
        <w:t>（1）因情况变化，不再符合规定的竞争性磋商采购方式适用情形的；</w:t>
      </w:r>
    </w:p>
    <w:p>
      <w:pPr>
        <w:ind w:firstLine="480"/>
      </w:pPr>
      <w:r>
        <w:rPr/>
        <w:t>（2）出现影响采购公正的违法、违规行为的；</w:t>
      </w:r>
    </w:p>
    <w:p>
      <w:pPr>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ind w:firstLine="480"/>
      </w:pPr>
      <w:r>
        <w:rPr/>
        <w:t>（4）法律、法规以及磋商文件规定其他情形。</w:t>
      </w:r>
    </w:p>
    <w:p>
      <w:r>
        <w:rPr>
          <w:b/>
          <w:sz w:val="24"/>
        </w:rPr>
        <w:t>8.确定成交供应商</w:t>
      </w:r>
    </w:p>
    <w:p>
      <w:pPr>
        <w:ind w:firstLine="480"/>
      </w:pPr>
      <w:r>
        <w:rPr/>
        <w:t>磋商小组按照磋商文件确定的评审方法、步骤、标准，对响应文件进行评审。评审结束后，对供应商的评审名次进行排序，确定成交供应商或者推荐成交候选供应商。</w:t>
      </w:r>
    </w:p>
    <w:p>
      <w:r>
        <w:rPr>
          <w:b/>
          <w:sz w:val="24"/>
        </w:rPr>
        <w:t>9.价格修正</w:t>
      </w:r>
    </w:p>
    <w:p>
      <w:pPr>
        <w:ind w:firstLine="480"/>
      </w:pPr>
      <w:r>
        <w:rPr/>
        <w:t>对报价的计算错误按以下原则修正：</w:t>
      </w:r>
    </w:p>
    <w:p>
      <w:pPr>
        <w:ind w:firstLine="480"/>
      </w:pPr>
      <w:r>
        <w:rPr/>
        <w:t>（1）响应文件中首轮报价表（报价表）内容与响应文件中相应内容不一致的，以首轮报价表（报价表）为准；</w:t>
      </w:r>
    </w:p>
    <w:p>
      <w:pPr>
        <w:ind w:firstLine="480"/>
      </w:pPr>
      <w:r>
        <w:rPr/>
        <w:t>（2）大写金额和小写金额不一致的，以大写金额为准；</w:t>
      </w:r>
    </w:p>
    <w:p>
      <w:pPr>
        <w:ind w:firstLine="480"/>
      </w:pPr>
      <w:r>
        <w:rPr/>
        <w:t>（3）单价金额小数点或者百分比有明显错位的，以首轮报价表的总价为准，并修改单价；</w:t>
      </w:r>
    </w:p>
    <w:p>
      <w:pPr>
        <w:ind w:firstLine="480"/>
      </w:pPr>
      <w:r>
        <w:rPr/>
        <w:t>（4）总价金额与按单价汇总金额不一致的，以单价金额计算结果为准。但是单价金额计算结果超过预算价的，对其按无效响应处理；</w:t>
      </w:r>
    </w:p>
    <w:p>
      <w:pPr>
        <w:ind w:firstLine="480"/>
      </w:pPr>
      <w:r>
        <w:rPr/>
        <w:t>（5）若投标客户端上传的电子报价数据与电子响应文件价格不一致的，以电子报价数据为准。</w:t>
      </w:r>
    </w:p>
    <w:p>
      <w:pPr>
        <w:ind w:firstLine="480"/>
      </w:pPr>
      <w:r>
        <w:rPr/>
        <w:t>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采购包1（中山市自然资源大数据中心维护）：</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服务由小微企业承接</w:t>
            </w:r>
          </w:p>
        </w:tc>
        <w:tc>
          <w:tcPr>
            <w:tcW w:type="dxa" w:w="1246"/>
          </w:tcPr>
          <w:p>
            <w:r>
              <w:rPr/>
              <w:t>10%</w:t>
            </w:r>
          </w:p>
        </w:tc>
        <w:tc>
          <w:tcPr>
            <w:tcW w:type="dxa" w:w="2160"/>
          </w:tcPr>
          <w:p>
            <w:pPr>
              <w:jc w:val="left"/>
            </w:pPr>
            <w:r>
              <w:rPr/>
              <w:t>服务由小微企业承接，即提供服务的人员为小微企业依照《中华人民共和国劳动合同法》订立劳动合同的从业人员时，给予价格扣除C1，即：评标价=最后报价×（1-C1）;监狱企业与残疾人福利性单位视同小型、微型企业，享受同等价格扣除，当企业属性重复时，不重复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r>
        <w:rPr/>
        <w:t>采购包2（中山市自然资源综合业务平台及自然资源决策支持平台维护）：</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服务由小微企业承接</w:t>
            </w:r>
          </w:p>
        </w:tc>
        <w:tc>
          <w:tcPr>
            <w:tcW w:type="dxa" w:w="1246"/>
          </w:tcPr>
          <w:p>
            <w:r>
              <w:rPr/>
              <w:t>10%</w:t>
            </w:r>
          </w:p>
        </w:tc>
        <w:tc>
          <w:tcPr>
            <w:tcW w:type="dxa" w:w="2160"/>
          </w:tcPr>
          <w:p>
            <w:pPr>
              <w:jc w:val="left"/>
            </w:pPr>
            <w:r>
              <w:rPr/>
              <w:t>服务由小微企业承接，即提供服务的人员为小微企业依照《中华人民共和国劳动合同法》订立劳动合同的从业人员时，给予价格扣除C1，即：评标价=最后报价×（1-C1）;监狱企业与残疾人福利性单位视同小型、微型企业，享受同等价格扣除，当企业属性重复时，不重复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ind w:firstLine="480"/>
      </w:pPr>
      <w:r>
        <w:rPr/>
        <w:t>说明：供应商应当对其出具的《中小企业声明函》真实性负责，供应商出具的《中小企业声明函》内容不实的，属于提供虚假材料谋取成交。</w:t>
      </w:r>
    </w:p>
    <w:p>
      <w:pPr>
        <w:ind w:firstLine="480"/>
      </w:pPr>
      <w:r>
        <w:rPr/>
        <w:t>（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r>
        <w:rPr>
          <w:b/>
          <w:sz w:val="28"/>
        </w:rPr>
        <w:t>三、评审程序</w:t>
      </w:r>
    </w:p>
    <w:p>
      <w:r>
        <w:rPr>
          <w:b/>
          <w:sz w:val="24"/>
        </w:rPr>
        <w:t>1.资格性审查和符合性审查</w:t>
      </w:r>
    </w:p>
    <w:p>
      <w:pPr>
        <w:ind w:firstLine="480"/>
      </w:pPr>
      <w:r>
        <w:rPr/>
        <w:t>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ind w:firstLine="480"/>
      </w:pPr>
      <w:r>
        <w:rPr/>
        <w:t>表一资格性审查表：</w:t>
      </w:r>
    </w:p>
    <w:p>
      <w:pPr>
        <w:ind w:firstLine="480"/>
      </w:pPr>
    </w:p>
    <w:p/>
    <w:p>
      <w:r>
        <w:rPr/>
        <w:t>采购包1（中山市自然资源大数据中心维护）：</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 如依法免税或不需要缴纳社会保障资金的， 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供应商必须具有良好的商业信誉和健全的财务会计制度（提供2022年度财务状况报告关键页或基本开户行出具的资信证明） 。</w:t>
            </w:r>
          </w:p>
        </w:tc>
      </w:tr>
      <w:tr>
        <w:tc>
          <w:tcPr>
            <w:tcW w:type="dxa" w:w="890"/>
          </w:tcPr>
          <w:p>
            <w:r>
              <w:rPr/>
              <w:t>4</w:t>
            </w:r>
          </w:p>
        </w:tc>
        <w:tc>
          <w:tcPr>
            <w:tcW w:type="dxa" w:w="3178"/>
          </w:tcPr>
          <w:p>
            <w:r>
              <w:rPr/>
              <w:t>履行合同所必需的设备和专业技术能力</w:t>
            </w:r>
          </w:p>
        </w:tc>
        <w:tc>
          <w:tcPr>
            <w:tcW w:type="dxa" w:w="4238"/>
          </w:tcPr>
          <w:p>
            <w:r>
              <w:rPr/>
              <w:t>提供承诺函（格式自拟，承诺内容包括但不限于：“我方具有履行本项目合同所必需的设备及专业技术能力”）或提供《设备和专业技术能力情况表》（格式自拟，需同时提供设备和专业技术能力（人员）两类信息）。</w:t>
            </w:r>
          </w:p>
        </w:tc>
      </w:tr>
      <w:tr>
        <w:tc>
          <w:tcPr>
            <w:tcW w:type="dxa" w:w="890"/>
          </w:tcPr>
          <w:p>
            <w:r>
              <w:rPr/>
              <w:t>5</w:t>
            </w:r>
          </w:p>
        </w:tc>
        <w:tc>
          <w:tcPr>
            <w:tcW w:type="dxa" w:w="3178"/>
          </w:tcPr>
          <w:p>
            <w:r>
              <w:rPr/>
              <w:t>参加采购活动前3年内，在经营活动中没有重大违法记录</w:t>
            </w:r>
          </w:p>
        </w:tc>
        <w:tc>
          <w:tcPr>
            <w:tcW w:type="dxa" w:w="4238"/>
          </w:tcPr>
          <w:p>
            <w:r>
              <w:rPr/>
              <w:t>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单位负责人为同一人或者存在直接控股、管理关系的不同供应商，不得同时参加本采购项目（或采购包）投标（响应）。为本项目提供整体设计、规范编制或者项目管理、监理、 检测等服务的供应商，不得再参与本项目投标（响应）。投标（报价）函相关承诺要求内容。</w:t>
            </w:r>
          </w:p>
        </w:tc>
      </w:tr>
      <w:tr>
        <w:tc>
          <w:tcPr>
            <w:tcW w:type="dxa" w:w="890"/>
          </w:tcPr>
          <w:p>
            <w:r>
              <w:rPr/>
              <w:t>8</w:t>
            </w:r>
          </w:p>
        </w:tc>
        <w:tc>
          <w:tcPr>
            <w:tcW w:type="dxa" w:w="3178"/>
          </w:tcPr>
          <w:p>
            <w:r>
              <w:rPr/>
              <w:t>资格要求</w:t>
            </w:r>
          </w:p>
        </w:tc>
        <w:tc>
          <w:tcPr>
            <w:tcW w:type="dxa" w:w="4238"/>
          </w:tcPr>
          <w:p>
            <w:r>
              <w:rPr/>
              <w:t>供应商必须具有测绘行政主管部门颁发的乙级或以上测绘资质证书，且资质专业范围包括地理信息系统工程。</w:t>
            </w:r>
          </w:p>
        </w:tc>
      </w:tr>
      <w:tr>
        <w:tc>
          <w:tcPr>
            <w:tcW w:type="dxa" w:w="890"/>
          </w:tcPr>
          <w:p>
            <w:r>
              <w:rPr/>
              <w:t>9</w:t>
            </w:r>
          </w:p>
        </w:tc>
        <w:tc>
          <w:tcPr>
            <w:tcW w:type="dxa" w:w="3178"/>
          </w:tcPr>
          <w:p>
            <w:r>
              <w:rPr/>
              <w:t>落实政府采购政策需满足的资格要求</w:t>
            </w:r>
          </w:p>
        </w:tc>
        <w:tc>
          <w:tcPr>
            <w:tcW w:type="dxa" w:w="4238"/>
          </w:tcPr>
          <w:p>
            <w:r>
              <w:rPr/>
              <w:t>本项目不属于专门面向中小企业采购的项目。</w:t>
            </w:r>
          </w:p>
        </w:tc>
      </w:tr>
    </w:tbl>
    <w:p/>
    <w:p>
      <w:r>
        <w:rPr/>
        <w:t>采购包2（中山市自然资源综合业务平台及自然资源决策支持平台维护）：</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 如依法免税或不需要缴纳社会保障资金的， 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供应商必须具有良好的商业信誉和健全的财务会计制度（提供2022年度财务状况报告关键页或基本开户行出具的资信证明） 。</w:t>
            </w:r>
          </w:p>
        </w:tc>
      </w:tr>
      <w:tr>
        <w:tc>
          <w:tcPr>
            <w:tcW w:type="dxa" w:w="890"/>
          </w:tcPr>
          <w:p>
            <w:r>
              <w:rPr/>
              <w:t>4</w:t>
            </w:r>
          </w:p>
        </w:tc>
        <w:tc>
          <w:tcPr>
            <w:tcW w:type="dxa" w:w="3178"/>
          </w:tcPr>
          <w:p>
            <w:r>
              <w:rPr/>
              <w:t>履行合同所必需的设备和专业技术能力</w:t>
            </w:r>
          </w:p>
        </w:tc>
        <w:tc>
          <w:tcPr>
            <w:tcW w:type="dxa" w:w="4238"/>
          </w:tcPr>
          <w:p>
            <w:r>
              <w:rPr/>
              <w:t>提供承诺函（格式自拟，承诺内容包括但不限于：“我方具有履行本项目合同所必需的设备及专业技术能力”）或提供《设备和专业技术能力情况表》（格式自拟，需同时提供设备和专业技术能力（人员）两类信息）。</w:t>
            </w:r>
          </w:p>
        </w:tc>
      </w:tr>
      <w:tr>
        <w:tc>
          <w:tcPr>
            <w:tcW w:type="dxa" w:w="890"/>
          </w:tcPr>
          <w:p>
            <w:r>
              <w:rPr/>
              <w:t>5</w:t>
            </w:r>
          </w:p>
        </w:tc>
        <w:tc>
          <w:tcPr>
            <w:tcW w:type="dxa" w:w="3178"/>
          </w:tcPr>
          <w:p>
            <w:r>
              <w:rPr/>
              <w:t>参加采购活动前3年内，在经营活动中没有重大违法记录</w:t>
            </w:r>
          </w:p>
        </w:tc>
        <w:tc>
          <w:tcPr>
            <w:tcW w:type="dxa" w:w="4238"/>
          </w:tcPr>
          <w:p>
            <w:r>
              <w:rPr/>
              <w:t>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单位负责人为同一人或者存在直接控股、管理关系的不同供应商，不得同时参加本采购项目（或采购包）投标（响应）。为本项目提供整体设计、规范编制或者项目管理、监理、 检测等服务的供应商，不得再参与本项目投标（响应）。投标（报价）函相关承诺要求内容。</w:t>
            </w:r>
          </w:p>
        </w:tc>
      </w:tr>
      <w:tr>
        <w:tc>
          <w:tcPr>
            <w:tcW w:type="dxa" w:w="890"/>
          </w:tcPr>
          <w:p>
            <w:r>
              <w:rPr/>
              <w:t>8</w:t>
            </w:r>
          </w:p>
        </w:tc>
        <w:tc>
          <w:tcPr>
            <w:tcW w:type="dxa" w:w="3178"/>
          </w:tcPr>
          <w:p>
            <w:r>
              <w:rPr/>
              <w:t>资格要求</w:t>
            </w:r>
          </w:p>
        </w:tc>
        <w:tc>
          <w:tcPr>
            <w:tcW w:type="dxa" w:w="4238"/>
          </w:tcPr>
          <w:p>
            <w:r>
              <w:rPr/>
              <w:t>供应商必须具有测绘行政主管部门颁发的乙级或以上测绘资质证书，且资质专业范围包括地理信息系统工程。</w:t>
            </w:r>
          </w:p>
        </w:tc>
      </w:tr>
      <w:tr>
        <w:tc>
          <w:tcPr>
            <w:tcW w:type="dxa" w:w="890"/>
          </w:tcPr>
          <w:p>
            <w:r>
              <w:rPr/>
              <w:t>9</w:t>
            </w:r>
          </w:p>
        </w:tc>
        <w:tc>
          <w:tcPr>
            <w:tcW w:type="dxa" w:w="3178"/>
          </w:tcPr>
          <w:p>
            <w:r>
              <w:rPr/>
              <w:t>落实政府采购政策需满足的资格要求</w:t>
            </w:r>
          </w:p>
        </w:tc>
        <w:tc>
          <w:tcPr>
            <w:tcW w:type="dxa" w:w="4238"/>
          </w:tcPr>
          <w:p>
            <w:r>
              <w:rPr/>
              <w:t>本项目不属于专门面向中小企业采购的项目。</w:t>
            </w:r>
          </w:p>
        </w:tc>
      </w:tr>
    </w:tbl>
    <w:p/>
    <w:p>
      <w:pPr>
        <w:ind w:firstLine="480"/>
      </w:pPr>
      <w:r>
        <w:rPr/>
        <w:t>表二符合性审查表：</w:t>
      </w:r>
    </w:p>
    <w:p>
      <w:pPr>
        <w:ind w:firstLine="480"/>
      </w:pPr>
    </w:p>
    <w:p/>
    <w:p>
      <w:r>
        <w:rPr/>
        <w:t>采购包1（中山市自然资源大数据中心维护）：</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响应有效期</w:t>
            </w:r>
          </w:p>
        </w:tc>
        <w:tc>
          <w:tcPr>
            <w:tcW w:type="dxa" w:w="4238"/>
          </w:tcPr>
          <w:p>
            <w:r>
              <w:rPr/>
              <w:t>符合响应有效期</w:t>
            </w:r>
          </w:p>
        </w:tc>
      </w:tr>
      <w:tr>
        <w:tc>
          <w:tcPr>
            <w:tcW w:type="dxa" w:w="890"/>
          </w:tcPr>
          <w:p>
            <w:r>
              <w:rPr/>
              <w:t>2</w:t>
            </w:r>
          </w:p>
        </w:tc>
        <w:tc>
          <w:tcPr>
            <w:tcW w:type="dxa" w:w="3178"/>
          </w:tcPr>
          <w:p>
            <w:r>
              <w:rPr/>
              <w:t>报价文件按照磋商文件规定填写并按要求签署、盖章</w:t>
            </w:r>
          </w:p>
        </w:tc>
        <w:tc>
          <w:tcPr>
            <w:tcW w:type="dxa" w:w="4238"/>
          </w:tcPr>
          <w:p>
            <w:r>
              <w:rPr/>
              <w:t>报价文件按照磋商文件规定填写并按要求签署、盖章，包括：①响应承诺函；②法定代表人证明书或法定代表人授权书；③首轮报价表；④分项报价表</w:t>
            </w:r>
          </w:p>
        </w:tc>
      </w:tr>
      <w:tr>
        <w:tc>
          <w:tcPr>
            <w:tcW w:type="dxa" w:w="890"/>
          </w:tcPr>
          <w:p>
            <w:r>
              <w:rPr/>
              <w:t>3</w:t>
            </w:r>
          </w:p>
        </w:tc>
        <w:tc>
          <w:tcPr>
            <w:tcW w:type="dxa" w:w="3178"/>
          </w:tcPr>
          <w:p>
            <w:r>
              <w:rPr/>
              <w:t>响应报价</w:t>
            </w:r>
          </w:p>
        </w:tc>
        <w:tc>
          <w:tcPr>
            <w:tcW w:type="dxa" w:w="4238"/>
          </w:tcPr>
          <w:p>
            <w:r>
              <w:rPr/>
              <w:t>响应报价没有超出预算价或最高限价</w:t>
            </w:r>
          </w:p>
        </w:tc>
      </w:tr>
      <w:tr>
        <w:tc>
          <w:tcPr>
            <w:tcW w:type="dxa" w:w="890"/>
          </w:tcPr>
          <w:p>
            <w:r>
              <w:rPr/>
              <w:t>4</w:t>
            </w:r>
          </w:p>
        </w:tc>
        <w:tc>
          <w:tcPr>
            <w:tcW w:type="dxa" w:w="3178"/>
          </w:tcPr>
          <w:p>
            <w:r>
              <w:rPr/>
              <w:t>实质性条款响应情况</w:t>
            </w:r>
          </w:p>
        </w:tc>
        <w:tc>
          <w:tcPr>
            <w:tcW w:type="dxa" w:w="4238"/>
          </w:tcPr>
          <w:p>
            <w:r>
              <w:rPr/>
              <w:t>完全满足磋商文件中标注“★”的条款</w:t>
            </w:r>
          </w:p>
        </w:tc>
      </w:tr>
      <w:tr>
        <w:tc>
          <w:tcPr>
            <w:tcW w:type="dxa" w:w="890"/>
          </w:tcPr>
          <w:p>
            <w:r>
              <w:rPr/>
              <w:t>5</w:t>
            </w:r>
          </w:p>
        </w:tc>
        <w:tc>
          <w:tcPr>
            <w:tcW w:type="dxa" w:w="3178"/>
          </w:tcPr>
          <w:p>
            <w:r>
              <w:rPr/>
              <w:t>其他响应无效的情形</w:t>
            </w:r>
          </w:p>
        </w:tc>
        <w:tc>
          <w:tcPr>
            <w:tcW w:type="dxa" w:w="4238"/>
          </w:tcPr>
          <w:p>
            <w:r>
              <w:rPr/>
              <w:t>未出现有关法律、法规、规章或磋商文件规定的属于响应无效的情形</w:t>
            </w:r>
          </w:p>
        </w:tc>
      </w:tr>
    </w:tbl>
    <w:p/>
    <w:p>
      <w:r>
        <w:rPr/>
        <w:t>采购包2（中山市自然资源综合业务平台及自然资源决策支持平台维护）：</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响应有效期</w:t>
            </w:r>
          </w:p>
        </w:tc>
        <w:tc>
          <w:tcPr>
            <w:tcW w:type="dxa" w:w="4238"/>
          </w:tcPr>
          <w:p>
            <w:r>
              <w:rPr/>
              <w:t>符合响应有效期</w:t>
            </w:r>
          </w:p>
        </w:tc>
      </w:tr>
      <w:tr>
        <w:tc>
          <w:tcPr>
            <w:tcW w:type="dxa" w:w="890"/>
          </w:tcPr>
          <w:p>
            <w:r>
              <w:rPr/>
              <w:t>2</w:t>
            </w:r>
          </w:p>
        </w:tc>
        <w:tc>
          <w:tcPr>
            <w:tcW w:type="dxa" w:w="3178"/>
          </w:tcPr>
          <w:p>
            <w:r>
              <w:rPr/>
              <w:t>报价文件按照磋商文件规定填写并按要求签署、盖章</w:t>
            </w:r>
          </w:p>
        </w:tc>
        <w:tc>
          <w:tcPr>
            <w:tcW w:type="dxa" w:w="4238"/>
          </w:tcPr>
          <w:p>
            <w:r>
              <w:rPr/>
              <w:t>报价文件按照磋商文件规定填写并按要求签署、盖章，包括：①响应承诺函；②法定代表人证明书或法定代表人授权书；③首轮报价表；④分项报价表</w:t>
            </w:r>
          </w:p>
        </w:tc>
      </w:tr>
      <w:tr>
        <w:tc>
          <w:tcPr>
            <w:tcW w:type="dxa" w:w="890"/>
          </w:tcPr>
          <w:p>
            <w:r>
              <w:rPr/>
              <w:t>3</w:t>
            </w:r>
          </w:p>
        </w:tc>
        <w:tc>
          <w:tcPr>
            <w:tcW w:type="dxa" w:w="3178"/>
          </w:tcPr>
          <w:p>
            <w:r>
              <w:rPr/>
              <w:t>响应报价</w:t>
            </w:r>
          </w:p>
        </w:tc>
        <w:tc>
          <w:tcPr>
            <w:tcW w:type="dxa" w:w="4238"/>
          </w:tcPr>
          <w:p>
            <w:r>
              <w:rPr/>
              <w:t>响应报价没有超出预算价或最高限价</w:t>
            </w:r>
          </w:p>
        </w:tc>
      </w:tr>
      <w:tr>
        <w:tc>
          <w:tcPr>
            <w:tcW w:type="dxa" w:w="890"/>
          </w:tcPr>
          <w:p>
            <w:r>
              <w:rPr/>
              <w:t>4</w:t>
            </w:r>
          </w:p>
        </w:tc>
        <w:tc>
          <w:tcPr>
            <w:tcW w:type="dxa" w:w="3178"/>
          </w:tcPr>
          <w:p>
            <w:r>
              <w:rPr/>
              <w:t>实质性条款响应情况</w:t>
            </w:r>
          </w:p>
        </w:tc>
        <w:tc>
          <w:tcPr>
            <w:tcW w:type="dxa" w:w="4238"/>
          </w:tcPr>
          <w:p>
            <w:r>
              <w:rPr/>
              <w:t>完全满足磋商文件中标注“★”的条款</w:t>
            </w:r>
          </w:p>
        </w:tc>
      </w:tr>
      <w:tr>
        <w:tc>
          <w:tcPr>
            <w:tcW w:type="dxa" w:w="890"/>
          </w:tcPr>
          <w:p>
            <w:r>
              <w:rPr/>
              <w:t>5</w:t>
            </w:r>
          </w:p>
        </w:tc>
        <w:tc>
          <w:tcPr>
            <w:tcW w:type="dxa" w:w="3178"/>
          </w:tcPr>
          <w:p>
            <w:r>
              <w:rPr/>
              <w:t>其他响应无效的情形</w:t>
            </w:r>
          </w:p>
        </w:tc>
        <w:tc>
          <w:tcPr>
            <w:tcW w:type="dxa" w:w="4238"/>
          </w:tcPr>
          <w:p>
            <w:r>
              <w:rPr/>
              <w:t>未出现有关法律、法规、规章或磋商文件规定的属于响应无效的情形</w:t>
            </w:r>
          </w:p>
        </w:tc>
      </w:tr>
    </w:tbl>
    <w:p/>
    <w:p>
      <w:r>
        <w:rPr>
          <w:b/>
          <w:sz w:val="24"/>
        </w:rPr>
        <w:t>2.响应文件澄清</w:t>
      </w:r>
    </w:p>
    <w:p>
      <w:pPr>
        <w:ind w:firstLine="480"/>
      </w:pPr>
      <w:r>
        <w:rPr/>
        <w:t>2.1对于响应文件中含义不明确、同类问题表述不一致或者有明显文字和计算错误的内容，磋商小组可在评审过程中发起在线澄清，要求供应商针对价格或内容做出必要的澄清、说明或补正。代理机构可根据开启环节记录的</w:t>
      </w:r>
      <w:r>
        <w:rPr>
          <w:b/>
        </w:rPr>
        <w:t>授权代表人联系方式</w:t>
      </w:r>
      <w:r>
        <w:rPr/>
        <w:t>发送短信提醒或电话告知。</w:t>
      </w:r>
    </w:p>
    <w:p>
      <w:pPr>
        <w:ind w:firstLine="480"/>
      </w:pPr>
      <w:r>
        <w:rPr/>
        <w:t>供应商需登录广东政府采购智慧云平台项目采购系统的等候大厅，在规定时间内完成澄清（响应），并加盖电子印章。</w:t>
      </w:r>
    </w:p>
    <w:p>
      <w:pPr>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ind w:firstLine="480"/>
      </w:pPr>
      <w:r>
        <w:rPr/>
        <w:t>2.2磋商小组不接受供应商主动提出的澄清、说明或补正。</w:t>
      </w:r>
    </w:p>
    <w:p>
      <w:pPr>
        <w:ind w:firstLine="480"/>
      </w:pPr>
      <w:r>
        <w:rPr/>
        <w:t>2.3磋商小组对供应商提交的澄清、说明或补正有疑问的，可以要求供应商进一步澄清、说明或补正。</w:t>
      </w:r>
    </w:p>
    <w:p>
      <w:r>
        <w:rPr>
          <w:b/>
          <w:sz w:val="24"/>
        </w:rPr>
        <w:t>3.磋商</w:t>
      </w:r>
    </w:p>
    <w:p>
      <w:pPr>
        <w:ind w:firstLine="480"/>
      </w:pPr>
      <w:r>
        <w:rPr/>
        <w:t>3.1磋商小组所有成员应当集中与单一供应商分别进行磋商，并给予所有参加磋商的供应商平等的磋商机会。</w:t>
      </w:r>
    </w:p>
    <w:p>
      <w:pPr>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ind w:firstLine="480"/>
      </w:pPr>
      <w:r>
        <w:rPr/>
        <w:t>3.3对磋商文件作出的实质性变动是磋商文件的有效组成部分，磋商小组应当及时、同时通知所有参加磋商的供应商。</w:t>
      </w:r>
    </w:p>
    <w:p>
      <w:pPr>
        <w:ind w:firstLine="480"/>
      </w:pPr>
      <w:r>
        <w:rPr/>
        <w:t>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r>
        <w:rPr>
          <w:b/>
          <w:sz w:val="24"/>
        </w:rPr>
        <w:t>4.最后报价</w:t>
      </w:r>
    </w:p>
    <w:p>
      <w:pPr>
        <w:ind w:firstLine="480"/>
      </w:pPr>
      <w:r>
        <w:rPr/>
        <w:t>4.1磋商结束后，磋商小组应当要求所有实质性响应的供应商在规定时间内提交最后报价。最后报价是供应商响应文件的有效组成部分。</w:t>
      </w:r>
    </w:p>
    <w:p>
      <w:pPr>
        <w:ind w:firstLine="480"/>
      </w:pPr>
      <w:r>
        <w:rPr/>
        <w:t>4.2已提交响应文件的供应商，在提交最后报价之前，可以根据磋商情况退出磋商。</w:t>
      </w:r>
    </w:p>
    <w:p>
      <w:pPr>
        <w:ind w:firstLine="480"/>
      </w:pPr>
      <w:r>
        <w:rPr/>
        <w:t>4.3除法规规定的特殊性情形外，提交最后报价的供应商不得少于3家。</w:t>
      </w:r>
    </w:p>
    <w:p>
      <w:r>
        <w:rPr>
          <w:b/>
          <w:sz w:val="24"/>
        </w:rPr>
        <w:t>5.详细评审</w:t>
      </w:r>
    </w:p>
    <w:p>
      <w:pPr>
        <w:ind w:firstLine="480"/>
      </w:pPr>
    </w:p>
    <w:p/>
    <w:p/>
    <w:p>
      <w:r>
        <w:rPr/>
        <w:t>采购包1(中山市自然资源大数据中心维护):</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商务部分45.0分</w:t>
            </w:r>
          </w:p>
          <w:p>
            <w:r>
              <w:rPr/>
              <w:t>技术部分45.0分</w:t>
            </w:r>
          </w:p>
          <w:p>
            <w:r>
              <w:rPr/>
              <w:t>报价得分10.0分</w:t>
            </w:r>
          </w:p>
        </w:tc>
      </w:tr>
      <w:tr>
        <w:tc>
          <w:tcPr>
            <w:tcW w:type="dxa" w:w="922"/>
            <w:gridSpan w:val="2"/>
            <w:vMerge w:val="restart"/>
          </w:tcPr>
          <w:p>
            <w:pPr>
              <w:jc w:val="center"/>
            </w:pPr>
            <w:r>
              <w:rPr/>
              <w:t>技术部分</w:t>
            </w:r>
          </w:p>
        </w:tc>
        <w:tc>
          <w:tcPr>
            <w:tcW w:type="dxa" w:w="2307"/>
          </w:tcPr>
          <w:p>
            <w:pPr>
              <w:jc w:val="left"/>
            </w:pPr>
            <w:r>
              <w:rPr/>
              <w:t>项目理解 (10.0分)</w:t>
            </w:r>
            <w:r>
              <w:rPr/>
              <w:t>，（等次分值选择：</w:t>
            </w:r>
            <w:r>
              <w:rPr/>
              <w:t>0.0;</w:t>
            </w:r>
            <w:r>
              <w:rPr/>
              <w:t>4.0;</w:t>
            </w:r>
            <w:r>
              <w:rPr/>
              <w:t>7.0;</w:t>
            </w:r>
            <w:r>
              <w:rPr/>
              <w:t>10.0;</w:t>
            </w:r>
            <w:r>
              <w:rPr/>
              <w:t>）</w:t>
            </w:r>
          </w:p>
        </w:tc>
        <w:tc>
          <w:tcPr>
            <w:tcW w:type="dxa" w:w="5076"/>
          </w:tcPr>
          <w:p>
            <w:pPr>
              <w:jc w:val="left"/>
            </w:pPr>
            <w:r>
              <w:rPr/>
              <w:t>根据对项目建设背景、信息化现状的理解与分析，明确项目建设目标和内容： 1、对项目的建设目标和工作内容分析与认识非常深刻、准确，得10分； 2、对项目的建设目标和工作内容分析与认识深刻、准确，得7分； 3、对项目的建设目标和工作内容分析与认识一般，得4分； 4、对项目的建设目标和工作内容缺乏分析与认识，得0分。</w:t>
            </w:r>
          </w:p>
        </w:tc>
      </w:tr>
      <w:tr>
        <w:tc>
          <w:tcPr>
            <w:tcW w:type="dxa" w:w="922"/>
            <w:gridSpan w:val="2"/>
            <w:vMerge/>
          </w:tcPr>
          <w:p/>
        </w:tc>
        <w:tc>
          <w:tcPr>
            <w:tcW w:type="dxa" w:w="2307"/>
          </w:tcPr>
          <w:p>
            <w:pPr>
              <w:jc w:val="left"/>
            </w:pPr>
            <w:r>
              <w:rPr/>
              <w:t>技术方案 (10.0分)</w:t>
            </w:r>
            <w:r>
              <w:rPr/>
              <w:t>，（等次分值选择：</w:t>
            </w:r>
            <w:r>
              <w:rPr/>
              <w:t>0.0;</w:t>
            </w:r>
            <w:r>
              <w:rPr/>
              <w:t>3.0;</w:t>
            </w:r>
            <w:r>
              <w:rPr/>
              <w:t>7.0;</w:t>
            </w:r>
            <w:r>
              <w:rPr/>
              <w:t>10.0;</w:t>
            </w:r>
            <w:r>
              <w:rPr/>
              <w:t>）</w:t>
            </w:r>
          </w:p>
        </w:tc>
        <w:tc>
          <w:tcPr>
            <w:tcW w:type="dxa" w:w="5076"/>
          </w:tcPr>
          <w:p>
            <w:pPr>
              <w:jc w:val="left"/>
            </w:pPr>
            <w:r>
              <w:rPr/>
              <w:t>运维技术方案： 1、运维技术方案完全响应磋商文件需求，合理、可行，包括数据运维、系统运维等工作内容，运维工作机制专业、详细，得10分； 2、运维技术方案基本响应磋商文件需求，较合理，包括数据运维、系统运维等工作内容，运维工作机制较为专业、明确，得7分； 3、运维技术方案一般，部分响应磋商文件需求，得3分； 4、没有提供运维工作方案，得0分。</w:t>
            </w:r>
          </w:p>
        </w:tc>
      </w:tr>
      <w:tr>
        <w:tc>
          <w:tcPr>
            <w:tcW w:type="dxa" w:w="922"/>
            <w:gridSpan w:val="2"/>
            <w:vMerge/>
          </w:tcPr>
          <w:p/>
        </w:tc>
        <w:tc>
          <w:tcPr>
            <w:tcW w:type="dxa" w:w="2307"/>
          </w:tcPr>
          <w:p>
            <w:pPr>
              <w:jc w:val="left"/>
            </w:pPr>
            <w:r>
              <w:rPr/>
              <w:t>组织实施方案 (10.0分)</w:t>
            </w:r>
            <w:r>
              <w:rPr/>
              <w:t>，（等次分值选择：</w:t>
            </w:r>
            <w:r>
              <w:rPr/>
              <w:t>0.0;</w:t>
            </w:r>
            <w:r>
              <w:rPr/>
              <w:t>4.0;</w:t>
            </w:r>
            <w:r>
              <w:rPr/>
              <w:t>7.0;</w:t>
            </w:r>
            <w:r>
              <w:rPr/>
              <w:t>10.0;</w:t>
            </w:r>
            <w:r>
              <w:rPr/>
              <w:t>）</w:t>
            </w:r>
          </w:p>
        </w:tc>
        <w:tc>
          <w:tcPr>
            <w:tcW w:type="dxa" w:w="5076"/>
          </w:tcPr>
          <w:p>
            <w:pPr>
              <w:jc w:val="left"/>
            </w:pPr>
            <w:r>
              <w:rPr/>
              <w:t>根据项目组织实施、服务响应方案（含服务便捷程度、服务响应时间、处理问题能力等）进行评审： 1、服务支持非常便捷，响应快速，能及时向采购人提供服务支持，服务人员稳定保障性高、处理问题能力强，得10分； 2、服务支持比较便捷，响应比较快速，能及时向采购人提供服务支持，服务人员较有保障，处理问题能力较强，得7分； 3、服务支持不便捷，响应慢，未能及时向采购人提供服务支持，处理问题能力一般，得4分； 4、未提供服务响应方案，得0分。</w:t>
            </w:r>
          </w:p>
        </w:tc>
      </w:tr>
      <w:tr>
        <w:tc>
          <w:tcPr>
            <w:tcW w:type="dxa" w:w="922"/>
            <w:gridSpan w:val="2"/>
            <w:vMerge/>
          </w:tcPr>
          <w:p/>
        </w:tc>
        <w:tc>
          <w:tcPr>
            <w:tcW w:type="dxa" w:w="2307"/>
          </w:tcPr>
          <w:p>
            <w:pPr>
              <w:jc w:val="left"/>
            </w:pPr>
            <w:r>
              <w:rPr/>
              <w:t>保障措施 (5.0分)</w:t>
            </w:r>
            <w:r>
              <w:rPr/>
              <w:t>，（等次分值选择：</w:t>
            </w:r>
            <w:r>
              <w:rPr/>
              <w:t>0.0;</w:t>
            </w:r>
            <w:r>
              <w:rPr/>
              <w:t>1.0;</w:t>
            </w:r>
            <w:r>
              <w:rPr/>
              <w:t>2.0;</w:t>
            </w:r>
            <w:r>
              <w:rPr/>
              <w:t>3.0;</w:t>
            </w:r>
            <w:r>
              <w:rPr/>
              <w:t>5.0;</w:t>
            </w:r>
            <w:r>
              <w:rPr/>
              <w:t>）</w:t>
            </w:r>
          </w:p>
        </w:tc>
        <w:tc>
          <w:tcPr>
            <w:tcW w:type="dxa" w:w="5076"/>
          </w:tcPr>
          <w:p>
            <w:pPr>
              <w:jc w:val="left"/>
            </w:pPr>
            <w:r>
              <w:rPr/>
              <w:t>人力和制度措施： 1、有完善的人力和制度措施且详细、明确，能有效地保证系统维护工作的实施进度和质量，得5分； 2、有较明确的人力和制度措施，能较好地保证系统维护工作的实施进度和质量，得3分； 3、人力和制度措施一般，基本能保证系统维护工作的实施进度和质量，得2分； 4、人力和制度措施较差，得1分； 5、没有人力和制度措施，得0分。</w:t>
            </w:r>
          </w:p>
        </w:tc>
      </w:tr>
      <w:tr>
        <w:tc>
          <w:tcPr>
            <w:tcW w:type="dxa" w:w="922"/>
            <w:gridSpan w:val="2"/>
            <w:vMerge/>
          </w:tcPr>
          <w:p/>
        </w:tc>
        <w:tc>
          <w:tcPr>
            <w:tcW w:type="dxa" w:w="2307"/>
          </w:tcPr>
          <w:p>
            <w:pPr>
              <w:jc w:val="left"/>
            </w:pPr>
            <w:r>
              <w:rPr/>
              <w:t>信息安全 (5.0分)</w:t>
            </w:r>
            <w:r>
              <w:rPr/>
              <w:t>，（等次分值选择：</w:t>
            </w:r>
            <w:r>
              <w:rPr/>
              <w:t>0.0;</w:t>
            </w:r>
            <w:r>
              <w:rPr/>
              <w:t>1.0;</w:t>
            </w:r>
            <w:r>
              <w:rPr/>
              <w:t>2.0;</w:t>
            </w:r>
            <w:r>
              <w:rPr/>
              <w:t>3.0;</w:t>
            </w:r>
            <w:r>
              <w:rPr/>
              <w:t>5.0;</w:t>
            </w:r>
            <w:r>
              <w:rPr/>
              <w:t>）</w:t>
            </w:r>
          </w:p>
        </w:tc>
        <w:tc>
          <w:tcPr>
            <w:tcW w:type="dxa" w:w="5076"/>
          </w:tcPr>
          <w:p>
            <w:pPr>
              <w:jc w:val="left"/>
            </w:pPr>
            <w:r>
              <w:rPr/>
              <w:t>有完善的安全措施，保障系统维护实施过程中的数据保密和系统安全： 1、有完善的安全措施且详细、明确，能有效地保障系统维护实施过程中的数据保密和系统安全，切实可行，得5分； 2、有较明确的安全措施，能较好地保障系统维护实施过程中的数据保密和系统安全，得3分； 3、安全措施一般，基本能保障系统维护实施过程中的数据保密和系统安全，得2分； 4、安全措施较差，得1分； 5、没有提供安全保障措施，得0分。</w:t>
            </w:r>
          </w:p>
        </w:tc>
      </w:tr>
      <w:tr>
        <w:tc>
          <w:tcPr>
            <w:tcW w:type="dxa" w:w="922"/>
            <w:gridSpan w:val="2"/>
            <w:vMerge/>
          </w:tcPr>
          <w:p/>
        </w:tc>
        <w:tc>
          <w:tcPr>
            <w:tcW w:type="dxa" w:w="2307"/>
          </w:tcPr>
          <w:p>
            <w:pPr>
              <w:jc w:val="left"/>
            </w:pPr>
            <w:r>
              <w:rPr/>
              <w:t>合理化建议 (5.0分)</w:t>
            </w:r>
            <w:r>
              <w:rPr/>
              <w:t>，（等次分值选择：</w:t>
            </w:r>
            <w:r>
              <w:rPr/>
              <w:t>0.0;</w:t>
            </w:r>
            <w:r>
              <w:rPr/>
              <w:t>1.0;</w:t>
            </w:r>
            <w:r>
              <w:rPr/>
              <w:t>3.0;</w:t>
            </w:r>
            <w:r>
              <w:rPr/>
              <w:t>5.0;</w:t>
            </w:r>
            <w:r>
              <w:rPr/>
              <w:t>）</w:t>
            </w:r>
          </w:p>
        </w:tc>
        <w:tc>
          <w:tcPr>
            <w:tcW w:type="dxa" w:w="5076"/>
          </w:tcPr>
          <w:p>
            <w:pPr>
              <w:jc w:val="left"/>
            </w:pPr>
            <w:r>
              <w:rPr/>
              <w:t>针对本项目提出合理化建议，运维方案是否有独到的优势，是否符合中山市当前和未来发展的要求： 1、能针对项目提出合理化建议，运维方案有独到的优势且切实可行，符合中山市当前和未来发展的要求，得5分； 2、能针对项目提出部分合理化建议，运维方案切实可行，基本符合中山市当前和未来发展的要求，得3分； 3、能提出一些合理化建议，有运维方案，部分符合中市当前和未来发展的要求，得1分； 4、没有提出合理化建议，得0分。</w:t>
            </w:r>
          </w:p>
        </w:tc>
      </w:tr>
      <w:tr>
        <w:tc>
          <w:tcPr>
            <w:tcW w:type="dxa" w:w="922"/>
            <w:gridSpan w:val="2"/>
            <w:vMerge w:val="restart"/>
          </w:tcPr>
          <w:p>
            <w:pPr>
              <w:jc w:val="center"/>
            </w:pPr>
            <w:r>
              <w:rPr/>
              <w:t>商务部分</w:t>
            </w:r>
          </w:p>
        </w:tc>
        <w:tc>
          <w:tcPr>
            <w:tcW w:type="dxa" w:w="2307"/>
          </w:tcPr>
          <w:p>
            <w:pPr>
              <w:jc w:val="left"/>
            </w:pPr>
            <w:r>
              <w:rPr/>
              <w:t>企业资质 (6.0分)</w:t>
            </w:r>
          </w:p>
        </w:tc>
        <w:tc>
          <w:tcPr>
            <w:tcW w:type="dxa" w:w="5076"/>
          </w:tcPr>
          <w:p>
            <w:pPr>
              <w:jc w:val="left"/>
            </w:pPr>
            <w:r>
              <w:rPr/>
              <w:t>1、供应商具有有效的质量管理体系认证证书（认证范围需包含面向自然资源领域电子政务平台的计算机应用软件的设计或开发类），得2分； 2、供应商具有有效的环境管理体系认证（认证范围需包含面向自然资源领域电子政务平台的计算机应用软件的设计或开发类），得2分； 3、供应商具有有效的职业健康安全管理体系认证证书（认证范围需包含面向自然资源领域电子政务平台的计算机应用软件的设计或开发类），得2分； 注：提供有效证明材料复印件及全国认证认可信息公共服务平台（http://cx.cnca.cn）认证信息查询截图（截图需显示证书状态为有效），并加盖供应商公章，未提供的或不符合要求的不得分。</w:t>
            </w:r>
          </w:p>
        </w:tc>
      </w:tr>
      <w:tr>
        <w:tc>
          <w:tcPr>
            <w:tcW w:type="dxa" w:w="922"/>
            <w:gridSpan w:val="2"/>
            <w:vMerge/>
          </w:tcPr>
          <w:p/>
        </w:tc>
        <w:tc>
          <w:tcPr>
            <w:tcW w:type="dxa" w:w="2307"/>
          </w:tcPr>
          <w:p>
            <w:pPr>
              <w:jc w:val="left"/>
            </w:pPr>
            <w:r>
              <w:rPr/>
              <w:t>获奖情况 (16.0分)</w:t>
            </w:r>
          </w:p>
        </w:tc>
        <w:tc>
          <w:tcPr>
            <w:tcW w:type="dxa" w:w="5076"/>
          </w:tcPr>
          <w:p>
            <w:pPr>
              <w:jc w:val="left"/>
            </w:pPr>
            <w:r>
              <w:rPr/>
              <w:t>供应商自2020年1月以来： 1、获得省级或省级以上人民政府颁发的科技奖每个得4分，获得市级人民政府颁发的科技奖每个得2分，本项最高得4分； 2、获得中国地理信息产业协会、中国测绘学会颁发的科技类奖每个得1分，获得省级地理信息学会、省级测绘学会等颁发的科技类奖每个得0.5分，获得地市级地理信息学会、地市级地理信息产业协会等颁发的科技类奖每个得0.2分，本项最高得4分；  3、获得中国地理信息产业协会、中国测绘学会等颁发的工程奖每个得1分，获得省级地理信息学会、省级测绘学会等颁发的工程奖的每个得0.5分，获得地市级地理信息学会、地市级地理信息产业协会等颁发的工程奖的每个得0.2分，本项最高得4分； 4、获得中国信息协会颁发的政务信息化类奖每个得1分，获得省级信息协会颁发的政务信息化类奖每个得0.5分，获得地市级信息协会颁发的政务信息化类奖每个得0.2分，本项最高得4分； 注： ①需提供获奖证书复印件并加盖供应商公章，时间以获奖证书颁发时间为准； ②同一项目不得重复计分，只计算最高获奖得分。</w:t>
            </w:r>
          </w:p>
        </w:tc>
      </w:tr>
      <w:tr>
        <w:tc>
          <w:tcPr>
            <w:tcW w:type="dxa" w:w="922"/>
            <w:gridSpan w:val="2"/>
            <w:vMerge/>
          </w:tcPr>
          <w:p/>
        </w:tc>
        <w:tc>
          <w:tcPr>
            <w:tcW w:type="dxa" w:w="2307"/>
          </w:tcPr>
          <w:p>
            <w:pPr>
              <w:jc w:val="left"/>
            </w:pPr>
            <w:r>
              <w:rPr/>
              <w:t>项目负责人 (5.0分)</w:t>
            </w:r>
          </w:p>
        </w:tc>
        <w:tc>
          <w:tcPr>
            <w:tcW w:type="dxa" w:w="5076"/>
          </w:tcPr>
          <w:p>
            <w:pPr>
              <w:jc w:val="left"/>
            </w:pPr>
            <w:r>
              <w:rPr/>
              <w:t>供应商需指定一人为项目负责人，根据其资历、能力进行评分：  1、具有信息系统项目管理师资格证书，得2.5分；  2、具有注册测绘师资格证书，得2.5分；  注：①提供相关资格证书复印件；②提供供应商为其购买的近一年来任意1个月的社保证明文件复印件。如果供应商成立时间或该人员入职不足1个月，则提供人员入职证明。代缴个税税单或参加社会保险的《投保单》或《社会保险参保人员证明》等证明均可。若供应商未能提供该人员社保的，可以在响应文件中提供相关承诺书原件并加盖公章，格式自拟，承诺书内容包括但不限于以下内容：“若我单位中标，合同签订时保证按响应文件中所配备投入本项目的人员全部到位并提供所有人员以我单位缴纳的社保证明，否则视为我单位放弃中标资格”，视为满足评审要求。</w:t>
            </w:r>
          </w:p>
        </w:tc>
      </w:tr>
      <w:tr>
        <w:tc>
          <w:tcPr>
            <w:tcW w:type="dxa" w:w="922"/>
            <w:gridSpan w:val="2"/>
            <w:vMerge/>
          </w:tcPr>
          <w:p/>
        </w:tc>
        <w:tc>
          <w:tcPr>
            <w:tcW w:type="dxa" w:w="2307"/>
          </w:tcPr>
          <w:p>
            <w:pPr>
              <w:jc w:val="left"/>
            </w:pPr>
            <w:r>
              <w:rPr/>
              <w:t>项目团队 (10.0分)</w:t>
            </w:r>
          </w:p>
        </w:tc>
        <w:tc>
          <w:tcPr>
            <w:tcW w:type="dxa" w:w="5076"/>
          </w:tcPr>
          <w:p>
            <w:pPr>
              <w:jc w:val="left"/>
            </w:pPr>
            <w:r>
              <w:rPr/>
              <w:t>对供应商拟派项目团队（项目负责人除外）的专业能力、工作业绩等方面进行评审： 项目团队（项目负责人除外）具有系统分析师、系统架构师、高级测绘工程师、信息安全工程师证书、软件设计师、软件评测师、信息系统监理师资格证书的，具有以上7项证书的得10分，具有5-6项以上证书的得7分，具有3-4项以上证书的得4分，具有1-2项以上证书的得1分，其余不得分； 注： （1）同一人员具有多种证书不可以重复得分； （2）提供上述人员相关资格（或职称）证书复印件； （3）提供供应商为其购买的近一年来任意1个月的社保证明文件复印件。如果供应商成立时间或该人员入职不足1个月，则提供人员入职证明。代缴个税税单或参加社会保险的《投保单》或《社会保险参保人员证明》等证明均可。若供应商未能提供该人员社保的，可以在响应文件中提供相关承诺书原件并加盖公章，格式自拟，承诺书内容包括但不限于以下内容：“若我单位中标，合同签订时保证按响应文件中所配备投入本项目的人员全部到位并提供所有人员以我单位缴纳的社保证明，否则视为我单位放弃中标资格”，视为满足评审要求。</w:t>
            </w:r>
          </w:p>
        </w:tc>
      </w:tr>
      <w:tr>
        <w:tc>
          <w:tcPr>
            <w:tcW w:type="dxa" w:w="922"/>
            <w:gridSpan w:val="2"/>
            <w:vMerge/>
          </w:tcPr>
          <w:p/>
        </w:tc>
        <w:tc>
          <w:tcPr>
            <w:tcW w:type="dxa" w:w="2307"/>
          </w:tcPr>
          <w:p>
            <w:pPr>
              <w:jc w:val="left"/>
            </w:pPr>
            <w:r>
              <w:rPr/>
              <w:t>同类项目经验 (8.0分)</w:t>
            </w:r>
          </w:p>
        </w:tc>
        <w:tc>
          <w:tcPr>
            <w:tcW w:type="dxa" w:w="5076"/>
          </w:tcPr>
          <w:p>
            <w:pPr>
              <w:jc w:val="left"/>
            </w:pPr>
            <w:r>
              <w:rPr/>
              <w:t>供应商在近3年（2020年1月以来，以验收报告时间为准）具有自然资源政务信息化平台建设或维护项目业绩，每个得2分，最高得8分。 注：提供上述相关业绩合同复印件及验收报告复印件并加盖供应商公章，不提供不得分。</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t>采购包2(中山市自然资源综合业务平台及自然资源决策支持平台维护):</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商务部分45.0分</w:t>
            </w:r>
          </w:p>
          <w:p>
            <w:r>
              <w:rPr/>
              <w:t>技术部分45.0分</w:t>
            </w:r>
          </w:p>
          <w:p>
            <w:r>
              <w:rPr/>
              <w:t>报价得分10.0分</w:t>
            </w:r>
          </w:p>
        </w:tc>
      </w:tr>
      <w:tr>
        <w:tc>
          <w:tcPr>
            <w:tcW w:type="dxa" w:w="922"/>
            <w:gridSpan w:val="2"/>
            <w:vMerge w:val="restart"/>
          </w:tcPr>
          <w:p>
            <w:pPr>
              <w:jc w:val="center"/>
            </w:pPr>
            <w:r>
              <w:rPr/>
              <w:t>技术部分</w:t>
            </w:r>
          </w:p>
        </w:tc>
        <w:tc>
          <w:tcPr>
            <w:tcW w:type="dxa" w:w="2307"/>
          </w:tcPr>
          <w:p>
            <w:pPr>
              <w:jc w:val="left"/>
            </w:pPr>
            <w:r>
              <w:rPr/>
              <w:t>项目理解 (10.0分)</w:t>
            </w:r>
            <w:r>
              <w:rPr/>
              <w:t>，（等次分值选择：</w:t>
            </w:r>
            <w:r>
              <w:rPr/>
              <w:t>0.0;</w:t>
            </w:r>
            <w:r>
              <w:rPr/>
              <w:t>4.0;</w:t>
            </w:r>
            <w:r>
              <w:rPr/>
              <w:t>7.0;</w:t>
            </w:r>
            <w:r>
              <w:rPr/>
              <w:t>10.0;</w:t>
            </w:r>
            <w:r>
              <w:rPr/>
              <w:t>）</w:t>
            </w:r>
          </w:p>
        </w:tc>
        <w:tc>
          <w:tcPr>
            <w:tcW w:type="dxa" w:w="5076"/>
          </w:tcPr>
          <w:p>
            <w:pPr>
              <w:jc w:val="left"/>
            </w:pPr>
            <w:r>
              <w:rPr/>
              <w:t>根据对项目建设背景、信息化现状的理解与分析，明确项目建设目标和内容： 1、对项目的建设目标和工作内容分析与认识非常深刻、准确，得10分； 2、对项目的建设目标和工作内容分析与认识深刻、准确，得7分； 3、对项目的建设目标和工作内容分析与认识一般，得4分； 4、对项目的建设目标和工作内容缺乏分析与认识，得0分。</w:t>
            </w:r>
          </w:p>
        </w:tc>
      </w:tr>
      <w:tr>
        <w:tc>
          <w:tcPr>
            <w:tcW w:type="dxa" w:w="922"/>
            <w:gridSpan w:val="2"/>
            <w:vMerge/>
          </w:tcPr>
          <w:p/>
        </w:tc>
        <w:tc>
          <w:tcPr>
            <w:tcW w:type="dxa" w:w="2307"/>
          </w:tcPr>
          <w:p>
            <w:pPr>
              <w:jc w:val="left"/>
            </w:pPr>
            <w:r>
              <w:rPr/>
              <w:t>技术方案 (10.0分)</w:t>
            </w:r>
            <w:r>
              <w:rPr/>
              <w:t>，（等次分值选择：</w:t>
            </w:r>
            <w:r>
              <w:rPr/>
              <w:t>0.0;</w:t>
            </w:r>
            <w:r>
              <w:rPr/>
              <w:t>3.0;</w:t>
            </w:r>
            <w:r>
              <w:rPr/>
              <w:t>7.0;</w:t>
            </w:r>
            <w:r>
              <w:rPr/>
              <w:t>10.0;</w:t>
            </w:r>
            <w:r>
              <w:rPr/>
              <w:t>）</w:t>
            </w:r>
          </w:p>
        </w:tc>
        <w:tc>
          <w:tcPr>
            <w:tcW w:type="dxa" w:w="5076"/>
          </w:tcPr>
          <w:p>
            <w:pPr>
              <w:jc w:val="left"/>
            </w:pPr>
            <w:r>
              <w:rPr/>
              <w:t>运维技术方案： 1、运维技术方案完全响应磋商文件需求，合理、可行，包括数据运维、系统运维等工作内容，运维工作机制专业、详细，得10分； 2、运维技术方案基本响应磋商文件需求，较合理，包括数据运维、系统运维等工作内容，运维工作机制较为专业、明确，得7分； 3、运维技术方案一般，部分响应磋商文件需求，得3分； 4、没有提供运维工作方案，得0分。</w:t>
            </w:r>
          </w:p>
        </w:tc>
      </w:tr>
      <w:tr>
        <w:tc>
          <w:tcPr>
            <w:tcW w:type="dxa" w:w="922"/>
            <w:gridSpan w:val="2"/>
            <w:vMerge/>
          </w:tcPr>
          <w:p/>
        </w:tc>
        <w:tc>
          <w:tcPr>
            <w:tcW w:type="dxa" w:w="2307"/>
          </w:tcPr>
          <w:p>
            <w:pPr>
              <w:jc w:val="left"/>
            </w:pPr>
            <w:r>
              <w:rPr/>
              <w:t>组织实施方案 (10.0分)</w:t>
            </w:r>
            <w:r>
              <w:rPr/>
              <w:t>，（等次分值选择：</w:t>
            </w:r>
            <w:r>
              <w:rPr/>
              <w:t>0.0;</w:t>
            </w:r>
            <w:r>
              <w:rPr/>
              <w:t>4.0;</w:t>
            </w:r>
            <w:r>
              <w:rPr/>
              <w:t>7.0;</w:t>
            </w:r>
            <w:r>
              <w:rPr/>
              <w:t>10.0;</w:t>
            </w:r>
            <w:r>
              <w:rPr/>
              <w:t>）</w:t>
            </w:r>
          </w:p>
        </w:tc>
        <w:tc>
          <w:tcPr>
            <w:tcW w:type="dxa" w:w="5076"/>
          </w:tcPr>
          <w:p>
            <w:pPr>
              <w:jc w:val="left"/>
            </w:pPr>
            <w:r>
              <w:rPr/>
              <w:t>根据项目组织实施、服务响应方案（含服务便捷程度、服务响应时间、处理问题能力等）进行评审： 1、服务支持非常便捷，响应快速，能及时向采购人提供服务支持，服务人员稳定保障性高、处理问题能力强，得10分； 2、服务支持比较便捷，响应比较快速，能及时向采购人提供服务支持，服务人员较有保障，处理问题能力较强，得7分； 3、服务支持不便捷，响应慢，未能及时向采购人提供服务支持，处理问题能力一般，得4分； 4、未提供服务响应方案，得0分。</w:t>
            </w:r>
          </w:p>
        </w:tc>
      </w:tr>
      <w:tr>
        <w:tc>
          <w:tcPr>
            <w:tcW w:type="dxa" w:w="922"/>
            <w:gridSpan w:val="2"/>
            <w:vMerge/>
          </w:tcPr>
          <w:p/>
        </w:tc>
        <w:tc>
          <w:tcPr>
            <w:tcW w:type="dxa" w:w="2307"/>
          </w:tcPr>
          <w:p>
            <w:pPr>
              <w:jc w:val="left"/>
            </w:pPr>
            <w:r>
              <w:rPr/>
              <w:t>保障措施 (5.0分)</w:t>
            </w:r>
            <w:r>
              <w:rPr/>
              <w:t>，（等次分值选择：</w:t>
            </w:r>
            <w:r>
              <w:rPr/>
              <w:t>0.0;</w:t>
            </w:r>
            <w:r>
              <w:rPr/>
              <w:t>1.0;</w:t>
            </w:r>
            <w:r>
              <w:rPr/>
              <w:t>2.0;</w:t>
            </w:r>
            <w:r>
              <w:rPr/>
              <w:t>4.0;</w:t>
            </w:r>
            <w:r>
              <w:rPr/>
              <w:t>5.0;</w:t>
            </w:r>
            <w:r>
              <w:rPr/>
              <w:t>）</w:t>
            </w:r>
          </w:p>
        </w:tc>
        <w:tc>
          <w:tcPr>
            <w:tcW w:type="dxa" w:w="5076"/>
          </w:tcPr>
          <w:p>
            <w:pPr>
              <w:jc w:val="left"/>
            </w:pPr>
            <w:r>
              <w:rPr/>
              <w:t>人力和制度措施： 1、有完善的人力和制度措施且详细、明确，能有效地保证系统维护工作的实施进度和质量，得5分； 2、有较明确的人力和制度措施，能较好地保证系统维护工作的实施进度和质量，得4分； 3、人力和制度措施一般，基本能保证系统维护工作的实施进度和质量，得2分； 4、人力和制度措施较差，得1分； 5、没有人力和制度措施，得0分。</w:t>
            </w:r>
          </w:p>
        </w:tc>
      </w:tr>
      <w:tr>
        <w:tc>
          <w:tcPr>
            <w:tcW w:type="dxa" w:w="922"/>
            <w:gridSpan w:val="2"/>
            <w:vMerge/>
          </w:tcPr>
          <w:p/>
        </w:tc>
        <w:tc>
          <w:tcPr>
            <w:tcW w:type="dxa" w:w="2307"/>
          </w:tcPr>
          <w:p>
            <w:pPr>
              <w:jc w:val="left"/>
            </w:pPr>
            <w:r>
              <w:rPr/>
              <w:t>信息安全 (5.0分)</w:t>
            </w:r>
            <w:r>
              <w:rPr/>
              <w:t>，（等次分值选择：</w:t>
            </w:r>
            <w:r>
              <w:rPr/>
              <w:t>0.0;</w:t>
            </w:r>
            <w:r>
              <w:rPr/>
              <w:t>1.0;</w:t>
            </w:r>
            <w:r>
              <w:rPr/>
              <w:t>2.0;</w:t>
            </w:r>
            <w:r>
              <w:rPr/>
              <w:t>3.0;</w:t>
            </w:r>
            <w:r>
              <w:rPr/>
              <w:t>5.0;</w:t>
            </w:r>
            <w:r>
              <w:rPr/>
              <w:t>）</w:t>
            </w:r>
          </w:p>
        </w:tc>
        <w:tc>
          <w:tcPr>
            <w:tcW w:type="dxa" w:w="5076"/>
          </w:tcPr>
          <w:p>
            <w:pPr>
              <w:jc w:val="left"/>
            </w:pPr>
            <w:r>
              <w:rPr/>
              <w:t>有完善的安全措施，保障系统维护实施过程中的数据保密和系统安全： 1、有完善的安全措施且详细、明确，能有效地保障系统维护实施过程中的数据保密和系统安全，切实可行，得5分； 2、有较明确的安全措施，能较好地保障系统维护实施过程中的数据保密和系统安全，得3分； 3、安全措施一般，基本能保障系统维护实施过程中的数据保密和系统安全，得2分； 4、安全措施较差，得1分； 5、没有提供安全保障措施，得0分。</w:t>
            </w:r>
          </w:p>
        </w:tc>
      </w:tr>
      <w:tr>
        <w:tc>
          <w:tcPr>
            <w:tcW w:type="dxa" w:w="922"/>
            <w:gridSpan w:val="2"/>
            <w:vMerge/>
          </w:tcPr>
          <w:p/>
        </w:tc>
        <w:tc>
          <w:tcPr>
            <w:tcW w:type="dxa" w:w="2307"/>
          </w:tcPr>
          <w:p>
            <w:pPr>
              <w:jc w:val="left"/>
            </w:pPr>
            <w:r>
              <w:rPr/>
              <w:t>合理化建议 (5.0分)</w:t>
            </w:r>
            <w:r>
              <w:rPr/>
              <w:t>，（等次分值选择：</w:t>
            </w:r>
            <w:r>
              <w:rPr/>
              <w:t>0.0;</w:t>
            </w:r>
            <w:r>
              <w:rPr/>
              <w:t>1.0;</w:t>
            </w:r>
            <w:r>
              <w:rPr/>
              <w:t>3.0;</w:t>
            </w:r>
            <w:r>
              <w:rPr/>
              <w:t>5.0;</w:t>
            </w:r>
            <w:r>
              <w:rPr/>
              <w:t>）</w:t>
            </w:r>
          </w:p>
        </w:tc>
        <w:tc>
          <w:tcPr>
            <w:tcW w:type="dxa" w:w="5076"/>
          </w:tcPr>
          <w:p>
            <w:pPr>
              <w:jc w:val="left"/>
            </w:pPr>
            <w:r>
              <w:rPr/>
              <w:t>针对本项目提出合理化建议，运维方案是否有独到的优势，是否符合中山市当前和未来发展的要求： 1、能针对项目提出合理化建议，运维方案有独到的优势且切实可行，符合中山市当前和未来发展的要求，得5分； 2、能针对项目提出部分合理化建议，运维方案切实可行，基本符合中山市当前和未来发展的要求，得3分； 3、能提出一些合理化建议，有运维方案，部分符合中市当前和未来发展的要求，得1分； 4、没有提出合理化建议，得0分。</w:t>
            </w:r>
          </w:p>
        </w:tc>
      </w:tr>
      <w:tr>
        <w:tc>
          <w:tcPr>
            <w:tcW w:type="dxa" w:w="922"/>
            <w:gridSpan w:val="2"/>
            <w:vMerge w:val="restart"/>
          </w:tcPr>
          <w:p>
            <w:pPr>
              <w:jc w:val="center"/>
            </w:pPr>
            <w:r>
              <w:rPr/>
              <w:t>商务部分</w:t>
            </w:r>
          </w:p>
        </w:tc>
        <w:tc>
          <w:tcPr>
            <w:tcW w:type="dxa" w:w="2307"/>
          </w:tcPr>
          <w:p>
            <w:pPr>
              <w:jc w:val="left"/>
            </w:pPr>
            <w:r>
              <w:rPr/>
              <w:t>企业资质 (6.0分)</w:t>
            </w:r>
          </w:p>
        </w:tc>
        <w:tc>
          <w:tcPr>
            <w:tcW w:type="dxa" w:w="5076"/>
          </w:tcPr>
          <w:p>
            <w:pPr>
              <w:jc w:val="left"/>
            </w:pPr>
            <w:r>
              <w:rPr/>
              <w:t>1、供应商具有有效的质量管理体系认证证书（认证范围需包括软件开发与信息系统集成服务或地理信息系统工程类），得1.5分； 2、供应商具有有效的环境管理体系认证证书（认证范围包括软件开发与信息系统集成服务或地理信息系统工程类），得1.5分； 3、供应商具有有效的职业健康安全管理体系认证证书（认证范围包括软件开发与信息系统集成服务或地理信息系统工程类），得1.5分； 4、供应商具有有效的知识产权管理体系认证证书（认证范围包括自然资源政务服务或地理信息系统工程类），得1.5分。 注：提供有效证书复印件及全国认证认可信息公共服务平台（http://cx.cnca.cn）认证信息查询截图（截图需显示证书状态为有效），并加盖供应商公章，未提供的或不符合要求的不得分。</w:t>
            </w:r>
          </w:p>
        </w:tc>
      </w:tr>
      <w:tr>
        <w:tc>
          <w:tcPr>
            <w:tcW w:type="dxa" w:w="922"/>
            <w:gridSpan w:val="2"/>
            <w:vMerge/>
          </w:tcPr>
          <w:p/>
        </w:tc>
        <w:tc>
          <w:tcPr>
            <w:tcW w:type="dxa" w:w="2307"/>
          </w:tcPr>
          <w:p>
            <w:pPr>
              <w:jc w:val="left"/>
            </w:pPr>
            <w:r>
              <w:rPr/>
              <w:t>项目业绩 (6.0分)</w:t>
            </w:r>
          </w:p>
        </w:tc>
        <w:tc>
          <w:tcPr>
            <w:tcW w:type="dxa" w:w="5076"/>
          </w:tcPr>
          <w:p>
            <w:pPr>
              <w:jc w:val="left"/>
            </w:pPr>
            <w:r>
              <w:rPr/>
              <w:t>供应商在近3年（2020年1月以来，以验收报告时间为准）具有自然资源政务信息化平台建设或维护项目业绩，每个得2分，最高得6分。 注：提供上述相关业绩合同复印件及验收报告复印件并加盖供应商公章，不提供不得分。</w:t>
            </w:r>
          </w:p>
        </w:tc>
      </w:tr>
      <w:tr>
        <w:tc>
          <w:tcPr>
            <w:tcW w:type="dxa" w:w="922"/>
            <w:gridSpan w:val="2"/>
            <w:vMerge/>
          </w:tcPr>
          <w:p/>
        </w:tc>
        <w:tc>
          <w:tcPr>
            <w:tcW w:type="dxa" w:w="2307"/>
          </w:tcPr>
          <w:p>
            <w:pPr>
              <w:jc w:val="left"/>
            </w:pPr>
            <w:r>
              <w:rPr/>
              <w:t>项目负责人 (6.0分)</w:t>
            </w:r>
          </w:p>
        </w:tc>
        <w:tc>
          <w:tcPr>
            <w:tcW w:type="dxa" w:w="5076"/>
          </w:tcPr>
          <w:p>
            <w:pPr>
              <w:jc w:val="left"/>
            </w:pPr>
            <w:r>
              <w:rPr/>
              <w:t>供应商需指定一人为项目负责人，根据其资历、能力进行评分：  （1）具有地理信息系统工程高级或以上职称，得2分；具有地理信息系统工程中级职称得1分，最高可得2分； （2）具有系统分析师、系统架构设计师、信息系统项目管理师、系统规划与管理师、网络工程师、软件设计师资格证书的,每具有1项得1分，最高可得4分。 注： ①需提供有关人员的身份证（正反面）、职称证、相关资格证书复印件（加盖公章）； ②提供供应商为其购买的近一年来任意1个月的社保证明文件复印件。如果供应商成立时间或该人员入职不足1个月，则提供人员入职证明。代缴个税税单或参加社会保险的《投保单》或《社会保险参保人员证明》等证明均可。若供应商未能提供该人员社保的，可以在响应文件中提供相关承诺书原件并加盖公章，格式自拟，承诺书内容包括但不限于以下内容：“若我单位中标，合同签订时保证按响应文件中所配备投入本项目的人员全部到位并提供所有人员以我单位缴纳的社保证明，否则视为我单位放弃中标资格”，视为满足评审要求。  ③此项最高得分为6分。</w:t>
            </w:r>
          </w:p>
        </w:tc>
      </w:tr>
      <w:tr>
        <w:tc>
          <w:tcPr>
            <w:tcW w:type="dxa" w:w="922"/>
            <w:gridSpan w:val="2"/>
            <w:vMerge/>
          </w:tcPr>
          <w:p/>
        </w:tc>
        <w:tc>
          <w:tcPr>
            <w:tcW w:type="dxa" w:w="2307"/>
          </w:tcPr>
          <w:p>
            <w:pPr>
              <w:jc w:val="left"/>
            </w:pPr>
            <w:r>
              <w:rPr/>
              <w:t>技术负责人 (5.0分)</w:t>
            </w:r>
          </w:p>
        </w:tc>
        <w:tc>
          <w:tcPr>
            <w:tcW w:type="dxa" w:w="5076"/>
          </w:tcPr>
          <w:p>
            <w:pPr>
              <w:jc w:val="left"/>
            </w:pPr>
            <w:r>
              <w:rPr/>
              <w:t>供应商需指定一人为技术负责人，根据其资历、能力进行评价： （1）具有国土/规划专业教授级（正高级）工程师职称，得1分；具有国土/规划专业高级（副高级）工程师职称，得0.5分，最高可得1分； （2）具有注册规划师资格证书，得1分，最高可得1分； （3）2020年1月至今获得过省级或省级以上人民政府部门颁发的科技奖，每具有一项得1.5分，最高可得3分。 注： ①提供有关人员的身份证（正反面）、职称证和相关资格证书复印件（加盖公章）； ②需提供有关人员获奖证书证明材料复印件（加盖供应商公章），获奖时间以获奖证书时间为准； ③提供供应商为其购买的近一年来任意1个月的社保证明文件复印件。如果供应商成立时间或该人员入职不足1个月，则提供人员入职证明。代缴个税税单或参加社会保险的《投保单》或《社会保险参保人员证明》等证明均可。若供应商未能提供该人员社保的，可以在响应文件中提供相关承诺书原件并加盖公章，格式自拟，承诺书内容包括但不限于以下内容：“若我单位中标，合同签订时保证按响应文件中所配备投入本项目的人员全部到位并提供所有人员以我单位缴纳的社保证明，否则视为我单位放弃中标资格”，视为满足评审要求。  ④此项最高得分为5分。</w:t>
            </w:r>
          </w:p>
        </w:tc>
      </w:tr>
      <w:tr>
        <w:tc>
          <w:tcPr>
            <w:tcW w:type="dxa" w:w="922"/>
            <w:gridSpan w:val="2"/>
            <w:vMerge/>
          </w:tcPr>
          <w:p/>
        </w:tc>
        <w:tc>
          <w:tcPr>
            <w:tcW w:type="dxa" w:w="2307"/>
          </w:tcPr>
          <w:p>
            <w:pPr>
              <w:jc w:val="left"/>
            </w:pPr>
            <w:r>
              <w:rPr/>
              <w:t>项目团队 (10.0分)</w:t>
            </w:r>
          </w:p>
        </w:tc>
        <w:tc>
          <w:tcPr>
            <w:tcW w:type="dxa" w:w="5076"/>
          </w:tcPr>
          <w:p>
            <w:pPr>
              <w:jc w:val="left"/>
            </w:pPr>
            <w:r>
              <w:rPr/>
              <w:t>拟派本项目的团队成员（不含项目负责人和技术负责人） 中以下资格/职称证书的： （1）具有数据库系统工程师，每提供1个得1分，最高可得2分； （2）具有软件设计师，每提供1个得1分，最高可得2分； （3）具有系统分析师，每提供1个得2分，最高可得2分； （4）具有系统架构设计师，每提供1个得2分，最高可得2分； （5）具有国土/规划高级或以上职称，每提供1个得2分，最高可得2分。 ①需提供有关人员的身份证（正反面）、职称证和相关资格证书复印件（加盖公章），同一人员具有多种证书不得重复得分； ②提供供应商为其购买的近一年来任意1个月的社保证明文件复印件。如果供应商成立时间或该人员入职不足1个月，则提供人员入职证明。代缴个税税单或参加社会保险的《投保单》或《社会保险参保人员证明》等证明均可。若供应商未能提供该人员社保的，可以在响应文件中提供相关承诺书原件并加盖公章，格式自拟，承诺书内容包括但不限于以下内容：“若我单位中标，合同签订时保证按响应文件中所配备投入本项目的人员全部到位并提供所有人员以我单位缴纳的社保证明，否则视为我单位放弃中标资格”，视为满足评审要求。  ③此项最高得分为10分。</w:t>
            </w:r>
          </w:p>
        </w:tc>
      </w:tr>
      <w:tr>
        <w:tc>
          <w:tcPr>
            <w:tcW w:type="dxa" w:w="922"/>
            <w:gridSpan w:val="2"/>
            <w:vMerge/>
          </w:tcPr>
          <w:p/>
        </w:tc>
        <w:tc>
          <w:tcPr>
            <w:tcW w:type="dxa" w:w="2307"/>
          </w:tcPr>
          <w:p>
            <w:pPr>
              <w:jc w:val="left"/>
            </w:pPr>
            <w:r>
              <w:rPr/>
              <w:t>创新能力（一） (10.0分)</w:t>
            </w:r>
          </w:p>
        </w:tc>
        <w:tc>
          <w:tcPr>
            <w:tcW w:type="dxa" w:w="5076"/>
          </w:tcPr>
          <w:p>
            <w:pPr>
              <w:jc w:val="left"/>
            </w:pPr>
            <w:r>
              <w:rPr/>
              <w:t>供应商自2020年1月1日以来： （1）获得省级或省级以上人民政府部门颁发的科技奖每个得2分，最高可得4分； （2）获得中国地理信息产业协会、中国测绘学会颁发的科技类奖每个得1分；获得省级地理信息学会、省级测绘学会等颁发的科技类奖每个得0.5分；获得地市级地理信息学会、地市级地理信息产业协会等颁发的科技类奖每个得0.2分；本项最高得3分； （3）获得中国地理信息产业协会、中国测绘学会等颁发的工程奖每个得1分；获得省级地理信息学会、省级测绘学会等颁发的工程奖的每个得0.5分；获得地市级地理信息学会、地市级地理信息产业协会等颁发的工程奖的每个得0.2分；本项最高得3分； ①需提供获奖证书复印件并加盖供应商公章，时间以获奖证书颁发时间为准； ②同一项目不得重复计分，只计算最高获奖得分； ③此项最高得分为10分。</w:t>
            </w:r>
          </w:p>
        </w:tc>
      </w:tr>
      <w:tr>
        <w:tc>
          <w:tcPr>
            <w:tcW w:type="dxa" w:w="922"/>
            <w:gridSpan w:val="2"/>
            <w:vMerge/>
          </w:tcPr>
          <w:p/>
        </w:tc>
        <w:tc>
          <w:tcPr>
            <w:tcW w:type="dxa" w:w="2307"/>
          </w:tcPr>
          <w:p>
            <w:pPr>
              <w:jc w:val="left"/>
            </w:pPr>
            <w:r>
              <w:rPr/>
              <w:t>创新能力（二） (2.0分)</w:t>
            </w:r>
          </w:p>
        </w:tc>
        <w:tc>
          <w:tcPr>
            <w:tcW w:type="dxa" w:w="5076"/>
          </w:tcPr>
          <w:p>
            <w:pPr>
              <w:jc w:val="left"/>
            </w:pPr>
            <w:r>
              <w:rPr/>
              <w:t>供应商自2020年1月1日以来： 获得自然资源政务信息化相关的软件著作权的，每个得1分，最高可得2分。 ①提供软件著作权证书复印件并加盖供应商公章，时间以证书颁发时间为准； ②此项最高得分为2分。</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6.汇总、排序</w:t>
      </w:r>
    </w:p>
    <w:p>
      <w:pPr>
        <w:ind w:firstLine="480"/>
      </w:pPr>
    </w:p>
    <w:p/>
    <w:p>
      <w:r>
        <w:rPr/>
        <w:t>采购包1：</w:t>
      </w:r>
    </w:p>
    <w:p/>
    <w:p>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
      <w:r>
        <w:rPr/>
        <w:t>采购包2：</w:t>
      </w:r>
    </w:p>
    <w:p/>
    <w:p>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
      <w:r>
        <w:rPr>
          <w:b/>
          <w:sz w:val="24"/>
        </w:rPr>
        <w:t>7.其他无效响应的情形：</w:t>
      </w:r>
    </w:p>
    <w:p>
      <w:pPr>
        <w:ind w:firstLine="480"/>
      </w:pPr>
      <w:r>
        <w:rPr/>
        <w:t>（1）评审期间，供应商没有按磋商小组的要求提交法定代表人或其委托代理人签字的澄清、说明、补正或改变了响应文件的实质性内容的。</w:t>
      </w:r>
    </w:p>
    <w:p>
      <w:pPr>
        <w:ind w:firstLine="480"/>
      </w:pPr>
      <w:r>
        <w:rPr/>
        <w:t>（2）响应文件提供虚假材料的。</w:t>
      </w:r>
    </w:p>
    <w:p>
      <w:pPr>
        <w:ind w:firstLine="480"/>
      </w:pPr>
      <w:r>
        <w:rPr/>
        <w:t>（3）供应商以他人名义响应、串通响应、以行贿手段谋取成交或者以其他弄虚作假方式响应的。</w:t>
      </w:r>
    </w:p>
    <w:p>
      <w:pPr>
        <w:ind w:firstLine="480"/>
      </w:pPr>
      <w:r>
        <w:rPr/>
        <w:t>（4）供应商对采购人、采购代理机构、磋商小组及其工作人员施加影响，有碍招标公平、公正的。</w:t>
      </w:r>
    </w:p>
    <w:p>
      <w:pPr>
        <w:ind w:firstLine="480"/>
      </w:pPr>
      <w:r>
        <w:rPr/>
        <w:t>（5）响应文件含有采购人不能接受的附加条件的。</w:t>
      </w:r>
    </w:p>
    <w:p>
      <w:pPr>
        <w:ind w:firstLine="480"/>
      </w:pPr>
      <w:r>
        <w:rPr/>
        <w:t>（6）法律、法规和磋商文件规定的其他无效情形。</w:t>
      </w:r>
    </w:p>
    <w:p>
      <w:pPr>
        <w:ind w:firstLine="480"/>
      </w:pPr>
    </w:p>
    <w:p>
      <w:r>
        <w:rPr/>
        <w:t xml:space="preserve"> </w:t>
      </w:r>
    </w:p>
    <w:p/>
    <w:p>
      <w:pPr>
        <w:jc w:val="center"/>
      </w:pPr>
      <w:r>
        <w:rPr>
          <w:b/>
          <w:sz w:val="36"/>
        </w:rPr>
        <w:t>第五章 合同文本</w:t>
      </w:r>
    </w:p>
    <w:p>
      <w:pPr>
        <w:ind w:firstLine="480"/>
      </w:pPr>
    </w:p>
    <w:p/>
    <w:p/>
    <w:p/>
    <w:p>
      <w:pPr>
        <w:jc w:val="center"/>
      </w:pPr>
      <w:r>
        <w:rPr>
          <w:b/>
        </w:rPr>
        <w:t xml:space="preserve"> </w:t>
      </w:r>
    </w:p>
    <w:p>
      <w:pPr>
        <w:jc w:val="center"/>
      </w:pPr>
      <w:r>
        <w:rPr>
          <w:b/>
        </w:rPr>
        <w:t xml:space="preserve"> </w:t>
      </w:r>
    </w:p>
    <w:p>
      <w:pPr>
        <w:jc w:val="center"/>
      </w:pPr>
      <w:r>
        <w:rPr>
          <w:b/>
        </w:rPr>
        <w:t xml:space="preserve"> </w:t>
      </w:r>
    </w:p>
    <w:p>
      <w:pPr>
        <w:jc w:val="center"/>
      </w:pPr>
      <w:r>
        <w:rPr>
          <w:b/>
        </w:rPr>
        <w:t xml:space="preserve"> </w:t>
      </w:r>
    </w:p>
    <w:p>
      <w:pPr>
        <w:jc w:val="center"/>
      </w:pPr>
      <w:r>
        <w:rPr>
          <w:b/>
        </w:rPr>
        <w:t>广东省政府采购</w:t>
      </w:r>
    </w:p>
    <w:p>
      <w:pPr>
        <w:jc w:val="both"/>
      </w:pPr>
      <w:r>
        <w:rPr>
          <w:color w:val="222222"/>
          <w:sz w:val="27"/>
        </w:rPr>
        <w:t xml:space="preserve"> </w:t>
      </w:r>
    </w:p>
    <w:p>
      <w:pPr>
        <w:jc w:val="center"/>
      </w:pPr>
      <w:r>
        <w:rPr>
          <w:b/>
        </w:rPr>
        <w:t>合　同　书</w:t>
      </w:r>
    </w:p>
    <w:p>
      <w:pPr>
        <w:jc w:val="center"/>
      </w:pPr>
      <w:r>
        <w:br/>
      </w:r>
      <w:r>
        <w:br/>
      </w:r>
      <w:r>
        <w:br/>
      </w:r>
      <w:r>
        <w:br/>
      </w:r>
      <w:r>
        <w:br/>
      </w:r>
      <w:r>
        <w:br/>
      </w:r>
      <w:r>
        <w:br/>
      </w:r>
      <w:r>
        <w:br/>
      </w:r>
      <w:r>
        <w:rPr>
          <w:color w:val="222222"/>
          <w:sz w:val="27"/>
        </w:rPr>
        <w:t xml:space="preserve"> </w:t>
      </w:r>
    </w:p>
    <w:p>
      <w:pPr>
        <w:jc w:val="center"/>
      </w:pPr>
      <w:r>
        <w:rPr>
          <w:color w:val="222222"/>
          <w:sz w:val="28"/>
        </w:rPr>
        <w:t>采购计划编号：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jc w:val="both"/>
      </w:pPr>
      <w:r>
        <w:rPr>
          <w:color w:val="222222"/>
          <w:sz w:val="27"/>
        </w:rPr>
        <w:t xml:space="preserve"> </w:t>
      </w:r>
    </w:p>
    <w:p>
      <w:pPr>
        <w:jc w:val="center"/>
      </w:pPr>
      <w:r>
        <w:rPr>
          <w:color w:val="222222"/>
          <w:sz w:val="28"/>
        </w:rPr>
        <w:t>项目编号：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jc w:val="both"/>
      </w:pPr>
      <w:r>
        <w:rPr>
          <w:color w:val="222222"/>
          <w:sz w:val="27"/>
        </w:rPr>
        <w:t xml:space="preserve"> </w:t>
      </w:r>
    </w:p>
    <w:p>
      <w:pPr>
        <w:jc w:val="center"/>
      </w:pPr>
      <w:r>
        <w:rPr>
          <w:color w:val="222222"/>
          <w:sz w:val="28"/>
        </w:rPr>
        <w:t>项目名称：</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pPr>
        <w:jc w:val="both"/>
      </w:pPr>
      <w:r>
        <w:br/>
      </w:r>
      <w:r>
        <w:rPr>
          <w:color w:val="222222"/>
          <w:sz w:val="27"/>
        </w:rPr>
        <w:t xml:space="preserve"> </w:t>
      </w:r>
    </w:p>
    <w:p>
      <w:pPr>
        <w:jc w:val="both"/>
      </w:pPr>
      <w:r>
        <w:rPr>
          <w:b/>
          <w:sz w:val="21"/>
        </w:rPr>
        <w:t>第一条：本合同当事人</w:t>
      </w:r>
    </w:p>
    <w:p>
      <w:pPr>
        <w:jc w:val="both"/>
      </w:pPr>
      <w:r>
        <w:rPr>
          <w:b/>
          <w:sz w:val="21"/>
        </w:rPr>
        <w:t>甲方：</w:t>
      </w:r>
      <w:r>
        <w:rPr>
          <w:sz w:val="21"/>
          <w:u w:val="single"/>
        </w:rPr>
        <w:t xml:space="preserve">　　　　　 </w:t>
      </w:r>
    </w:p>
    <w:p>
      <w:pPr>
        <w:jc w:val="both"/>
      </w:pPr>
      <w:r>
        <w:rPr>
          <w:sz w:val="27"/>
        </w:rPr>
        <w:t>电话：</w:t>
      </w:r>
      <w:r>
        <w:rPr>
          <w:sz w:val="21"/>
          <w:u w:val="single"/>
        </w:rPr>
        <w:t xml:space="preserve">　　　　 </w:t>
      </w:r>
      <w:r>
        <w:rPr>
          <w:sz w:val="27"/>
        </w:rPr>
        <w:t>传真</w:t>
      </w:r>
      <w:r>
        <w:rPr>
          <w:sz w:val="27"/>
        </w:rPr>
        <w:t>：</w:t>
      </w:r>
      <w:r>
        <w:rPr>
          <w:sz w:val="21"/>
          <w:u w:val="single"/>
        </w:rPr>
        <w:t xml:space="preserve">　　　 </w:t>
      </w:r>
      <w:r>
        <w:rPr>
          <w:sz w:val="27"/>
        </w:rPr>
        <w:t>地址：</w:t>
      </w:r>
      <w:r>
        <w:rPr>
          <w:sz w:val="21"/>
          <w:u w:val="single"/>
        </w:rPr>
        <w:t xml:space="preserve">　　　  </w:t>
      </w:r>
    </w:p>
    <w:p>
      <w:pPr>
        <w:jc w:val="both"/>
      </w:pPr>
      <w:r>
        <w:rPr>
          <w:b/>
          <w:sz w:val="21"/>
        </w:rPr>
        <w:t>乙方：</w:t>
      </w:r>
      <w:r>
        <w:rPr>
          <w:sz w:val="21"/>
          <w:u w:val="single"/>
        </w:rPr>
        <w:t xml:space="preserve">　　　　　 </w:t>
      </w:r>
    </w:p>
    <w:p>
      <w:pPr>
        <w:jc w:val="both"/>
      </w:pPr>
      <w:r>
        <w:rPr>
          <w:sz w:val="27"/>
        </w:rPr>
        <w:t>电话：</w:t>
      </w:r>
      <w:r>
        <w:rPr>
          <w:sz w:val="21"/>
          <w:u w:val="single"/>
        </w:rPr>
        <w:t xml:space="preserve">　　　　  </w:t>
      </w:r>
      <w:r>
        <w:rPr>
          <w:sz w:val="27"/>
        </w:rPr>
        <w:t>传真：</w:t>
      </w:r>
      <w:r>
        <w:rPr>
          <w:sz w:val="21"/>
          <w:u w:val="single"/>
        </w:rPr>
        <w:t xml:space="preserve">　　　  </w:t>
      </w:r>
      <w:r>
        <w:rPr>
          <w:sz w:val="27"/>
        </w:rPr>
        <w:t>地址：</w:t>
      </w:r>
      <w:r>
        <w:rPr>
          <w:sz w:val="21"/>
          <w:u w:val="single"/>
        </w:rPr>
        <w:t xml:space="preserve">　　　  </w:t>
      </w:r>
    </w:p>
    <w:p>
      <w:pPr>
        <w:jc w:val="both"/>
      </w:pPr>
      <w:r>
        <w:rPr>
          <w:sz w:val="21"/>
        </w:rPr>
        <w:t xml:space="preserve"> </w:t>
      </w:r>
    </w:p>
    <w:p>
      <w:pPr>
        <w:jc w:val="both"/>
      </w:pPr>
      <w:r>
        <w:rPr>
          <w:sz w:val="21"/>
        </w:rPr>
        <w:t xml:space="preserve"> </w:t>
      </w:r>
    </w:p>
    <w:p>
      <w:pPr>
        <w:ind w:firstLine="420"/>
        <w:jc w:val="both"/>
      </w:pPr>
      <w:r>
        <w:rPr>
          <w:sz w:val="21"/>
        </w:rPr>
        <w:t>根据《中华人民共和国民法典》及中山市自然资源局自然资源政务信息平台运维项目</w:t>
      </w:r>
      <w:r>
        <w:rPr>
          <w:sz w:val="21"/>
        </w:rPr>
        <w:t>(</w:t>
      </w:r>
      <w:r>
        <w:rPr>
          <w:sz w:val="21"/>
        </w:rPr>
        <w:t>项目编号：</w:t>
      </w:r>
      <w:r>
        <w:rPr>
          <w:sz w:val="21"/>
        </w:rPr>
        <w:t>ZZ22317538</w:t>
      </w:r>
      <w:r>
        <w:rPr>
          <w:sz w:val="21"/>
        </w:rPr>
        <w:t>包组号：采购包</w:t>
      </w:r>
      <w:r>
        <w:rPr>
          <w:sz w:val="21"/>
        </w:rPr>
        <w:t>1)</w:t>
      </w:r>
      <w:r>
        <w:rPr>
          <w:sz w:val="21"/>
        </w:rPr>
        <w:t>（下称：本项目）的采购文件和成交通知书的要求，在自愿、平等、互利的基础上，经双方共同协商。就甲方委托乙方实行中山市自然资源局自然资源政务信息平台运维服务管理事宜，订立本合同，以资双方共同遵守执行。</w:t>
      </w:r>
    </w:p>
    <w:p>
      <w:pPr>
        <w:jc w:val="both"/>
      </w:pPr>
    </w:p>
    <w:p>
      <w:pPr>
        <w:jc w:val="both"/>
      </w:pPr>
      <w:r>
        <w:rPr>
          <w:b/>
          <w:sz w:val="21"/>
        </w:rPr>
        <w:t>第二条：项目名称及实施地点</w:t>
      </w:r>
    </w:p>
    <w:p>
      <w:pPr>
        <w:jc w:val="both"/>
      </w:pPr>
      <w:r>
        <w:rPr>
          <w:sz w:val="21"/>
        </w:rPr>
        <w:t>项目名称：中山市自然资源局自然资源政务信息平台运维项目</w:t>
      </w:r>
    </w:p>
    <w:p>
      <w:pPr>
        <w:jc w:val="both"/>
      </w:pPr>
      <w:r>
        <w:rPr>
          <w:sz w:val="21"/>
        </w:rPr>
        <w:t>实施地点：</w:t>
      </w:r>
      <w:r>
        <w:rPr>
          <w:sz w:val="21"/>
        </w:rPr>
        <w:t>中山市自然资源局</w:t>
      </w:r>
    </w:p>
    <w:p>
      <w:pPr>
        <w:jc w:val="both"/>
      </w:pPr>
    </w:p>
    <w:p>
      <w:pPr>
        <w:jc w:val="both"/>
      </w:pPr>
      <w:r>
        <w:rPr>
          <w:b/>
          <w:sz w:val="21"/>
        </w:rPr>
        <w:t>第三条：项目维护内容</w:t>
      </w:r>
    </w:p>
    <w:p>
      <w:pPr>
        <w:jc w:val="both"/>
      </w:pPr>
      <w:r>
        <w:rPr>
          <w:b/>
          <w:sz w:val="21"/>
        </w:rPr>
        <w:t>一、项目目标</w:t>
      </w:r>
    </w:p>
    <w:p>
      <w:pPr>
        <w:jc w:val="both"/>
      </w:pPr>
      <w:r>
        <w:rPr>
          <w:sz w:val="21"/>
        </w:rPr>
        <w:t>保障项目范围内所有信息系统在维护期限内整体、稳定、协同、持续、高效地运行，全面及时掌握平台建设和运行情况，根据自然资源服务提升需求进行系统配置和功能调整，主要实现以下目标：</w:t>
      </w:r>
    </w:p>
    <w:p>
      <w:pPr>
        <w:jc w:val="both"/>
      </w:pPr>
      <w:r>
        <w:rPr>
          <w:b/>
          <w:sz w:val="21"/>
        </w:rPr>
        <w:t>1)</w:t>
      </w:r>
      <w:r>
        <w:rPr>
          <w:b/>
          <w:sz w:val="21"/>
        </w:rPr>
        <w:t>完善自然资源大数据中心的数据服务能力</w:t>
      </w:r>
    </w:p>
    <w:p>
      <w:pPr>
        <w:jc w:val="both"/>
      </w:pPr>
      <w:r>
        <w:rPr>
          <w:sz w:val="21"/>
        </w:rPr>
        <w:t>通过进一步优化自然资源大数据中心数据管理与服务能力，完善中山市自然资源大数据中心的技术服务能力。在运维期间以落实以下运维工作为目标。</w:t>
      </w:r>
    </w:p>
    <w:p>
      <w:pPr>
        <w:jc w:val="both"/>
      </w:pPr>
      <w:r>
        <w:rPr>
          <w:sz w:val="21"/>
        </w:rPr>
        <w:t>实现自然资源服务质量提升。根据自然资源业务需求，落实大数据中心数据管理体系优化；包括底图数据服务运维、存量数据运维、增量数据加工入库等数据中心服务运维工作；包括空间数据管理、数据共享与对外服务等政务数据普查管理工作；包括林业专题数据服务、工业用地专项数据服务、“标准地”数据规整及发布、“三规”数据更新及入库、其他用地专项统计技术服务等专项数据技术服务工作；包括安全值班值守、技术培训等内容。全面落实大数据中心安全运维保障工作。提升最大化资源利用率和整体工作效率，落实大数据中心安全运维保障工作，保障大数据中心安全、平稳运行。</w:t>
      </w:r>
    </w:p>
    <w:p>
      <w:pPr>
        <w:jc w:val="both"/>
      </w:pPr>
      <w:r>
        <w:rPr>
          <w:b/>
          <w:sz w:val="21"/>
        </w:rPr>
        <w:t>2)</w:t>
      </w:r>
      <w:r>
        <w:rPr>
          <w:b/>
          <w:sz w:val="21"/>
        </w:rPr>
        <w:t>保障系统基础运行支撑服务，保障平台安全稳定运行</w:t>
      </w:r>
    </w:p>
    <w:p>
      <w:pPr>
        <w:jc w:val="both"/>
      </w:pPr>
      <w:r>
        <w:rPr>
          <w:sz w:val="21"/>
        </w:rPr>
        <w:t>通过强化国土空间基础信息平台等系统运维，提高安全保障能力及数据服务支撑能力，为自然资源管理与服务提供坚强保障，落实系统软件日常运维服务及技术支持等工作，保障项目范围内系统平台在维护期限内的稳定、高效、安全运行。</w:t>
      </w:r>
    </w:p>
    <w:p>
      <w:pPr>
        <w:jc w:val="both"/>
      </w:pPr>
      <w:r>
        <w:rPr>
          <w:b/>
          <w:sz w:val="21"/>
        </w:rPr>
        <w:t>3)</w:t>
      </w:r>
      <w:r>
        <w:rPr>
          <w:b/>
          <w:sz w:val="21"/>
        </w:rPr>
        <w:t>加强网络与信息安全运维保障服务</w:t>
      </w:r>
    </w:p>
    <w:p>
      <w:pPr>
        <w:jc w:val="both"/>
      </w:pPr>
      <w:r>
        <w:rPr>
          <w:sz w:val="21"/>
        </w:rPr>
        <w:t>为深度融入数字政府网络安全体系，以“实战化，体系化，常态化”为新理念，以“动态防御，主动防御，纵深防御，精准防护，整体防护，联防联控”为新举措，整体上利用数字政府公共安全服务组件对中山市自然资源数据和应用进行护航。提供数据加密、数据脱敏、数据备份等数据安全管理手段，提供漏洞扫描、系统安全配置、病毒检测、主机系统渗透测试、软件测试、故障排查、日志检查、账号维护等软件、系统安全防护措施，制定安全应急预案、网络攻防演练等安全防护手段，对平台系统安全的状态进行实时监控评估，全方位提升网络安全、数据安全、系统安全、软件安全防护能力，推进自然资源网络安全治理能力现代化。最大程度地解决平台所面临的应用安全问题，从根本上提升安全防护能力。</w:t>
      </w:r>
    </w:p>
    <w:p>
      <w:pPr>
        <w:jc w:val="both"/>
      </w:pPr>
    </w:p>
    <w:p>
      <w:pPr>
        <w:jc w:val="both"/>
      </w:pPr>
      <w:r>
        <w:rPr>
          <w:b/>
          <w:sz w:val="21"/>
        </w:rPr>
        <w:t>二、主要服务内容</w:t>
      </w:r>
    </w:p>
    <w:p>
      <w:pPr>
        <w:ind w:firstLine="420"/>
        <w:jc w:val="both"/>
      </w:pPr>
      <w:r>
        <w:rPr>
          <w:sz w:val="21"/>
        </w:rPr>
        <w:t>自然资源大数据中心服务内容包括大数据中心运维、系统运维、网络与信息安全运维，包括纳入本项目范围的国土空间基础信息平台的系统运维服务。</w:t>
      </w:r>
    </w:p>
    <w:p>
      <w:pPr>
        <w:jc w:val="both"/>
      </w:pPr>
      <w:r>
        <w:rPr>
          <w:sz w:val="21"/>
        </w:rPr>
        <w:t xml:space="preserve">   </w:t>
      </w:r>
      <w:r>
        <w:rPr>
          <w:sz w:val="21"/>
        </w:rPr>
        <w:t>相关运维工作详细内容按本项目磋商文件中约定的要求执行。</w:t>
      </w:r>
    </w:p>
    <w:p>
      <w:pPr>
        <w:jc w:val="both"/>
      </w:pPr>
    </w:p>
    <w:p>
      <w:pPr>
        <w:jc w:val="both"/>
      </w:pPr>
      <w:r>
        <w:rPr>
          <w:b/>
          <w:sz w:val="21"/>
        </w:rPr>
        <w:t>三、维护方式和要求</w:t>
      </w:r>
    </w:p>
    <w:p>
      <w:pPr>
        <w:jc w:val="both"/>
      </w:pPr>
      <w:r>
        <w:rPr>
          <w:b/>
          <w:sz w:val="21"/>
        </w:rPr>
        <w:t>（一）</w:t>
      </w:r>
      <w:r>
        <w:rPr>
          <w:b/>
          <w:sz w:val="21"/>
        </w:rPr>
        <w:t>服务方式</w:t>
      </w:r>
    </w:p>
    <w:p>
      <w:pPr>
        <w:jc w:val="both"/>
      </w:pPr>
      <w:r>
        <w:rPr>
          <w:sz w:val="21"/>
        </w:rPr>
        <w:t>1</w:t>
      </w:r>
      <w:r>
        <w:rPr>
          <w:sz w:val="21"/>
        </w:rPr>
        <w:t>）</w:t>
      </w:r>
      <w:r>
        <w:rPr>
          <w:sz w:val="21"/>
        </w:rPr>
        <w:t>驻场服务</w:t>
      </w:r>
    </w:p>
    <w:p>
      <w:pPr>
        <w:ind w:firstLine="420"/>
        <w:jc w:val="both"/>
      </w:pPr>
      <w:r>
        <w:rPr>
          <w:sz w:val="21"/>
        </w:rPr>
        <w:t>按照各信息系统实际运维需求为系统用户、局信息化部门、业务科室提供驻场服务，包括技术支持、日常运维、故障处理、系统巡检、性能优化、纠错性修改、安全加固、部分功能点优化升级及调整完善、数据整理与勘误、系统监控、数据资源维护、接口调试及其他相关服务。</w:t>
      </w:r>
    </w:p>
    <w:p>
      <w:pPr>
        <w:jc w:val="both"/>
      </w:pPr>
      <w:r>
        <w:rPr>
          <w:sz w:val="21"/>
        </w:rPr>
        <w:t>2</w:t>
      </w:r>
      <w:r>
        <w:rPr>
          <w:sz w:val="21"/>
        </w:rPr>
        <w:t>）</w:t>
      </w:r>
      <w:r>
        <w:rPr>
          <w:sz w:val="21"/>
        </w:rPr>
        <w:t>远程支持</w:t>
      </w:r>
    </w:p>
    <w:p>
      <w:pPr>
        <w:ind w:firstLine="420"/>
        <w:jc w:val="both"/>
      </w:pPr>
      <w:r>
        <w:rPr>
          <w:sz w:val="21"/>
        </w:rPr>
        <w:t>按照各信息系统运维需求为系统用户、局信息化部门、业务科室通过电话、远程协助等方式，提供问题咨询、故障定位、故障排除及其他相关服务。</w:t>
      </w:r>
    </w:p>
    <w:p>
      <w:pPr>
        <w:jc w:val="both"/>
      </w:pPr>
      <w:r>
        <w:rPr>
          <w:sz w:val="21"/>
        </w:rPr>
        <w:t>3</w:t>
      </w:r>
      <w:r>
        <w:rPr>
          <w:sz w:val="21"/>
        </w:rPr>
        <w:t>）</w:t>
      </w:r>
      <w:r>
        <w:rPr>
          <w:sz w:val="21"/>
        </w:rPr>
        <w:t>紧急现场服务</w:t>
      </w:r>
    </w:p>
    <w:p>
      <w:pPr>
        <w:ind w:firstLine="420"/>
        <w:jc w:val="both"/>
      </w:pPr>
      <w:r>
        <w:rPr>
          <w:sz w:val="21"/>
        </w:rPr>
        <w:t>在服务期内系统出现重大故障或需现场解决的重大运维需求时，增派具有快速解决问题能力的高层次技术专家，在紧急现场服务需求提出后</w:t>
      </w:r>
      <w:r>
        <w:rPr>
          <w:sz w:val="21"/>
        </w:rPr>
        <w:t>24</w:t>
      </w:r>
      <w:r>
        <w:rPr>
          <w:sz w:val="21"/>
        </w:rPr>
        <w:t>小时内，到达中山市自然资源局开展紧急现场服务，直至故障修复、问题完全解决。</w:t>
      </w:r>
    </w:p>
    <w:p>
      <w:pPr>
        <w:jc w:val="both"/>
      </w:pPr>
    </w:p>
    <w:p>
      <w:pPr>
        <w:jc w:val="both"/>
      </w:pPr>
      <w:r>
        <w:rPr>
          <w:b/>
          <w:sz w:val="21"/>
        </w:rPr>
        <w:t>（二）</w:t>
      </w:r>
      <w:r>
        <w:rPr>
          <w:b/>
          <w:sz w:val="21"/>
        </w:rPr>
        <w:t>人员要求</w:t>
      </w:r>
    </w:p>
    <w:p>
      <w:pPr>
        <w:ind w:firstLine="420"/>
        <w:jc w:val="both"/>
      </w:pPr>
      <w:r>
        <w:rPr>
          <w:sz w:val="21"/>
        </w:rPr>
        <w:t>乙方</w:t>
      </w:r>
      <w:r>
        <w:rPr>
          <w:sz w:val="21"/>
        </w:rPr>
        <w:t>应根据运维需要安排足够数量的维护人员，包括驻场人员和二线支持人员。建立相对独立的管理技术团队，并指定一名高管作为网络安全负责人。</w:t>
      </w:r>
      <w:r>
        <w:rPr>
          <w:sz w:val="21"/>
        </w:rPr>
        <w:t>乙方</w:t>
      </w:r>
      <w:r>
        <w:rPr>
          <w:sz w:val="21"/>
        </w:rPr>
        <w:t>要明确组织结构、岗位设置和岗位职责和人员安排的方案，项目实施前提交</w:t>
      </w:r>
      <w:r>
        <w:rPr>
          <w:sz w:val="21"/>
        </w:rPr>
        <w:t>甲方</w:t>
      </w:r>
      <w:r>
        <w:rPr>
          <w:sz w:val="21"/>
        </w:rPr>
        <w:t>备案。驻场人员应长期驻场，遵守</w:t>
      </w:r>
      <w:r>
        <w:rPr>
          <w:sz w:val="21"/>
        </w:rPr>
        <w:t>甲方</w:t>
      </w:r>
      <w:r>
        <w:rPr>
          <w:sz w:val="21"/>
        </w:rPr>
        <w:t>有关工作纪律要求。除法律法规规定的假期或事假外，应在</w:t>
      </w:r>
      <w:r>
        <w:rPr>
          <w:sz w:val="21"/>
        </w:rPr>
        <w:t>甲方</w:t>
      </w:r>
      <w:r>
        <w:rPr>
          <w:sz w:val="21"/>
        </w:rPr>
        <w:t>上班。驻场负责人休假需经管理部门书面审批同意，其他人员休假应提前报备。非特殊情况，全年事假不得每人不得超过</w:t>
      </w:r>
      <w:r>
        <w:rPr>
          <w:sz w:val="21"/>
        </w:rPr>
        <w:t>15</w:t>
      </w:r>
      <w:r>
        <w:rPr>
          <w:sz w:val="21"/>
        </w:rPr>
        <w:t>天，否则视作旷工。休假应合理安排，不得影响正常运维工作。</w:t>
      </w:r>
    </w:p>
    <w:p>
      <w:pPr>
        <w:ind w:firstLine="420"/>
        <w:jc w:val="both"/>
      </w:pPr>
      <w:r>
        <w:rPr>
          <w:sz w:val="21"/>
        </w:rPr>
        <w:t>当驻场人员不足或发生紧急故障等时，应立即协调二线人员介入支持。</w:t>
      </w:r>
      <w:r>
        <w:rPr>
          <w:sz w:val="21"/>
        </w:rPr>
        <w:t>乙方</w:t>
      </w:r>
      <w:r>
        <w:rPr>
          <w:sz w:val="21"/>
        </w:rPr>
        <w:t>须保证维护实施人员充足、队伍稳定。全部维护人员（括驻场人员和二线支持人员）的相关专业、资格证书复印和扫描件需在核查原件后交</w:t>
      </w:r>
      <w:r>
        <w:rPr>
          <w:sz w:val="21"/>
        </w:rPr>
        <w:t>甲方</w:t>
      </w:r>
      <w:r>
        <w:rPr>
          <w:sz w:val="21"/>
        </w:rPr>
        <w:t>备案。</w:t>
      </w:r>
    </w:p>
    <w:p>
      <w:pPr>
        <w:ind w:firstLine="420"/>
        <w:jc w:val="both"/>
      </w:pPr>
      <w:r>
        <w:rPr>
          <w:sz w:val="21"/>
        </w:rPr>
        <w:t>未经</w:t>
      </w:r>
      <w:r>
        <w:rPr>
          <w:sz w:val="21"/>
        </w:rPr>
        <w:t>甲方</w:t>
      </w:r>
      <w:r>
        <w:rPr>
          <w:sz w:val="21"/>
        </w:rPr>
        <w:t>同意，不得更换驻场技术人员。更换后人员经验、学历、能力不得低于被更换人员，所学专业应符合对应岗位的要求。项目启动后不得随意更换人员。更换人员与被更换人员应有不少于</w:t>
      </w:r>
      <w:r>
        <w:rPr>
          <w:sz w:val="21"/>
        </w:rPr>
        <w:t>1</w:t>
      </w:r>
      <w:r>
        <w:rPr>
          <w:sz w:val="21"/>
        </w:rPr>
        <w:t>月的交接过渡期。项目实施期间，更换驻场人员的累计比例不得超过驻场人员总数的</w:t>
      </w:r>
      <w:r>
        <w:rPr>
          <w:sz w:val="21"/>
        </w:rPr>
        <w:t>45%</w:t>
      </w:r>
      <w:r>
        <w:rPr>
          <w:sz w:val="21"/>
        </w:rPr>
        <w:t>。</w:t>
      </w:r>
    </w:p>
    <w:p>
      <w:pPr>
        <w:ind w:firstLine="420"/>
        <w:jc w:val="both"/>
      </w:pPr>
      <w:r>
        <w:rPr>
          <w:sz w:val="21"/>
        </w:rPr>
        <w:t>乙方</w:t>
      </w:r>
      <w:r>
        <w:rPr>
          <w:sz w:val="21"/>
        </w:rPr>
        <w:t>需列明各系统投入驻场人员的姓名、学历、职称和工作经验，明确何人担任现场负责人，承诺项目实际投入人员与投标时承诺的保持一致（要求是同一人）。</w:t>
      </w:r>
    </w:p>
    <w:p>
      <w:pPr>
        <w:jc w:val="both"/>
      </w:pPr>
      <w:r>
        <w:rPr>
          <w:sz w:val="21"/>
        </w:rPr>
        <w:t>以下为各系统需要的维护人员及驻场人员人数要求（驻场人员计入维护人员数量内）：</w:t>
      </w:r>
    </w:p>
    <w:tbl>
      <w:tblPr>
        <w:tblW w:w="0" w:type="auto"/>
        <w:tblBorders>
          <w:top w:val="none" w:color="000000" w:sz="4"/>
          <w:left w:val="none" w:color="000000" w:sz="4"/>
          <w:bottom w:val="none" w:color="000000" w:sz="4"/>
          <w:right w:val="none" w:color="000000" w:sz="4"/>
          <w:insideH w:val="none"/>
          <w:insideV w:val="none"/>
        </w:tblBorders>
      </w:tblPr>
      <w:tblGrid>
        <w:gridCol w:w="2835"/>
        <w:gridCol w:w="2265"/>
        <w:gridCol w:w="1920"/>
      </w:tblGrid>
      <w:tr>
        <w:tc>
          <w:tcPr>
            <w:tcW w:type="dxa" w:w="2835"/>
            <w:tcBorders>
              <w:top w:val="single" w:color="000000" w:sz="4"/>
              <w:left w:val="single" w:color="000000" w:sz="4"/>
              <w:bottom w:val="single" w:color="000000" w:sz="4"/>
              <w:right w:val="single" w:color="000000" w:sz="4"/>
            </w:tcBorders>
          </w:tcPr>
          <w:p>
            <w:pPr>
              <w:jc w:val="center"/>
            </w:pPr>
            <w:r>
              <w:rPr>
                <w:b/>
              </w:rPr>
              <w:t>系统名称</w:t>
            </w:r>
          </w:p>
        </w:tc>
        <w:tc>
          <w:tcPr>
            <w:tcW w:type="dxa" w:w="2265"/>
            <w:tcBorders>
              <w:top w:val="single" w:color="000000" w:sz="4"/>
              <w:left w:val="none" w:color="000000" w:sz="4"/>
              <w:bottom w:val="single" w:color="000000" w:sz="4"/>
              <w:right w:val="single" w:color="000000" w:sz="4"/>
            </w:tcBorders>
            <w:vAlign w:val="top"/>
          </w:tcPr>
          <w:p>
            <w:pPr>
              <w:jc w:val="center"/>
            </w:pPr>
            <w:r>
              <w:rPr>
                <w:b/>
              </w:rPr>
              <w:t>维护人员数量</w:t>
            </w:r>
          </w:p>
        </w:tc>
        <w:tc>
          <w:tcPr>
            <w:tcW w:type="dxa" w:w="1920"/>
            <w:tcBorders>
              <w:top w:val="single" w:color="000000" w:sz="4"/>
              <w:left w:val="none" w:color="000000" w:sz="4"/>
              <w:bottom w:val="single" w:color="000000" w:sz="4"/>
              <w:right w:val="single" w:color="000000" w:sz="4"/>
            </w:tcBorders>
            <w:vAlign w:val="top"/>
          </w:tcPr>
          <w:p>
            <w:pPr>
              <w:jc w:val="center"/>
            </w:pPr>
            <w:r>
              <w:rPr>
                <w:b/>
              </w:rPr>
              <w:t>其中驻场人员数量</w:t>
            </w:r>
          </w:p>
        </w:tc>
      </w:tr>
      <w:tr>
        <w:tc>
          <w:tcPr>
            <w:tcW w:type="dxa" w:w="2835"/>
            <w:tcBorders>
              <w:top w:val="none" w:color="000000" w:sz="4"/>
              <w:left w:val="single" w:color="000000" w:sz="4"/>
              <w:bottom w:val="single" w:color="000000" w:sz="4"/>
              <w:right w:val="single" w:color="000000" w:sz="4"/>
            </w:tcBorders>
            <w:vAlign w:val="top"/>
          </w:tcPr>
          <w:p>
            <w:pPr>
              <w:jc w:val="both"/>
            </w:pPr>
            <w:r>
              <w:rPr>
                <w:sz w:val="21"/>
              </w:rPr>
              <w:t>中山市自然资源大数据中心</w:t>
            </w:r>
          </w:p>
        </w:tc>
        <w:tc>
          <w:tcPr>
            <w:tcW w:type="dxa" w:w="2265"/>
            <w:tcBorders>
              <w:top w:val="none" w:color="000000" w:sz="4"/>
              <w:left w:val="none" w:color="000000" w:sz="4"/>
              <w:bottom w:val="single" w:color="000000" w:sz="4"/>
              <w:right w:val="single" w:color="000000" w:sz="4"/>
            </w:tcBorders>
            <w:vAlign w:val="top"/>
          </w:tcPr>
          <w:p>
            <w:pPr>
              <w:jc w:val="center"/>
            </w:pPr>
            <w:r>
              <w:rPr/>
              <w:t>承担运维工作的人员数量要求</w:t>
            </w:r>
            <w:r>
              <w:rPr/>
              <w:t>按本项目磋商文件中约定的要求执行。</w:t>
            </w:r>
          </w:p>
        </w:tc>
        <w:tc>
          <w:tcPr>
            <w:tcW w:type="dxa" w:w="1920"/>
            <w:tcBorders>
              <w:top w:val="none" w:color="000000" w:sz="4"/>
              <w:left w:val="none" w:color="000000" w:sz="4"/>
              <w:bottom w:val="single" w:color="000000" w:sz="4"/>
              <w:right w:val="single" w:color="000000" w:sz="4"/>
            </w:tcBorders>
            <w:vAlign w:val="top"/>
          </w:tcPr>
          <w:p>
            <w:pPr>
              <w:jc w:val="center"/>
            </w:pPr>
            <w:r>
              <w:rPr/>
              <w:t>承担运维工作的驻场人员数量要求按本项目磋商文件中约定的要求执行。</w:t>
            </w:r>
          </w:p>
        </w:tc>
      </w:tr>
    </w:tbl>
    <w:p>
      <w:pPr>
        <w:ind w:firstLine="630"/>
        <w:jc w:val="both"/>
      </w:pPr>
      <w:r>
        <w:rPr>
          <w:sz w:val="21"/>
        </w:rPr>
        <w:t>承担运维工作的人员岗位设置要求按本项目磋商文件中约定的要求执行。</w:t>
      </w:r>
    </w:p>
    <w:p>
      <w:pPr>
        <w:jc w:val="both"/>
      </w:pPr>
    </w:p>
    <w:p>
      <w:pPr>
        <w:jc w:val="both"/>
      </w:pPr>
      <w:r>
        <w:rPr>
          <w:b/>
          <w:sz w:val="21"/>
        </w:rPr>
        <w:t>（三）</w:t>
      </w:r>
      <w:r>
        <w:rPr>
          <w:b/>
          <w:sz w:val="21"/>
        </w:rPr>
        <w:t>运维响应要求</w:t>
      </w:r>
    </w:p>
    <w:p>
      <w:pPr>
        <w:ind w:firstLine="420"/>
        <w:jc w:val="both"/>
      </w:pPr>
      <w:r>
        <w:rPr>
          <w:sz w:val="21"/>
        </w:rPr>
        <w:t>乙方</w:t>
      </w:r>
      <w:r>
        <w:rPr>
          <w:sz w:val="21"/>
        </w:rPr>
        <w:t>应按</w:t>
      </w:r>
      <w:r>
        <w:rPr>
          <w:sz w:val="21"/>
        </w:rPr>
        <w:t>甲方</w:t>
      </w:r>
      <w:r>
        <w:rPr>
          <w:sz w:val="21"/>
        </w:rPr>
        <w:t>的要求编制、完善运维方案，制定应急响应预案，建立详细的系统维护响应机制。</w:t>
      </w:r>
      <w:r>
        <w:rPr>
          <w:sz w:val="21"/>
        </w:rPr>
        <w:t>乙方</w:t>
      </w:r>
      <w:r>
        <w:rPr>
          <w:sz w:val="21"/>
        </w:rPr>
        <w:t>应建立运维</w:t>
      </w:r>
      <w:r>
        <w:rPr>
          <w:sz w:val="21"/>
        </w:rPr>
        <w:t>AB</w:t>
      </w:r>
      <w:r>
        <w:rPr>
          <w:sz w:val="21"/>
        </w:rPr>
        <w:t>角制度，确保紧急情况备角能有效应对运维工作。</w:t>
      </w:r>
    </w:p>
    <w:p>
      <w:pPr>
        <w:ind w:firstLine="420"/>
        <w:jc w:val="both"/>
      </w:pPr>
      <w:r>
        <w:rPr>
          <w:sz w:val="21"/>
        </w:rPr>
        <w:t>在发现系统发生异常时和紧急运维需求提出后，</w:t>
      </w:r>
      <w:r>
        <w:rPr>
          <w:sz w:val="21"/>
        </w:rPr>
        <w:t>乙方</w:t>
      </w:r>
      <w:r>
        <w:rPr>
          <w:sz w:val="21"/>
        </w:rPr>
        <w:t>需组织驻场人员或远程技术支持人员，给予立即响应。</w:t>
      </w:r>
      <w:r>
        <w:rPr>
          <w:sz w:val="21"/>
        </w:rPr>
        <w:t>乙方</w:t>
      </w:r>
      <w:r>
        <w:rPr>
          <w:sz w:val="21"/>
        </w:rPr>
        <w:t>需提供</w:t>
      </w:r>
      <w:r>
        <w:rPr>
          <w:sz w:val="21"/>
        </w:rPr>
        <w:t>7</w:t>
      </w:r>
      <w:r>
        <w:rPr>
          <w:sz w:val="21"/>
        </w:rPr>
        <w:t>×</w:t>
      </w:r>
      <w:r>
        <w:rPr>
          <w:sz w:val="21"/>
        </w:rPr>
        <w:t>24</w:t>
      </w:r>
      <w:r>
        <w:rPr>
          <w:sz w:val="21"/>
        </w:rPr>
        <w:t>小时的应急服务，驻点维护人员需</w:t>
      </w:r>
      <w:r>
        <w:rPr>
          <w:sz w:val="21"/>
        </w:rPr>
        <w:t>2</w:t>
      </w:r>
      <w:r>
        <w:rPr>
          <w:sz w:val="21"/>
        </w:rPr>
        <w:t>小时以内到达现场。</w:t>
      </w:r>
      <w:r>
        <w:rPr>
          <w:sz w:val="21"/>
        </w:rPr>
        <w:t>乙方</w:t>
      </w:r>
      <w:r>
        <w:rPr>
          <w:sz w:val="21"/>
        </w:rPr>
        <w:t>应根据下表的故障事件等级及系统修复时限开展应急响应。不能按时解决的，</w:t>
      </w:r>
      <w:r>
        <w:rPr>
          <w:sz w:val="21"/>
        </w:rPr>
        <w:t>乙方</w:t>
      </w:r>
      <w:r>
        <w:rPr>
          <w:sz w:val="21"/>
        </w:rPr>
        <w:t>必须协调一切资源，采取对应措施，在</w:t>
      </w:r>
      <w:r>
        <w:rPr>
          <w:sz w:val="21"/>
        </w:rPr>
        <w:t>24</w:t>
      </w:r>
      <w:r>
        <w:rPr>
          <w:sz w:val="21"/>
        </w:rPr>
        <w:t>小时内保证系统恢复正常运行。</w:t>
      </w:r>
    </w:p>
    <w:p>
      <w:pPr>
        <w:ind w:firstLine="420"/>
        <w:jc w:val="both"/>
      </w:pPr>
      <w:r>
        <w:rPr>
          <w:sz w:val="21"/>
        </w:rPr>
        <w:t>对于一般运维工作，</w:t>
      </w:r>
      <w:r>
        <w:rPr>
          <w:sz w:val="21"/>
        </w:rPr>
        <w:t>乙方</w:t>
      </w:r>
      <w:r>
        <w:rPr>
          <w:sz w:val="21"/>
        </w:rPr>
        <w:t>需按照</w:t>
      </w:r>
      <w:r>
        <w:rPr>
          <w:sz w:val="21"/>
        </w:rPr>
        <w:t>甲方</w:t>
      </w:r>
      <w:r>
        <w:rPr>
          <w:sz w:val="21"/>
        </w:rPr>
        <w:t>运维管理有关制度的要求及时响应。不能按时完成的，应提前向中山市自然资源信息中心报告。</w:t>
      </w:r>
    </w:p>
    <w:tbl>
      <w:tblPr>
        <w:tblW w:w="0" w:type="auto"/>
        <w:tblBorders>
          <w:top w:val="none" w:color="000000" w:sz="4"/>
          <w:left w:val="none" w:color="000000" w:sz="4"/>
          <w:bottom w:val="none" w:color="000000" w:sz="4"/>
          <w:right w:val="none" w:color="000000" w:sz="4"/>
          <w:insideH w:val="none"/>
          <w:insideV w:val="none"/>
        </w:tblBorders>
      </w:tblPr>
      <w:tblGrid>
        <w:gridCol w:w="678"/>
        <w:gridCol w:w="2712"/>
        <w:gridCol w:w="2119"/>
        <w:gridCol w:w="2797"/>
      </w:tblGrid>
      <w:tr>
        <w:tc>
          <w:tcPr>
            <w:tcW w:type="dxa" w:w="678"/>
            <w:tcBorders>
              <w:top w:val="single" w:color="000000" w:sz="4"/>
              <w:left w:val="single" w:color="000000" w:sz="4"/>
              <w:bottom w:val="single" w:color="000000" w:sz="4"/>
              <w:right w:val="single" w:color="000000" w:sz="4"/>
            </w:tcBorders>
          </w:tcPr>
          <w:p>
            <w:pPr>
              <w:jc w:val="center"/>
            </w:pPr>
            <w:r>
              <w:rPr>
                <w:b/>
              </w:rPr>
              <w:t>事件等级</w:t>
            </w:r>
          </w:p>
        </w:tc>
        <w:tc>
          <w:tcPr>
            <w:tcW w:type="dxa" w:w="2712"/>
            <w:tcBorders>
              <w:top w:val="single" w:color="000000" w:sz="4"/>
              <w:left w:val="none" w:color="000000" w:sz="4"/>
              <w:bottom w:val="single" w:color="000000" w:sz="4"/>
              <w:right w:val="single" w:color="000000" w:sz="4"/>
            </w:tcBorders>
          </w:tcPr>
          <w:p>
            <w:pPr>
              <w:jc w:val="center"/>
            </w:pPr>
            <w:r>
              <w:rPr>
                <w:b/>
              </w:rPr>
              <w:t>事件定义</w:t>
            </w:r>
          </w:p>
        </w:tc>
        <w:tc>
          <w:tcPr>
            <w:tcW w:type="dxa" w:w="2119"/>
            <w:tcBorders>
              <w:top w:val="single" w:color="000000" w:sz="4"/>
              <w:left w:val="none" w:color="000000" w:sz="4"/>
              <w:bottom w:val="single" w:color="000000" w:sz="4"/>
              <w:right w:val="single" w:color="000000" w:sz="4"/>
            </w:tcBorders>
          </w:tcPr>
          <w:p>
            <w:pPr>
              <w:jc w:val="center"/>
            </w:pPr>
            <w:r>
              <w:rPr>
                <w:b/>
              </w:rPr>
              <w:t>系统修复时间</w:t>
            </w:r>
          </w:p>
        </w:tc>
        <w:tc>
          <w:tcPr>
            <w:tcW w:type="dxa" w:w="2797"/>
            <w:tcBorders>
              <w:top w:val="single" w:color="000000" w:sz="4"/>
              <w:left w:val="none" w:color="000000" w:sz="4"/>
              <w:bottom w:val="single" w:color="000000" w:sz="4"/>
              <w:right w:val="single" w:color="000000" w:sz="4"/>
            </w:tcBorders>
          </w:tcPr>
          <w:p>
            <w:pPr>
              <w:jc w:val="center"/>
            </w:pPr>
            <w:r>
              <w:rPr>
                <w:b/>
              </w:rPr>
              <w:t>解决时间</w:t>
            </w:r>
          </w:p>
        </w:tc>
      </w:tr>
      <w:tr>
        <w:tc>
          <w:tcPr>
            <w:tcW w:type="dxa" w:w="678"/>
            <w:tcBorders>
              <w:top w:val="none" w:color="000000" w:sz="4"/>
              <w:left w:val="single" w:color="000000" w:sz="4"/>
              <w:bottom w:val="single" w:color="000000" w:sz="4"/>
              <w:right w:val="single" w:color="000000" w:sz="4"/>
            </w:tcBorders>
          </w:tcPr>
          <w:p>
            <w:pPr>
              <w:jc w:val="center"/>
            </w:pPr>
            <w:r>
              <w:rPr/>
              <w:t>1</w:t>
            </w:r>
            <w:r>
              <w:rPr/>
              <w:t>级事件</w:t>
            </w:r>
          </w:p>
        </w:tc>
        <w:tc>
          <w:tcPr>
            <w:tcW w:type="dxa" w:w="2712"/>
            <w:tcBorders>
              <w:top w:val="none" w:color="000000" w:sz="4"/>
              <w:left w:val="none" w:color="000000" w:sz="4"/>
              <w:bottom w:val="single" w:color="000000" w:sz="4"/>
              <w:right w:val="single" w:color="000000" w:sz="4"/>
            </w:tcBorders>
          </w:tcPr>
          <w:p>
            <w:r>
              <w:rPr/>
              <w:t>发生安全事故或系统数据泄露，造成严重影响</w:t>
            </w:r>
          </w:p>
        </w:tc>
        <w:tc>
          <w:tcPr>
            <w:tcW w:type="dxa" w:w="2119"/>
            <w:tcBorders>
              <w:top w:val="none" w:color="000000" w:sz="4"/>
              <w:left w:val="none" w:color="000000" w:sz="4"/>
              <w:bottom w:val="single" w:color="000000" w:sz="4"/>
              <w:right w:val="single" w:color="000000" w:sz="4"/>
            </w:tcBorders>
          </w:tcPr>
          <w:p>
            <w:r>
              <w:rPr/>
              <w:t>30</w:t>
            </w:r>
            <w:r>
              <w:rPr/>
              <w:t>分钟恢复系统正常</w:t>
            </w:r>
          </w:p>
        </w:tc>
        <w:tc>
          <w:tcPr>
            <w:tcW w:type="dxa" w:w="2797"/>
            <w:tcBorders>
              <w:top w:val="none" w:color="000000" w:sz="4"/>
              <w:left w:val="none" w:color="000000" w:sz="4"/>
              <w:bottom w:val="single" w:color="000000" w:sz="4"/>
              <w:right w:val="single" w:color="000000" w:sz="4"/>
            </w:tcBorders>
          </w:tcPr>
          <w:p>
            <w:r>
              <w:rPr/>
              <w:t>8</w:t>
            </w:r>
            <w:r>
              <w:rPr/>
              <w:t>小时内分析故障原因，提出问题分析报告和整改方案</w:t>
            </w:r>
          </w:p>
        </w:tc>
      </w:tr>
      <w:tr>
        <w:tc>
          <w:tcPr>
            <w:tcW w:type="dxa" w:w="678"/>
            <w:tcBorders>
              <w:top w:val="none" w:color="000000" w:sz="4"/>
              <w:left w:val="single" w:color="000000" w:sz="4"/>
              <w:bottom w:val="single" w:color="000000" w:sz="4"/>
              <w:right w:val="single" w:color="000000" w:sz="4"/>
            </w:tcBorders>
          </w:tcPr>
          <w:p>
            <w:pPr>
              <w:jc w:val="center"/>
            </w:pPr>
            <w:r>
              <w:rPr/>
              <w:t>2</w:t>
            </w:r>
            <w:r>
              <w:rPr/>
              <w:t>级事件</w:t>
            </w:r>
          </w:p>
        </w:tc>
        <w:tc>
          <w:tcPr>
            <w:tcW w:type="dxa" w:w="2712"/>
            <w:tcBorders>
              <w:top w:val="none" w:color="000000" w:sz="4"/>
              <w:left w:val="none" w:color="000000" w:sz="4"/>
              <w:bottom w:val="single" w:color="000000" w:sz="4"/>
              <w:right w:val="single" w:color="000000" w:sz="4"/>
            </w:tcBorders>
          </w:tcPr>
          <w:p>
            <w:r>
              <w:rPr/>
              <w:t>信息系统崩溃，系统所有业务无法进行，造成较大影响</w:t>
            </w:r>
          </w:p>
        </w:tc>
        <w:tc>
          <w:tcPr>
            <w:tcW w:type="dxa" w:w="2119"/>
            <w:tcBorders>
              <w:top w:val="none" w:color="000000" w:sz="4"/>
              <w:left w:val="none" w:color="000000" w:sz="4"/>
              <w:bottom w:val="single" w:color="000000" w:sz="4"/>
              <w:right w:val="single" w:color="000000" w:sz="4"/>
            </w:tcBorders>
          </w:tcPr>
          <w:p>
            <w:r>
              <w:rPr/>
              <w:t>1</w:t>
            </w:r>
            <w:r>
              <w:rPr/>
              <w:t>小时内恢复系统正常</w:t>
            </w:r>
          </w:p>
        </w:tc>
        <w:tc>
          <w:tcPr>
            <w:tcW w:type="dxa" w:w="2797"/>
            <w:tcBorders>
              <w:top w:val="none" w:color="000000" w:sz="4"/>
              <w:left w:val="none" w:color="000000" w:sz="4"/>
              <w:bottom w:val="single" w:color="000000" w:sz="4"/>
              <w:right w:val="single" w:color="000000" w:sz="4"/>
            </w:tcBorders>
          </w:tcPr>
          <w:p>
            <w:r>
              <w:rPr/>
              <w:t>24</w:t>
            </w:r>
            <w:r>
              <w:rPr/>
              <w:t>小时内分析故障原因，提出问题分析报告和整改方案</w:t>
            </w:r>
          </w:p>
        </w:tc>
      </w:tr>
      <w:tr>
        <w:tc>
          <w:tcPr>
            <w:tcW w:type="dxa" w:w="678"/>
            <w:tcBorders>
              <w:top w:val="none" w:color="000000" w:sz="4"/>
              <w:left w:val="single" w:color="000000" w:sz="4"/>
              <w:bottom w:val="single" w:color="000000" w:sz="4"/>
              <w:right w:val="single" w:color="000000" w:sz="4"/>
            </w:tcBorders>
          </w:tcPr>
          <w:p>
            <w:pPr>
              <w:jc w:val="center"/>
            </w:pPr>
            <w:r>
              <w:rPr/>
              <w:t>3</w:t>
            </w:r>
            <w:r>
              <w:rPr/>
              <w:t>级事件</w:t>
            </w:r>
          </w:p>
        </w:tc>
        <w:tc>
          <w:tcPr>
            <w:tcW w:type="dxa" w:w="2712"/>
            <w:tcBorders>
              <w:top w:val="none" w:color="000000" w:sz="4"/>
              <w:left w:val="none" w:color="000000" w:sz="4"/>
              <w:bottom w:val="single" w:color="000000" w:sz="4"/>
              <w:right w:val="single" w:color="000000" w:sz="4"/>
            </w:tcBorders>
          </w:tcPr>
          <w:p>
            <w:r>
              <w:rPr/>
              <w:t>发生故障，部分业务无法开展，影响外单位业务开展</w:t>
            </w:r>
          </w:p>
        </w:tc>
        <w:tc>
          <w:tcPr>
            <w:tcW w:type="dxa" w:w="2119"/>
            <w:tcBorders>
              <w:top w:val="none" w:color="000000" w:sz="4"/>
              <w:left w:val="none" w:color="000000" w:sz="4"/>
              <w:bottom w:val="single" w:color="000000" w:sz="4"/>
              <w:right w:val="single" w:color="000000" w:sz="4"/>
            </w:tcBorders>
          </w:tcPr>
          <w:p>
            <w:r>
              <w:rPr/>
              <w:t>2</w:t>
            </w:r>
            <w:r>
              <w:rPr/>
              <w:t>小时内恢复系统正常或给出应急处理办法</w:t>
            </w:r>
          </w:p>
        </w:tc>
        <w:tc>
          <w:tcPr>
            <w:tcW w:type="dxa" w:w="2797"/>
            <w:tcBorders>
              <w:top w:val="none" w:color="000000" w:sz="4"/>
              <w:left w:val="none" w:color="000000" w:sz="4"/>
              <w:bottom w:val="single" w:color="000000" w:sz="4"/>
              <w:right w:val="single" w:color="000000" w:sz="4"/>
            </w:tcBorders>
          </w:tcPr>
          <w:p>
            <w:r>
              <w:rPr/>
              <w:t>24</w:t>
            </w:r>
            <w:r>
              <w:rPr/>
              <w:t>小时内分析故障原因，提出问题分析报告和整改方案</w:t>
            </w:r>
          </w:p>
        </w:tc>
      </w:tr>
      <w:tr>
        <w:tc>
          <w:tcPr>
            <w:tcW w:type="dxa" w:w="678"/>
            <w:tcBorders>
              <w:top w:val="none" w:color="000000" w:sz="4"/>
              <w:left w:val="single" w:color="000000" w:sz="4"/>
              <w:bottom w:val="single" w:color="000000" w:sz="4"/>
              <w:right w:val="single" w:color="000000" w:sz="4"/>
            </w:tcBorders>
          </w:tcPr>
          <w:p>
            <w:pPr>
              <w:jc w:val="center"/>
            </w:pPr>
            <w:r>
              <w:rPr/>
              <w:t>4</w:t>
            </w:r>
            <w:r>
              <w:rPr/>
              <w:t>级事件</w:t>
            </w:r>
          </w:p>
        </w:tc>
        <w:tc>
          <w:tcPr>
            <w:tcW w:type="dxa" w:w="2712"/>
            <w:tcBorders>
              <w:top w:val="none" w:color="000000" w:sz="4"/>
              <w:left w:val="none" w:color="000000" w:sz="4"/>
              <w:bottom w:val="single" w:color="000000" w:sz="4"/>
              <w:right w:val="single" w:color="000000" w:sz="4"/>
            </w:tcBorders>
          </w:tcPr>
          <w:p>
            <w:r>
              <w:rPr/>
              <w:t>性能下降或故障影响本局业务开展</w:t>
            </w:r>
          </w:p>
        </w:tc>
        <w:tc>
          <w:tcPr>
            <w:tcW w:type="dxa" w:w="2119"/>
            <w:tcBorders>
              <w:top w:val="none" w:color="000000" w:sz="4"/>
              <w:left w:val="none" w:color="000000" w:sz="4"/>
              <w:bottom w:val="single" w:color="000000" w:sz="4"/>
              <w:right w:val="single" w:color="000000" w:sz="4"/>
            </w:tcBorders>
          </w:tcPr>
          <w:p>
            <w:r>
              <w:rPr/>
              <w:t>2</w:t>
            </w:r>
            <w:r>
              <w:rPr/>
              <w:t>小时内恢复系统正常或给出应急处理办法</w:t>
            </w:r>
          </w:p>
        </w:tc>
        <w:tc>
          <w:tcPr>
            <w:tcW w:type="dxa" w:w="2797"/>
            <w:tcBorders>
              <w:top w:val="none" w:color="000000" w:sz="4"/>
              <w:left w:val="none" w:color="000000" w:sz="4"/>
              <w:bottom w:val="single" w:color="000000" w:sz="4"/>
              <w:right w:val="single" w:color="000000" w:sz="4"/>
            </w:tcBorders>
          </w:tcPr>
          <w:p>
            <w:r>
              <w:rPr/>
              <w:t>48</w:t>
            </w:r>
            <w:r>
              <w:rPr/>
              <w:t>小时内分析故障原因，提出问题分析报告和整改方案</w:t>
            </w:r>
          </w:p>
        </w:tc>
      </w:tr>
    </w:tbl>
    <w:p>
      <w:pPr>
        <w:ind w:firstLine="420"/>
        <w:jc w:val="both"/>
      </w:pPr>
      <w:r>
        <w:rPr>
          <w:sz w:val="21"/>
        </w:rPr>
        <w:t>乙方应严格按照甲方要求进行需求调研、并根据相关业务实际情况设计实施方案，编制好功能优化升级进度计划，根据运维人员数量和工作量科学评估各个阶段的实施时间并严格按照计划进行功能优化升级。如有调整整体功能优化升级进度计划，需取得甲方信息化部门同意。对于甲方有明确时间限制的运维需求，且运维工作内容非遭遇不可抗因素，乙方不得拒绝或延期实施。</w:t>
      </w:r>
    </w:p>
    <w:p>
      <w:pPr>
        <w:jc w:val="both"/>
      </w:pPr>
    </w:p>
    <w:p>
      <w:pPr>
        <w:jc w:val="both"/>
      </w:pPr>
      <w:r>
        <w:rPr>
          <w:b/>
          <w:sz w:val="21"/>
        </w:rPr>
        <w:t>（四）</w:t>
      </w:r>
      <w:r>
        <w:rPr>
          <w:b/>
          <w:sz w:val="21"/>
        </w:rPr>
        <w:t>培训要求</w:t>
      </w:r>
    </w:p>
    <w:p>
      <w:pPr>
        <w:ind w:firstLine="420"/>
        <w:jc w:val="both"/>
      </w:pPr>
      <w:r>
        <w:rPr>
          <w:sz w:val="21"/>
        </w:rPr>
        <w:t>每年度运维工作开始前，</w:t>
      </w:r>
      <w:r>
        <w:rPr>
          <w:sz w:val="21"/>
        </w:rPr>
        <w:t>乙方</w:t>
      </w:r>
      <w:r>
        <w:rPr>
          <w:sz w:val="21"/>
        </w:rPr>
        <w:t>应制定年度技术培训方案，组织相关培训，并提供培训讲义、签到表、照片等佐证材料。</w:t>
      </w:r>
    </w:p>
    <w:p>
      <w:pPr>
        <w:ind w:firstLine="420"/>
        <w:jc w:val="both"/>
      </w:pPr>
      <w:r>
        <w:rPr>
          <w:sz w:val="21"/>
        </w:rPr>
        <w:t>乙方</w:t>
      </w:r>
      <w:r>
        <w:rPr>
          <w:sz w:val="21"/>
        </w:rPr>
        <w:t>应组织运维团队驻场和远程技术人员开展与运维项目相关的继续教育、业务或技术学习及内部交流，按要求参加</w:t>
      </w:r>
      <w:r>
        <w:rPr>
          <w:sz w:val="21"/>
        </w:rPr>
        <w:t>甲</w:t>
      </w:r>
      <w:r>
        <w:rPr>
          <w:sz w:val="21"/>
        </w:rPr>
        <w:t>方安排的相关培训，重点从技术、业务、管理、安全意识等方面提高团队运维服务能力，每年每位运维技术人员参加的技术、业务、管理和安全意识培训各不少于</w:t>
      </w:r>
      <w:r>
        <w:rPr>
          <w:sz w:val="21"/>
        </w:rPr>
        <w:t>1</w:t>
      </w:r>
      <w:r>
        <w:rPr>
          <w:sz w:val="21"/>
        </w:rPr>
        <w:t>次。公司内部应加强培训，确保每位运维人员对系统有全面、充分、整体的了解，对于业务有清晰、准确的理解。对于运维团队新来的人员，应开展专门、集中培训，并保留相关记录，对培训和学习效果进行必要考核，待掌握系统情况和相关知识后方可正式开始运维工作。</w:t>
      </w:r>
    </w:p>
    <w:p>
      <w:pPr>
        <w:ind w:firstLine="420"/>
        <w:jc w:val="both"/>
      </w:pPr>
      <w:r>
        <w:rPr>
          <w:sz w:val="21"/>
        </w:rPr>
        <w:t>乙方</w:t>
      </w:r>
      <w:r>
        <w:rPr>
          <w:sz w:val="21"/>
        </w:rPr>
        <w:t>须根据需要为用户提供高质量的技术培训、业务辅导。运维期内，每个系统重点部门的综合性培训不少于</w:t>
      </w:r>
      <w:r>
        <w:rPr>
          <w:sz w:val="21"/>
        </w:rPr>
        <w:t>1</w:t>
      </w:r>
      <w:r>
        <w:rPr>
          <w:sz w:val="21"/>
        </w:rPr>
        <w:t>次</w:t>
      </w:r>
      <w:r>
        <w:rPr>
          <w:sz w:val="21"/>
        </w:rPr>
        <w:t>/</w:t>
      </w:r>
      <w:r>
        <w:rPr>
          <w:sz w:val="21"/>
        </w:rPr>
        <w:t>年。对于新增、优化调整的功能，在上线前需为用户开展上线前培训，并编写操作手册及时告知系统用户。</w:t>
      </w:r>
    </w:p>
    <w:p>
      <w:pPr>
        <w:ind w:firstLine="420"/>
        <w:jc w:val="both"/>
      </w:pPr>
      <w:r>
        <w:rPr>
          <w:sz w:val="21"/>
        </w:rPr>
        <w:t>培训的各项安排在培训前应经</w:t>
      </w:r>
      <w:r>
        <w:rPr>
          <w:sz w:val="21"/>
        </w:rPr>
        <w:t>甲方</w:t>
      </w:r>
      <w:r>
        <w:rPr>
          <w:sz w:val="21"/>
        </w:rPr>
        <w:t>同意后方可开展培训，确保培训内容、时间、人数、地点以及师资安排等方面满足要求。培训对象包括系统用户及局方技术人员，培训内容包括信息系统的使用、系统部署、配置管理、日常监控、数据备份和恢复、应急处置及系统业务操作。培训时，</w:t>
      </w:r>
      <w:r>
        <w:rPr>
          <w:sz w:val="21"/>
        </w:rPr>
        <w:t>乙方</w:t>
      </w:r>
      <w:r>
        <w:rPr>
          <w:sz w:val="21"/>
        </w:rPr>
        <w:t>应不局限于驻场人员，派出专业的、经验丰富的教员，充分准备，提前为用户提供详细的培训讲义，使用户能够熟练掌握被运维信息系统的使用和运维技能，确保培训能达到预期成效。</w:t>
      </w:r>
    </w:p>
    <w:p>
      <w:pPr>
        <w:jc w:val="both"/>
      </w:pPr>
    </w:p>
    <w:p>
      <w:pPr>
        <w:jc w:val="both"/>
      </w:pPr>
      <w:r>
        <w:rPr>
          <w:b/>
          <w:sz w:val="21"/>
        </w:rPr>
        <w:t>（五）</w:t>
      </w:r>
      <w:r>
        <w:rPr>
          <w:b/>
          <w:sz w:val="21"/>
        </w:rPr>
        <w:t>网络信息安全要求</w:t>
      </w:r>
    </w:p>
    <w:p>
      <w:pPr>
        <w:ind w:firstLine="420"/>
        <w:jc w:val="both"/>
      </w:pPr>
      <w:r>
        <w:rPr>
          <w:sz w:val="21"/>
        </w:rPr>
        <w:t>乙方</w:t>
      </w:r>
      <w:r>
        <w:rPr>
          <w:sz w:val="21"/>
        </w:rPr>
        <w:t>应建立网络信息安全的有关制度，严格落实各级网络信息安全管理的有关制度、规范，要将网络信息安全意识落实到运维全过程，编制运维相关方案应对网络信息安全予以专项讨论。要加强网络安全意识和技术培训，提高网络信息安全技术水平。落实网络安全责任制，安排专人负责系统的网络信息安全工作。网络信息安全实行一票否决制。</w:t>
      </w:r>
      <w:r>
        <w:rPr>
          <w:sz w:val="21"/>
        </w:rPr>
        <w:t>乙方</w:t>
      </w:r>
      <w:r>
        <w:rPr>
          <w:sz w:val="21"/>
        </w:rPr>
        <w:t>需承担运维工作中的网络信息安全责任，由于运维不及时、不恰当处理造成的网络安全责任由运维单位承担。</w:t>
      </w:r>
    </w:p>
    <w:p>
      <w:pPr>
        <w:jc w:val="both"/>
      </w:pPr>
    </w:p>
    <w:p>
      <w:pPr>
        <w:jc w:val="both"/>
      </w:pPr>
      <w:r>
        <w:rPr>
          <w:b/>
          <w:sz w:val="21"/>
        </w:rPr>
        <w:t>（六）</w:t>
      </w:r>
      <w:r>
        <w:rPr>
          <w:b/>
          <w:sz w:val="21"/>
        </w:rPr>
        <w:t>风险防控要求</w:t>
      </w:r>
    </w:p>
    <w:p>
      <w:pPr>
        <w:ind w:firstLine="420"/>
        <w:jc w:val="both"/>
      </w:pPr>
      <w:r>
        <w:rPr>
          <w:sz w:val="21"/>
        </w:rPr>
        <w:t>乙方</w:t>
      </w:r>
      <w:r>
        <w:rPr>
          <w:sz w:val="21"/>
        </w:rPr>
        <w:t>要将风险防控贯穿到运维工作的始终和每个运维工作中，要定期开展风险评估，形成风险防控报告，提出风险防控措施与建议并予以落实。</w:t>
      </w:r>
    </w:p>
    <w:p>
      <w:pPr>
        <w:ind w:firstLine="420"/>
        <w:jc w:val="both"/>
      </w:pPr>
      <w:r>
        <w:rPr>
          <w:sz w:val="21"/>
        </w:rPr>
        <w:t>要落实风险防控责任制，及时开展风险防控的有关培训，将风险防控意识及风险防控要求落实到每个运维工作人员。</w:t>
      </w:r>
    </w:p>
    <w:p>
      <w:pPr>
        <w:ind w:firstLine="420"/>
        <w:jc w:val="both"/>
      </w:pPr>
      <w:r>
        <w:rPr>
          <w:sz w:val="21"/>
        </w:rPr>
        <w:t>重大运行保障期和重大功能上线要提前开展专项评估，制定应急方案，防范潜在风险。要着重加强网络信息安全风险、数据保密、非法攻击、病毒入侵及管理漏洞风险防控。在各类技术方案的编制中，要落实风险防控的总体意识，系统优化改造和解决运维困难时，应从有总体意识、大局意识，全面、客观分析，避免只见局部不见整体，避免解决旧问题带来新问题。</w:t>
      </w:r>
    </w:p>
    <w:p>
      <w:pPr>
        <w:jc w:val="both"/>
      </w:pPr>
    </w:p>
    <w:p>
      <w:pPr>
        <w:jc w:val="both"/>
      </w:pPr>
      <w:r>
        <w:rPr>
          <w:b/>
          <w:sz w:val="21"/>
        </w:rPr>
        <w:t>（七）</w:t>
      </w:r>
      <w:r>
        <w:rPr>
          <w:b/>
          <w:sz w:val="21"/>
        </w:rPr>
        <w:t>规范性要求</w:t>
      </w:r>
    </w:p>
    <w:p>
      <w:pPr>
        <w:ind w:firstLine="420"/>
        <w:jc w:val="both"/>
      </w:pPr>
      <w:r>
        <w:rPr>
          <w:sz w:val="21"/>
        </w:rPr>
        <w:t>乙方</w:t>
      </w:r>
      <w:r>
        <w:rPr>
          <w:sz w:val="21"/>
        </w:rPr>
        <w:t>应按照本方案所列的标准规范和政策性文件的要求，明确各运维岗位工作职责和要求，确保各项运维工作文档齐全、操作安全、记录清晰、沟通顺畅，规范开展运维工作，确保运维有记录、可追溯。</w:t>
      </w:r>
    </w:p>
    <w:p>
      <w:pPr>
        <w:ind w:firstLine="420"/>
        <w:jc w:val="both"/>
      </w:pPr>
      <w:r>
        <w:rPr>
          <w:sz w:val="21"/>
        </w:rPr>
        <w:t>按要求及时更新相关技术报告、测试报告、系统设计、数据库设计等各类文档，并按时汇交有关成果到中山市自然资源信息中心。</w:t>
      </w:r>
    </w:p>
    <w:p>
      <w:pPr>
        <w:ind w:firstLine="420"/>
        <w:jc w:val="both"/>
      </w:pPr>
      <w:r>
        <w:rPr>
          <w:sz w:val="21"/>
        </w:rPr>
        <w:t>乙方</w:t>
      </w:r>
      <w:r>
        <w:rPr>
          <w:sz w:val="21"/>
        </w:rPr>
        <w:t>应完善系统运维工具或运维模块，按照</w:t>
      </w:r>
      <w:r>
        <w:rPr>
          <w:sz w:val="21"/>
        </w:rPr>
        <w:t>甲方</w:t>
      </w:r>
      <w:r>
        <w:rPr>
          <w:sz w:val="21"/>
        </w:rPr>
        <w:t>的要求全面应用中山市自然资源政务信息平台智能运维模块或云平台云纳管等相关运维软件，借助各种工具，通过可视化、流程化、工具化运维，降低运维难度，提高运维效率。</w:t>
      </w:r>
    </w:p>
    <w:p>
      <w:pPr>
        <w:ind w:firstLine="420"/>
        <w:jc w:val="both"/>
      </w:pPr>
      <w:r>
        <w:rPr>
          <w:sz w:val="21"/>
        </w:rPr>
        <w:t>对于新增或优化调整的功能模块，应按国标或行业标准规范相关文档编写和代码编写，代码应有全面注释，文档应与实际运行系统保持一致，数据库设计书或数据库说明文档应详细且与实际一致，形成相应的系统更新说明和操作手册。对于接口的开发，方案应由接口双方确认，接口设计和说明应详细、条理清楚。</w:t>
      </w:r>
    </w:p>
    <w:p>
      <w:pPr>
        <w:ind w:firstLine="420"/>
        <w:jc w:val="both"/>
      </w:pPr>
      <w:r>
        <w:rPr>
          <w:sz w:val="21"/>
        </w:rPr>
        <w:t>应对系统建设阶段的需求分析、设计、编码、测试、上线及运维阶段的文档进行更新和版本管理，对代码和程序进行规范化版本管理。运维工作应记录完备、详细，且有专人负责。所有系统日志保留时间不得少于半年。</w:t>
      </w:r>
    </w:p>
    <w:p>
      <w:pPr>
        <w:jc w:val="both"/>
      </w:pPr>
    </w:p>
    <w:p>
      <w:pPr>
        <w:jc w:val="both"/>
      </w:pPr>
      <w:r>
        <w:rPr>
          <w:b/>
          <w:sz w:val="21"/>
        </w:rPr>
        <w:t>（八）</w:t>
      </w:r>
      <w:r>
        <w:rPr>
          <w:b/>
          <w:sz w:val="21"/>
        </w:rPr>
        <w:t>运维团队内部管理要求</w:t>
      </w:r>
    </w:p>
    <w:p>
      <w:pPr>
        <w:ind w:firstLine="420"/>
        <w:jc w:val="both"/>
      </w:pPr>
      <w:r>
        <w:rPr>
          <w:sz w:val="21"/>
        </w:rPr>
        <w:t>乙方</w:t>
      </w:r>
      <w:r>
        <w:rPr>
          <w:sz w:val="21"/>
        </w:rPr>
        <w:t>应加强内部管理，完善相关管理制度，合理设置岗位，明确人员责任，优化考核与奖惩机制，加强运维队伍建设，确保运维队伍专业性和稳定性，持续提升运维保障能力。</w:t>
      </w:r>
    </w:p>
    <w:p>
      <w:pPr>
        <w:ind w:firstLine="420"/>
        <w:jc w:val="both"/>
      </w:pPr>
      <w:r>
        <w:rPr>
          <w:sz w:val="21"/>
        </w:rPr>
        <w:t>乙方</w:t>
      </w:r>
      <w:r>
        <w:rPr>
          <w:sz w:val="21"/>
        </w:rPr>
        <w:t>应服从中山市自然资源信息化部门的管理。对列入运维工作内容的事项，该系统的具体运维工作是否开展、如何开展、何时完成均由市自然资源局信息化部门决定，承担该系统运维的单位不得拒绝。</w:t>
      </w:r>
    </w:p>
    <w:p>
      <w:pPr>
        <w:jc w:val="both"/>
      </w:pPr>
    </w:p>
    <w:p>
      <w:pPr>
        <w:jc w:val="both"/>
      </w:pPr>
      <w:r>
        <w:rPr>
          <w:b/>
          <w:sz w:val="21"/>
        </w:rPr>
        <w:t>（九）</w:t>
      </w:r>
      <w:r>
        <w:rPr>
          <w:b/>
          <w:sz w:val="21"/>
        </w:rPr>
        <w:t>项目成果及提交方式</w:t>
      </w:r>
    </w:p>
    <w:p>
      <w:pPr>
        <w:ind w:firstLine="420"/>
        <w:jc w:val="both"/>
      </w:pPr>
      <w:r>
        <w:rPr>
          <w:sz w:val="21"/>
        </w:rPr>
        <w:t>项目成果包括必要成果和条件性成果，均应按本章的要求提交。其中必要成果必须提交，条件性成果在一定条件下需要提交。</w:t>
      </w:r>
    </w:p>
    <w:p>
      <w:pPr>
        <w:ind w:firstLine="420"/>
        <w:jc w:val="both"/>
      </w:pPr>
      <w:r>
        <w:rPr>
          <w:sz w:val="21"/>
        </w:rPr>
        <w:t>成果移交时应填写交接单，办理交接手续。以系统为单位提交。</w:t>
      </w:r>
    </w:p>
    <w:p>
      <w:pPr>
        <w:ind w:firstLine="420"/>
        <w:jc w:val="both"/>
      </w:pPr>
      <w:r>
        <w:rPr>
          <w:sz w:val="21"/>
        </w:rPr>
        <w:t>纸质形式的成果，需经盖</w:t>
      </w:r>
      <w:r>
        <w:rPr>
          <w:sz w:val="21"/>
        </w:rPr>
        <w:t>乙方</w:t>
      </w:r>
      <w:r>
        <w:rPr>
          <w:sz w:val="21"/>
        </w:rPr>
        <w:t>公章，同时提供扫描件。成果提交工作的完成以该成果通过</w:t>
      </w:r>
      <w:r>
        <w:rPr>
          <w:sz w:val="21"/>
        </w:rPr>
        <w:t>甲方</w:t>
      </w:r>
      <w:r>
        <w:rPr>
          <w:sz w:val="21"/>
        </w:rPr>
        <w:t>的审核为标准。</w:t>
      </w:r>
    </w:p>
    <w:p>
      <w:pPr>
        <w:jc w:val="both"/>
      </w:pPr>
      <w:r>
        <w:rPr>
          <w:b/>
          <w:sz w:val="21"/>
        </w:rPr>
        <w:t xml:space="preserve">1)     </w:t>
      </w:r>
      <w:r>
        <w:rPr>
          <w:b/>
          <w:sz w:val="21"/>
        </w:rPr>
        <w:t>必要成果</w:t>
      </w:r>
    </w:p>
    <w:tbl>
      <w:tblPr>
        <w:tblW w:w="0" w:type="auto"/>
        <w:tblBorders>
          <w:top w:val="none" w:color="000000" w:sz="4"/>
          <w:left w:val="none" w:color="000000" w:sz="4"/>
          <w:bottom w:val="none" w:color="000000" w:sz="4"/>
          <w:right w:val="none" w:color="000000" w:sz="4"/>
          <w:insideH w:val="none"/>
          <w:insideV w:val="none"/>
        </w:tblBorders>
      </w:tblPr>
      <w:tblGrid>
        <w:gridCol w:w="942"/>
        <w:gridCol w:w="2055"/>
        <w:gridCol w:w="1113"/>
        <w:gridCol w:w="1798"/>
        <w:gridCol w:w="2398"/>
      </w:tblGrid>
      <w:tr>
        <w:tc>
          <w:tcPr>
            <w:tcW w:type="dxa" w:w="942"/>
            <w:tcBorders>
              <w:top w:val="single" w:color="000000" w:sz="4"/>
              <w:left w:val="single" w:color="000000" w:sz="4"/>
              <w:bottom w:val="single" w:color="000000" w:sz="4"/>
              <w:right w:val="single" w:color="000000" w:sz="4"/>
            </w:tcBorders>
          </w:tcPr>
          <w:p>
            <w:pPr>
              <w:jc w:val="center"/>
            </w:pPr>
            <w:r>
              <w:rPr>
                <w:b/>
              </w:rPr>
              <w:t>序号</w:t>
            </w:r>
          </w:p>
        </w:tc>
        <w:tc>
          <w:tcPr>
            <w:tcW w:type="dxa" w:w="2055"/>
            <w:tcBorders>
              <w:top w:val="single" w:color="000000" w:sz="4"/>
              <w:left w:val="none" w:color="000000" w:sz="4"/>
              <w:bottom w:val="single" w:color="000000" w:sz="4"/>
              <w:right w:val="single" w:color="000000" w:sz="4"/>
            </w:tcBorders>
          </w:tcPr>
          <w:p>
            <w:pPr>
              <w:jc w:val="center"/>
            </w:pPr>
            <w:r>
              <w:rPr>
                <w:b/>
              </w:rPr>
              <w:t>成果名称</w:t>
            </w:r>
          </w:p>
        </w:tc>
        <w:tc>
          <w:tcPr>
            <w:tcW w:type="dxa" w:w="1113"/>
            <w:tcBorders>
              <w:top w:val="single" w:color="000000" w:sz="4"/>
              <w:left w:val="none" w:color="000000" w:sz="4"/>
              <w:bottom w:val="single" w:color="000000" w:sz="4"/>
              <w:right w:val="single" w:color="000000" w:sz="4"/>
            </w:tcBorders>
          </w:tcPr>
          <w:p>
            <w:pPr>
              <w:jc w:val="center"/>
            </w:pPr>
            <w:r>
              <w:rPr>
                <w:b/>
              </w:rPr>
              <w:t>数量</w:t>
            </w:r>
          </w:p>
        </w:tc>
        <w:tc>
          <w:tcPr>
            <w:tcW w:type="dxa" w:w="1798"/>
            <w:tcBorders>
              <w:top w:val="single" w:color="000000" w:sz="4"/>
              <w:left w:val="none" w:color="000000" w:sz="4"/>
              <w:bottom w:val="single" w:color="000000" w:sz="4"/>
              <w:right w:val="single" w:color="000000" w:sz="4"/>
            </w:tcBorders>
          </w:tcPr>
          <w:p>
            <w:pPr>
              <w:jc w:val="center"/>
            </w:pPr>
            <w:r>
              <w:rPr>
                <w:b/>
              </w:rPr>
              <w:t>形 式</w:t>
            </w:r>
          </w:p>
        </w:tc>
        <w:tc>
          <w:tcPr>
            <w:tcW w:type="dxa" w:w="2398"/>
            <w:tcBorders>
              <w:top w:val="single" w:color="000000" w:sz="4"/>
              <w:left w:val="none" w:color="000000" w:sz="4"/>
              <w:bottom w:val="single" w:color="000000" w:sz="4"/>
              <w:right w:val="single" w:color="000000" w:sz="4"/>
            </w:tcBorders>
          </w:tcPr>
          <w:p>
            <w:pPr>
              <w:jc w:val="center"/>
            </w:pPr>
            <w:r>
              <w:rPr>
                <w:b/>
              </w:rPr>
              <w:t>要 求</w:t>
            </w:r>
          </w:p>
        </w:tc>
      </w:tr>
      <w:tr>
        <w:tc>
          <w:tcPr>
            <w:tcW w:type="dxa" w:w="942"/>
            <w:tcBorders>
              <w:top w:val="none" w:color="000000" w:sz="4"/>
              <w:left w:val="single" w:color="000000" w:sz="4"/>
              <w:bottom w:val="single" w:color="000000" w:sz="4"/>
              <w:right w:val="single" w:color="000000" w:sz="4"/>
            </w:tcBorders>
          </w:tcPr>
          <w:p>
            <w:pPr>
              <w:jc w:val="center"/>
            </w:pPr>
            <w:r>
              <w:rPr/>
              <w:t>1</w:t>
            </w:r>
          </w:p>
        </w:tc>
        <w:tc>
          <w:tcPr>
            <w:tcW w:type="dxa" w:w="2055"/>
            <w:tcBorders>
              <w:top w:val="none" w:color="000000" w:sz="4"/>
              <w:left w:val="none" w:color="000000" w:sz="4"/>
              <w:bottom w:val="single" w:color="000000" w:sz="4"/>
              <w:right w:val="single" w:color="000000" w:sz="4"/>
            </w:tcBorders>
          </w:tcPr>
          <w:p>
            <w:pPr>
              <w:jc w:val="center"/>
            </w:pPr>
            <w:r>
              <w:rPr>
                <w:sz w:val="21"/>
              </w:rPr>
              <w:t>项目工作方案</w:t>
            </w:r>
          </w:p>
        </w:tc>
        <w:tc>
          <w:tcPr>
            <w:tcW w:type="dxa" w:w="1113"/>
            <w:tcBorders>
              <w:top w:val="none" w:color="000000" w:sz="4"/>
              <w:left w:val="none" w:color="000000" w:sz="4"/>
              <w:bottom w:val="single" w:color="000000" w:sz="4"/>
              <w:right w:val="single" w:color="000000" w:sz="4"/>
            </w:tcBorders>
          </w:tcPr>
          <w:p>
            <w:pPr>
              <w:jc w:val="center"/>
            </w:pPr>
            <w:r>
              <w:rPr/>
              <w:t>1</w:t>
            </w:r>
            <w:r>
              <w:rPr/>
              <w:t>套</w:t>
            </w:r>
          </w:p>
        </w:tc>
        <w:tc>
          <w:tcPr>
            <w:tcW w:type="dxa" w:w="1798"/>
            <w:tcBorders>
              <w:top w:val="none" w:color="000000" w:sz="4"/>
              <w:left w:val="none" w:color="000000" w:sz="4"/>
              <w:bottom w:val="single" w:color="000000" w:sz="4"/>
              <w:right w:val="single" w:color="000000" w:sz="4"/>
            </w:tcBorders>
          </w:tcPr>
          <w:p>
            <w:pPr>
              <w:jc w:val="center"/>
            </w:pPr>
            <w:r>
              <w:rPr/>
              <w:t>电子文档和纸质</w:t>
            </w:r>
          </w:p>
        </w:tc>
        <w:tc>
          <w:tcPr>
            <w:tcW w:type="dxa" w:w="2398"/>
            <w:tcBorders>
              <w:top w:val="none" w:color="000000" w:sz="4"/>
              <w:left w:val="none" w:color="000000" w:sz="4"/>
              <w:bottom w:val="single" w:color="000000" w:sz="4"/>
              <w:right w:val="single" w:color="000000" w:sz="4"/>
            </w:tcBorders>
          </w:tcPr>
          <w:p>
            <w:pPr>
              <w:jc w:val="center"/>
            </w:pPr>
            <w:r>
              <w:rPr/>
              <w:t>签订合同后15个工作日内，支付首期款前，共提交1次</w:t>
            </w:r>
          </w:p>
        </w:tc>
      </w:tr>
      <w:tr>
        <w:tc>
          <w:tcPr>
            <w:tcW w:type="dxa" w:w="942"/>
            <w:tcBorders>
              <w:top w:val="none" w:color="000000" w:sz="4"/>
              <w:left w:val="single" w:color="000000" w:sz="4"/>
              <w:bottom w:val="single" w:color="000000" w:sz="4"/>
              <w:right w:val="single" w:color="000000" w:sz="4"/>
            </w:tcBorders>
          </w:tcPr>
          <w:p>
            <w:pPr>
              <w:jc w:val="center"/>
            </w:pPr>
            <w:r>
              <w:rPr/>
              <w:t>2</w:t>
            </w:r>
          </w:p>
        </w:tc>
        <w:tc>
          <w:tcPr>
            <w:tcW w:type="dxa" w:w="2055"/>
            <w:tcBorders>
              <w:top w:val="none" w:color="000000" w:sz="4"/>
              <w:left w:val="none" w:color="000000" w:sz="4"/>
              <w:bottom w:val="single" w:color="000000" w:sz="4"/>
              <w:right w:val="single" w:color="000000" w:sz="4"/>
            </w:tcBorders>
          </w:tcPr>
          <w:p>
            <w:pPr>
              <w:jc w:val="center"/>
            </w:pPr>
            <w:r>
              <w:rPr>
                <w:sz w:val="21"/>
              </w:rPr>
              <w:t>项目总结报告</w:t>
            </w:r>
          </w:p>
        </w:tc>
        <w:tc>
          <w:tcPr>
            <w:tcW w:type="dxa" w:w="1113"/>
            <w:tcBorders>
              <w:top w:val="none" w:color="000000" w:sz="4"/>
              <w:left w:val="none" w:color="000000" w:sz="4"/>
              <w:bottom w:val="single" w:color="000000" w:sz="4"/>
              <w:right w:val="single" w:color="000000" w:sz="4"/>
            </w:tcBorders>
          </w:tcPr>
          <w:p>
            <w:pPr>
              <w:jc w:val="center"/>
            </w:pPr>
            <w:r>
              <w:rPr/>
              <w:t>1</w:t>
            </w:r>
            <w:r>
              <w:rPr/>
              <w:t>套</w:t>
            </w:r>
          </w:p>
        </w:tc>
        <w:tc>
          <w:tcPr>
            <w:tcW w:type="dxa" w:w="1798"/>
            <w:tcBorders>
              <w:top w:val="none" w:color="000000" w:sz="4"/>
              <w:left w:val="none" w:color="000000" w:sz="4"/>
              <w:bottom w:val="single" w:color="000000" w:sz="4"/>
              <w:right w:val="single" w:color="000000" w:sz="4"/>
            </w:tcBorders>
          </w:tcPr>
          <w:p>
            <w:pPr>
              <w:jc w:val="center"/>
            </w:pPr>
            <w:r>
              <w:rPr/>
              <w:t>电子文档和纸质</w:t>
            </w:r>
          </w:p>
        </w:tc>
        <w:tc>
          <w:tcPr>
            <w:tcW w:type="dxa" w:w="2398"/>
            <w:tcBorders>
              <w:top w:val="none" w:color="000000" w:sz="4"/>
              <w:left w:val="none" w:color="000000" w:sz="4"/>
              <w:bottom w:val="single" w:color="000000" w:sz="4"/>
              <w:right w:val="single" w:color="000000" w:sz="4"/>
            </w:tcBorders>
          </w:tcPr>
          <w:p>
            <w:pPr>
              <w:jc w:val="center"/>
            </w:pPr>
            <w:r>
              <w:rPr/>
              <w:t>项目运维期结束支付尾款前，共提交1次</w:t>
            </w:r>
          </w:p>
        </w:tc>
      </w:tr>
      <w:tr>
        <w:tc>
          <w:tcPr>
            <w:tcW w:type="dxa" w:w="942"/>
            <w:tcBorders>
              <w:top w:val="none" w:color="000000" w:sz="4"/>
              <w:left w:val="single" w:color="000000" w:sz="4"/>
              <w:bottom w:val="single" w:color="000000" w:sz="4"/>
              <w:right w:val="single" w:color="000000" w:sz="4"/>
            </w:tcBorders>
          </w:tcPr>
          <w:p>
            <w:pPr>
              <w:jc w:val="center"/>
            </w:pPr>
            <w:r>
              <w:rPr/>
              <w:t>3</w:t>
            </w:r>
          </w:p>
        </w:tc>
        <w:tc>
          <w:tcPr>
            <w:tcW w:type="dxa" w:w="2055"/>
            <w:tcBorders>
              <w:top w:val="none" w:color="000000" w:sz="4"/>
              <w:left w:val="none" w:color="000000" w:sz="4"/>
              <w:bottom w:val="single" w:color="000000" w:sz="4"/>
              <w:right w:val="single" w:color="000000" w:sz="4"/>
            </w:tcBorders>
          </w:tcPr>
          <w:p>
            <w:pPr>
              <w:jc w:val="center"/>
            </w:pPr>
            <w:r>
              <w:rPr/>
              <w:t>系统运维方案（运维指南）</w:t>
            </w:r>
          </w:p>
        </w:tc>
        <w:tc>
          <w:tcPr>
            <w:tcW w:type="dxa" w:w="1113"/>
            <w:tcBorders>
              <w:top w:val="none" w:color="000000" w:sz="4"/>
              <w:left w:val="none" w:color="000000" w:sz="4"/>
              <w:bottom w:val="single" w:color="000000" w:sz="4"/>
              <w:right w:val="single" w:color="000000" w:sz="4"/>
            </w:tcBorders>
          </w:tcPr>
          <w:p>
            <w:pPr>
              <w:jc w:val="center"/>
            </w:pPr>
            <w:r>
              <w:rPr/>
              <w:t>1</w:t>
            </w:r>
            <w:r>
              <w:rPr/>
              <w:t>套</w:t>
            </w:r>
          </w:p>
        </w:tc>
        <w:tc>
          <w:tcPr>
            <w:tcW w:type="dxa" w:w="1798"/>
            <w:tcBorders>
              <w:top w:val="none" w:color="000000" w:sz="4"/>
              <w:left w:val="none" w:color="000000" w:sz="4"/>
              <w:bottom w:val="single" w:color="000000" w:sz="4"/>
              <w:right w:val="single" w:color="000000" w:sz="4"/>
            </w:tcBorders>
          </w:tcPr>
          <w:p>
            <w:pPr>
              <w:jc w:val="center"/>
            </w:pPr>
            <w:r>
              <w:rPr/>
              <w:t>电子文档和纸质</w:t>
            </w:r>
          </w:p>
        </w:tc>
        <w:tc>
          <w:tcPr>
            <w:tcW w:type="dxa" w:w="2398"/>
            <w:tcBorders>
              <w:top w:val="none" w:color="000000" w:sz="4"/>
              <w:left w:val="none" w:color="000000" w:sz="4"/>
              <w:bottom w:val="single" w:color="000000" w:sz="4"/>
              <w:right w:val="single" w:color="000000" w:sz="4"/>
            </w:tcBorders>
          </w:tcPr>
          <w:p>
            <w:pPr>
              <w:jc w:val="center"/>
            </w:pPr>
            <w:r>
              <w:rPr/>
              <w:t>应在运维开始之前的15个工作日提交；应包含风险评估和应对措施。</w:t>
            </w:r>
          </w:p>
        </w:tc>
      </w:tr>
      <w:tr>
        <w:tc>
          <w:tcPr>
            <w:tcW w:type="dxa" w:w="942"/>
            <w:tcBorders>
              <w:top w:val="none" w:color="000000" w:sz="4"/>
              <w:left w:val="single" w:color="000000" w:sz="4"/>
              <w:bottom w:val="single" w:color="000000" w:sz="4"/>
              <w:right w:val="single" w:color="000000" w:sz="4"/>
            </w:tcBorders>
          </w:tcPr>
          <w:p>
            <w:pPr>
              <w:jc w:val="center"/>
            </w:pPr>
            <w:r>
              <w:rPr/>
              <w:t>4</w:t>
            </w:r>
          </w:p>
        </w:tc>
        <w:tc>
          <w:tcPr>
            <w:tcW w:type="dxa" w:w="2055"/>
            <w:tcBorders>
              <w:top w:val="none" w:color="000000" w:sz="4"/>
              <w:left w:val="none" w:color="000000" w:sz="4"/>
              <w:bottom w:val="single" w:color="000000" w:sz="4"/>
              <w:right w:val="single" w:color="000000" w:sz="4"/>
            </w:tcBorders>
          </w:tcPr>
          <w:p>
            <w:pPr>
              <w:jc w:val="center"/>
            </w:pPr>
            <w:r>
              <w:rPr/>
              <w:t>系统故障排查指南</w:t>
            </w:r>
          </w:p>
        </w:tc>
        <w:tc>
          <w:tcPr>
            <w:tcW w:type="dxa" w:w="1113"/>
            <w:tcBorders>
              <w:top w:val="none" w:color="000000" w:sz="4"/>
              <w:left w:val="none" w:color="000000" w:sz="4"/>
              <w:bottom w:val="single" w:color="000000" w:sz="4"/>
              <w:right w:val="single" w:color="000000" w:sz="4"/>
            </w:tcBorders>
          </w:tcPr>
          <w:p>
            <w:pPr>
              <w:jc w:val="center"/>
            </w:pPr>
            <w:r>
              <w:rPr/>
              <w:t>1</w:t>
            </w:r>
            <w:r>
              <w:rPr/>
              <w:t>套</w:t>
            </w:r>
          </w:p>
        </w:tc>
        <w:tc>
          <w:tcPr>
            <w:tcW w:type="dxa" w:w="1798"/>
            <w:tcBorders>
              <w:top w:val="none" w:color="000000" w:sz="4"/>
              <w:left w:val="none" w:color="000000" w:sz="4"/>
              <w:bottom w:val="single" w:color="000000" w:sz="4"/>
              <w:right w:val="single" w:color="000000" w:sz="4"/>
            </w:tcBorders>
          </w:tcPr>
          <w:p>
            <w:pPr>
              <w:jc w:val="center"/>
            </w:pPr>
            <w:r>
              <w:rPr/>
              <w:t>电子文档</w:t>
            </w:r>
          </w:p>
        </w:tc>
        <w:tc>
          <w:tcPr>
            <w:tcW w:type="dxa" w:w="2398"/>
            <w:tcBorders>
              <w:top w:val="none" w:color="000000" w:sz="4"/>
              <w:left w:val="none" w:color="000000" w:sz="4"/>
              <w:bottom w:val="single" w:color="000000" w:sz="4"/>
              <w:right w:val="single" w:color="000000" w:sz="4"/>
            </w:tcBorders>
          </w:tcPr>
          <w:p>
            <w:pPr>
              <w:jc w:val="center"/>
            </w:pPr>
            <w:r>
              <w:rPr/>
              <w:t>实时更新</w:t>
            </w:r>
          </w:p>
        </w:tc>
      </w:tr>
      <w:tr>
        <w:tc>
          <w:tcPr>
            <w:tcW w:type="dxa" w:w="942"/>
            <w:tcBorders>
              <w:top w:val="none" w:color="000000" w:sz="4"/>
              <w:left w:val="single" w:color="000000" w:sz="4"/>
              <w:bottom w:val="single" w:color="000000" w:sz="4"/>
              <w:right w:val="single" w:color="000000" w:sz="4"/>
            </w:tcBorders>
          </w:tcPr>
          <w:p>
            <w:pPr>
              <w:jc w:val="center"/>
            </w:pPr>
            <w:r>
              <w:rPr/>
              <w:t>5</w:t>
            </w:r>
          </w:p>
        </w:tc>
        <w:tc>
          <w:tcPr>
            <w:tcW w:type="dxa" w:w="2055"/>
            <w:tcBorders>
              <w:top w:val="none" w:color="000000" w:sz="4"/>
              <w:left w:val="none" w:color="000000" w:sz="4"/>
              <w:bottom w:val="single" w:color="000000" w:sz="4"/>
              <w:right w:val="single" w:color="000000" w:sz="4"/>
            </w:tcBorders>
          </w:tcPr>
          <w:p>
            <w:pPr>
              <w:jc w:val="center"/>
            </w:pPr>
            <w:r>
              <w:rPr/>
              <w:t>系统应急响应预案</w:t>
            </w:r>
          </w:p>
        </w:tc>
        <w:tc>
          <w:tcPr>
            <w:tcW w:type="dxa" w:w="1113"/>
            <w:tcBorders>
              <w:top w:val="none" w:color="000000" w:sz="4"/>
              <w:left w:val="none" w:color="000000" w:sz="4"/>
              <w:bottom w:val="single" w:color="000000" w:sz="4"/>
              <w:right w:val="single" w:color="000000" w:sz="4"/>
            </w:tcBorders>
          </w:tcPr>
          <w:p>
            <w:pPr>
              <w:jc w:val="center"/>
            </w:pPr>
            <w:r>
              <w:rPr/>
              <w:t>1</w:t>
            </w:r>
            <w:r>
              <w:rPr/>
              <w:t>套</w:t>
            </w:r>
          </w:p>
        </w:tc>
        <w:tc>
          <w:tcPr>
            <w:tcW w:type="dxa" w:w="1798"/>
            <w:tcBorders>
              <w:top w:val="none" w:color="000000" w:sz="4"/>
              <w:left w:val="none" w:color="000000" w:sz="4"/>
              <w:bottom w:val="single" w:color="000000" w:sz="4"/>
              <w:right w:val="single" w:color="000000" w:sz="4"/>
            </w:tcBorders>
          </w:tcPr>
          <w:p>
            <w:pPr>
              <w:jc w:val="center"/>
            </w:pPr>
            <w:r>
              <w:rPr/>
              <w:t>电子文档</w:t>
            </w:r>
          </w:p>
        </w:tc>
        <w:tc>
          <w:tcPr>
            <w:tcW w:type="dxa" w:w="2398"/>
            <w:tcBorders>
              <w:top w:val="none" w:color="000000" w:sz="4"/>
              <w:left w:val="none" w:color="000000" w:sz="4"/>
              <w:bottom w:val="single" w:color="000000" w:sz="4"/>
              <w:right w:val="single" w:color="000000" w:sz="4"/>
            </w:tcBorders>
          </w:tcPr>
          <w:p>
            <w:pPr>
              <w:jc w:val="center"/>
            </w:pPr>
            <w:r>
              <w:rPr/>
              <w:t>实时更新</w:t>
            </w:r>
          </w:p>
        </w:tc>
      </w:tr>
      <w:tr>
        <w:tc>
          <w:tcPr>
            <w:tcW w:type="dxa" w:w="942"/>
            <w:tcBorders>
              <w:top w:val="none" w:color="000000" w:sz="4"/>
              <w:left w:val="single" w:color="000000" w:sz="4"/>
              <w:bottom w:val="single" w:color="000000" w:sz="4"/>
              <w:right w:val="single" w:color="000000" w:sz="4"/>
            </w:tcBorders>
          </w:tcPr>
          <w:p>
            <w:pPr>
              <w:jc w:val="center"/>
            </w:pPr>
            <w:r>
              <w:rPr/>
              <w:t>6</w:t>
            </w:r>
          </w:p>
        </w:tc>
        <w:tc>
          <w:tcPr>
            <w:tcW w:type="dxa" w:w="2055"/>
            <w:tcBorders>
              <w:top w:val="none" w:color="000000" w:sz="4"/>
              <w:left w:val="none" w:color="000000" w:sz="4"/>
              <w:bottom w:val="single" w:color="000000" w:sz="4"/>
              <w:right w:val="single" w:color="000000" w:sz="4"/>
            </w:tcBorders>
          </w:tcPr>
          <w:p>
            <w:pPr>
              <w:jc w:val="center"/>
            </w:pPr>
            <w:r>
              <w:rPr/>
              <w:t>系统数据备份与恢复方案</w:t>
            </w:r>
          </w:p>
        </w:tc>
        <w:tc>
          <w:tcPr>
            <w:tcW w:type="dxa" w:w="1113"/>
            <w:tcBorders>
              <w:top w:val="none" w:color="000000" w:sz="4"/>
              <w:left w:val="none" w:color="000000" w:sz="4"/>
              <w:bottom w:val="single" w:color="000000" w:sz="4"/>
              <w:right w:val="single" w:color="000000" w:sz="4"/>
            </w:tcBorders>
          </w:tcPr>
          <w:p>
            <w:pPr>
              <w:jc w:val="center"/>
            </w:pPr>
            <w:r>
              <w:rPr/>
              <w:t>1</w:t>
            </w:r>
            <w:r>
              <w:rPr/>
              <w:t>套</w:t>
            </w:r>
          </w:p>
        </w:tc>
        <w:tc>
          <w:tcPr>
            <w:tcW w:type="dxa" w:w="1798"/>
            <w:tcBorders>
              <w:top w:val="none" w:color="000000" w:sz="4"/>
              <w:left w:val="none" w:color="000000" w:sz="4"/>
              <w:bottom w:val="single" w:color="000000" w:sz="4"/>
              <w:right w:val="single" w:color="000000" w:sz="4"/>
            </w:tcBorders>
          </w:tcPr>
          <w:p>
            <w:pPr>
              <w:jc w:val="center"/>
            </w:pPr>
            <w:r>
              <w:rPr/>
              <w:t>电子文档</w:t>
            </w:r>
          </w:p>
        </w:tc>
        <w:tc>
          <w:tcPr>
            <w:tcW w:type="dxa" w:w="2398"/>
            <w:tcBorders>
              <w:top w:val="none" w:color="000000" w:sz="4"/>
              <w:left w:val="none" w:color="000000" w:sz="4"/>
              <w:bottom w:val="single" w:color="000000" w:sz="4"/>
              <w:right w:val="single" w:color="000000" w:sz="4"/>
            </w:tcBorders>
          </w:tcPr>
          <w:p>
            <w:pPr>
              <w:jc w:val="center"/>
            </w:pPr>
            <w:r>
              <w:rPr/>
              <w:t>实时更新</w:t>
            </w:r>
          </w:p>
        </w:tc>
      </w:tr>
      <w:tr>
        <w:tc>
          <w:tcPr>
            <w:tcW w:type="dxa" w:w="942"/>
            <w:tcBorders>
              <w:top w:val="none" w:color="000000" w:sz="4"/>
              <w:left w:val="single" w:color="000000" w:sz="4"/>
              <w:bottom w:val="single" w:color="000000" w:sz="4"/>
              <w:right w:val="single" w:color="000000" w:sz="4"/>
            </w:tcBorders>
          </w:tcPr>
          <w:p>
            <w:pPr>
              <w:jc w:val="center"/>
            </w:pPr>
            <w:r>
              <w:rPr/>
              <w:t>8</w:t>
            </w:r>
          </w:p>
        </w:tc>
        <w:tc>
          <w:tcPr>
            <w:tcW w:type="dxa" w:w="2055"/>
            <w:tcBorders>
              <w:top w:val="none" w:color="000000" w:sz="4"/>
              <w:left w:val="none" w:color="000000" w:sz="4"/>
              <w:bottom w:val="single" w:color="000000" w:sz="4"/>
              <w:right w:val="single" w:color="000000" w:sz="4"/>
            </w:tcBorders>
          </w:tcPr>
          <w:p>
            <w:pPr>
              <w:jc w:val="center"/>
            </w:pPr>
            <w:r>
              <w:rPr>
                <w:sz w:val="21"/>
              </w:rPr>
              <w:t>系统运维台帐及维护月报</w:t>
            </w:r>
          </w:p>
        </w:tc>
        <w:tc>
          <w:tcPr>
            <w:tcW w:type="dxa" w:w="1113"/>
            <w:tcBorders>
              <w:top w:val="none" w:color="000000" w:sz="4"/>
              <w:left w:val="none" w:color="000000" w:sz="4"/>
              <w:bottom w:val="single" w:color="000000" w:sz="4"/>
              <w:right w:val="single" w:color="000000" w:sz="4"/>
            </w:tcBorders>
          </w:tcPr>
          <w:p>
            <w:pPr>
              <w:jc w:val="center"/>
            </w:pPr>
            <w:r>
              <w:rPr/>
              <w:t>1</w:t>
            </w:r>
            <w:r>
              <w:rPr/>
              <w:t>套</w:t>
            </w:r>
          </w:p>
        </w:tc>
        <w:tc>
          <w:tcPr>
            <w:tcW w:type="dxa" w:w="1798"/>
            <w:tcBorders>
              <w:top w:val="none" w:color="000000" w:sz="4"/>
              <w:left w:val="none" w:color="000000" w:sz="4"/>
              <w:bottom w:val="single" w:color="000000" w:sz="4"/>
              <w:right w:val="single" w:color="000000" w:sz="4"/>
            </w:tcBorders>
          </w:tcPr>
          <w:p>
            <w:pPr>
              <w:jc w:val="center"/>
            </w:pPr>
            <w:r>
              <w:rPr/>
              <w:t>电子文档</w:t>
            </w:r>
          </w:p>
        </w:tc>
        <w:tc>
          <w:tcPr>
            <w:tcW w:type="dxa" w:w="2398"/>
            <w:tcBorders>
              <w:top w:val="none" w:color="000000" w:sz="4"/>
              <w:left w:val="none" w:color="000000" w:sz="4"/>
              <w:bottom w:val="single" w:color="000000" w:sz="4"/>
              <w:right w:val="single" w:color="000000" w:sz="4"/>
            </w:tcBorders>
          </w:tcPr>
          <w:p>
            <w:pPr>
              <w:jc w:val="center"/>
            </w:pPr>
            <w:r>
              <w:rPr/>
              <w:t>每月5日前提交上一月</w:t>
            </w:r>
          </w:p>
        </w:tc>
      </w:tr>
      <w:tr>
        <w:tc>
          <w:tcPr>
            <w:tcW w:type="dxa" w:w="942"/>
            <w:tcBorders>
              <w:top w:val="none" w:color="000000" w:sz="4"/>
              <w:left w:val="single" w:color="000000" w:sz="4"/>
              <w:bottom w:val="single" w:color="000000" w:sz="4"/>
              <w:right w:val="single" w:color="000000" w:sz="4"/>
            </w:tcBorders>
          </w:tcPr>
          <w:p>
            <w:pPr>
              <w:jc w:val="center"/>
            </w:pPr>
            <w:r>
              <w:rPr/>
              <w:t>9</w:t>
            </w:r>
          </w:p>
        </w:tc>
        <w:tc>
          <w:tcPr>
            <w:tcW w:type="dxa" w:w="2055"/>
            <w:tcBorders>
              <w:top w:val="none" w:color="000000" w:sz="4"/>
              <w:left w:val="none" w:color="000000" w:sz="4"/>
              <w:bottom w:val="single" w:color="000000" w:sz="4"/>
              <w:right w:val="single" w:color="000000" w:sz="4"/>
            </w:tcBorders>
          </w:tcPr>
          <w:p>
            <w:pPr>
              <w:jc w:val="center"/>
            </w:pPr>
            <w:r>
              <w:rPr>
                <w:sz w:val="21"/>
              </w:rPr>
              <w:t>系统源代码（含全面注释）</w:t>
            </w:r>
          </w:p>
        </w:tc>
        <w:tc>
          <w:tcPr>
            <w:tcW w:type="dxa" w:w="1113"/>
            <w:tcBorders>
              <w:top w:val="none" w:color="000000" w:sz="4"/>
              <w:left w:val="none" w:color="000000" w:sz="4"/>
              <w:bottom w:val="single" w:color="000000" w:sz="4"/>
              <w:right w:val="single" w:color="000000" w:sz="4"/>
            </w:tcBorders>
          </w:tcPr>
          <w:p>
            <w:pPr>
              <w:jc w:val="center"/>
            </w:pPr>
            <w:r>
              <w:rPr/>
              <w:t>1</w:t>
            </w:r>
            <w:r>
              <w:rPr/>
              <w:t>套</w:t>
            </w:r>
          </w:p>
        </w:tc>
        <w:tc>
          <w:tcPr>
            <w:tcW w:type="dxa" w:w="1798"/>
            <w:tcBorders>
              <w:top w:val="none" w:color="000000" w:sz="4"/>
              <w:left w:val="none" w:color="000000" w:sz="4"/>
              <w:bottom w:val="single" w:color="000000" w:sz="4"/>
              <w:right w:val="single" w:color="000000" w:sz="4"/>
            </w:tcBorders>
          </w:tcPr>
          <w:p>
            <w:pPr>
              <w:jc w:val="center"/>
            </w:pPr>
            <w:r>
              <w:rPr/>
              <w:t>光盘或拷贝</w:t>
            </w:r>
          </w:p>
        </w:tc>
        <w:tc>
          <w:tcPr>
            <w:tcW w:type="dxa" w:w="2398"/>
            <w:tcBorders>
              <w:top w:val="none" w:color="000000" w:sz="4"/>
              <w:left w:val="none" w:color="000000" w:sz="4"/>
              <w:bottom w:val="single" w:color="000000" w:sz="4"/>
              <w:right w:val="single" w:color="000000" w:sz="4"/>
            </w:tcBorders>
          </w:tcPr>
          <w:p>
            <w:pPr>
              <w:jc w:val="center"/>
            </w:pPr>
            <w:r>
              <w:rPr/>
              <w:t>年末或项目运维结束时提交1次当前版本系统的全部代码（含系统建设阶段的代码）。源代码的含义，运维公司有解释清楚的义务。对于为本系统开发的源代码，若经过了封装，应提供封装前的源代码。运维期间，运维公司需根据中山市自然资源局的要求随时提供源代码</w:t>
            </w:r>
          </w:p>
        </w:tc>
      </w:tr>
      <w:tr>
        <w:tc>
          <w:tcPr>
            <w:tcW w:type="dxa" w:w="942"/>
            <w:tcBorders>
              <w:top w:val="none" w:color="000000" w:sz="4"/>
              <w:left w:val="single" w:color="000000" w:sz="4"/>
              <w:bottom w:val="single" w:color="000000" w:sz="4"/>
              <w:right w:val="single" w:color="000000" w:sz="4"/>
            </w:tcBorders>
          </w:tcPr>
          <w:p>
            <w:pPr>
              <w:jc w:val="center"/>
            </w:pPr>
            <w:r>
              <w:rPr/>
              <w:t>10</w:t>
            </w:r>
          </w:p>
        </w:tc>
        <w:tc>
          <w:tcPr>
            <w:tcW w:type="dxa" w:w="2055"/>
            <w:tcBorders>
              <w:top w:val="none" w:color="000000" w:sz="4"/>
              <w:left w:val="none" w:color="000000" w:sz="4"/>
              <w:bottom w:val="single" w:color="000000" w:sz="4"/>
              <w:right w:val="single" w:color="000000" w:sz="4"/>
            </w:tcBorders>
          </w:tcPr>
          <w:p>
            <w:pPr>
              <w:jc w:val="center"/>
            </w:pPr>
            <w:r>
              <w:rPr>
                <w:sz w:val="21"/>
              </w:rPr>
              <w:t>数据库设计文档</w:t>
            </w:r>
          </w:p>
        </w:tc>
        <w:tc>
          <w:tcPr>
            <w:tcW w:type="dxa" w:w="1113"/>
            <w:tcBorders>
              <w:top w:val="none" w:color="000000" w:sz="4"/>
              <w:left w:val="none" w:color="000000" w:sz="4"/>
              <w:bottom w:val="single" w:color="000000" w:sz="4"/>
              <w:right w:val="single" w:color="000000" w:sz="4"/>
            </w:tcBorders>
          </w:tcPr>
          <w:p>
            <w:pPr>
              <w:jc w:val="center"/>
            </w:pPr>
            <w:r>
              <w:rPr/>
              <w:t>1</w:t>
            </w:r>
            <w:r>
              <w:rPr/>
              <w:t>套</w:t>
            </w:r>
          </w:p>
        </w:tc>
        <w:tc>
          <w:tcPr>
            <w:tcW w:type="dxa" w:w="1798"/>
            <w:tcBorders>
              <w:top w:val="none" w:color="000000" w:sz="4"/>
              <w:left w:val="none" w:color="000000" w:sz="4"/>
              <w:bottom w:val="single" w:color="000000" w:sz="4"/>
              <w:right w:val="single" w:color="000000" w:sz="4"/>
            </w:tcBorders>
          </w:tcPr>
          <w:p>
            <w:pPr>
              <w:jc w:val="center"/>
            </w:pPr>
            <w:r>
              <w:rPr/>
              <w:t>电子文档</w:t>
            </w:r>
          </w:p>
        </w:tc>
        <w:tc>
          <w:tcPr>
            <w:tcW w:type="dxa" w:w="2398"/>
            <w:tcBorders>
              <w:top w:val="none" w:color="000000" w:sz="4"/>
              <w:left w:val="none" w:color="000000" w:sz="4"/>
              <w:bottom w:val="single" w:color="000000" w:sz="4"/>
              <w:right w:val="single" w:color="000000" w:sz="4"/>
            </w:tcBorders>
          </w:tcPr>
          <w:p>
            <w:pPr>
              <w:jc w:val="center"/>
            </w:pPr>
            <w:r>
              <w:rPr/>
              <w:t>项目完成交付后提交一次</w:t>
            </w:r>
          </w:p>
        </w:tc>
      </w:tr>
      <w:tr>
        <w:tc>
          <w:tcPr>
            <w:tcW w:type="dxa" w:w="942"/>
            <w:tcBorders>
              <w:top w:val="none" w:color="000000" w:sz="4"/>
              <w:left w:val="single" w:color="000000" w:sz="4"/>
              <w:bottom w:val="single" w:color="000000" w:sz="4"/>
              <w:right w:val="single" w:color="000000" w:sz="4"/>
            </w:tcBorders>
          </w:tcPr>
          <w:p>
            <w:pPr>
              <w:jc w:val="center"/>
            </w:pPr>
            <w:r>
              <w:rPr/>
              <w:t>11</w:t>
            </w:r>
          </w:p>
        </w:tc>
        <w:tc>
          <w:tcPr>
            <w:tcW w:type="dxa" w:w="2055"/>
            <w:tcBorders>
              <w:top w:val="none" w:color="000000" w:sz="4"/>
              <w:left w:val="none" w:color="000000" w:sz="4"/>
              <w:bottom w:val="single" w:color="000000" w:sz="4"/>
              <w:right w:val="single" w:color="000000" w:sz="4"/>
            </w:tcBorders>
          </w:tcPr>
          <w:p>
            <w:pPr>
              <w:jc w:val="center"/>
            </w:pPr>
            <w:r>
              <w:rPr>
                <w:sz w:val="21"/>
              </w:rPr>
              <w:t>系统部署手册（含服务器部署和客户端安装）</w:t>
            </w:r>
          </w:p>
        </w:tc>
        <w:tc>
          <w:tcPr>
            <w:tcW w:type="dxa" w:w="1113"/>
            <w:tcBorders>
              <w:top w:val="none" w:color="000000" w:sz="4"/>
              <w:left w:val="none" w:color="000000" w:sz="4"/>
              <w:bottom w:val="single" w:color="000000" w:sz="4"/>
              <w:right w:val="single" w:color="000000" w:sz="4"/>
            </w:tcBorders>
          </w:tcPr>
          <w:p>
            <w:pPr>
              <w:jc w:val="center"/>
            </w:pPr>
            <w:r>
              <w:rPr/>
              <w:t>1</w:t>
            </w:r>
            <w:r>
              <w:rPr/>
              <w:t>套</w:t>
            </w:r>
          </w:p>
        </w:tc>
        <w:tc>
          <w:tcPr>
            <w:tcW w:type="dxa" w:w="1798"/>
            <w:tcBorders>
              <w:top w:val="none" w:color="000000" w:sz="4"/>
              <w:left w:val="none" w:color="000000" w:sz="4"/>
              <w:bottom w:val="single" w:color="000000" w:sz="4"/>
              <w:right w:val="single" w:color="000000" w:sz="4"/>
            </w:tcBorders>
          </w:tcPr>
          <w:p>
            <w:pPr>
              <w:jc w:val="center"/>
            </w:pPr>
            <w:r>
              <w:rPr/>
              <w:t>电子文档</w:t>
            </w:r>
          </w:p>
        </w:tc>
        <w:tc>
          <w:tcPr>
            <w:tcW w:type="dxa" w:w="2398"/>
            <w:tcBorders>
              <w:top w:val="none" w:color="000000" w:sz="4"/>
              <w:left w:val="none" w:color="000000" w:sz="4"/>
              <w:bottom w:val="single" w:color="000000" w:sz="4"/>
              <w:right w:val="single" w:color="000000" w:sz="4"/>
            </w:tcBorders>
          </w:tcPr>
          <w:p>
            <w:pPr>
              <w:jc w:val="center"/>
            </w:pPr>
            <w:r>
              <w:rPr/>
              <w:t>项目完成交付后提交一次</w:t>
            </w:r>
          </w:p>
        </w:tc>
      </w:tr>
      <w:tr>
        <w:tc>
          <w:tcPr>
            <w:tcW w:type="dxa" w:w="942"/>
            <w:tcBorders>
              <w:top w:val="none" w:color="000000" w:sz="4"/>
              <w:left w:val="single" w:color="000000" w:sz="4"/>
              <w:bottom w:val="single" w:color="000000" w:sz="4"/>
              <w:right w:val="single" w:color="000000" w:sz="4"/>
            </w:tcBorders>
          </w:tcPr>
          <w:p>
            <w:pPr>
              <w:jc w:val="center"/>
            </w:pPr>
            <w:r>
              <w:rPr/>
              <w:t>12</w:t>
            </w:r>
          </w:p>
        </w:tc>
        <w:tc>
          <w:tcPr>
            <w:tcW w:type="dxa" w:w="2055"/>
            <w:tcBorders>
              <w:top w:val="none" w:color="000000" w:sz="4"/>
              <w:left w:val="none" w:color="000000" w:sz="4"/>
              <w:bottom w:val="single" w:color="000000" w:sz="4"/>
              <w:right w:val="single" w:color="000000" w:sz="4"/>
            </w:tcBorders>
          </w:tcPr>
          <w:p>
            <w:pPr>
              <w:jc w:val="center"/>
            </w:pPr>
            <w:r>
              <w:rPr>
                <w:sz w:val="21"/>
              </w:rPr>
              <w:t>系统用户操作手册</w:t>
            </w:r>
          </w:p>
        </w:tc>
        <w:tc>
          <w:tcPr>
            <w:tcW w:type="dxa" w:w="1113"/>
            <w:tcBorders>
              <w:top w:val="none" w:color="000000" w:sz="4"/>
              <w:left w:val="none" w:color="000000" w:sz="4"/>
              <w:bottom w:val="single" w:color="000000" w:sz="4"/>
              <w:right w:val="single" w:color="000000" w:sz="4"/>
            </w:tcBorders>
          </w:tcPr>
          <w:p>
            <w:pPr>
              <w:jc w:val="center"/>
            </w:pPr>
            <w:r>
              <w:rPr/>
              <w:t>1</w:t>
            </w:r>
            <w:r>
              <w:rPr/>
              <w:t>套</w:t>
            </w:r>
          </w:p>
        </w:tc>
        <w:tc>
          <w:tcPr>
            <w:tcW w:type="dxa" w:w="1798"/>
            <w:tcBorders>
              <w:top w:val="none" w:color="000000" w:sz="4"/>
              <w:left w:val="none" w:color="000000" w:sz="4"/>
              <w:bottom w:val="single" w:color="000000" w:sz="4"/>
              <w:right w:val="single" w:color="000000" w:sz="4"/>
            </w:tcBorders>
          </w:tcPr>
          <w:p>
            <w:pPr>
              <w:jc w:val="center"/>
            </w:pPr>
            <w:r>
              <w:rPr/>
              <w:t>电子文档</w:t>
            </w:r>
          </w:p>
        </w:tc>
        <w:tc>
          <w:tcPr>
            <w:tcW w:type="dxa" w:w="2398"/>
            <w:tcBorders>
              <w:top w:val="none" w:color="000000" w:sz="4"/>
              <w:left w:val="none" w:color="000000" w:sz="4"/>
              <w:bottom w:val="single" w:color="000000" w:sz="4"/>
              <w:right w:val="single" w:color="000000" w:sz="4"/>
            </w:tcBorders>
          </w:tcPr>
          <w:p>
            <w:pPr>
              <w:jc w:val="center"/>
            </w:pPr>
            <w:r>
              <w:rPr/>
              <w:t>项目完成交付后提交一次</w:t>
            </w:r>
          </w:p>
        </w:tc>
      </w:tr>
      <w:tr>
        <w:tc>
          <w:tcPr>
            <w:tcW w:type="dxa" w:w="942"/>
            <w:tcBorders>
              <w:top w:val="none" w:color="000000" w:sz="4"/>
              <w:left w:val="single" w:color="000000" w:sz="4"/>
              <w:bottom w:val="single" w:color="000000" w:sz="4"/>
              <w:right w:val="single" w:color="000000" w:sz="4"/>
            </w:tcBorders>
          </w:tcPr>
          <w:p>
            <w:pPr>
              <w:jc w:val="center"/>
            </w:pPr>
            <w:r>
              <w:rPr/>
              <w:t>13</w:t>
            </w:r>
          </w:p>
        </w:tc>
        <w:tc>
          <w:tcPr>
            <w:tcW w:type="dxa" w:w="2055"/>
            <w:tcBorders>
              <w:top w:val="none" w:color="000000" w:sz="4"/>
              <w:left w:val="none" w:color="000000" w:sz="4"/>
              <w:bottom w:val="single" w:color="000000" w:sz="4"/>
              <w:right w:val="single" w:color="000000" w:sz="4"/>
            </w:tcBorders>
          </w:tcPr>
          <w:p>
            <w:pPr>
              <w:jc w:val="center"/>
            </w:pPr>
            <w:r>
              <w:rPr>
                <w:sz w:val="21"/>
              </w:rPr>
              <w:t>系统服务器端及客户端的全套软件安装包</w:t>
            </w:r>
          </w:p>
        </w:tc>
        <w:tc>
          <w:tcPr>
            <w:tcW w:type="dxa" w:w="1113"/>
            <w:tcBorders>
              <w:top w:val="none" w:color="000000" w:sz="4"/>
              <w:left w:val="none" w:color="000000" w:sz="4"/>
              <w:bottom w:val="single" w:color="000000" w:sz="4"/>
              <w:right w:val="single" w:color="000000" w:sz="4"/>
            </w:tcBorders>
          </w:tcPr>
          <w:p>
            <w:pPr>
              <w:jc w:val="center"/>
            </w:pPr>
            <w:r>
              <w:rPr/>
              <w:t>1</w:t>
            </w:r>
            <w:r>
              <w:rPr/>
              <w:t>套</w:t>
            </w:r>
          </w:p>
        </w:tc>
        <w:tc>
          <w:tcPr>
            <w:tcW w:type="dxa" w:w="1798"/>
            <w:tcBorders>
              <w:top w:val="none" w:color="000000" w:sz="4"/>
              <w:left w:val="none" w:color="000000" w:sz="4"/>
              <w:bottom w:val="single" w:color="000000" w:sz="4"/>
              <w:right w:val="single" w:color="000000" w:sz="4"/>
            </w:tcBorders>
          </w:tcPr>
          <w:p>
            <w:pPr>
              <w:jc w:val="center"/>
            </w:pPr>
            <w:r>
              <w:rPr/>
              <w:t>光盘或拷贝</w:t>
            </w:r>
          </w:p>
        </w:tc>
        <w:tc>
          <w:tcPr>
            <w:tcW w:type="dxa" w:w="2398"/>
            <w:tcBorders>
              <w:top w:val="none" w:color="000000" w:sz="4"/>
              <w:left w:val="none" w:color="000000" w:sz="4"/>
              <w:bottom w:val="single" w:color="000000" w:sz="4"/>
              <w:right w:val="single" w:color="000000" w:sz="4"/>
            </w:tcBorders>
          </w:tcPr>
          <w:p>
            <w:pPr>
              <w:jc w:val="center"/>
            </w:pPr>
            <w:r>
              <w:rPr/>
              <w:t>项目结束时提交1次。运维期间，运维公司需根据中山市自然资源局的要求随时提交</w:t>
            </w:r>
          </w:p>
        </w:tc>
      </w:tr>
      <w:tr>
        <w:tc>
          <w:tcPr>
            <w:tcW w:type="dxa" w:w="942"/>
            <w:tcBorders>
              <w:top w:val="none" w:color="000000" w:sz="4"/>
              <w:left w:val="single" w:color="000000" w:sz="4"/>
              <w:bottom w:val="single" w:color="000000" w:sz="4"/>
              <w:right w:val="single" w:color="000000" w:sz="4"/>
            </w:tcBorders>
          </w:tcPr>
          <w:p>
            <w:pPr>
              <w:jc w:val="center"/>
            </w:pPr>
            <w:r>
              <w:rPr/>
              <w:t>14</w:t>
            </w:r>
          </w:p>
        </w:tc>
        <w:tc>
          <w:tcPr>
            <w:tcW w:type="dxa" w:w="2055"/>
            <w:tcBorders>
              <w:top w:val="none" w:color="000000" w:sz="4"/>
              <w:left w:val="none" w:color="000000" w:sz="4"/>
              <w:bottom w:val="single" w:color="000000" w:sz="4"/>
              <w:right w:val="single" w:color="000000" w:sz="4"/>
            </w:tcBorders>
          </w:tcPr>
          <w:p>
            <w:pPr>
              <w:jc w:val="center"/>
            </w:pPr>
            <w:r>
              <w:rPr>
                <w:sz w:val="21"/>
              </w:rPr>
              <w:t>网络安全报告</w:t>
            </w:r>
          </w:p>
        </w:tc>
        <w:tc>
          <w:tcPr>
            <w:tcW w:type="dxa" w:w="1113"/>
            <w:tcBorders>
              <w:top w:val="none" w:color="000000" w:sz="4"/>
              <w:left w:val="none" w:color="000000" w:sz="4"/>
              <w:bottom w:val="single" w:color="000000" w:sz="4"/>
              <w:right w:val="single" w:color="000000" w:sz="4"/>
            </w:tcBorders>
          </w:tcPr>
          <w:p>
            <w:pPr>
              <w:jc w:val="center"/>
            </w:pPr>
            <w:r>
              <w:rPr/>
              <w:t>1</w:t>
            </w:r>
            <w:r>
              <w:rPr/>
              <w:t>套</w:t>
            </w:r>
          </w:p>
        </w:tc>
        <w:tc>
          <w:tcPr>
            <w:tcW w:type="dxa" w:w="1798"/>
            <w:tcBorders>
              <w:top w:val="none" w:color="000000" w:sz="4"/>
              <w:left w:val="none" w:color="000000" w:sz="4"/>
              <w:bottom w:val="single" w:color="000000" w:sz="4"/>
              <w:right w:val="single" w:color="000000" w:sz="4"/>
            </w:tcBorders>
          </w:tcPr>
          <w:p>
            <w:pPr>
              <w:jc w:val="center"/>
            </w:pPr>
            <w:r>
              <w:rPr/>
              <w:t>电子文档</w:t>
            </w:r>
          </w:p>
        </w:tc>
        <w:tc>
          <w:tcPr>
            <w:tcW w:type="dxa" w:w="2398"/>
            <w:tcBorders>
              <w:top w:val="none" w:color="000000" w:sz="4"/>
              <w:left w:val="none" w:color="000000" w:sz="4"/>
              <w:bottom w:val="single" w:color="000000" w:sz="4"/>
              <w:right w:val="single" w:color="000000" w:sz="4"/>
            </w:tcBorders>
          </w:tcPr>
          <w:p>
            <w:pPr>
              <w:jc w:val="center"/>
            </w:pPr>
            <w:r>
              <w:rPr/>
              <w:t>包括数据安全管理措施、关键软件供应链安全情况、管理技术团队变化情况等，项目结束时提交1次。</w:t>
            </w:r>
          </w:p>
        </w:tc>
      </w:tr>
    </w:tbl>
    <w:p>
      <w:pPr>
        <w:jc w:val="both"/>
      </w:pPr>
    </w:p>
    <w:p>
      <w:pPr>
        <w:jc w:val="both"/>
      </w:pPr>
      <w:r>
        <w:rPr>
          <w:b/>
          <w:sz w:val="21"/>
        </w:rPr>
        <w:t xml:space="preserve">2)     </w:t>
      </w:r>
      <w:r>
        <w:rPr>
          <w:b/>
          <w:sz w:val="21"/>
        </w:rPr>
        <w:t>条件性成果</w:t>
      </w:r>
    </w:p>
    <w:p>
      <w:pPr>
        <w:jc w:val="both"/>
      </w:pPr>
      <w:r>
        <w:rPr>
          <w:b/>
          <w:sz w:val="21"/>
        </w:rPr>
        <w:t>2.1.</w:t>
      </w:r>
      <w:r>
        <w:rPr>
          <w:b/>
          <w:sz w:val="21"/>
        </w:rPr>
        <w:t>有新增功能优化及服务</w:t>
      </w:r>
    </w:p>
    <w:p>
      <w:pPr>
        <w:jc w:val="both"/>
      </w:pPr>
      <w:r>
        <w:rPr>
          <w:sz w:val="21"/>
        </w:rPr>
        <w:t>如果系统有新增功能优化及服务，已新增运维服务表单形式提交，相应更新。如下表：</w:t>
      </w:r>
    </w:p>
    <w:tbl>
      <w:tblPr>
        <w:tblW w:w="0" w:type="auto"/>
        <w:tblBorders>
          <w:top w:val="none" w:color="000000" w:sz="4"/>
          <w:left w:val="none" w:color="000000" w:sz="4"/>
          <w:bottom w:val="none" w:color="000000" w:sz="4"/>
          <w:right w:val="none" w:color="000000" w:sz="4"/>
          <w:insideH w:val="none"/>
          <w:insideV w:val="none"/>
        </w:tblBorders>
      </w:tblPr>
      <w:tblGrid>
        <w:gridCol w:w="942"/>
        <w:gridCol w:w="2740"/>
        <w:gridCol w:w="856"/>
        <w:gridCol w:w="1884"/>
        <w:gridCol w:w="1884"/>
      </w:tblGrid>
      <w:tr>
        <w:tc>
          <w:tcPr>
            <w:tcW w:type="dxa" w:w="942"/>
            <w:tcBorders>
              <w:top w:val="single" w:color="000000" w:sz="4"/>
              <w:left w:val="single" w:color="000000" w:sz="4"/>
              <w:bottom w:val="single" w:color="000000" w:sz="4"/>
              <w:right w:val="single" w:color="000000" w:sz="4"/>
            </w:tcBorders>
          </w:tcPr>
          <w:p>
            <w:pPr>
              <w:jc w:val="center"/>
            </w:pPr>
            <w:r>
              <w:rPr>
                <w:b/>
                <w:sz w:val="21"/>
              </w:rPr>
              <w:t>序号</w:t>
            </w:r>
          </w:p>
        </w:tc>
        <w:tc>
          <w:tcPr>
            <w:tcW w:type="dxa" w:w="2740"/>
            <w:tcBorders>
              <w:top w:val="single" w:color="000000" w:sz="4"/>
              <w:left w:val="none" w:color="000000" w:sz="4"/>
              <w:bottom w:val="single" w:color="000000" w:sz="4"/>
              <w:right w:val="single" w:color="000000" w:sz="4"/>
            </w:tcBorders>
          </w:tcPr>
          <w:p>
            <w:pPr>
              <w:jc w:val="center"/>
            </w:pPr>
            <w:r>
              <w:rPr>
                <w:b/>
                <w:sz w:val="21"/>
              </w:rPr>
              <w:t>成果名称</w:t>
            </w:r>
          </w:p>
        </w:tc>
        <w:tc>
          <w:tcPr>
            <w:tcW w:type="dxa" w:w="856"/>
            <w:tcBorders>
              <w:top w:val="single" w:color="000000" w:sz="4"/>
              <w:left w:val="none" w:color="000000" w:sz="4"/>
              <w:bottom w:val="single" w:color="000000" w:sz="4"/>
              <w:right w:val="single" w:color="000000" w:sz="4"/>
            </w:tcBorders>
          </w:tcPr>
          <w:p>
            <w:pPr>
              <w:jc w:val="center"/>
            </w:pPr>
            <w:r>
              <w:rPr>
                <w:b/>
                <w:sz w:val="21"/>
              </w:rPr>
              <w:t>数量</w:t>
            </w:r>
          </w:p>
        </w:tc>
        <w:tc>
          <w:tcPr>
            <w:tcW w:type="dxa" w:w="1884"/>
            <w:tcBorders>
              <w:top w:val="single" w:color="000000" w:sz="4"/>
              <w:left w:val="none" w:color="000000" w:sz="4"/>
              <w:bottom w:val="single" w:color="000000" w:sz="4"/>
              <w:right w:val="single" w:color="000000" w:sz="4"/>
            </w:tcBorders>
          </w:tcPr>
          <w:p>
            <w:pPr>
              <w:jc w:val="center"/>
            </w:pPr>
            <w:r>
              <w:rPr>
                <w:b/>
                <w:sz w:val="21"/>
              </w:rPr>
              <w:t>形</w:t>
            </w:r>
            <w:r>
              <w:rPr>
                <w:b/>
                <w:sz w:val="21"/>
              </w:rPr>
              <w:t>式</w:t>
            </w:r>
          </w:p>
        </w:tc>
        <w:tc>
          <w:tcPr>
            <w:tcW w:type="dxa" w:w="1884"/>
            <w:tcBorders>
              <w:top w:val="single" w:color="000000" w:sz="4"/>
              <w:left w:val="none" w:color="000000" w:sz="4"/>
              <w:bottom w:val="single" w:color="000000" w:sz="4"/>
              <w:right w:val="single" w:color="000000" w:sz="4"/>
            </w:tcBorders>
          </w:tcPr>
          <w:p>
            <w:pPr>
              <w:jc w:val="center"/>
            </w:pPr>
            <w:r>
              <w:rPr>
                <w:b/>
                <w:sz w:val="21"/>
              </w:rPr>
              <w:t>要</w:t>
            </w:r>
            <w:r>
              <w:rPr>
                <w:b/>
                <w:sz w:val="21"/>
              </w:rPr>
              <w:t>求</w:t>
            </w:r>
          </w:p>
        </w:tc>
      </w:tr>
      <w:tr>
        <w:tc>
          <w:tcPr>
            <w:tcW w:type="dxa" w:w="942"/>
            <w:tcBorders>
              <w:top w:val="none" w:color="000000" w:sz="4"/>
              <w:left w:val="single" w:color="000000" w:sz="4"/>
              <w:bottom w:val="single" w:color="000000" w:sz="4"/>
              <w:right w:val="single" w:color="000000" w:sz="4"/>
            </w:tcBorders>
          </w:tcPr>
          <w:p>
            <w:pPr>
              <w:jc w:val="center"/>
            </w:pPr>
            <w:r>
              <w:rPr>
                <w:sz w:val="21"/>
              </w:rPr>
              <w:t>1</w:t>
            </w:r>
          </w:p>
        </w:tc>
        <w:tc>
          <w:tcPr>
            <w:tcW w:type="dxa" w:w="2740"/>
            <w:tcBorders>
              <w:top w:val="none" w:color="000000" w:sz="4"/>
              <w:left w:val="none" w:color="000000" w:sz="4"/>
              <w:bottom w:val="single" w:color="000000" w:sz="4"/>
              <w:right w:val="single" w:color="000000" w:sz="4"/>
            </w:tcBorders>
          </w:tcPr>
          <w:p>
            <w:pPr>
              <w:jc w:val="center"/>
            </w:pPr>
            <w:r>
              <w:rPr>
                <w:sz w:val="21"/>
              </w:rPr>
              <w:t>运维分析及设计</w:t>
            </w:r>
          </w:p>
        </w:tc>
        <w:tc>
          <w:tcPr>
            <w:tcW w:type="dxa" w:w="856"/>
            <w:tcBorders>
              <w:top w:val="none" w:color="000000" w:sz="4"/>
              <w:left w:val="none" w:color="000000" w:sz="4"/>
              <w:bottom w:val="single" w:color="000000" w:sz="4"/>
              <w:right w:val="single" w:color="000000" w:sz="4"/>
            </w:tcBorders>
          </w:tcPr>
          <w:p>
            <w:pPr>
              <w:jc w:val="center"/>
            </w:pPr>
            <w:r>
              <w:rPr>
                <w:sz w:val="21"/>
              </w:rPr>
              <w:t>1</w:t>
            </w:r>
            <w:r>
              <w:rPr>
                <w:sz w:val="21"/>
              </w:rPr>
              <w:t>套</w:t>
            </w:r>
          </w:p>
        </w:tc>
        <w:tc>
          <w:tcPr>
            <w:tcW w:type="dxa" w:w="1884"/>
            <w:tcBorders>
              <w:top w:val="none" w:color="000000" w:sz="4"/>
              <w:left w:val="none" w:color="000000" w:sz="4"/>
              <w:bottom w:val="single" w:color="000000" w:sz="4"/>
              <w:right w:val="single" w:color="000000" w:sz="4"/>
            </w:tcBorders>
          </w:tcPr>
          <w:p>
            <w:pPr>
              <w:jc w:val="center"/>
            </w:pPr>
            <w:r>
              <w:rPr>
                <w:sz w:val="21"/>
              </w:rPr>
              <w:t>电子文档（含扫描件）</w:t>
            </w:r>
          </w:p>
        </w:tc>
        <w:tc>
          <w:tcPr>
            <w:tcW w:type="dxa" w:w="1884"/>
            <w:tcBorders>
              <w:top w:val="none" w:color="000000" w:sz="4"/>
              <w:left w:val="none" w:color="000000" w:sz="4"/>
              <w:bottom w:val="single" w:color="000000" w:sz="4"/>
              <w:right w:val="single" w:color="000000" w:sz="4"/>
            </w:tcBorders>
          </w:tcPr>
          <w:p>
            <w:pPr>
              <w:jc w:val="center"/>
            </w:pPr>
            <w:r>
              <w:rPr>
                <w:sz w:val="21"/>
              </w:rPr>
              <w:t>新增功能完成后</w:t>
            </w:r>
            <w:r>
              <w:rPr>
                <w:sz w:val="21"/>
              </w:rPr>
              <w:t>10</w:t>
            </w:r>
            <w:r>
              <w:rPr>
                <w:sz w:val="21"/>
              </w:rPr>
              <w:t>天内。</w:t>
            </w:r>
          </w:p>
        </w:tc>
      </w:tr>
      <w:tr>
        <w:tc>
          <w:tcPr>
            <w:tcW w:type="dxa" w:w="942"/>
            <w:tcBorders>
              <w:top w:val="none" w:color="000000" w:sz="4"/>
              <w:left w:val="single" w:color="000000" w:sz="4"/>
              <w:bottom w:val="single" w:color="000000" w:sz="4"/>
              <w:right w:val="single" w:color="000000" w:sz="4"/>
            </w:tcBorders>
          </w:tcPr>
          <w:p>
            <w:pPr>
              <w:jc w:val="center"/>
            </w:pPr>
            <w:r>
              <w:rPr>
                <w:sz w:val="21"/>
              </w:rPr>
              <w:t>2</w:t>
            </w:r>
          </w:p>
        </w:tc>
        <w:tc>
          <w:tcPr>
            <w:tcW w:type="dxa" w:w="2740"/>
            <w:tcBorders>
              <w:top w:val="none" w:color="000000" w:sz="4"/>
              <w:left w:val="none" w:color="000000" w:sz="4"/>
              <w:bottom w:val="single" w:color="000000" w:sz="4"/>
              <w:right w:val="single" w:color="000000" w:sz="4"/>
            </w:tcBorders>
          </w:tcPr>
          <w:p>
            <w:pPr>
              <w:jc w:val="center"/>
            </w:pPr>
            <w:r>
              <w:rPr>
                <w:sz w:val="21"/>
              </w:rPr>
              <w:t>新增功能技术方案</w:t>
            </w:r>
          </w:p>
        </w:tc>
        <w:tc>
          <w:tcPr>
            <w:tcW w:type="dxa" w:w="856"/>
            <w:tcBorders>
              <w:top w:val="none" w:color="000000" w:sz="4"/>
              <w:left w:val="none" w:color="000000" w:sz="4"/>
              <w:bottom w:val="single" w:color="000000" w:sz="4"/>
              <w:right w:val="single" w:color="000000" w:sz="4"/>
            </w:tcBorders>
          </w:tcPr>
          <w:p>
            <w:pPr>
              <w:jc w:val="center"/>
            </w:pPr>
            <w:r>
              <w:rPr>
                <w:sz w:val="21"/>
              </w:rPr>
              <w:t>1</w:t>
            </w:r>
            <w:r>
              <w:rPr>
                <w:sz w:val="21"/>
              </w:rPr>
              <w:t>套</w:t>
            </w:r>
          </w:p>
        </w:tc>
        <w:tc>
          <w:tcPr>
            <w:tcW w:type="dxa" w:w="1884"/>
            <w:tcBorders>
              <w:top w:val="none" w:color="000000" w:sz="4"/>
              <w:left w:val="none" w:color="000000" w:sz="4"/>
              <w:bottom w:val="single" w:color="000000" w:sz="4"/>
              <w:right w:val="single" w:color="000000" w:sz="4"/>
            </w:tcBorders>
          </w:tcPr>
          <w:p>
            <w:pPr>
              <w:jc w:val="center"/>
            </w:pPr>
            <w:r>
              <w:rPr>
                <w:sz w:val="21"/>
              </w:rPr>
              <w:t>电子文档（含扫描件）</w:t>
            </w:r>
          </w:p>
        </w:tc>
        <w:tc>
          <w:tcPr>
            <w:tcW w:type="dxa" w:w="1884"/>
            <w:tcBorders>
              <w:top w:val="none" w:color="000000" w:sz="4"/>
              <w:left w:val="none" w:color="000000" w:sz="4"/>
              <w:bottom w:val="single" w:color="000000" w:sz="4"/>
              <w:right w:val="single" w:color="000000" w:sz="4"/>
            </w:tcBorders>
          </w:tcPr>
          <w:p>
            <w:pPr>
              <w:jc w:val="center"/>
            </w:pPr>
            <w:r>
              <w:rPr>
                <w:sz w:val="21"/>
              </w:rPr>
              <w:t>新增功能完成后</w:t>
            </w:r>
            <w:r>
              <w:rPr>
                <w:sz w:val="21"/>
              </w:rPr>
              <w:t>10</w:t>
            </w:r>
            <w:r>
              <w:rPr>
                <w:sz w:val="21"/>
              </w:rPr>
              <w:t>天内。应包含风险预测和应对措施。</w:t>
            </w:r>
          </w:p>
        </w:tc>
      </w:tr>
      <w:tr>
        <w:tc>
          <w:tcPr>
            <w:tcW w:type="dxa" w:w="942"/>
            <w:tcBorders>
              <w:top w:val="none" w:color="000000" w:sz="4"/>
              <w:left w:val="single" w:color="000000" w:sz="4"/>
              <w:bottom w:val="single" w:color="000000" w:sz="4"/>
              <w:right w:val="single" w:color="000000" w:sz="4"/>
            </w:tcBorders>
          </w:tcPr>
          <w:p>
            <w:pPr>
              <w:jc w:val="center"/>
            </w:pPr>
            <w:r>
              <w:rPr>
                <w:sz w:val="21"/>
              </w:rPr>
              <w:t>3</w:t>
            </w:r>
          </w:p>
        </w:tc>
        <w:tc>
          <w:tcPr>
            <w:tcW w:type="dxa" w:w="2740"/>
            <w:tcBorders>
              <w:top w:val="none" w:color="000000" w:sz="4"/>
              <w:left w:val="none" w:color="000000" w:sz="4"/>
              <w:bottom w:val="single" w:color="000000" w:sz="4"/>
              <w:right w:val="single" w:color="000000" w:sz="4"/>
            </w:tcBorders>
          </w:tcPr>
          <w:p>
            <w:pPr>
              <w:jc w:val="center"/>
            </w:pPr>
            <w:r>
              <w:rPr>
                <w:sz w:val="21"/>
              </w:rPr>
              <w:t>用户需求确认表</w:t>
            </w:r>
          </w:p>
        </w:tc>
        <w:tc>
          <w:tcPr>
            <w:tcW w:type="dxa" w:w="856"/>
            <w:tcBorders>
              <w:top w:val="none" w:color="000000" w:sz="4"/>
              <w:left w:val="none" w:color="000000" w:sz="4"/>
              <w:bottom w:val="single" w:color="000000" w:sz="4"/>
              <w:right w:val="single" w:color="000000" w:sz="4"/>
            </w:tcBorders>
          </w:tcPr>
          <w:p>
            <w:pPr>
              <w:jc w:val="center"/>
            </w:pPr>
            <w:r>
              <w:rPr>
                <w:sz w:val="21"/>
              </w:rPr>
              <w:t>1</w:t>
            </w:r>
            <w:r>
              <w:rPr>
                <w:sz w:val="21"/>
              </w:rPr>
              <w:t>套</w:t>
            </w:r>
          </w:p>
        </w:tc>
        <w:tc>
          <w:tcPr>
            <w:tcW w:type="dxa" w:w="1884"/>
            <w:tcBorders>
              <w:top w:val="none" w:color="000000" w:sz="4"/>
              <w:left w:val="none" w:color="000000" w:sz="4"/>
              <w:bottom w:val="single" w:color="000000" w:sz="4"/>
              <w:right w:val="single" w:color="000000" w:sz="4"/>
            </w:tcBorders>
          </w:tcPr>
          <w:p>
            <w:pPr>
              <w:jc w:val="center"/>
            </w:pPr>
            <w:r>
              <w:rPr>
                <w:sz w:val="21"/>
              </w:rPr>
              <w:t>电子文档（含扫描件）</w:t>
            </w:r>
          </w:p>
        </w:tc>
        <w:tc>
          <w:tcPr>
            <w:tcW w:type="dxa" w:w="1884"/>
            <w:tcBorders>
              <w:top w:val="none" w:color="000000" w:sz="4"/>
              <w:left w:val="none" w:color="000000" w:sz="4"/>
              <w:bottom w:val="single" w:color="000000" w:sz="4"/>
              <w:right w:val="single" w:color="000000" w:sz="4"/>
            </w:tcBorders>
          </w:tcPr>
          <w:p>
            <w:pPr>
              <w:jc w:val="center"/>
            </w:pPr>
            <w:r>
              <w:rPr>
                <w:sz w:val="21"/>
              </w:rPr>
              <w:t>新增功能完成后</w:t>
            </w:r>
            <w:r>
              <w:rPr>
                <w:sz w:val="21"/>
              </w:rPr>
              <w:t>10</w:t>
            </w:r>
            <w:r>
              <w:rPr>
                <w:sz w:val="21"/>
              </w:rPr>
              <w:t>天内。</w:t>
            </w:r>
          </w:p>
        </w:tc>
      </w:tr>
      <w:tr>
        <w:tc>
          <w:tcPr>
            <w:tcW w:type="dxa" w:w="942"/>
            <w:tcBorders>
              <w:top w:val="none" w:color="000000" w:sz="4"/>
              <w:left w:val="single" w:color="000000" w:sz="4"/>
              <w:bottom w:val="single" w:color="000000" w:sz="4"/>
              <w:right w:val="single" w:color="000000" w:sz="4"/>
            </w:tcBorders>
          </w:tcPr>
          <w:p>
            <w:pPr>
              <w:jc w:val="center"/>
            </w:pPr>
            <w:r>
              <w:rPr>
                <w:sz w:val="21"/>
              </w:rPr>
              <w:t>4</w:t>
            </w:r>
          </w:p>
        </w:tc>
        <w:tc>
          <w:tcPr>
            <w:tcW w:type="dxa" w:w="2740"/>
            <w:tcBorders>
              <w:top w:val="none" w:color="000000" w:sz="4"/>
              <w:left w:val="none" w:color="000000" w:sz="4"/>
              <w:bottom w:val="single" w:color="000000" w:sz="4"/>
              <w:right w:val="single" w:color="000000" w:sz="4"/>
            </w:tcBorders>
          </w:tcPr>
          <w:p>
            <w:pPr>
              <w:jc w:val="center"/>
            </w:pPr>
            <w:r>
              <w:rPr>
                <w:sz w:val="21"/>
              </w:rPr>
              <w:t>系统测试报告</w:t>
            </w:r>
          </w:p>
        </w:tc>
        <w:tc>
          <w:tcPr>
            <w:tcW w:type="dxa" w:w="856"/>
            <w:tcBorders>
              <w:top w:val="none" w:color="000000" w:sz="4"/>
              <w:left w:val="none" w:color="000000" w:sz="4"/>
              <w:bottom w:val="single" w:color="000000" w:sz="4"/>
              <w:right w:val="single" w:color="000000" w:sz="4"/>
            </w:tcBorders>
          </w:tcPr>
          <w:p>
            <w:pPr>
              <w:jc w:val="center"/>
            </w:pPr>
            <w:r>
              <w:rPr>
                <w:sz w:val="21"/>
              </w:rPr>
              <w:t>1</w:t>
            </w:r>
            <w:r>
              <w:rPr>
                <w:sz w:val="21"/>
              </w:rPr>
              <w:t>套</w:t>
            </w:r>
          </w:p>
        </w:tc>
        <w:tc>
          <w:tcPr>
            <w:tcW w:type="dxa" w:w="1884"/>
            <w:tcBorders>
              <w:top w:val="none" w:color="000000" w:sz="4"/>
              <w:left w:val="none" w:color="000000" w:sz="4"/>
              <w:bottom w:val="single" w:color="000000" w:sz="4"/>
              <w:right w:val="single" w:color="000000" w:sz="4"/>
            </w:tcBorders>
          </w:tcPr>
          <w:p>
            <w:pPr>
              <w:jc w:val="center"/>
            </w:pPr>
            <w:r>
              <w:rPr>
                <w:sz w:val="21"/>
              </w:rPr>
              <w:t>电子文档（含扫描件）</w:t>
            </w:r>
          </w:p>
        </w:tc>
        <w:tc>
          <w:tcPr>
            <w:tcW w:type="dxa" w:w="1884"/>
            <w:tcBorders>
              <w:top w:val="none" w:color="000000" w:sz="4"/>
              <w:left w:val="none" w:color="000000" w:sz="4"/>
              <w:bottom w:val="single" w:color="000000" w:sz="4"/>
              <w:right w:val="single" w:color="000000" w:sz="4"/>
            </w:tcBorders>
          </w:tcPr>
          <w:p>
            <w:pPr>
              <w:jc w:val="center"/>
            </w:pPr>
            <w:r>
              <w:rPr>
                <w:sz w:val="21"/>
              </w:rPr>
              <w:t>新增功能完成后</w:t>
            </w:r>
            <w:r>
              <w:rPr>
                <w:sz w:val="21"/>
              </w:rPr>
              <w:t>10</w:t>
            </w:r>
            <w:r>
              <w:rPr>
                <w:sz w:val="21"/>
              </w:rPr>
              <w:t>天内。</w:t>
            </w:r>
          </w:p>
        </w:tc>
      </w:tr>
      <w:tr>
        <w:tc>
          <w:tcPr>
            <w:tcW w:type="dxa" w:w="942"/>
            <w:tcBorders>
              <w:top w:val="none" w:color="000000" w:sz="4"/>
              <w:left w:val="single" w:color="000000" w:sz="4"/>
              <w:bottom w:val="single" w:color="000000" w:sz="4"/>
              <w:right w:val="single" w:color="000000" w:sz="4"/>
            </w:tcBorders>
          </w:tcPr>
          <w:p>
            <w:pPr>
              <w:jc w:val="center"/>
            </w:pPr>
            <w:r>
              <w:rPr>
                <w:sz w:val="21"/>
              </w:rPr>
              <w:t>5</w:t>
            </w:r>
          </w:p>
        </w:tc>
        <w:tc>
          <w:tcPr>
            <w:tcW w:type="dxa" w:w="2740"/>
            <w:tcBorders>
              <w:top w:val="none" w:color="000000" w:sz="4"/>
              <w:left w:val="none" w:color="000000" w:sz="4"/>
              <w:bottom w:val="single" w:color="000000" w:sz="4"/>
              <w:right w:val="single" w:color="000000" w:sz="4"/>
            </w:tcBorders>
          </w:tcPr>
          <w:p>
            <w:pPr>
              <w:jc w:val="center"/>
            </w:pPr>
            <w:r>
              <w:rPr>
                <w:sz w:val="21"/>
              </w:rPr>
              <w:t>用户试运行确认单</w:t>
            </w:r>
          </w:p>
        </w:tc>
        <w:tc>
          <w:tcPr>
            <w:tcW w:type="dxa" w:w="856"/>
            <w:tcBorders>
              <w:top w:val="none" w:color="000000" w:sz="4"/>
              <w:left w:val="none" w:color="000000" w:sz="4"/>
              <w:bottom w:val="single" w:color="000000" w:sz="4"/>
              <w:right w:val="single" w:color="000000" w:sz="4"/>
            </w:tcBorders>
          </w:tcPr>
          <w:p>
            <w:pPr>
              <w:jc w:val="center"/>
            </w:pPr>
            <w:r>
              <w:rPr>
                <w:sz w:val="21"/>
              </w:rPr>
              <w:t>1</w:t>
            </w:r>
            <w:r>
              <w:rPr>
                <w:sz w:val="21"/>
              </w:rPr>
              <w:t>套</w:t>
            </w:r>
          </w:p>
        </w:tc>
        <w:tc>
          <w:tcPr>
            <w:tcW w:type="dxa" w:w="1884"/>
            <w:tcBorders>
              <w:top w:val="none" w:color="000000" w:sz="4"/>
              <w:left w:val="none" w:color="000000" w:sz="4"/>
              <w:bottom w:val="single" w:color="000000" w:sz="4"/>
              <w:right w:val="single" w:color="000000" w:sz="4"/>
            </w:tcBorders>
          </w:tcPr>
          <w:p>
            <w:pPr>
              <w:jc w:val="center"/>
            </w:pPr>
            <w:r>
              <w:rPr>
                <w:sz w:val="21"/>
              </w:rPr>
              <w:t>电子文档（含扫描件）</w:t>
            </w:r>
          </w:p>
        </w:tc>
        <w:tc>
          <w:tcPr>
            <w:tcW w:type="dxa" w:w="1884"/>
            <w:tcBorders>
              <w:top w:val="none" w:color="000000" w:sz="4"/>
              <w:left w:val="none" w:color="000000" w:sz="4"/>
              <w:bottom w:val="single" w:color="000000" w:sz="4"/>
              <w:right w:val="single" w:color="000000" w:sz="4"/>
            </w:tcBorders>
          </w:tcPr>
          <w:p>
            <w:pPr>
              <w:jc w:val="center"/>
            </w:pPr>
            <w:r>
              <w:rPr>
                <w:sz w:val="21"/>
              </w:rPr>
              <w:t>新增功能完成后</w:t>
            </w:r>
            <w:r>
              <w:rPr>
                <w:sz w:val="21"/>
              </w:rPr>
              <w:t>10</w:t>
            </w:r>
            <w:r>
              <w:rPr>
                <w:sz w:val="21"/>
              </w:rPr>
              <w:t>天内。</w:t>
            </w:r>
          </w:p>
        </w:tc>
      </w:tr>
      <w:tr>
        <w:tc>
          <w:tcPr>
            <w:tcW w:type="dxa" w:w="942"/>
            <w:tcBorders>
              <w:top w:val="none" w:color="000000" w:sz="4"/>
              <w:left w:val="single" w:color="000000" w:sz="4"/>
              <w:bottom w:val="single" w:color="000000" w:sz="4"/>
              <w:right w:val="single" w:color="000000" w:sz="4"/>
            </w:tcBorders>
          </w:tcPr>
          <w:p>
            <w:pPr>
              <w:jc w:val="center"/>
            </w:pPr>
            <w:r>
              <w:rPr>
                <w:sz w:val="21"/>
              </w:rPr>
              <w:t>6</w:t>
            </w:r>
          </w:p>
        </w:tc>
        <w:tc>
          <w:tcPr>
            <w:tcW w:type="dxa" w:w="2740"/>
            <w:tcBorders>
              <w:top w:val="none" w:color="000000" w:sz="4"/>
              <w:left w:val="none" w:color="000000" w:sz="4"/>
              <w:bottom w:val="single" w:color="000000" w:sz="4"/>
              <w:right w:val="single" w:color="000000" w:sz="4"/>
            </w:tcBorders>
          </w:tcPr>
          <w:p>
            <w:pPr>
              <w:jc w:val="center"/>
            </w:pPr>
            <w:r>
              <w:rPr>
                <w:sz w:val="21"/>
              </w:rPr>
              <w:t>用户培训记录</w:t>
            </w:r>
          </w:p>
        </w:tc>
        <w:tc>
          <w:tcPr>
            <w:tcW w:type="dxa" w:w="856"/>
            <w:tcBorders>
              <w:top w:val="none" w:color="000000" w:sz="4"/>
              <w:left w:val="none" w:color="000000" w:sz="4"/>
              <w:bottom w:val="single" w:color="000000" w:sz="4"/>
              <w:right w:val="single" w:color="000000" w:sz="4"/>
            </w:tcBorders>
          </w:tcPr>
          <w:p>
            <w:pPr>
              <w:jc w:val="center"/>
            </w:pPr>
            <w:r>
              <w:rPr>
                <w:sz w:val="21"/>
              </w:rPr>
              <w:t>1</w:t>
            </w:r>
            <w:r>
              <w:rPr>
                <w:sz w:val="21"/>
              </w:rPr>
              <w:t>套</w:t>
            </w:r>
          </w:p>
        </w:tc>
        <w:tc>
          <w:tcPr>
            <w:tcW w:type="dxa" w:w="1884"/>
            <w:tcBorders>
              <w:top w:val="none" w:color="000000" w:sz="4"/>
              <w:left w:val="none" w:color="000000" w:sz="4"/>
              <w:bottom w:val="single" w:color="000000" w:sz="4"/>
              <w:right w:val="single" w:color="000000" w:sz="4"/>
            </w:tcBorders>
          </w:tcPr>
          <w:p>
            <w:pPr>
              <w:jc w:val="center"/>
            </w:pPr>
            <w:r>
              <w:rPr>
                <w:sz w:val="21"/>
              </w:rPr>
              <w:t>电子文档（含扫描件）</w:t>
            </w:r>
          </w:p>
        </w:tc>
        <w:tc>
          <w:tcPr>
            <w:tcW w:type="dxa" w:w="1884"/>
            <w:tcBorders>
              <w:top w:val="none" w:color="000000" w:sz="4"/>
              <w:left w:val="none" w:color="000000" w:sz="4"/>
              <w:bottom w:val="single" w:color="000000" w:sz="4"/>
              <w:right w:val="single" w:color="000000" w:sz="4"/>
            </w:tcBorders>
          </w:tcPr>
          <w:p>
            <w:pPr>
              <w:jc w:val="center"/>
            </w:pPr>
            <w:r>
              <w:rPr>
                <w:sz w:val="21"/>
              </w:rPr>
              <w:t>新增功能完成后</w:t>
            </w:r>
            <w:r>
              <w:rPr>
                <w:sz w:val="21"/>
              </w:rPr>
              <w:t>10</w:t>
            </w:r>
            <w:r>
              <w:rPr>
                <w:sz w:val="21"/>
              </w:rPr>
              <w:t>天内。</w:t>
            </w:r>
          </w:p>
        </w:tc>
      </w:tr>
    </w:tbl>
    <w:p>
      <w:pPr>
        <w:jc w:val="both"/>
      </w:pPr>
      <w:r>
        <w:rPr>
          <w:b/>
          <w:sz w:val="21"/>
        </w:rPr>
        <w:t>2.2.</w:t>
      </w:r>
      <w:r>
        <w:rPr>
          <w:b/>
          <w:sz w:val="21"/>
        </w:rPr>
        <w:t>出现重大运行故障</w:t>
      </w:r>
    </w:p>
    <w:p>
      <w:pPr>
        <w:jc w:val="both"/>
      </w:pPr>
      <w:r>
        <w:rPr>
          <w:sz w:val="21"/>
        </w:rPr>
        <w:t>如果系统维护期间出现重大故障，还应提交以下成果。</w:t>
      </w:r>
    </w:p>
    <w:tbl>
      <w:tblPr>
        <w:tblW w:w="0" w:type="auto"/>
        <w:tblBorders>
          <w:top w:val="none" w:color="000000" w:sz="4"/>
          <w:left w:val="none" w:color="000000" w:sz="4"/>
          <w:bottom w:val="none" w:color="000000" w:sz="4"/>
          <w:right w:val="none" w:color="000000" w:sz="4"/>
          <w:insideH w:val="none"/>
          <w:insideV w:val="none"/>
        </w:tblBorders>
      </w:tblPr>
      <w:tblGrid>
        <w:gridCol w:w="942"/>
        <w:gridCol w:w="2740"/>
        <w:gridCol w:w="856"/>
        <w:gridCol w:w="1884"/>
        <w:gridCol w:w="1884"/>
      </w:tblGrid>
      <w:tr>
        <w:tc>
          <w:tcPr>
            <w:tcW w:type="dxa" w:w="942"/>
            <w:tcBorders>
              <w:top w:val="single" w:color="000000" w:sz="4"/>
              <w:left w:val="single" w:color="000000" w:sz="4"/>
              <w:bottom w:val="single" w:color="000000" w:sz="4"/>
              <w:right w:val="single" w:color="000000" w:sz="4"/>
            </w:tcBorders>
          </w:tcPr>
          <w:p>
            <w:pPr>
              <w:jc w:val="center"/>
            </w:pPr>
            <w:r>
              <w:rPr>
                <w:b/>
              </w:rPr>
              <w:t>序号</w:t>
            </w:r>
          </w:p>
        </w:tc>
        <w:tc>
          <w:tcPr>
            <w:tcW w:type="dxa" w:w="2740"/>
            <w:tcBorders>
              <w:top w:val="single" w:color="000000" w:sz="4"/>
              <w:left w:val="none" w:color="000000" w:sz="4"/>
              <w:bottom w:val="single" w:color="000000" w:sz="4"/>
              <w:right w:val="single" w:color="000000" w:sz="4"/>
            </w:tcBorders>
          </w:tcPr>
          <w:p>
            <w:pPr>
              <w:jc w:val="center"/>
            </w:pPr>
            <w:r>
              <w:rPr>
                <w:b/>
              </w:rPr>
              <w:t>成果名称</w:t>
            </w:r>
          </w:p>
        </w:tc>
        <w:tc>
          <w:tcPr>
            <w:tcW w:type="dxa" w:w="856"/>
            <w:tcBorders>
              <w:top w:val="single" w:color="000000" w:sz="4"/>
              <w:left w:val="none" w:color="000000" w:sz="4"/>
              <w:bottom w:val="single" w:color="000000" w:sz="4"/>
              <w:right w:val="single" w:color="000000" w:sz="4"/>
            </w:tcBorders>
          </w:tcPr>
          <w:p>
            <w:pPr>
              <w:jc w:val="center"/>
            </w:pPr>
            <w:r>
              <w:rPr>
                <w:b/>
              </w:rPr>
              <w:t>数量</w:t>
            </w:r>
          </w:p>
        </w:tc>
        <w:tc>
          <w:tcPr>
            <w:tcW w:type="dxa" w:w="1884"/>
            <w:tcBorders>
              <w:top w:val="single" w:color="000000" w:sz="4"/>
              <w:left w:val="none" w:color="000000" w:sz="4"/>
              <w:bottom w:val="single" w:color="000000" w:sz="4"/>
              <w:right w:val="single" w:color="000000" w:sz="4"/>
            </w:tcBorders>
          </w:tcPr>
          <w:p>
            <w:pPr>
              <w:jc w:val="center"/>
            </w:pPr>
            <w:r>
              <w:rPr>
                <w:b/>
              </w:rPr>
              <w:t>形 式</w:t>
            </w:r>
          </w:p>
        </w:tc>
        <w:tc>
          <w:tcPr>
            <w:tcW w:type="dxa" w:w="1884"/>
            <w:tcBorders>
              <w:top w:val="single" w:color="000000" w:sz="4"/>
              <w:left w:val="none" w:color="000000" w:sz="4"/>
              <w:bottom w:val="single" w:color="000000" w:sz="4"/>
              <w:right w:val="single" w:color="000000" w:sz="4"/>
            </w:tcBorders>
            <w:vAlign w:val="top"/>
          </w:tcPr>
          <w:p>
            <w:pPr>
              <w:jc w:val="center"/>
            </w:pPr>
            <w:r>
              <w:rPr>
                <w:b/>
              </w:rPr>
              <w:t>要 求</w:t>
            </w:r>
          </w:p>
        </w:tc>
      </w:tr>
      <w:tr>
        <w:tc>
          <w:tcPr>
            <w:tcW w:type="dxa" w:w="942"/>
            <w:tcBorders>
              <w:top w:val="none" w:color="000000" w:sz="4"/>
              <w:left w:val="single" w:color="000000" w:sz="4"/>
              <w:bottom w:val="single" w:color="000000" w:sz="4"/>
              <w:right w:val="single" w:color="000000" w:sz="4"/>
            </w:tcBorders>
          </w:tcPr>
          <w:p>
            <w:pPr>
              <w:jc w:val="center"/>
            </w:pPr>
            <w:r>
              <w:rPr/>
              <w:t>1</w:t>
            </w:r>
          </w:p>
        </w:tc>
        <w:tc>
          <w:tcPr>
            <w:tcW w:type="dxa" w:w="2740"/>
            <w:tcBorders>
              <w:top w:val="none" w:color="000000" w:sz="4"/>
              <w:left w:val="none" w:color="000000" w:sz="4"/>
              <w:bottom w:val="single" w:color="000000" w:sz="4"/>
              <w:right w:val="single" w:color="000000" w:sz="4"/>
            </w:tcBorders>
          </w:tcPr>
          <w:p>
            <w:pPr>
              <w:jc w:val="left"/>
            </w:pPr>
            <w:r>
              <w:rPr>
                <w:sz w:val="21"/>
              </w:rPr>
              <w:t>故障处理记录</w:t>
            </w:r>
          </w:p>
        </w:tc>
        <w:tc>
          <w:tcPr>
            <w:tcW w:type="dxa" w:w="856"/>
            <w:tcBorders>
              <w:top w:val="none" w:color="000000" w:sz="4"/>
              <w:left w:val="none" w:color="000000" w:sz="4"/>
              <w:bottom w:val="single" w:color="000000" w:sz="4"/>
              <w:right w:val="single" w:color="000000" w:sz="4"/>
            </w:tcBorders>
          </w:tcPr>
          <w:p>
            <w:pPr>
              <w:jc w:val="center"/>
            </w:pPr>
            <w:r>
              <w:rPr/>
              <w:t>1</w:t>
            </w:r>
            <w:r>
              <w:rPr/>
              <w:t>套</w:t>
            </w:r>
          </w:p>
        </w:tc>
        <w:tc>
          <w:tcPr>
            <w:tcW w:type="dxa" w:w="1884"/>
            <w:tcBorders>
              <w:top w:val="none" w:color="000000" w:sz="4"/>
              <w:left w:val="none" w:color="000000" w:sz="4"/>
              <w:bottom w:val="single" w:color="000000" w:sz="4"/>
              <w:right w:val="single" w:color="000000" w:sz="4"/>
            </w:tcBorders>
          </w:tcPr>
          <w:p>
            <w:pPr>
              <w:jc w:val="center"/>
            </w:pPr>
            <w:r>
              <w:rPr/>
              <w:t>电子文档</w:t>
            </w:r>
          </w:p>
        </w:tc>
        <w:tc>
          <w:tcPr>
            <w:tcW w:type="dxa" w:w="1884"/>
            <w:tcBorders>
              <w:top w:val="none" w:color="000000" w:sz="4"/>
              <w:left w:val="none" w:color="000000" w:sz="4"/>
              <w:bottom w:val="single" w:color="000000" w:sz="4"/>
              <w:right w:val="single" w:color="000000" w:sz="4"/>
            </w:tcBorders>
            <w:vAlign w:val="top"/>
          </w:tcPr>
          <w:p>
            <w:pPr>
              <w:jc w:val="center"/>
            </w:pPr>
            <w:r>
              <w:rPr/>
              <w:t>故障解决后5天内</w:t>
            </w:r>
          </w:p>
        </w:tc>
      </w:tr>
      <w:tr>
        <w:tc>
          <w:tcPr>
            <w:tcW w:type="dxa" w:w="942"/>
            <w:tcBorders>
              <w:top w:val="none" w:color="000000" w:sz="4"/>
              <w:left w:val="single" w:color="000000" w:sz="4"/>
              <w:bottom w:val="single" w:color="000000" w:sz="4"/>
              <w:right w:val="single" w:color="000000" w:sz="4"/>
            </w:tcBorders>
          </w:tcPr>
          <w:p>
            <w:pPr>
              <w:jc w:val="center"/>
            </w:pPr>
            <w:r>
              <w:rPr/>
              <w:t>2</w:t>
            </w:r>
          </w:p>
        </w:tc>
        <w:tc>
          <w:tcPr>
            <w:tcW w:type="dxa" w:w="2740"/>
            <w:tcBorders>
              <w:top w:val="none" w:color="000000" w:sz="4"/>
              <w:left w:val="none" w:color="000000" w:sz="4"/>
              <w:bottom w:val="single" w:color="000000" w:sz="4"/>
              <w:right w:val="single" w:color="000000" w:sz="4"/>
            </w:tcBorders>
          </w:tcPr>
          <w:p>
            <w:pPr>
              <w:jc w:val="left"/>
            </w:pPr>
            <w:r>
              <w:rPr>
                <w:sz w:val="21"/>
              </w:rPr>
              <w:t>故障分析报告</w:t>
            </w:r>
          </w:p>
        </w:tc>
        <w:tc>
          <w:tcPr>
            <w:tcW w:type="dxa" w:w="856"/>
            <w:tcBorders>
              <w:top w:val="none" w:color="000000" w:sz="4"/>
              <w:left w:val="none" w:color="000000" w:sz="4"/>
              <w:bottom w:val="single" w:color="000000" w:sz="4"/>
              <w:right w:val="single" w:color="000000" w:sz="4"/>
            </w:tcBorders>
          </w:tcPr>
          <w:p>
            <w:pPr>
              <w:jc w:val="center"/>
            </w:pPr>
            <w:r>
              <w:rPr/>
              <w:t>1</w:t>
            </w:r>
            <w:r>
              <w:rPr/>
              <w:t>套</w:t>
            </w:r>
          </w:p>
        </w:tc>
        <w:tc>
          <w:tcPr>
            <w:tcW w:type="dxa" w:w="1884"/>
            <w:tcBorders>
              <w:top w:val="none" w:color="000000" w:sz="4"/>
              <w:left w:val="none" w:color="000000" w:sz="4"/>
              <w:bottom w:val="single" w:color="000000" w:sz="4"/>
              <w:right w:val="single" w:color="000000" w:sz="4"/>
            </w:tcBorders>
          </w:tcPr>
          <w:p>
            <w:pPr>
              <w:jc w:val="center"/>
            </w:pPr>
            <w:r>
              <w:rPr/>
              <w:t>电子文档</w:t>
            </w:r>
          </w:p>
        </w:tc>
        <w:tc>
          <w:tcPr>
            <w:tcW w:type="dxa" w:w="1884"/>
            <w:tcBorders>
              <w:top w:val="none" w:color="000000" w:sz="4"/>
              <w:left w:val="none" w:color="000000" w:sz="4"/>
              <w:bottom w:val="single" w:color="000000" w:sz="4"/>
              <w:right w:val="single" w:color="000000" w:sz="4"/>
            </w:tcBorders>
            <w:vAlign w:val="top"/>
          </w:tcPr>
          <w:p>
            <w:pPr>
              <w:jc w:val="center"/>
            </w:pPr>
            <w:r>
              <w:rPr/>
              <w:t>故障解决后5天内</w:t>
            </w:r>
          </w:p>
        </w:tc>
      </w:tr>
    </w:tbl>
    <w:p>
      <w:pPr>
        <w:jc w:val="both"/>
      </w:pPr>
    </w:p>
    <w:p>
      <w:pPr>
        <w:jc w:val="both"/>
      </w:pPr>
      <w:r>
        <w:rPr>
          <w:b/>
          <w:sz w:val="21"/>
        </w:rPr>
        <w:t>（十）</w:t>
      </w:r>
      <w:r>
        <w:rPr>
          <w:b/>
          <w:sz w:val="21"/>
        </w:rPr>
        <w:t>系统性能要求</w:t>
      </w:r>
    </w:p>
    <w:p>
      <w:pPr>
        <w:ind w:firstLine="420"/>
        <w:jc w:val="both"/>
      </w:pPr>
      <w:r>
        <w:rPr>
          <w:sz w:val="21"/>
        </w:rPr>
        <w:t>对于本项目的运维系统，需要达到以下性能要求：</w:t>
      </w:r>
    </w:p>
    <w:p>
      <w:pPr>
        <w:ind w:firstLine="420"/>
        <w:jc w:val="both"/>
      </w:pPr>
      <w:r>
        <w:rPr>
          <w:sz w:val="21"/>
        </w:rPr>
        <w:t>（</w:t>
      </w:r>
      <w:r>
        <w:rPr>
          <w:sz w:val="21"/>
        </w:rPr>
        <w:t>1</w:t>
      </w:r>
      <w:r>
        <w:rPr>
          <w:sz w:val="21"/>
        </w:rPr>
        <w:t>）高效性：在</w:t>
      </w:r>
      <w:r>
        <w:rPr>
          <w:sz w:val="21"/>
        </w:rPr>
        <w:t>200</w:t>
      </w:r>
      <w:r>
        <w:rPr>
          <w:sz w:val="21"/>
        </w:rPr>
        <w:t>个用户并发的情况下，浏览漫游单次操作的页面响应时间小于</w:t>
      </w:r>
      <w:r>
        <w:rPr>
          <w:sz w:val="21"/>
        </w:rPr>
        <w:t>5</w:t>
      </w:r>
      <w:r>
        <w:rPr>
          <w:sz w:val="21"/>
        </w:rPr>
        <w:t>秒。支持同时在线的用户数量不少于</w:t>
      </w:r>
      <w:r>
        <w:rPr>
          <w:sz w:val="21"/>
        </w:rPr>
        <w:t>400</w:t>
      </w:r>
      <w:r>
        <w:rPr>
          <w:sz w:val="21"/>
        </w:rPr>
        <w:t>个。使用数据服务接口查询操作的响应时间不超过</w:t>
      </w:r>
      <w:r>
        <w:rPr>
          <w:sz w:val="21"/>
        </w:rPr>
        <w:t>10</w:t>
      </w:r>
      <w:r>
        <w:rPr>
          <w:sz w:val="21"/>
        </w:rPr>
        <w:t>秒</w:t>
      </w:r>
    </w:p>
    <w:p>
      <w:pPr>
        <w:ind w:firstLine="420"/>
        <w:jc w:val="both"/>
      </w:pPr>
      <w:r>
        <w:rPr>
          <w:sz w:val="21"/>
        </w:rPr>
        <w:t>（</w:t>
      </w:r>
      <w:r>
        <w:rPr>
          <w:sz w:val="21"/>
        </w:rPr>
        <w:t>2</w:t>
      </w:r>
      <w:r>
        <w:rPr>
          <w:sz w:val="21"/>
        </w:rPr>
        <w:t>）可靠性：对外提供互联网政务服务或自助终端服务的系统，应具备</w:t>
      </w:r>
      <w:r>
        <w:rPr>
          <w:sz w:val="21"/>
        </w:rPr>
        <w:t>7X24</w:t>
      </w:r>
      <w:r>
        <w:rPr>
          <w:sz w:val="21"/>
        </w:rPr>
        <w:t>小时不间断稳定运行能力。其他系统需保证在自然资源局工作时间稳定运行。</w:t>
      </w:r>
    </w:p>
    <w:p>
      <w:pPr>
        <w:ind w:firstLine="420"/>
        <w:jc w:val="both"/>
      </w:pPr>
      <w:r>
        <w:rPr>
          <w:sz w:val="21"/>
        </w:rPr>
        <w:t>（</w:t>
      </w:r>
      <w:r>
        <w:rPr>
          <w:sz w:val="21"/>
        </w:rPr>
        <w:t>3</w:t>
      </w:r>
      <w:r>
        <w:rPr>
          <w:sz w:val="21"/>
        </w:rPr>
        <w:t>）并发性：可支持</w:t>
      </w:r>
      <w:r>
        <w:rPr>
          <w:sz w:val="21"/>
        </w:rPr>
        <w:t>200</w:t>
      </w:r>
      <w:r>
        <w:rPr>
          <w:sz w:val="21"/>
        </w:rPr>
        <w:t>以上并发用户使用。</w:t>
      </w:r>
    </w:p>
    <w:p>
      <w:pPr>
        <w:ind w:firstLine="420"/>
        <w:jc w:val="both"/>
      </w:pPr>
      <w:r>
        <w:rPr>
          <w:sz w:val="21"/>
        </w:rPr>
        <w:t>（</w:t>
      </w:r>
      <w:r>
        <w:rPr>
          <w:sz w:val="21"/>
        </w:rPr>
        <w:t>4</w:t>
      </w:r>
      <w:r>
        <w:rPr>
          <w:sz w:val="21"/>
        </w:rPr>
        <w:t>）响应时间：数据的查询、申请的提交等事务响应没有明显的用户感觉得到滞慢现象。</w:t>
      </w:r>
    </w:p>
    <w:p>
      <w:pPr>
        <w:jc w:val="both"/>
      </w:pPr>
    </w:p>
    <w:p>
      <w:pPr>
        <w:jc w:val="both"/>
      </w:pPr>
      <w:r>
        <w:rPr>
          <w:b/>
          <w:sz w:val="21"/>
        </w:rPr>
        <w:t>（十一）</w:t>
      </w:r>
      <w:r>
        <w:rPr>
          <w:b/>
          <w:sz w:val="21"/>
        </w:rPr>
        <w:t>其他有关要求</w:t>
      </w:r>
    </w:p>
    <w:p>
      <w:pPr>
        <w:ind w:firstLine="420"/>
        <w:jc w:val="both"/>
      </w:pPr>
      <w:r>
        <w:rPr>
          <w:sz w:val="21"/>
        </w:rPr>
        <w:t>乙方</w:t>
      </w:r>
      <w:r>
        <w:rPr>
          <w:sz w:val="21"/>
        </w:rPr>
        <w:t>应根据系统运维需要自备必要的软硬件设备，包括计算机、打印机、扫描仪等办公设备；包括高性能图形图像工作站、大屏显示器等有关专业设备；包括软件开发环境、维护工具软件、平台软件、数据库软件等有关软件。如使用盗版软件或非法使用有知识产权争议的软件，相关责任由</w:t>
      </w:r>
      <w:r>
        <w:rPr>
          <w:sz w:val="21"/>
        </w:rPr>
        <w:t>乙方</w:t>
      </w:r>
      <w:r>
        <w:rPr>
          <w:sz w:val="21"/>
        </w:rPr>
        <w:t>承担。</w:t>
      </w:r>
    </w:p>
    <w:p>
      <w:pPr>
        <w:jc w:val="both"/>
      </w:pPr>
    </w:p>
    <w:p>
      <w:pPr>
        <w:jc w:val="both"/>
      </w:pPr>
      <w:r>
        <w:rPr>
          <w:b/>
          <w:sz w:val="21"/>
        </w:rPr>
        <w:t>第四条：合同金额</w:t>
      </w:r>
    </w:p>
    <w:p>
      <w:pPr>
        <w:jc w:val="both"/>
      </w:pPr>
      <w:r>
        <w:rPr>
          <w:sz w:val="21"/>
        </w:rPr>
        <w:t>1.</w:t>
      </w:r>
      <w:r>
        <w:rPr>
          <w:sz w:val="21"/>
        </w:rPr>
        <w:t>本合同总价：人民币大写</w:t>
      </w:r>
      <w:r>
        <w:rPr>
          <w:sz w:val="21"/>
          <w:u w:val="single"/>
        </w:rPr>
        <w:t xml:space="preserve">                        </w:t>
      </w:r>
      <w:r>
        <w:rPr>
          <w:sz w:val="21"/>
        </w:rPr>
        <w:t>（元）。</w:t>
      </w:r>
    </w:p>
    <w:p>
      <w:pPr>
        <w:jc w:val="both"/>
      </w:pPr>
      <w:r>
        <w:rPr>
          <w:sz w:val="21"/>
        </w:rPr>
        <w:t>2.</w:t>
      </w:r>
      <w:r>
        <w:rPr>
          <w:sz w:val="21"/>
        </w:rPr>
        <w:t>本合同价格为固定不变价，其中包括但不限于服务费、维修费、保养费、税费、售后服务费、保险费、仓储费、安装调试、培训费、质保期等的全部费用。</w:t>
      </w:r>
    </w:p>
    <w:p>
      <w:pPr>
        <w:jc w:val="both"/>
      </w:pPr>
      <w:r>
        <w:rPr>
          <w:sz w:val="21"/>
        </w:rPr>
        <w:t>3.</w:t>
      </w:r>
      <w:r>
        <w:rPr>
          <w:sz w:val="21"/>
        </w:rPr>
        <w:t>未经甲方书面同意，乙方不得就本合同的履行另行收取其他费用。</w:t>
      </w:r>
    </w:p>
    <w:p>
      <w:pPr>
        <w:jc w:val="both"/>
      </w:pPr>
      <w:r>
        <w:rPr>
          <w:sz w:val="21"/>
        </w:rPr>
        <w:t>4.</w:t>
      </w:r>
      <w:r>
        <w:rPr>
          <w:sz w:val="21"/>
        </w:rPr>
        <w:t>乙方收款前应向甲方出具同等金额的正式发票。</w:t>
      </w:r>
    </w:p>
    <w:p>
      <w:pPr>
        <w:jc w:val="both"/>
      </w:pPr>
    </w:p>
    <w:p>
      <w:pPr>
        <w:jc w:val="both"/>
      </w:pPr>
      <w:r>
        <w:rPr>
          <w:b/>
          <w:sz w:val="21"/>
        </w:rPr>
        <w:t>第五条：双方权利和义务</w:t>
      </w:r>
    </w:p>
    <w:p>
      <w:pPr>
        <w:jc w:val="both"/>
      </w:pPr>
      <w:r>
        <w:rPr>
          <w:sz w:val="21"/>
        </w:rPr>
        <w:t>（一）甲方权利义务</w:t>
      </w:r>
      <w:r>
        <w:rPr>
          <w:sz w:val="21"/>
        </w:rPr>
        <w:t>:</w:t>
      </w:r>
    </w:p>
    <w:p>
      <w:pPr>
        <w:jc w:val="both"/>
      </w:pPr>
      <w:r>
        <w:rPr>
          <w:sz w:val="21"/>
        </w:rPr>
        <w:t>（</w:t>
      </w:r>
      <w:r>
        <w:rPr>
          <w:sz w:val="21"/>
        </w:rPr>
        <w:t>1</w:t>
      </w:r>
      <w:r>
        <w:rPr>
          <w:sz w:val="21"/>
        </w:rPr>
        <w:t>）有权利得到乙方在本合同承诺的且满足甲方要求的服务。</w:t>
      </w:r>
    </w:p>
    <w:p>
      <w:pPr>
        <w:jc w:val="both"/>
      </w:pPr>
      <w:r>
        <w:rPr>
          <w:sz w:val="21"/>
        </w:rPr>
        <w:t>（</w:t>
      </w:r>
      <w:r>
        <w:rPr>
          <w:sz w:val="21"/>
        </w:rPr>
        <w:t>2</w:t>
      </w:r>
      <w:r>
        <w:rPr>
          <w:sz w:val="21"/>
        </w:rPr>
        <w:t>）负责维护场地的网络准备工作，使乙方在维护实施过程中不受网络因素的影响。</w:t>
      </w:r>
    </w:p>
    <w:p>
      <w:pPr>
        <w:jc w:val="both"/>
      </w:pPr>
      <w:r>
        <w:rPr>
          <w:sz w:val="21"/>
        </w:rPr>
        <w:t>（</w:t>
      </w:r>
      <w:r>
        <w:rPr>
          <w:sz w:val="21"/>
        </w:rPr>
        <w:t>3</w:t>
      </w:r>
      <w:r>
        <w:rPr>
          <w:sz w:val="21"/>
        </w:rPr>
        <w:t>）负责协调相关部门对乙方的维护进行人员配合和协助工作。</w:t>
      </w:r>
    </w:p>
    <w:p>
      <w:pPr>
        <w:jc w:val="both"/>
      </w:pPr>
      <w:r>
        <w:rPr>
          <w:sz w:val="21"/>
        </w:rPr>
        <w:t>（</w:t>
      </w:r>
      <w:r>
        <w:rPr>
          <w:sz w:val="21"/>
        </w:rPr>
        <w:t>4</w:t>
      </w:r>
      <w:r>
        <w:rPr>
          <w:sz w:val="21"/>
        </w:rPr>
        <w:t>）对乙方运维服务进行定期评价。按本合同的约定及本项目招标文件约定的验收要求、验收标准、验收流程对本项目进行验收。</w:t>
      </w:r>
    </w:p>
    <w:p>
      <w:pPr>
        <w:jc w:val="both"/>
      </w:pPr>
      <w:r>
        <w:rPr>
          <w:sz w:val="21"/>
        </w:rPr>
        <w:t>（</w:t>
      </w:r>
      <w:r>
        <w:rPr>
          <w:sz w:val="21"/>
        </w:rPr>
        <w:t>5</w:t>
      </w:r>
      <w:r>
        <w:rPr>
          <w:sz w:val="21"/>
        </w:rPr>
        <w:t>）按本合同约定的付款时间及金额付款给乙方。</w:t>
      </w:r>
    </w:p>
    <w:p>
      <w:pPr>
        <w:jc w:val="both"/>
      </w:pPr>
      <w:r>
        <w:rPr>
          <w:sz w:val="21"/>
        </w:rPr>
        <w:t>（</w:t>
      </w:r>
      <w:r>
        <w:rPr>
          <w:sz w:val="21"/>
        </w:rPr>
        <w:t>7</w:t>
      </w:r>
      <w:r>
        <w:rPr>
          <w:sz w:val="21"/>
        </w:rPr>
        <w:t>）指派代表负责协助、检查、验收的维护保养工作。</w:t>
      </w:r>
    </w:p>
    <w:p>
      <w:pPr>
        <w:jc w:val="both"/>
      </w:pPr>
      <w:r>
        <w:rPr>
          <w:sz w:val="21"/>
        </w:rPr>
        <w:t>（</w:t>
      </w:r>
      <w:r>
        <w:rPr>
          <w:sz w:val="21"/>
        </w:rPr>
        <w:t>8</w:t>
      </w:r>
      <w:r>
        <w:rPr>
          <w:sz w:val="21"/>
        </w:rPr>
        <w:t>）乙方服务质量达不到要求而又不改正的、出现</w:t>
      </w:r>
      <w:r>
        <w:rPr>
          <w:sz w:val="21"/>
        </w:rPr>
        <w:t>3</w:t>
      </w:r>
      <w:r>
        <w:rPr>
          <w:sz w:val="21"/>
        </w:rPr>
        <w:t>次以上投诉的、出现重大疏忽事故的，甲方有权单方面终止本服务合同，并不需支付剩余款项。</w:t>
      </w:r>
    </w:p>
    <w:p>
      <w:pPr>
        <w:jc w:val="both"/>
      </w:pPr>
      <w:r>
        <w:rPr>
          <w:sz w:val="21"/>
        </w:rPr>
        <w:t>（</w:t>
      </w:r>
      <w:r>
        <w:rPr>
          <w:sz w:val="21"/>
        </w:rPr>
        <w:t>9</w:t>
      </w:r>
      <w:r>
        <w:rPr>
          <w:sz w:val="21"/>
        </w:rPr>
        <w:t>）本项目范围内的系统知识产权（包括系统方案、源代码等）均归甲方全权所有，甲方有权在任何时候对该技术成果自由地进行使用、复制和修改等，而无须支付任何费用。运维过程中对系统进行改造、优化、升级或新增的功能或系统模块所产生的知识产权也归甲方所有。</w:t>
      </w:r>
    </w:p>
    <w:p>
      <w:pPr>
        <w:jc w:val="both"/>
      </w:pPr>
      <w:r>
        <w:rPr>
          <w:sz w:val="21"/>
        </w:rPr>
        <w:t>（二）乙方权利义务：</w:t>
      </w:r>
    </w:p>
    <w:p>
      <w:pPr>
        <w:jc w:val="both"/>
      </w:pPr>
      <w:r>
        <w:rPr>
          <w:sz w:val="21"/>
        </w:rPr>
        <w:t>（</w:t>
      </w:r>
      <w:r>
        <w:rPr>
          <w:sz w:val="21"/>
        </w:rPr>
        <w:t>1</w:t>
      </w:r>
      <w:r>
        <w:rPr>
          <w:sz w:val="21"/>
        </w:rPr>
        <w:t>）有权利按照本合同约定的方式收取本合同约定的金额。</w:t>
      </w:r>
    </w:p>
    <w:p>
      <w:pPr>
        <w:jc w:val="both"/>
      </w:pPr>
      <w:r>
        <w:rPr>
          <w:sz w:val="21"/>
        </w:rPr>
        <w:t>（</w:t>
      </w:r>
      <w:r>
        <w:rPr>
          <w:sz w:val="21"/>
        </w:rPr>
        <w:t>2</w:t>
      </w:r>
      <w:r>
        <w:rPr>
          <w:sz w:val="21"/>
        </w:rPr>
        <w:t>）按本合同约定的质量、时间完成本项目维护工作</w:t>
      </w:r>
      <w:r>
        <w:rPr>
          <w:sz w:val="21"/>
        </w:rPr>
        <w:t>,</w:t>
      </w:r>
      <w:r>
        <w:rPr>
          <w:sz w:val="21"/>
        </w:rPr>
        <w:t>包括但不限于本合同约定及维护过程中用户提出的维护需求。</w:t>
      </w:r>
    </w:p>
    <w:p>
      <w:pPr>
        <w:jc w:val="both"/>
      </w:pPr>
      <w:r>
        <w:rPr>
          <w:sz w:val="21"/>
        </w:rPr>
        <w:t>（</w:t>
      </w:r>
      <w:r>
        <w:rPr>
          <w:sz w:val="21"/>
        </w:rPr>
        <w:t>3</w:t>
      </w:r>
      <w:r>
        <w:rPr>
          <w:sz w:val="21"/>
        </w:rPr>
        <w:t>）按本合同约定承担本项目的维护服务，配合甲方按本合同的约定及本项目招标文件约定的验收要求、验收标准、验收流程对本项目进行验收。</w:t>
      </w:r>
    </w:p>
    <w:p>
      <w:pPr>
        <w:jc w:val="both"/>
      </w:pPr>
      <w:r>
        <w:rPr>
          <w:sz w:val="21"/>
        </w:rPr>
        <w:t>（</w:t>
      </w:r>
      <w:r>
        <w:rPr>
          <w:sz w:val="21"/>
        </w:rPr>
        <w:t>4</w:t>
      </w:r>
      <w:r>
        <w:rPr>
          <w:sz w:val="21"/>
        </w:rPr>
        <w:t>）按照甲方要求及招标文件的要求提供足够技术、人员及工具，按约定进行有序的维护工作。</w:t>
      </w:r>
    </w:p>
    <w:p>
      <w:pPr>
        <w:jc w:val="both"/>
      </w:pPr>
      <w:r>
        <w:rPr>
          <w:sz w:val="21"/>
        </w:rPr>
        <w:t>（</w:t>
      </w:r>
      <w:r>
        <w:rPr>
          <w:sz w:val="21"/>
        </w:rPr>
        <w:t>5</w:t>
      </w:r>
      <w:r>
        <w:rPr>
          <w:sz w:val="21"/>
        </w:rPr>
        <w:t>）指导甲方操作人员掌握正确的操作方法。</w:t>
      </w:r>
    </w:p>
    <w:p>
      <w:pPr>
        <w:jc w:val="both"/>
      </w:pPr>
      <w:r>
        <w:rPr>
          <w:sz w:val="21"/>
        </w:rPr>
        <w:t>（</w:t>
      </w:r>
      <w:r>
        <w:rPr>
          <w:sz w:val="21"/>
        </w:rPr>
        <w:t>6</w:t>
      </w:r>
      <w:r>
        <w:rPr>
          <w:sz w:val="21"/>
        </w:rPr>
        <w:t>）因乙方过失导致本项目维护的软件系统故障、人员安全事故、系统安全事故等造成的经济损失及安全责任全部由乙方承担。</w:t>
      </w:r>
    </w:p>
    <w:p>
      <w:pPr>
        <w:jc w:val="both"/>
      </w:pPr>
      <w:r>
        <w:rPr>
          <w:sz w:val="21"/>
        </w:rPr>
        <w:t>（</w:t>
      </w:r>
      <w:r>
        <w:rPr>
          <w:sz w:val="21"/>
        </w:rPr>
        <w:t>7</w:t>
      </w:r>
      <w:r>
        <w:rPr>
          <w:sz w:val="21"/>
        </w:rPr>
        <w:t>）乙方应无条件接受甲方的监督、检查和合理的要求。</w:t>
      </w:r>
    </w:p>
    <w:p>
      <w:pPr>
        <w:jc w:val="both"/>
      </w:pPr>
      <w:r>
        <w:rPr>
          <w:sz w:val="21"/>
        </w:rPr>
        <w:t>（</w:t>
      </w:r>
      <w:r>
        <w:rPr>
          <w:sz w:val="21"/>
        </w:rPr>
        <w:t>8</w:t>
      </w:r>
      <w:r>
        <w:rPr>
          <w:sz w:val="21"/>
        </w:rPr>
        <w:t>）乙方在做好工作的同时，有责任向甲方提供合理化建议，以提高管理效率和管理质量。</w:t>
      </w:r>
    </w:p>
    <w:p>
      <w:pPr>
        <w:jc w:val="both"/>
      </w:pPr>
      <w:r>
        <w:rPr>
          <w:sz w:val="21"/>
        </w:rPr>
        <w:t>（</w:t>
      </w:r>
      <w:r>
        <w:rPr>
          <w:sz w:val="21"/>
        </w:rPr>
        <w:t>9</w:t>
      </w:r>
      <w:r>
        <w:rPr>
          <w:sz w:val="21"/>
        </w:rPr>
        <w:t>）乙方在实施之前，必须以书面形式向甲方提供维护方案，并经甲方书面确认。</w:t>
      </w:r>
    </w:p>
    <w:p>
      <w:pPr>
        <w:jc w:val="both"/>
      </w:pPr>
      <w:r>
        <w:rPr>
          <w:sz w:val="21"/>
        </w:rPr>
        <w:t>（</w:t>
      </w:r>
      <w:r>
        <w:rPr>
          <w:sz w:val="21"/>
        </w:rPr>
        <w:t>10</w:t>
      </w:r>
      <w:r>
        <w:rPr>
          <w:sz w:val="21"/>
        </w:rPr>
        <w:t>）乙方与甲方签署保密协议，约束其所属员工保证本项目的所有资料不向外泄露及用作其他用途。</w:t>
      </w:r>
    </w:p>
    <w:p>
      <w:pPr>
        <w:jc w:val="both"/>
      </w:pPr>
      <w:r>
        <w:rPr>
          <w:sz w:val="21"/>
        </w:rPr>
        <w:t>（</w:t>
      </w:r>
      <w:r>
        <w:rPr>
          <w:sz w:val="21"/>
        </w:rPr>
        <w:t>11</w:t>
      </w:r>
      <w:r>
        <w:rPr>
          <w:sz w:val="21"/>
        </w:rPr>
        <w:t>）如乙方维护人员在实施系统运维工作过程中造成任何方人身伤害或财产损失的，乙方应承担一切责任，并赔偿甲方及受害方因此遭受的一切损失（包括但不限于第三方索赔、律师费、采取补救措施的费用及开支等）。</w:t>
      </w:r>
    </w:p>
    <w:p>
      <w:pPr>
        <w:jc w:val="both"/>
      </w:pPr>
      <w:r>
        <w:rPr>
          <w:sz w:val="21"/>
        </w:rPr>
        <w:t>（</w:t>
      </w:r>
      <w:r>
        <w:rPr>
          <w:sz w:val="21"/>
        </w:rPr>
        <w:t>12</w:t>
      </w:r>
      <w:r>
        <w:rPr>
          <w:sz w:val="21"/>
        </w:rPr>
        <w:t>）乙方维护人员仪容仪表必须符合甲方要求，统一佩带工作证，保持服务期间的文明、守纪形象。乙方维护人员在遵守乙方的规章制度以外，也必须遵从甲方的规章制度。</w:t>
      </w:r>
    </w:p>
    <w:p>
      <w:pPr>
        <w:jc w:val="both"/>
      </w:pPr>
      <w:r>
        <w:rPr>
          <w:sz w:val="21"/>
        </w:rPr>
        <w:t>（</w:t>
      </w:r>
      <w:r>
        <w:rPr>
          <w:sz w:val="21"/>
        </w:rPr>
        <w:t>13</w:t>
      </w:r>
      <w:r>
        <w:rPr>
          <w:sz w:val="21"/>
        </w:rPr>
        <w:t>）乙方及其工作人员须遵守职业道德，保证不泄露任何涉及甲方工作秘密，不得作出有损甲方及相关人员形象、声誉的行为。否则，甲方保留追究乙方法律责任的权利，并有权提前解除本合同。同时，乙方应赔偿甲方因此遭受的损失、第三方索赔、律师费、采取补救措施的费用及开支等。</w:t>
      </w:r>
    </w:p>
    <w:p>
      <w:pPr>
        <w:jc w:val="both"/>
      </w:pPr>
      <w:r>
        <w:rPr>
          <w:sz w:val="21"/>
        </w:rPr>
        <w:t>（</w:t>
      </w:r>
      <w:r>
        <w:rPr>
          <w:sz w:val="21"/>
        </w:rPr>
        <w:t>14</w:t>
      </w:r>
      <w:r>
        <w:rPr>
          <w:sz w:val="21"/>
        </w:rPr>
        <w:t>）乙方应做好保密工作并承担相应的责任。乙方必须遵守甲方内部各项规章制度和内部操作规程，履行保密义务，签署保密协议，未经批准不得以任何理由泄露任何保密信息或内部资料。</w:t>
      </w:r>
    </w:p>
    <w:p>
      <w:pPr>
        <w:jc w:val="both"/>
      </w:pPr>
      <w:r>
        <w:rPr>
          <w:sz w:val="21"/>
        </w:rPr>
        <w:t>（</w:t>
      </w:r>
      <w:r>
        <w:rPr>
          <w:sz w:val="21"/>
        </w:rPr>
        <w:t>15</w:t>
      </w:r>
      <w:r>
        <w:rPr>
          <w:sz w:val="21"/>
        </w:rPr>
        <w:t>）维护过程中所需要的工具、运费，运维驻点场地费用、水电费和安全生产费用全部由乙方支付。</w:t>
      </w:r>
    </w:p>
    <w:p>
      <w:pPr>
        <w:jc w:val="both"/>
      </w:pPr>
      <w:r>
        <w:rPr>
          <w:sz w:val="21"/>
        </w:rPr>
        <w:t>（</w:t>
      </w:r>
      <w:r>
        <w:rPr>
          <w:sz w:val="21"/>
        </w:rPr>
        <w:t>16</w:t>
      </w:r>
      <w:r>
        <w:rPr>
          <w:sz w:val="21"/>
        </w:rPr>
        <w:t>）乙方应设立投诉机制，负责监督和提升服务质量。</w:t>
      </w:r>
    </w:p>
    <w:p>
      <w:pPr>
        <w:jc w:val="both"/>
      </w:pPr>
      <w:r>
        <w:rPr>
          <w:sz w:val="21"/>
        </w:rPr>
        <w:t>（</w:t>
      </w:r>
      <w:r>
        <w:rPr>
          <w:sz w:val="21"/>
        </w:rPr>
        <w:t>17</w:t>
      </w:r>
      <w:r>
        <w:rPr>
          <w:sz w:val="21"/>
        </w:rPr>
        <w:t>）如遇人力不可抗拒的因素（如交通瘫痪、火灾、水灾、台风、暴雨、地震等）、停电、网络中断等原因导致乙方不能按要求提供服务的，乙方无须负责。</w:t>
      </w:r>
    </w:p>
    <w:p>
      <w:pPr>
        <w:jc w:val="both"/>
      </w:pPr>
    </w:p>
    <w:p>
      <w:pPr>
        <w:jc w:val="both"/>
      </w:pPr>
      <w:r>
        <w:rPr>
          <w:b/>
          <w:sz w:val="21"/>
        </w:rPr>
        <w:t>第六条：维护工作准则</w:t>
      </w:r>
    </w:p>
    <w:p>
      <w:pPr>
        <w:jc w:val="both"/>
      </w:pPr>
      <w:r>
        <w:rPr>
          <w:sz w:val="21"/>
        </w:rPr>
        <w:t xml:space="preserve">        </w:t>
      </w:r>
      <w:r>
        <w:rPr>
          <w:sz w:val="21"/>
        </w:rPr>
        <w:t>为了规范乙方维护小组行为，切实履行本项目的维护服务职责，提高维护效率，乙方应指定相应的规章制度，对维护服务工作人员的工作行为进行约束，主要包括以下行为规范：</w:t>
      </w:r>
    </w:p>
    <w:p>
      <w:pPr>
        <w:jc w:val="both"/>
      </w:pPr>
      <w:r>
        <w:rPr>
          <w:sz w:val="21"/>
        </w:rPr>
        <w:t>1</w:t>
      </w:r>
      <w:r>
        <w:rPr>
          <w:sz w:val="21"/>
        </w:rPr>
        <w:t>、遵守国家法律、法规及服务单位的各项规章制度。</w:t>
      </w:r>
    </w:p>
    <w:p>
      <w:pPr>
        <w:jc w:val="both"/>
      </w:pPr>
      <w:r>
        <w:rPr>
          <w:sz w:val="21"/>
        </w:rPr>
        <w:t>2</w:t>
      </w:r>
      <w:r>
        <w:rPr>
          <w:sz w:val="21"/>
        </w:rPr>
        <w:t>、保持工作场所的整洁、有序，并按规定布置物品、文件。</w:t>
      </w:r>
    </w:p>
    <w:p>
      <w:pPr>
        <w:jc w:val="both"/>
      </w:pPr>
      <w:r>
        <w:rPr>
          <w:sz w:val="21"/>
        </w:rPr>
        <w:t>3</w:t>
      </w:r>
      <w:r>
        <w:rPr>
          <w:sz w:val="21"/>
        </w:rPr>
        <w:t>、乙方工作人员工作时间必须着装整洁，上班时间佩戴公司工作证，不准穿奇装异服。</w:t>
      </w:r>
    </w:p>
    <w:p>
      <w:pPr>
        <w:jc w:val="both"/>
      </w:pPr>
      <w:r>
        <w:rPr>
          <w:sz w:val="21"/>
        </w:rPr>
        <w:t>4</w:t>
      </w:r>
      <w:r>
        <w:rPr>
          <w:sz w:val="21"/>
        </w:rPr>
        <w:t>、在用户场所开展工作时，要遵守其关于工作现场方面的劳动纪律，不得妨碍其正常工作。</w:t>
      </w:r>
    </w:p>
    <w:p>
      <w:pPr>
        <w:jc w:val="both"/>
      </w:pPr>
      <w:r>
        <w:rPr>
          <w:sz w:val="21"/>
        </w:rPr>
        <w:t>5</w:t>
      </w:r>
      <w:r>
        <w:rPr>
          <w:sz w:val="21"/>
        </w:rPr>
        <w:t>、现场服务时，必须事先与甲方联系商定具体上门时间。一旦确定，必须遵守，特殊情况下需要延期，须经甲方同意后方可延期。</w:t>
      </w:r>
    </w:p>
    <w:p>
      <w:pPr>
        <w:jc w:val="both"/>
      </w:pPr>
      <w:r>
        <w:rPr>
          <w:sz w:val="21"/>
        </w:rPr>
        <w:t>6</w:t>
      </w:r>
      <w:r>
        <w:rPr>
          <w:sz w:val="21"/>
        </w:rPr>
        <w:t>、按照有关程序、规范等文件的规定，对有关事项用规定表格进行记录，要保证记录的真实性、完整性，文字要清晰、易于阅读。</w:t>
      </w:r>
    </w:p>
    <w:p>
      <w:pPr>
        <w:jc w:val="both"/>
      </w:pPr>
      <w:r>
        <w:rPr>
          <w:sz w:val="21"/>
        </w:rPr>
        <w:t>7</w:t>
      </w:r>
      <w:r>
        <w:rPr>
          <w:sz w:val="21"/>
        </w:rPr>
        <w:t>、按照有关程序、规范、合同等文件的规定，及时报送有关总结、计划、报告及记录。</w:t>
      </w:r>
    </w:p>
    <w:p>
      <w:pPr>
        <w:jc w:val="both"/>
      </w:pPr>
      <w:r>
        <w:rPr>
          <w:sz w:val="21"/>
        </w:rPr>
        <w:t>8</w:t>
      </w:r>
      <w:r>
        <w:rPr>
          <w:sz w:val="21"/>
        </w:rPr>
        <w:t>、在系统维护中，由于乙方过失或处理不当，对用户造成任何直接或间接损失的，由乙方承担责任。属甲方故意人为破坏、机器故障、突然断电、自然灾害等原因发生问题的，由甲方承担相应的责任。若乙方过失或处理不当造成甲方向任何第三方进行赔偿的，甲方有权向乙方进行追偿，乙方应赔偿甲方向第三方支付的赔偿。</w:t>
      </w:r>
    </w:p>
    <w:p>
      <w:pPr>
        <w:jc w:val="both"/>
      </w:pPr>
      <w:r>
        <w:rPr>
          <w:sz w:val="21"/>
        </w:rPr>
        <w:t>9</w:t>
      </w:r>
      <w:r>
        <w:rPr>
          <w:sz w:val="21"/>
        </w:rPr>
        <w:t>、乙方应严格按照磋商文件中的运维工作机制开展运维工作。</w:t>
      </w:r>
    </w:p>
    <w:p>
      <w:pPr>
        <w:jc w:val="both"/>
      </w:pPr>
    </w:p>
    <w:p>
      <w:pPr>
        <w:jc w:val="both"/>
      </w:pPr>
      <w:r>
        <w:rPr>
          <w:b/>
          <w:sz w:val="21"/>
        </w:rPr>
        <w:t>第七条：维护期限</w:t>
      </w:r>
    </w:p>
    <w:p>
      <w:pPr>
        <w:jc w:val="both"/>
      </w:pPr>
      <w:r>
        <w:rPr>
          <w:sz w:val="21"/>
        </w:rPr>
        <w:t>本服务合同期限为</w:t>
      </w:r>
      <w:r>
        <w:rPr>
          <w:sz w:val="21"/>
          <w:u w:val="single"/>
        </w:rPr>
        <w:t xml:space="preserve">  </w:t>
      </w:r>
      <w:r>
        <w:rPr>
          <w:sz w:val="21"/>
        </w:rPr>
        <w:t>个月，自</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日起至</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日止。</w:t>
      </w:r>
    </w:p>
    <w:p>
      <w:pPr>
        <w:jc w:val="both"/>
      </w:pPr>
      <w:r>
        <w:rPr>
          <w:sz w:val="21"/>
        </w:rPr>
        <w:t>过渡支持期：乙方需从项目运维期满之日起，在新运维单位到位前继续提供不少于两个月的系统基础运维支持服务，同时提供与新运维单位的交接工作服务，期限不少于两个月（费用已包含在合同总价中）。</w:t>
      </w:r>
    </w:p>
    <w:p>
      <w:pPr>
        <w:jc w:val="both"/>
      </w:pPr>
    </w:p>
    <w:p>
      <w:pPr>
        <w:jc w:val="both"/>
      </w:pPr>
      <w:r>
        <w:rPr>
          <w:b/>
          <w:sz w:val="21"/>
        </w:rPr>
        <w:t>第八条：付款方式</w:t>
      </w:r>
    </w:p>
    <w:p>
      <w:pPr>
        <w:jc w:val="both"/>
      </w:pPr>
      <w:r>
        <w:rPr>
          <w:sz w:val="21"/>
        </w:rPr>
        <w:t>1</w:t>
      </w:r>
      <w:r>
        <w:rPr>
          <w:sz w:val="21"/>
        </w:rPr>
        <w:t>．</w:t>
      </w:r>
      <w:r>
        <w:rPr>
          <w:sz w:val="21"/>
        </w:rPr>
        <w:t>本项</w:t>
      </w:r>
      <w:r>
        <w:rPr>
          <w:sz w:val="21"/>
        </w:rPr>
        <w:t>目分</w:t>
      </w:r>
      <w:r>
        <w:rPr>
          <w:sz w:val="21"/>
        </w:rPr>
        <w:t>3</w:t>
      </w:r>
      <w:r>
        <w:rPr>
          <w:sz w:val="21"/>
        </w:rPr>
        <w:t>期付款</w:t>
      </w:r>
      <w:r>
        <w:rPr>
          <w:sz w:val="21"/>
        </w:rPr>
        <w:t>:</w:t>
      </w:r>
    </w:p>
    <w:p>
      <w:pPr>
        <w:jc w:val="both"/>
      </w:pPr>
      <w:r>
        <w:rPr>
          <w:sz w:val="21"/>
        </w:rPr>
        <w:t>1</w:t>
      </w:r>
      <w:r>
        <w:rPr>
          <w:sz w:val="21"/>
        </w:rPr>
        <w:t>期：支付比例</w:t>
      </w:r>
      <w:r>
        <w:rPr>
          <w:sz w:val="21"/>
        </w:rPr>
        <w:t>25%,</w:t>
      </w:r>
      <w:r>
        <w:rPr>
          <w:sz w:val="21"/>
        </w:rPr>
        <w:t>完成合同签订及必要的运维准备工作，在中山市财政局安排落实项目进度对应经费后，甲方收到乙方完税发票之日起</w:t>
      </w:r>
      <w:r>
        <w:rPr>
          <w:sz w:val="21"/>
        </w:rPr>
        <w:t>30</w:t>
      </w:r>
      <w:r>
        <w:rPr>
          <w:sz w:val="21"/>
        </w:rPr>
        <w:t>个工作日内，甲方向乙方支付合同总额的</w:t>
      </w:r>
      <w:r>
        <w:rPr>
          <w:sz w:val="21"/>
        </w:rPr>
        <w:t>25%</w:t>
      </w:r>
      <w:r>
        <w:rPr>
          <w:sz w:val="21"/>
        </w:rPr>
        <w:t>；</w:t>
      </w:r>
    </w:p>
    <w:p>
      <w:pPr>
        <w:jc w:val="both"/>
      </w:pPr>
      <w:r>
        <w:rPr>
          <w:sz w:val="21"/>
        </w:rPr>
        <w:t>2</w:t>
      </w:r>
      <w:r>
        <w:rPr>
          <w:sz w:val="21"/>
        </w:rPr>
        <w:t>期：支付比例</w:t>
      </w:r>
      <w:r>
        <w:rPr>
          <w:sz w:val="21"/>
        </w:rPr>
        <w:t>50%,2024</w:t>
      </w:r>
      <w:r>
        <w:rPr>
          <w:sz w:val="21"/>
        </w:rPr>
        <w:t>年</w:t>
      </w:r>
      <w:r>
        <w:rPr>
          <w:sz w:val="21"/>
        </w:rPr>
        <w:t>4</w:t>
      </w:r>
      <w:r>
        <w:rPr>
          <w:sz w:val="21"/>
        </w:rPr>
        <w:t>月底之前，在中山市财政局安排落实项目进度对应经费后，甲方收到乙方完税发票之日起</w:t>
      </w:r>
      <w:r>
        <w:rPr>
          <w:sz w:val="21"/>
        </w:rPr>
        <w:t>30</w:t>
      </w:r>
      <w:r>
        <w:rPr>
          <w:sz w:val="21"/>
        </w:rPr>
        <w:t>个工作日内，且对处于运维服务期系统的运维服务季度（</w:t>
      </w:r>
      <w:r>
        <w:rPr>
          <w:sz w:val="21"/>
        </w:rPr>
        <w:t>2023</w:t>
      </w:r>
      <w:r>
        <w:rPr>
          <w:sz w:val="21"/>
        </w:rPr>
        <w:t>年</w:t>
      </w:r>
      <w:r>
        <w:rPr>
          <w:sz w:val="21"/>
        </w:rPr>
        <w:t>11</w:t>
      </w:r>
      <w:r>
        <w:rPr>
          <w:sz w:val="21"/>
        </w:rPr>
        <w:t>月至</w:t>
      </w:r>
      <w:r>
        <w:rPr>
          <w:sz w:val="21"/>
        </w:rPr>
        <w:t>2024</w:t>
      </w:r>
      <w:r>
        <w:rPr>
          <w:sz w:val="21"/>
        </w:rPr>
        <w:t>年</w:t>
      </w:r>
      <w:r>
        <w:rPr>
          <w:sz w:val="21"/>
        </w:rPr>
        <w:t>3</w:t>
      </w:r>
      <w:r>
        <w:rPr>
          <w:sz w:val="21"/>
        </w:rPr>
        <w:t>月）考核合格，甲方向乙方支付合同总金额的</w:t>
      </w:r>
      <w:r>
        <w:rPr>
          <w:sz w:val="21"/>
        </w:rPr>
        <w:t>50</w:t>
      </w:r>
      <w:r>
        <w:rPr>
          <w:sz w:val="21"/>
        </w:rPr>
        <w:t>％。</w:t>
      </w:r>
    </w:p>
    <w:p>
      <w:pPr>
        <w:jc w:val="both"/>
      </w:pPr>
      <w:r>
        <w:rPr>
          <w:sz w:val="21"/>
        </w:rPr>
        <w:t>3</w:t>
      </w:r>
      <w:r>
        <w:rPr>
          <w:sz w:val="21"/>
        </w:rPr>
        <w:t>期：支付比例</w:t>
      </w:r>
      <w:r>
        <w:rPr>
          <w:sz w:val="21"/>
        </w:rPr>
        <w:t>25%,</w:t>
      </w:r>
      <w:r>
        <w:rPr>
          <w:sz w:val="21"/>
        </w:rPr>
        <w:t>项目运维服务期满且全部成果提交后，在中山市财政局安排落实项目进度对应经费后，且项目整个服务期（</w:t>
      </w:r>
      <w:r>
        <w:rPr>
          <w:sz w:val="21"/>
        </w:rPr>
        <w:t>2023</w:t>
      </w:r>
      <w:r>
        <w:rPr>
          <w:sz w:val="21"/>
        </w:rPr>
        <w:t>年</w:t>
      </w:r>
      <w:r>
        <w:rPr>
          <w:sz w:val="21"/>
        </w:rPr>
        <w:t>11</w:t>
      </w:r>
      <w:r>
        <w:rPr>
          <w:sz w:val="21"/>
        </w:rPr>
        <w:t>月</w:t>
      </w:r>
      <w:r>
        <w:rPr>
          <w:sz w:val="21"/>
        </w:rPr>
        <w:t>6</w:t>
      </w:r>
      <w:r>
        <w:rPr>
          <w:sz w:val="21"/>
        </w:rPr>
        <w:t>日</w:t>
      </w:r>
      <w:r>
        <w:rPr>
          <w:sz w:val="21"/>
        </w:rPr>
        <w:t>-2024</w:t>
      </w:r>
      <w:r>
        <w:rPr>
          <w:sz w:val="21"/>
        </w:rPr>
        <w:t>年</w:t>
      </w:r>
      <w:r>
        <w:rPr>
          <w:sz w:val="21"/>
        </w:rPr>
        <w:t>6</w:t>
      </w:r>
      <w:r>
        <w:rPr>
          <w:sz w:val="21"/>
        </w:rPr>
        <w:t>月</w:t>
      </w:r>
      <w:r>
        <w:rPr>
          <w:sz w:val="21"/>
        </w:rPr>
        <w:t>30</w:t>
      </w:r>
      <w:r>
        <w:rPr>
          <w:sz w:val="21"/>
        </w:rPr>
        <w:t>日）考核合格，甲方收到乙方完税发票之日起</w:t>
      </w:r>
      <w:r>
        <w:rPr>
          <w:sz w:val="21"/>
        </w:rPr>
        <w:t>30</w:t>
      </w:r>
      <w:r>
        <w:rPr>
          <w:sz w:val="21"/>
        </w:rPr>
        <w:t>个工作日内，甲方向乙方支付合同总金额的</w:t>
      </w:r>
      <w:r>
        <w:rPr>
          <w:sz w:val="21"/>
        </w:rPr>
        <w:t>25</w:t>
      </w:r>
      <w:r>
        <w:rPr>
          <w:sz w:val="21"/>
        </w:rPr>
        <w:t>％。</w:t>
      </w:r>
    </w:p>
    <w:p>
      <w:pPr>
        <w:ind w:firstLine="420"/>
        <w:jc w:val="both"/>
      </w:pPr>
      <w:r>
        <w:rPr>
          <w:sz w:val="21"/>
        </w:rPr>
        <w:t>以上第</w:t>
      </w:r>
      <w:r>
        <w:rPr>
          <w:sz w:val="21"/>
        </w:rPr>
        <w:t>2</w:t>
      </w:r>
      <w:r>
        <w:rPr>
          <w:sz w:val="21"/>
        </w:rPr>
        <w:t>、</w:t>
      </w:r>
      <w:r>
        <w:rPr>
          <w:sz w:val="21"/>
        </w:rPr>
        <w:t>3</w:t>
      </w:r>
      <w:r>
        <w:rPr>
          <w:sz w:val="21"/>
        </w:rPr>
        <w:t>期付款中若当期运维考核不合格，甲方有权根据考核结果核减当期付款比例。</w:t>
      </w:r>
    </w:p>
    <w:p>
      <w:pPr>
        <w:ind w:firstLine="420"/>
        <w:jc w:val="both"/>
      </w:pPr>
      <w:r>
        <w:rPr>
          <w:sz w:val="21"/>
        </w:rPr>
        <w:t>因本项目使用的是市财政资金，前款规定的付款时间为甲方向政府采购支付部门办理财政支付手续的时间（不含政府财政支付部门审核的时间），在规定的时间内提交支付申请即视为甲方已经按期支付。</w:t>
      </w:r>
    </w:p>
    <w:p>
      <w:pPr>
        <w:ind w:firstLine="420"/>
        <w:jc w:val="both"/>
      </w:pPr>
      <w:r>
        <w:rPr>
          <w:sz w:val="21"/>
        </w:rPr>
        <w:t>甲方按照付款约定支付给乙方的所有合同款只能用于本项目，乙方不得转移用于其他用途。乙方不得拖欠本项目运维人员（包括驻点和非驻点人员）工资。如发现有违反上述约定的，甲方有权延迟或减少当期合同款支付。</w:t>
      </w:r>
    </w:p>
    <w:p>
      <w:pPr>
        <w:jc w:val="both"/>
      </w:pPr>
      <w:r>
        <w:rPr>
          <w:sz w:val="21"/>
        </w:rPr>
        <w:t xml:space="preserve">2.     </w:t>
      </w:r>
      <w:r>
        <w:rPr>
          <w:sz w:val="21"/>
        </w:rPr>
        <w:t>乙方的账户信息：</w:t>
      </w:r>
    </w:p>
    <w:p>
      <w:pPr>
        <w:jc w:val="both"/>
      </w:pPr>
      <w:r>
        <w:rPr>
          <w:sz w:val="21"/>
        </w:rPr>
        <w:t>（</w:t>
      </w:r>
      <w:r>
        <w:rPr>
          <w:sz w:val="21"/>
        </w:rPr>
        <w:t>1</w:t>
      </w:r>
      <w:r>
        <w:rPr>
          <w:sz w:val="21"/>
        </w:rPr>
        <w:t>）开户行：</w:t>
      </w:r>
    </w:p>
    <w:p>
      <w:pPr>
        <w:jc w:val="both"/>
      </w:pPr>
      <w:r>
        <w:rPr>
          <w:sz w:val="21"/>
        </w:rPr>
        <w:t>（</w:t>
      </w:r>
      <w:r>
        <w:rPr>
          <w:sz w:val="21"/>
        </w:rPr>
        <w:t>2</w:t>
      </w:r>
      <w:r>
        <w:rPr>
          <w:sz w:val="21"/>
        </w:rPr>
        <w:t>）开户账号：</w:t>
      </w:r>
    </w:p>
    <w:p>
      <w:pPr>
        <w:jc w:val="both"/>
      </w:pPr>
      <w:r>
        <w:rPr>
          <w:sz w:val="21"/>
        </w:rPr>
        <w:t>（</w:t>
      </w:r>
      <w:r>
        <w:rPr>
          <w:sz w:val="21"/>
        </w:rPr>
        <w:t>3</w:t>
      </w:r>
      <w:r>
        <w:rPr>
          <w:sz w:val="21"/>
        </w:rPr>
        <w:t>）开户名称：</w:t>
      </w:r>
    </w:p>
    <w:p>
      <w:pPr>
        <w:jc w:val="both"/>
      </w:pPr>
    </w:p>
    <w:p>
      <w:pPr>
        <w:jc w:val="both"/>
      </w:pPr>
      <w:r>
        <w:rPr>
          <w:b/>
          <w:sz w:val="21"/>
        </w:rPr>
        <w:t>第九条：考核办法</w:t>
      </w:r>
    </w:p>
    <w:p>
      <w:pPr>
        <w:ind w:firstLine="420"/>
        <w:jc w:val="both"/>
      </w:pPr>
      <w:r>
        <w:rPr>
          <w:sz w:val="21"/>
        </w:rPr>
        <w:t>甲方按照磋商文件约定要求对乙方进行运维服务考核。</w:t>
      </w:r>
    </w:p>
    <w:p>
      <w:pPr>
        <w:jc w:val="both"/>
      </w:pPr>
    </w:p>
    <w:p>
      <w:pPr>
        <w:jc w:val="both"/>
      </w:pPr>
      <w:r>
        <w:rPr>
          <w:b/>
          <w:sz w:val="21"/>
        </w:rPr>
        <w:t>第十条：违约责任与赔偿损失</w:t>
      </w:r>
    </w:p>
    <w:p>
      <w:pPr>
        <w:ind w:firstLine="420"/>
        <w:jc w:val="both"/>
      </w:pPr>
      <w:r>
        <w:rPr>
          <w:sz w:val="21"/>
        </w:rPr>
        <w:t>1.</w:t>
      </w:r>
      <w:r>
        <w:rPr>
          <w:sz w:val="21"/>
        </w:rPr>
        <w:t>在甲方使用本维护项目的软件成果过程中，因乙方软件自身缺陷未及时发现、处理或系统维护处理不及时或失误导致系统出现运行故障或数据错误，造成甲方或第三方各类损失（含经济损失、甲方向第三方赔偿等），甲方有权要求乙方赔偿全部损失，并有权解除本合同、拒绝支付未支付的运维费用，乙方还应按合同总价的</w:t>
      </w:r>
      <w:r>
        <w:rPr>
          <w:sz w:val="21"/>
        </w:rPr>
        <w:t>10%</w:t>
      </w:r>
      <w:r>
        <w:rPr>
          <w:sz w:val="21"/>
        </w:rPr>
        <w:t>向甲方支付违约金。</w:t>
      </w:r>
    </w:p>
    <w:p>
      <w:pPr>
        <w:ind w:firstLine="420"/>
        <w:jc w:val="both"/>
      </w:pPr>
      <w:r>
        <w:rPr>
          <w:sz w:val="21"/>
        </w:rPr>
        <w:t>2.</w:t>
      </w:r>
      <w:r>
        <w:rPr>
          <w:sz w:val="21"/>
        </w:rPr>
        <w:t>如乙方违反保密协议，或主观恶意泄露工作秘密，或恶意、滥用运维权限对系统故意设置</w:t>
      </w:r>
      <w:r>
        <w:rPr>
          <w:sz w:val="21"/>
        </w:rPr>
        <w:t>bug</w:t>
      </w:r>
      <w:r>
        <w:rPr>
          <w:sz w:val="21"/>
        </w:rPr>
        <w:t>或人为设置障碍，影响系统作用正常发挥的，甲方有权解除本合同、拒绝支付未支付的运维费用，并要求乙方赔偿全部损失（含经济损失、甲方向第三方赔偿等），乙方还应按合同总价的</w:t>
      </w:r>
      <w:r>
        <w:rPr>
          <w:sz w:val="21"/>
        </w:rPr>
        <w:t>10%</w:t>
      </w:r>
      <w:r>
        <w:rPr>
          <w:sz w:val="21"/>
        </w:rPr>
        <w:t>向甲方支付违约金。若涉嫌刑事责任的，甲方将依法移送公安机关追究乙方及相关人员的刑事责任。</w:t>
      </w:r>
    </w:p>
    <w:p>
      <w:pPr>
        <w:ind w:firstLine="420"/>
        <w:jc w:val="both"/>
      </w:pPr>
      <w:r>
        <w:rPr>
          <w:sz w:val="21"/>
        </w:rPr>
        <w:t>3.</w:t>
      </w:r>
      <w:r>
        <w:rPr>
          <w:sz w:val="21"/>
        </w:rPr>
        <w:t>本合同开始履行后</w:t>
      </w:r>
      <w:r>
        <w:rPr>
          <w:sz w:val="21"/>
        </w:rPr>
        <w:t>6</w:t>
      </w:r>
      <w:r>
        <w:rPr>
          <w:sz w:val="21"/>
        </w:rPr>
        <w:t>个月内乙方未按投标文件驻场人员清单安排人员驻场，或乙方在合同履行期内运维不合格，导致系统无法正常运行或正常业务办理的，甲方有权解除合同并重新选择其他单位承担运维工作，未完成的运维工作由新中标人负责的，乙方应按行业相关取费标准支付费用。</w:t>
      </w:r>
    </w:p>
    <w:p>
      <w:pPr>
        <w:ind w:firstLine="420"/>
        <w:jc w:val="both"/>
      </w:pPr>
      <w:r>
        <w:rPr>
          <w:sz w:val="21"/>
        </w:rPr>
        <w:t>4.</w:t>
      </w:r>
      <w:r>
        <w:rPr>
          <w:sz w:val="21"/>
        </w:rPr>
        <w:t>服务考核评价得分≤</w:t>
      </w:r>
      <w:r>
        <w:rPr>
          <w:sz w:val="21"/>
        </w:rPr>
        <w:t>70</w:t>
      </w:r>
      <w:r>
        <w:rPr>
          <w:sz w:val="21"/>
        </w:rPr>
        <w:t>分的，甲方有权根据考核结果部分减少未支付的项目额度。</w:t>
      </w:r>
    </w:p>
    <w:p>
      <w:pPr>
        <w:ind w:firstLine="420"/>
        <w:jc w:val="both"/>
      </w:pPr>
      <w:r>
        <w:rPr>
          <w:sz w:val="21"/>
        </w:rPr>
        <w:t>5.</w:t>
      </w:r>
      <w:r>
        <w:rPr>
          <w:sz w:val="21"/>
        </w:rPr>
        <w:t>因甲方使用的是财政资金，甲方向政府采购支付部门提出办理财政支付申请手续的时间（不含政府财政支付部门审核的时间）视为甲方履行支付义务的时间，甲方在约定时间内提出支付申请后即视为甲方已经按期支付。由于财政资金拨款需时审批而导致乙方收款延迟，甲方不承担违约责任。</w:t>
      </w:r>
    </w:p>
    <w:p>
      <w:pPr>
        <w:ind w:firstLine="420"/>
        <w:jc w:val="both"/>
      </w:pPr>
      <w:r>
        <w:rPr>
          <w:sz w:val="21"/>
        </w:rPr>
        <w:t>6.</w:t>
      </w:r>
      <w:r>
        <w:rPr>
          <w:sz w:val="21"/>
        </w:rPr>
        <w:t>如甲方未按照合同约定的付款期限履行支付义务，则每日按到期应付款总额</w:t>
      </w:r>
      <w:r>
        <w:rPr>
          <w:sz w:val="21"/>
        </w:rPr>
        <w:t>0.5%</w:t>
      </w:r>
      <w:r>
        <w:rPr>
          <w:sz w:val="21"/>
        </w:rPr>
        <w:t>向乙方偿付违约金，但总额不超过合同总额的</w:t>
      </w:r>
      <w:r>
        <w:rPr>
          <w:sz w:val="21"/>
        </w:rPr>
        <w:t>10%</w:t>
      </w:r>
      <w:r>
        <w:rPr>
          <w:sz w:val="21"/>
        </w:rPr>
        <w:t>。</w:t>
      </w:r>
    </w:p>
    <w:p>
      <w:pPr>
        <w:ind w:firstLine="420"/>
        <w:jc w:val="both"/>
      </w:pPr>
      <w:r>
        <w:rPr>
          <w:sz w:val="21"/>
        </w:rPr>
        <w:t>7.</w:t>
      </w:r>
      <w:r>
        <w:rPr>
          <w:sz w:val="21"/>
        </w:rPr>
        <w:t>如甲方、乙方任意一方违反合同约定，导致需向对方追偿经济损失及违约金等，因此产生的维权费用（包括但不限于律师费、公证费、鉴定费等费用）由违约方承担。</w:t>
      </w:r>
    </w:p>
    <w:p>
      <w:pPr>
        <w:ind w:firstLine="420"/>
        <w:jc w:val="both"/>
      </w:pPr>
      <w:r>
        <w:rPr>
          <w:sz w:val="21"/>
        </w:rPr>
        <w:t>8.</w:t>
      </w:r>
      <w:r>
        <w:rPr>
          <w:sz w:val="21"/>
        </w:rPr>
        <w:t>乙方存在违约的情况下，双方同意并出具书面文件后，甲方有权直接从应付给乙方合同价款中扣减其应赔偿损失的数额及违约金。</w:t>
      </w:r>
    </w:p>
    <w:p>
      <w:pPr>
        <w:jc w:val="both"/>
      </w:pPr>
    </w:p>
    <w:p>
      <w:pPr>
        <w:jc w:val="both"/>
      </w:pPr>
      <w:r>
        <w:rPr>
          <w:b/>
          <w:sz w:val="21"/>
        </w:rPr>
        <w:t>第十一条：技术文件</w:t>
      </w:r>
    </w:p>
    <w:p>
      <w:pPr>
        <w:ind w:firstLine="420"/>
        <w:jc w:val="both"/>
      </w:pPr>
      <w:r>
        <w:rPr>
          <w:sz w:val="21"/>
        </w:rPr>
        <w:t>1.</w:t>
      </w:r>
      <w:r>
        <w:rPr>
          <w:sz w:val="21"/>
        </w:rPr>
        <w:t>乙方应在提供服务同时向甲方提供所有有关本合同执行的技术文件（详见项目成果要求）。如果本项目必需但合同又未作约定要乙方提供的技术文件，乙方也应及时向甲方提供。技术文件可以是手册、图纸或其他形式的文件资料。</w:t>
      </w:r>
    </w:p>
    <w:p>
      <w:pPr>
        <w:ind w:firstLine="420"/>
        <w:jc w:val="both"/>
      </w:pPr>
      <w:r>
        <w:rPr>
          <w:sz w:val="21"/>
        </w:rPr>
        <w:t>2.</w:t>
      </w:r>
      <w:r>
        <w:rPr>
          <w:sz w:val="21"/>
        </w:rPr>
        <w:t>上述技术文件应包含保证甲方能够正确进行安装、操作、检查、维修、维护、调试、验收需要的所有内容。</w:t>
      </w:r>
    </w:p>
    <w:p>
      <w:pPr>
        <w:ind w:firstLine="420"/>
        <w:jc w:val="both"/>
      </w:pPr>
      <w:r>
        <w:rPr>
          <w:sz w:val="21"/>
        </w:rPr>
        <w:t>3.</w:t>
      </w:r>
      <w:r>
        <w:rPr>
          <w:sz w:val="21"/>
        </w:rPr>
        <w:t>甲方完全按照技术文件的指导进行的任何安装、操作、检查维修、维护、测试、调试、验收所引起的系统和</w:t>
      </w:r>
      <w:r>
        <w:rPr>
          <w:sz w:val="21"/>
        </w:rPr>
        <w:t>/</w:t>
      </w:r>
      <w:r>
        <w:rPr>
          <w:sz w:val="21"/>
        </w:rPr>
        <w:t>或货物或其部件的损坏由乙方承担责任。</w:t>
      </w:r>
    </w:p>
    <w:p>
      <w:pPr>
        <w:ind w:firstLine="420"/>
        <w:jc w:val="both"/>
      </w:pPr>
      <w:r>
        <w:rPr>
          <w:sz w:val="21"/>
        </w:rPr>
        <w:t>4.</w:t>
      </w:r>
      <w:r>
        <w:rPr>
          <w:sz w:val="21"/>
        </w:rPr>
        <w:t>乙方应按照甲方的要求提供上述技术文件给甲方。</w:t>
      </w:r>
    </w:p>
    <w:p>
      <w:pPr>
        <w:ind w:firstLine="420"/>
        <w:jc w:val="both"/>
      </w:pPr>
      <w:r>
        <w:rPr>
          <w:sz w:val="21"/>
        </w:rPr>
        <w:t>5.</w:t>
      </w:r>
      <w:r>
        <w:rPr>
          <w:sz w:val="21"/>
        </w:rPr>
        <w:t>所有乙方提供的技术文件的全部费用已包含在本合同总价中。</w:t>
      </w:r>
    </w:p>
    <w:p>
      <w:pPr>
        <w:ind w:firstLine="420"/>
        <w:jc w:val="both"/>
      </w:pPr>
      <w:r>
        <w:rPr>
          <w:sz w:val="21"/>
        </w:rPr>
        <w:t>6.</w:t>
      </w:r>
      <w:r>
        <w:rPr>
          <w:sz w:val="21"/>
        </w:rPr>
        <w:t>所有未列明交付时间的乙方应提供的技术文件，必须单独包装伴随在本合同期内交付给甲方。</w:t>
      </w:r>
    </w:p>
    <w:p>
      <w:pPr>
        <w:ind w:firstLine="420"/>
        <w:jc w:val="both"/>
      </w:pPr>
      <w:r>
        <w:rPr>
          <w:sz w:val="21"/>
        </w:rPr>
        <w:t>7.</w:t>
      </w:r>
      <w:r>
        <w:rPr>
          <w:sz w:val="21"/>
        </w:rPr>
        <w:t>本合同期内甲方如发现乙方未提供有关文件，可以推迟付款，直至乙方补齐有关文件。</w:t>
      </w:r>
    </w:p>
    <w:p>
      <w:pPr>
        <w:ind w:firstLine="420"/>
        <w:jc w:val="both"/>
      </w:pPr>
    </w:p>
    <w:p>
      <w:pPr>
        <w:jc w:val="both"/>
      </w:pPr>
      <w:r>
        <w:rPr>
          <w:b/>
          <w:sz w:val="21"/>
        </w:rPr>
        <w:t>第十二条：知识产权</w:t>
      </w:r>
    </w:p>
    <w:p>
      <w:pPr>
        <w:jc w:val="both"/>
      </w:pPr>
      <w:r>
        <w:rPr>
          <w:sz w:val="21"/>
        </w:rPr>
        <w:t xml:space="preserve">1.     </w:t>
      </w:r>
      <w:r>
        <w:rPr>
          <w:sz w:val="21"/>
        </w:rPr>
        <w:t>乙方应保证，甲方在中华人民共和国实施合同的范围内，免受第三方提出的侵犯其专利权、商标权或其他知识产权的起诉。如发生此类纠纷，由乙方承担一切责任（包括但不限于甲方遭受到的第三方索赔、律师费、行政处罚金、采取补救措施的费用及开支）。</w:t>
      </w:r>
    </w:p>
    <w:p>
      <w:pPr>
        <w:jc w:val="both"/>
      </w:pPr>
      <w:r>
        <w:rPr>
          <w:sz w:val="21"/>
        </w:rPr>
        <w:t xml:space="preserve">2.     </w:t>
      </w:r>
      <w:r>
        <w:rPr>
          <w:sz w:val="21"/>
        </w:rPr>
        <w:t>乙方为执行本合同而提供的技术资料、软件的使用权归甲方所有。</w:t>
      </w:r>
    </w:p>
    <w:p>
      <w:pPr>
        <w:jc w:val="both"/>
      </w:pPr>
    </w:p>
    <w:p>
      <w:pPr>
        <w:jc w:val="both"/>
      </w:pPr>
      <w:r>
        <w:rPr>
          <w:b/>
          <w:sz w:val="21"/>
        </w:rPr>
        <w:t>第十三条：保险</w:t>
      </w:r>
    </w:p>
    <w:p>
      <w:pPr>
        <w:ind w:firstLine="420"/>
        <w:jc w:val="both"/>
      </w:pPr>
      <w:r>
        <w:rPr>
          <w:sz w:val="21"/>
        </w:rPr>
        <w:t>根据本合同关于产权与风险转移条款规定，乙方承担本合同实施过程中的所有风险。因此，乙方应为实施本项目所需的车辆、仪器设备等投保险、为派往甲方服务的人员投保人身险、为有关本项目活动可能涉及的第三方投保相关险种，保险费用均由乙方负责。</w:t>
      </w:r>
    </w:p>
    <w:p>
      <w:pPr>
        <w:jc w:val="both"/>
      </w:pPr>
    </w:p>
    <w:p>
      <w:pPr>
        <w:jc w:val="both"/>
      </w:pPr>
      <w:r>
        <w:rPr>
          <w:b/>
          <w:sz w:val="21"/>
        </w:rPr>
        <w:t>第十四条：伴随服务</w:t>
      </w:r>
    </w:p>
    <w:p>
      <w:pPr>
        <w:ind w:firstLine="420"/>
        <w:jc w:val="both"/>
      </w:pPr>
      <w:r>
        <w:rPr>
          <w:sz w:val="21"/>
        </w:rPr>
        <w:t>应甲方要求，乙方应提供甲方要求和本合同列明的服务，磋商文件中规定的相关服务。除非另有约定，所有服务费用已包含在本合同总价中。</w:t>
      </w:r>
      <w:r>
        <w:rPr>
          <w:sz w:val="21"/>
        </w:rPr>
        <w:t>若超出服务内容，双方应当另行协商。</w:t>
      </w:r>
    </w:p>
    <w:p>
      <w:pPr>
        <w:jc w:val="both"/>
      </w:pPr>
    </w:p>
    <w:p>
      <w:pPr>
        <w:jc w:val="both"/>
      </w:pPr>
      <w:r>
        <w:rPr>
          <w:b/>
          <w:sz w:val="21"/>
        </w:rPr>
        <w:t>第十五条：保密条款</w:t>
      </w:r>
    </w:p>
    <w:p>
      <w:pPr>
        <w:jc w:val="both"/>
      </w:pPr>
      <w:r>
        <w:rPr>
          <w:sz w:val="21"/>
        </w:rPr>
        <w:t>乙方需和甲方签订保密协议。</w:t>
      </w:r>
    </w:p>
    <w:p>
      <w:pPr>
        <w:jc w:val="both"/>
      </w:pPr>
    </w:p>
    <w:p>
      <w:pPr>
        <w:jc w:val="both"/>
      </w:pPr>
      <w:r>
        <w:rPr>
          <w:b/>
          <w:sz w:val="21"/>
        </w:rPr>
        <w:t>第十六条：项目维护人员要求</w:t>
      </w:r>
    </w:p>
    <w:p>
      <w:pPr>
        <w:jc w:val="both"/>
      </w:pPr>
      <w:r>
        <w:rPr>
          <w:sz w:val="21"/>
        </w:rPr>
        <w:t xml:space="preserve">1. </w:t>
      </w:r>
      <w:r>
        <w:rPr>
          <w:sz w:val="21"/>
        </w:rPr>
        <w:t>乙方须保证本项目维护人员充足、稳定。未经甲方书面同意，乙方不得擅自更换维护人员。经甲方书面同意更换维护人员的，乙方还应保证所更换人员须具有相应的资质证书。</w:t>
      </w:r>
    </w:p>
    <w:p>
      <w:pPr>
        <w:jc w:val="both"/>
      </w:pPr>
      <w:r>
        <w:rPr>
          <w:sz w:val="21"/>
        </w:rPr>
        <w:t xml:space="preserve">2.  </w:t>
      </w:r>
      <w:r>
        <w:rPr>
          <w:sz w:val="21"/>
        </w:rPr>
        <w:t>乙方的维护人员应自备有关工具、材料及承担相应的费用，如维护工具软件、电脑、交通和办公用具等。</w:t>
      </w:r>
    </w:p>
    <w:p>
      <w:pPr>
        <w:jc w:val="both"/>
      </w:pPr>
      <w:r>
        <w:rPr>
          <w:sz w:val="21"/>
        </w:rPr>
        <w:t xml:space="preserve">3. </w:t>
      </w:r>
      <w:r>
        <w:rPr>
          <w:sz w:val="21"/>
        </w:rPr>
        <w:t>乙方的维护人员不得利用工作之便，进行任何非法或非本项目范围内的活动，特别是发布非法信息</w:t>
      </w:r>
      <w:r>
        <w:rPr>
          <w:sz w:val="21"/>
        </w:rPr>
        <w:t>/</w:t>
      </w:r>
      <w:r>
        <w:rPr>
          <w:sz w:val="21"/>
        </w:rPr>
        <w:t>内容、留下系统后门等，须严格遵守有关法规和甲方内部规章制度，不得擅自修改、复制、传播所接触的系统源代码或数据。</w:t>
      </w:r>
    </w:p>
    <w:p>
      <w:pPr>
        <w:jc w:val="both"/>
      </w:pPr>
      <w:r>
        <w:rPr>
          <w:sz w:val="21"/>
        </w:rPr>
        <w:t xml:space="preserve">4. </w:t>
      </w:r>
      <w:r>
        <w:rPr>
          <w:sz w:val="21"/>
        </w:rPr>
        <w:t>如甲方对乙方维护人员不满意，有权要求乙方在日内更换维护人员，乙方应无条件在上述限期内更换完毕，并承担全部费用。</w:t>
      </w:r>
    </w:p>
    <w:p>
      <w:pPr>
        <w:jc w:val="both"/>
      </w:pPr>
    </w:p>
    <w:p>
      <w:pPr>
        <w:jc w:val="both"/>
      </w:pPr>
      <w:r>
        <w:rPr>
          <w:b/>
          <w:sz w:val="21"/>
        </w:rPr>
        <w:t>第十七条：不可抗力</w:t>
      </w:r>
    </w:p>
    <w:p>
      <w:pPr>
        <w:jc w:val="both"/>
      </w:pPr>
      <w:r>
        <w:rPr>
          <w:sz w:val="21"/>
        </w:rPr>
        <w:t xml:space="preserve">1. </w:t>
      </w:r>
      <w:r>
        <w:rPr>
          <w:sz w:val="21"/>
        </w:rPr>
        <w:t>甲、乙双方的任何一方由于不可抗力事件影响而不能执行本合同时，经双方协商后，可适当延长，其延长的期限应相当于事件所影响的时间。不可抗力事件系指甲、乙双方在缔结合同时所不能预见的，并且它的发生及其后果是无法避免和克服的事件，诸如战争、地震等。但不能因出现暴雨、台风、洪水、暴潮、山泥倾泻和咸潮等人力不可抗拒的自然灾害而免责。</w:t>
      </w:r>
    </w:p>
    <w:p>
      <w:pPr>
        <w:jc w:val="both"/>
      </w:pPr>
      <w:r>
        <w:rPr>
          <w:sz w:val="21"/>
        </w:rPr>
        <w:t xml:space="preserve">2. </w:t>
      </w:r>
      <w:r>
        <w:rPr>
          <w:sz w:val="21"/>
        </w:rPr>
        <w:t>受阻一方应在不可抗力事件发生后，尽快用电报、传真或电传通知对方，并于事件发生后</w:t>
      </w:r>
      <w:r>
        <w:rPr>
          <w:sz w:val="21"/>
        </w:rPr>
        <w:t>14</w:t>
      </w:r>
      <w:r>
        <w:rPr>
          <w:sz w:val="21"/>
        </w:rPr>
        <w:t>天内将有关部门出具的证明文件用特快专递或挂号信寄给对方审阅确认。一旦不可抗力事件的影响持续</w:t>
      </w:r>
      <w:r>
        <w:rPr>
          <w:sz w:val="21"/>
        </w:rPr>
        <w:t>60</w:t>
      </w:r>
      <w:r>
        <w:rPr>
          <w:sz w:val="21"/>
        </w:rPr>
        <w:t>天以上，双方应通过友好协商，在合理的时间内达成进一步履行合同的协议或解除合同。</w:t>
      </w:r>
    </w:p>
    <w:p>
      <w:pPr>
        <w:jc w:val="both"/>
      </w:pPr>
    </w:p>
    <w:p>
      <w:pPr>
        <w:jc w:val="both"/>
      </w:pPr>
      <w:r>
        <w:rPr>
          <w:b/>
          <w:sz w:val="21"/>
        </w:rPr>
        <w:t>第十八条：合同变更</w:t>
      </w:r>
    </w:p>
    <w:p>
      <w:pPr>
        <w:jc w:val="both"/>
      </w:pPr>
      <w:r>
        <w:rPr>
          <w:sz w:val="21"/>
        </w:rPr>
        <w:t>1</w:t>
      </w:r>
      <w:r>
        <w:rPr>
          <w:sz w:val="21"/>
        </w:rPr>
        <w:t>）</w:t>
      </w:r>
      <w:r>
        <w:rPr>
          <w:sz w:val="21"/>
        </w:rPr>
        <w:t xml:space="preserve"> </w:t>
      </w:r>
      <w:r>
        <w:rPr>
          <w:sz w:val="21"/>
        </w:rPr>
        <w:t>乙方根据现场实际或施工情况，发现本合同原计划或方案不尽合理，确实需变更本合同约定的内容的，应在</w:t>
      </w:r>
      <w:r>
        <w:rPr>
          <w:sz w:val="21"/>
          <w:u w:val="single"/>
        </w:rPr>
        <w:t xml:space="preserve">  </w:t>
      </w:r>
      <w:r>
        <w:rPr>
          <w:sz w:val="21"/>
        </w:rPr>
        <w:t>日内书面通知甲方，并提出变更理由、修正方案、及变更清单，经甲方书面确认方可实施，并将变更后的文件作为本合同的附件。</w:t>
      </w:r>
    </w:p>
    <w:p>
      <w:pPr>
        <w:jc w:val="both"/>
      </w:pPr>
      <w:r>
        <w:rPr>
          <w:sz w:val="21"/>
        </w:rPr>
        <w:t>2</w:t>
      </w:r>
      <w:r>
        <w:rPr>
          <w:sz w:val="21"/>
        </w:rPr>
        <w:t>）</w:t>
      </w:r>
      <w:r>
        <w:rPr>
          <w:sz w:val="21"/>
        </w:rPr>
        <w:t xml:space="preserve"> </w:t>
      </w:r>
      <w:r>
        <w:rPr>
          <w:sz w:val="21"/>
        </w:rPr>
        <w:t>因甲方的原因变更本合同内容的，甲方应以书面形式通知乙方，并经双方协商一致签署有关变更文件。如因此造成乙方履行本合同义务的价格或时间增减，乙方据此要求的调整必须在收到甲方通知变更之日起</w:t>
      </w:r>
      <w:r>
        <w:rPr>
          <w:sz w:val="21"/>
        </w:rPr>
        <w:t>30</w:t>
      </w:r>
      <w:r>
        <w:rPr>
          <w:sz w:val="21"/>
        </w:rPr>
        <w:t>天内提出。</w:t>
      </w:r>
    </w:p>
    <w:p>
      <w:pPr>
        <w:jc w:val="both"/>
      </w:pPr>
      <w:r>
        <w:rPr>
          <w:sz w:val="21"/>
        </w:rPr>
        <w:t>3</w:t>
      </w:r>
      <w:r>
        <w:rPr>
          <w:sz w:val="21"/>
        </w:rPr>
        <w:t>）</w:t>
      </w:r>
      <w:r>
        <w:rPr>
          <w:sz w:val="21"/>
        </w:rPr>
        <w:t xml:space="preserve"> </w:t>
      </w:r>
      <w:r>
        <w:rPr>
          <w:sz w:val="21"/>
        </w:rPr>
        <w:t>无论是按本合同要求，或是根据现场实际情况作出变更提供服务，乙方都不能免除其对本合同应承担的责任。</w:t>
      </w:r>
    </w:p>
    <w:p>
      <w:pPr>
        <w:jc w:val="both"/>
      </w:pPr>
    </w:p>
    <w:p>
      <w:pPr>
        <w:jc w:val="both"/>
      </w:pPr>
      <w:r>
        <w:rPr>
          <w:b/>
          <w:sz w:val="21"/>
        </w:rPr>
        <w:t>第十九条：合同解除和终止</w:t>
      </w:r>
    </w:p>
    <w:p>
      <w:pPr>
        <w:jc w:val="both"/>
      </w:pPr>
      <w:r>
        <w:rPr>
          <w:sz w:val="21"/>
        </w:rPr>
        <w:t xml:space="preserve">1.     </w:t>
      </w:r>
      <w:r>
        <w:rPr>
          <w:sz w:val="21"/>
        </w:rPr>
        <w:t>违约违规终止合同</w:t>
      </w:r>
    </w:p>
    <w:p>
      <w:pPr>
        <w:ind w:firstLine="420"/>
        <w:jc w:val="both"/>
      </w:pPr>
      <w:r>
        <w:rPr>
          <w:sz w:val="21"/>
        </w:rPr>
        <w:t>在甲方对乙方违约违规而采取的任何补救措施不受影响的情况下，甲方可向乙方发出书面的违约通知书，提前解除部份或全部合同：</w:t>
      </w:r>
    </w:p>
    <w:p>
      <w:pPr>
        <w:jc w:val="both"/>
      </w:pPr>
      <w:r>
        <w:rPr>
          <w:sz w:val="21"/>
        </w:rPr>
        <w:t xml:space="preserve">1.1. </w:t>
      </w:r>
      <w:r>
        <w:rPr>
          <w:sz w:val="21"/>
        </w:rPr>
        <w:t>如果乙方未能在本合同约定的期限内提供符合甲方、磋商文件及用户需求书要求的服务；</w:t>
      </w:r>
    </w:p>
    <w:p>
      <w:pPr>
        <w:jc w:val="both"/>
      </w:pPr>
      <w:r>
        <w:rPr>
          <w:sz w:val="21"/>
        </w:rPr>
        <w:t xml:space="preserve">1.2. </w:t>
      </w:r>
      <w:r>
        <w:rPr>
          <w:sz w:val="21"/>
        </w:rPr>
        <w:t>除本合同另有约定外，如乙方未能履行其于本合同项下承担的其他义务，且在收到甲方通知之日起未能在</w:t>
      </w:r>
      <w:r>
        <w:rPr>
          <w:sz w:val="21"/>
        </w:rPr>
        <w:t>2</w:t>
      </w:r>
      <w:r>
        <w:rPr>
          <w:sz w:val="21"/>
        </w:rPr>
        <w:t>个工作日内对违约行为作出纠正，则视为乙方违约。乙方违约超过</w:t>
      </w:r>
      <w:r>
        <w:rPr>
          <w:sz w:val="21"/>
        </w:rPr>
        <w:t>15</w:t>
      </w:r>
      <w:r>
        <w:rPr>
          <w:sz w:val="21"/>
        </w:rPr>
        <w:t>天或乙方累计违约次数超过</w:t>
      </w:r>
      <w:r>
        <w:rPr>
          <w:sz w:val="21"/>
        </w:rPr>
        <w:t>3</w:t>
      </w:r>
      <w:r>
        <w:rPr>
          <w:sz w:val="21"/>
        </w:rPr>
        <w:t>次，视乙方作违约处理，甲方有权单方解除本合同，乙方除退还已收款项给甲方外，还须向甲方支付本合同总金额</w:t>
      </w:r>
      <w:r>
        <w:rPr>
          <w:sz w:val="21"/>
        </w:rPr>
        <w:t>10</w:t>
      </w:r>
      <w:r>
        <w:rPr>
          <w:sz w:val="21"/>
        </w:rPr>
        <w:t>％违约金。</w:t>
      </w:r>
    </w:p>
    <w:p>
      <w:pPr>
        <w:jc w:val="both"/>
      </w:pPr>
      <w:r>
        <w:rPr>
          <w:sz w:val="21"/>
        </w:rPr>
        <w:t xml:space="preserve">1.3. </w:t>
      </w:r>
      <w:r>
        <w:rPr>
          <w:sz w:val="21"/>
        </w:rPr>
        <w:t>甲方认为乙方在本合同的报价竞争和实施过程中有违反有关政府采购的法律、法规，涉嫌用不正当手段影响甲方采购过程，包括谎报或隐瞒事实、损害甲方利益、干扰甲方、评委、采购代理机构的招标、评标等行为</w:t>
      </w:r>
      <w:r>
        <w:rPr>
          <w:sz w:val="21"/>
        </w:rPr>
        <w:t>，则甲方有权解除全部或部分合同，并可以依其认为适当的条件和方法另行购买类似的服务，乙方应承担甲方因购买类似货物或服务而产生的额外支出。但是，乙方应继续执行本合同中未终止的部分。</w:t>
      </w:r>
    </w:p>
    <w:p>
      <w:pPr>
        <w:jc w:val="both"/>
      </w:pPr>
      <w:r>
        <w:rPr>
          <w:sz w:val="21"/>
        </w:rPr>
        <w:t xml:space="preserve">2.     </w:t>
      </w:r>
      <w:r>
        <w:rPr>
          <w:sz w:val="21"/>
        </w:rPr>
        <w:t>因乙方破产而终止合同</w:t>
      </w:r>
    </w:p>
    <w:p>
      <w:pPr>
        <w:ind w:firstLine="420"/>
        <w:jc w:val="both"/>
      </w:pPr>
      <w:r>
        <w:rPr>
          <w:sz w:val="21"/>
        </w:rPr>
        <w:t>如果乙方破产或无清偿能力，甲方可在任何时候以书面形式通知乙方，提出终止本合同而不给乙方补偿。本合同的终止将不损害或影响甲方已经采取或将要采取的任何行动或补救措施的权利。</w:t>
      </w:r>
    </w:p>
    <w:p>
      <w:pPr>
        <w:jc w:val="both"/>
      </w:pPr>
      <w:r>
        <w:rPr>
          <w:sz w:val="21"/>
        </w:rPr>
        <w:t xml:space="preserve">3.     </w:t>
      </w:r>
      <w:r>
        <w:rPr>
          <w:sz w:val="21"/>
        </w:rPr>
        <w:t>因系统停止使用而终止合同</w:t>
      </w:r>
    </w:p>
    <w:p>
      <w:pPr>
        <w:ind w:firstLine="420"/>
        <w:jc w:val="both"/>
      </w:pPr>
      <w:r>
        <w:rPr>
          <w:sz w:val="21"/>
        </w:rPr>
        <w:t>如本项目维护范围内的系统在维护期内因甲方原因或上级部门要求永久停止使用，不再维护，甲方必须以书面形式通知乙方，提出终止全部或部分合同而不给乙方补偿。本合同的终止将不损害或影响甲方已经采取或将要采取的任何行动或补救措施的权利。</w:t>
      </w:r>
    </w:p>
    <w:p>
      <w:pPr>
        <w:ind w:firstLine="420"/>
        <w:jc w:val="both"/>
      </w:pPr>
      <w:r>
        <w:rPr>
          <w:sz w:val="21"/>
        </w:rPr>
        <w:t>甲方根据本条款的约定，解除了全部或部分合同，对于停止维护的系统，甲方应根据最近一次合同付款时间到系统停止使用时间计算并支付乙方已实施维护工作的应付费用。从系统停止使用直到合同原约定维护期结束的时间段对应的剩余部分费用，甲方有权不予支付。如合同为部分终止，乙方应继续执行本合同中未终止的部分。合同剩余款项应根据未终止维护系统的所占费用按照比例重新计算。</w:t>
      </w:r>
    </w:p>
    <w:p>
      <w:pPr>
        <w:jc w:val="both"/>
      </w:pPr>
    </w:p>
    <w:p>
      <w:pPr>
        <w:jc w:val="both"/>
      </w:pPr>
      <w:r>
        <w:rPr>
          <w:b/>
          <w:sz w:val="21"/>
        </w:rPr>
        <w:t>第二十条：争端的解决</w:t>
      </w:r>
    </w:p>
    <w:p>
      <w:pPr>
        <w:jc w:val="both"/>
      </w:pPr>
      <w:r>
        <w:rPr>
          <w:sz w:val="21"/>
        </w:rPr>
        <w:t xml:space="preserve">1.     </w:t>
      </w:r>
      <w:r>
        <w:rPr>
          <w:sz w:val="21"/>
        </w:rPr>
        <w:t>凡与本合同有关的一切争议，甲、乙双方应首先通过友好协商解决，如经协商后仍不能解决的，任何一方可以向中山市第一人民法院提起诉讼。</w:t>
      </w:r>
    </w:p>
    <w:p>
      <w:pPr>
        <w:jc w:val="both"/>
      </w:pPr>
      <w:r>
        <w:rPr>
          <w:sz w:val="21"/>
        </w:rPr>
        <w:t xml:space="preserve">2.     </w:t>
      </w:r>
      <w:r>
        <w:rPr>
          <w:sz w:val="21"/>
        </w:rPr>
        <w:t>在法院审理期间，除提交法院审理的事项外，本合同其他部份仍应继续履行。</w:t>
      </w:r>
    </w:p>
    <w:p>
      <w:pPr>
        <w:jc w:val="both"/>
      </w:pPr>
    </w:p>
    <w:p>
      <w:pPr>
        <w:jc w:val="both"/>
      </w:pPr>
      <w:r>
        <w:rPr>
          <w:b/>
          <w:sz w:val="21"/>
        </w:rPr>
        <w:t>第二十一条：其它</w:t>
      </w:r>
    </w:p>
    <w:p>
      <w:pPr>
        <w:jc w:val="both"/>
      </w:pPr>
      <w:r>
        <w:rPr>
          <w:sz w:val="21"/>
        </w:rPr>
        <w:t xml:space="preserve">1.     </w:t>
      </w:r>
      <w:r>
        <w:rPr>
          <w:sz w:val="21"/>
        </w:rPr>
        <w:t>本合同按照中华人民共和国的法律进行解释。</w:t>
      </w:r>
    </w:p>
    <w:p>
      <w:pPr>
        <w:jc w:val="both"/>
      </w:pPr>
      <w:r>
        <w:rPr>
          <w:sz w:val="21"/>
        </w:rPr>
        <w:t xml:space="preserve">2.     </w:t>
      </w:r>
      <w:r>
        <w:rPr>
          <w:sz w:val="21"/>
        </w:rPr>
        <w:t>根据中华人民共和国现行税法的有关规定执行。</w:t>
      </w:r>
    </w:p>
    <w:p>
      <w:pPr>
        <w:jc w:val="both"/>
      </w:pPr>
      <w:r>
        <w:rPr>
          <w:sz w:val="21"/>
        </w:rPr>
        <w:t xml:space="preserve">3.     </w:t>
      </w:r>
      <w:r>
        <w:rPr>
          <w:sz w:val="21"/>
        </w:rPr>
        <w:t>本合同经甲、乙双方签字盖章后生效，本合同签署日期以较迟签订的日期为准。</w:t>
      </w:r>
    </w:p>
    <w:p>
      <w:pPr>
        <w:jc w:val="both"/>
      </w:pPr>
      <w:r>
        <w:rPr>
          <w:sz w:val="21"/>
        </w:rPr>
        <w:t xml:space="preserve">4.     </w:t>
      </w:r>
      <w:r>
        <w:rPr>
          <w:sz w:val="21"/>
        </w:rPr>
        <w:t>成交通知书、响应文件、采购文件及本合同之所有附件均为本合同的有效组成部份，与本合同具有同样法律效力，解释的顺序以文件签订时间在后的为准。</w:t>
      </w:r>
    </w:p>
    <w:p>
      <w:pPr>
        <w:jc w:val="both"/>
      </w:pPr>
      <w:r>
        <w:rPr>
          <w:sz w:val="21"/>
        </w:rPr>
        <w:t xml:space="preserve">5.     </w:t>
      </w:r>
      <w:r>
        <w:rPr>
          <w:sz w:val="21"/>
        </w:rPr>
        <w:t>在执行本合同的过程中，所有经甲、乙双方签署确认的文件（包括会议纪要、补充协议、合同修改书、往来信函等）均为本合同的有效组成部份，其生效日期为双方均签字盖章或确认之日期。</w:t>
      </w:r>
    </w:p>
    <w:p>
      <w:pPr>
        <w:jc w:val="both"/>
      </w:pPr>
      <w:r>
        <w:rPr>
          <w:sz w:val="21"/>
        </w:rPr>
        <w:t xml:space="preserve">6.     </w:t>
      </w:r>
      <w:r>
        <w:rPr>
          <w:sz w:val="21"/>
        </w:rPr>
        <w:t>除甲方事先以书面形式确认同意外，乙方不得将部份或全部转让其应履行的合同项下的义务。</w:t>
      </w:r>
    </w:p>
    <w:p>
      <w:pPr>
        <w:jc w:val="both"/>
      </w:pPr>
      <w:r>
        <w:rPr>
          <w:sz w:val="21"/>
        </w:rPr>
        <w:t xml:space="preserve">7.     </w:t>
      </w:r>
      <w:r>
        <w:rPr>
          <w:sz w:val="21"/>
        </w:rPr>
        <w:t>本合同及其附件和补充协议中未约定的事宜，均遵照中华人民共和国有关法律、法规和规章执行。</w:t>
      </w:r>
    </w:p>
    <w:p>
      <w:pPr>
        <w:jc w:val="both"/>
      </w:pPr>
      <w:r>
        <w:rPr>
          <w:sz w:val="21"/>
        </w:rPr>
        <w:t xml:space="preserve">8.     </w:t>
      </w:r>
      <w:r>
        <w:rPr>
          <w:sz w:val="21"/>
        </w:rPr>
        <w:t>本合同正本连同附件共</w:t>
      </w:r>
      <w:r>
        <w:rPr>
          <w:sz w:val="21"/>
          <w:u w:val="single"/>
        </w:rPr>
        <w:t xml:space="preserve">  </w:t>
      </w:r>
      <w:r>
        <w:rPr>
          <w:sz w:val="21"/>
        </w:rPr>
        <w:t>页，一式</w:t>
      </w:r>
      <w:r>
        <w:rPr>
          <w:sz w:val="21"/>
          <w:u w:val="single"/>
        </w:rPr>
        <w:t xml:space="preserve">  </w:t>
      </w:r>
      <w:r>
        <w:rPr>
          <w:sz w:val="21"/>
        </w:rPr>
        <w:t>份，甲、乙双方各执</w:t>
      </w:r>
      <w:r>
        <w:rPr>
          <w:sz w:val="21"/>
          <w:u w:val="single"/>
        </w:rPr>
        <w:t xml:space="preserve">  </w:t>
      </w:r>
      <w:r>
        <w:rPr>
          <w:sz w:val="21"/>
        </w:rPr>
        <w:t>份，采购代理机构执壹份，具有同等法律效力。</w:t>
      </w:r>
    </w:p>
    <w:p>
      <w:pPr>
        <w:jc w:val="both"/>
      </w:pPr>
      <w:r>
        <w:rPr>
          <w:sz w:val="21"/>
        </w:rPr>
        <w:t>（以下无正文）</w:t>
      </w:r>
    </w:p>
    <w:p>
      <w:pPr>
        <w:jc w:val="both"/>
      </w:pPr>
    </w:p>
    <w:p>
      <w:pPr>
        <w:jc w:val="both"/>
      </w:pPr>
      <w:r>
        <w:rPr>
          <w:sz w:val="21"/>
        </w:rPr>
        <w:t>甲</w:t>
      </w:r>
      <w:r>
        <w:rPr>
          <w:sz w:val="21"/>
        </w:rPr>
        <w:t xml:space="preserve"> </w:t>
      </w:r>
      <w:r>
        <w:rPr>
          <w:sz w:val="21"/>
        </w:rPr>
        <w:t>方：（公章）</w:t>
      </w:r>
      <w:r>
        <w:rPr>
          <w:sz w:val="21"/>
        </w:rPr>
        <w:t xml:space="preserve">                         </w:t>
      </w:r>
      <w:r>
        <w:rPr>
          <w:sz w:val="21"/>
        </w:rPr>
        <w:t>乙</w:t>
      </w:r>
      <w:r>
        <w:rPr>
          <w:sz w:val="21"/>
        </w:rPr>
        <w:t xml:space="preserve"> </w:t>
      </w:r>
      <w:r>
        <w:rPr>
          <w:sz w:val="21"/>
        </w:rPr>
        <w:t>方：（公章）</w:t>
      </w:r>
    </w:p>
    <w:p>
      <w:pPr>
        <w:jc w:val="both"/>
      </w:pPr>
      <w:r>
        <w:rPr>
          <w:sz w:val="21"/>
        </w:rPr>
        <w:t>地</w:t>
      </w:r>
      <w:r>
        <w:rPr>
          <w:sz w:val="21"/>
        </w:rPr>
        <w:t xml:space="preserve"> </w:t>
      </w:r>
      <w:r>
        <w:rPr>
          <w:sz w:val="21"/>
        </w:rPr>
        <w:t>址：</w:t>
      </w:r>
      <w:r>
        <w:rPr>
          <w:sz w:val="21"/>
        </w:rPr>
        <w:t xml:space="preserve">                                </w:t>
      </w:r>
      <w:r>
        <w:rPr>
          <w:sz w:val="21"/>
        </w:rPr>
        <w:t>地</w:t>
      </w:r>
      <w:r>
        <w:rPr>
          <w:sz w:val="21"/>
        </w:rPr>
        <w:t xml:space="preserve"> </w:t>
      </w:r>
      <w:r>
        <w:rPr>
          <w:sz w:val="21"/>
        </w:rPr>
        <w:t>址：</w:t>
      </w:r>
    </w:p>
    <w:p>
      <w:pPr>
        <w:jc w:val="both"/>
      </w:pPr>
      <w:r>
        <w:rPr>
          <w:sz w:val="21"/>
        </w:rPr>
        <w:t>法定代表人：</w:t>
      </w:r>
      <w:r>
        <w:rPr>
          <w:sz w:val="21"/>
        </w:rPr>
        <w:t xml:space="preserve">                            </w:t>
      </w:r>
      <w:r>
        <w:rPr>
          <w:sz w:val="21"/>
        </w:rPr>
        <w:t>法定代表人：</w:t>
      </w:r>
    </w:p>
    <w:p>
      <w:pPr>
        <w:jc w:val="both"/>
      </w:pPr>
      <w:r>
        <w:rPr>
          <w:sz w:val="21"/>
        </w:rPr>
        <w:t>委托代理人：</w:t>
      </w:r>
      <w:r>
        <w:rPr>
          <w:sz w:val="21"/>
        </w:rPr>
        <w:t xml:space="preserve">                            </w:t>
      </w:r>
      <w:r>
        <w:rPr>
          <w:sz w:val="21"/>
        </w:rPr>
        <w:t>委托代理人：</w:t>
      </w:r>
    </w:p>
    <w:p>
      <w:pPr>
        <w:jc w:val="both"/>
      </w:pPr>
      <w:r>
        <w:rPr>
          <w:sz w:val="21"/>
        </w:rPr>
        <w:t>电</w:t>
      </w:r>
      <w:r>
        <w:rPr>
          <w:sz w:val="21"/>
        </w:rPr>
        <w:t xml:space="preserve"> </w:t>
      </w:r>
      <w:r>
        <w:rPr>
          <w:sz w:val="21"/>
        </w:rPr>
        <w:t>话：</w:t>
      </w:r>
      <w:r>
        <w:rPr>
          <w:sz w:val="21"/>
        </w:rPr>
        <w:t xml:space="preserve">                                </w:t>
      </w:r>
      <w:r>
        <w:rPr>
          <w:sz w:val="21"/>
        </w:rPr>
        <w:t>电</w:t>
      </w:r>
      <w:r>
        <w:rPr>
          <w:sz w:val="21"/>
        </w:rPr>
        <w:t xml:space="preserve"> </w:t>
      </w:r>
      <w:r>
        <w:rPr>
          <w:sz w:val="21"/>
        </w:rPr>
        <w:t>话：</w:t>
      </w:r>
    </w:p>
    <w:p>
      <w:pPr>
        <w:jc w:val="both"/>
      </w:pPr>
      <w:r>
        <w:rPr>
          <w:sz w:val="21"/>
        </w:rPr>
        <w:t>传</w:t>
      </w:r>
      <w:r>
        <w:rPr>
          <w:sz w:val="21"/>
        </w:rPr>
        <w:t xml:space="preserve"> </w:t>
      </w:r>
      <w:r>
        <w:rPr>
          <w:sz w:val="21"/>
        </w:rPr>
        <w:t>真：</w:t>
      </w:r>
      <w:r>
        <w:rPr>
          <w:sz w:val="21"/>
        </w:rPr>
        <w:t xml:space="preserve">                                </w:t>
      </w:r>
      <w:r>
        <w:rPr>
          <w:sz w:val="21"/>
        </w:rPr>
        <w:t>传</w:t>
      </w:r>
      <w:r>
        <w:rPr>
          <w:sz w:val="21"/>
        </w:rPr>
        <w:t xml:space="preserve"> </w:t>
      </w:r>
      <w:r>
        <w:rPr>
          <w:sz w:val="21"/>
        </w:rPr>
        <w:t>真：</w:t>
      </w:r>
    </w:p>
    <w:p>
      <w:pPr>
        <w:jc w:val="both"/>
      </w:pPr>
      <w:r>
        <w:rPr>
          <w:sz w:val="21"/>
        </w:rPr>
        <w:t>开户银行：</w:t>
      </w:r>
      <w:r>
        <w:rPr>
          <w:sz w:val="21"/>
        </w:rPr>
        <w:t xml:space="preserve">                              </w:t>
      </w:r>
      <w:r>
        <w:rPr>
          <w:sz w:val="21"/>
        </w:rPr>
        <w:t>开户银行：</w:t>
      </w:r>
    </w:p>
    <w:p>
      <w:pPr>
        <w:jc w:val="both"/>
      </w:pPr>
      <w:r>
        <w:rPr>
          <w:sz w:val="21"/>
        </w:rPr>
        <w:t>帐</w:t>
      </w:r>
      <w:r>
        <w:rPr>
          <w:sz w:val="21"/>
        </w:rPr>
        <w:t xml:space="preserve"> </w:t>
      </w:r>
      <w:r>
        <w:rPr>
          <w:sz w:val="21"/>
        </w:rPr>
        <w:t>号：</w:t>
      </w:r>
      <w:r>
        <w:rPr>
          <w:sz w:val="21"/>
        </w:rPr>
        <w:t xml:space="preserve">                                </w:t>
      </w:r>
      <w:r>
        <w:rPr>
          <w:sz w:val="21"/>
        </w:rPr>
        <w:t>帐</w:t>
      </w:r>
      <w:r>
        <w:rPr>
          <w:sz w:val="21"/>
        </w:rPr>
        <w:t xml:space="preserve"> </w:t>
      </w:r>
      <w:r>
        <w:rPr>
          <w:sz w:val="21"/>
        </w:rPr>
        <w:t>号：</w:t>
      </w:r>
    </w:p>
    <w:p>
      <w:pPr>
        <w:jc w:val="both"/>
      </w:pPr>
      <w:r>
        <w:rPr>
          <w:sz w:val="21"/>
        </w:rPr>
        <w:t>邮政编码：</w:t>
      </w:r>
      <w:r>
        <w:rPr>
          <w:sz w:val="21"/>
        </w:rPr>
        <w:t xml:space="preserve">                              </w:t>
      </w:r>
      <w:r>
        <w:rPr>
          <w:sz w:val="21"/>
        </w:rPr>
        <w:t>邮政编码：</w:t>
      </w:r>
    </w:p>
    <w:p>
      <w:pPr>
        <w:jc w:val="both"/>
      </w:pPr>
      <w:r>
        <w:rPr>
          <w:sz w:val="21"/>
        </w:rPr>
        <w:t>电子邮箱</w:t>
      </w:r>
      <w:r>
        <w:rPr>
          <w:sz w:val="21"/>
        </w:rPr>
        <w:t xml:space="preserve">:                               </w:t>
      </w:r>
      <w:r>
        <w:rPr>
          <w:sz w:val="21"/>
        </w:rPr>
        <w:t>电子邮箱</w:t>
      </w:r>
      <w:r>
        <w:rPr>
          <w:sz w:val="21"/>
        </w:rPr>
        <w:t>:</w:t>
      </w:r>
    </w:p>
    <w:p>
      <w:pPr>
        <w:jc w:val="both"/>
      </w:pPr>
      <w:r>
        <w:rPr/>
        <w:t xml:space="preserve"> </w:t>
      </w:r>
    </w:p>
    <w:p>
      <w:pPr>
        <w:jc w:val="both"/>
      </w:pPr>
      <w:r>
        <w:rPr/>
        <w:t xml:space="preserve"> </w:t>
      </w:r>
    </w:p>
    <w:p>
      <w:pPr>
        <w:jc w:val="both"/>
      </w:pPr>
      <w:r>
        <w:rPr>
          <w:b/>
          <w:sz w:val="21"/>
        </w:rPr>
        <w:t>第一条：本合同当事人</w:t>
      </w:r>
    </w:p>
    <w:p>
      <w:pPr>
        <w:jc w:val="both"/>
      </w:pPr>
      <w:r>
        <w:rPr>
          <w:b/>
          <w:sz w:val="21"/>
        </w:rPr>
        <w:t>甲方：</w:t>
      </w:r>
      <w:r>
        <w:rPr>
          <w:sz w:val="21"/>
          <w:u w:val="single"/>
        </w:rPr>
        <w:t xml:space="preserve">　　　　　 </w:t>
      </w:r>
    </w:p>
    <w:p>
      <w:pPr>
        <w:jc w:val="both"/>
      </w:pPr>
      <w:r>
        <w:rPr>
          <w:sz w:val="27"/>
        </w:rPr>
        <w:t>电话：</w:t>
      </w:r>
      <w:r>
        <w:rPr>
          <w:sz w:val="21"/>
          <w:u w:val="single"/>
        </w:rPr>
        <w:t xml:space="preserve">　　　　 </w:t>
      </w:r>
      <w:r>
        <w:rPr>
          <w:sz w:val="27"/>
        </w:rPr>
        <w:t>传真</w:t>
      </w:r>
      <w:r>
        <w:rPr>
          <w:sz w:val="27"/>
        </w:rPr>
        <w:t>：</w:t>
      </w:r>
      <w:r>
        <w:rPr>
          <w:sz w:val="21"/>
          <w:u w:val="single"/>
        </w:rPr>
        <w:t xml:space="preserve">　　　 </w:t>
      </w:r>
      <w:r>
        <w:rPr>
          <w:sz w:val="27"/>
        </w:rPr>
        <w:t>地址：</w:t>
      </w:r>
      <w:r>
        <w:rPr>
          <w:sz w:val="21"/>
          <w:u w:val="single"/>
        </w:rPr>
        <w:t xml:space="preserve">　　　  </w:t>
      </w:r>
    </w:p>
    <w:p>
      <w:pPr>
        <w:jc w:val="both"/>
      </w:pPr>
      <w:r>
        <w:rPr>
          <w:b/>
          <w:sz w:val="21"/>
        </w:rPr>
        <w:t>乙方：</w:t>
      </w:r>
      <w:r>
        <w:rPr>
          <w:sz w:val="21"/>
          <w:u w:val="single"/>
        </w:rPr>
        <w:t xml:space="preserve">　　　　　 </w:t>
      </w:r>
    </w:p>
    <w:p>
      <w:pPr>
        <w:jc w:val="both"/>
      </w:pPr>
      <w:r>
        <w:rPr>
          <w:sz w:val="27"/>
        </w:rPr>
        <w:t>电话：</w:t>
      </w:r>
      <w:r>
        <w:rPr>
          <w:sz w:val="21"/>
          <w:u w:val="single"/>
        </w:rPr>
        <w:t xml:space="preserve">　　　　  </w:t>
      </w:r>
      <w:r>
        <w:rPr>
          <w:sz w:val="27"/>
        </w:rPr>
        <w:t>传真：</w:t>
      </w:r>
      <w:r>
        <w:rPr>
          <w:sz w:val="21"/>
          <w:u w:val="single"/>
        </w:rPr>
        <w:t xml:space="preserve">　　　  </w:t>
      </w:r>
      <w:r>
        <w:rPr>
          <w:sz w:val="27"/>
        </w:rPr>
        <w:t>地址：</w:t>
      </w:r>
      <w:r>
        <w:rPr>
          <w:sz w:val="21"/>
          <w:u w:val="single"/>
        </w:rPr>
        <w:t xml:space="preserve">　　　  </w:t>
      </w:r>
    </w:p>
    <w:p>
      <w:pPr>
        <w:jc w:val="both"/>
      </w:pPr>
      <w:r>
        <w:rPr>
          <w:sz w:val="21"/>
        </w:rPr>
        <w:t xml:space="preserve"> </w:t>
      </w:r>
    </w:p>
    <w:p>
      <w:pPr>
        <w:jc w:val="both"/>
      </w:pPr>
      <w:r>
        <w:rPr>
          <w:sz w:val="21"/>
        </w:rPr>
        <w:t xml:space="preserve"> </w:t>
      </w:r>
    </w:p>
    <w:p>
      <w:pPr>
        <w:ind w:firstLine="420"/>
        <w:jc w:val="both"/>
      </w:pPr>
      <w:r>
        <w:rPr>
          <w:sz w:val="21"/>
        </w:rPr>
        <w:t>根据《中华人民共和国民法典》及中山市自然资源局自然资源政务信息平台运维项目</w:t>
      </w:r>
      <w:r>
        <w:rPr>
          <w:sz w:val="21"/>
        </w:rPr>
        <w:t>(</w:t>
      </w:r>
      <w:r>
        <w:rPr>
          <w:sz w:val="21"/>
        </w:rPr>
        <w:t>项目编号：</w:t>
      </w:r>
      <w:r>
        <w:rPr>
          <w:sz w:val="21"/>
        </w:rPr>
        <w:t>ZZ22317538</w:t>
      </w:r>
      <w:r>
        <w:rPr>
          <w:sz w:val="21"/>
        </w:rPr>
        <w:t>包组号：采购包</w:t>
      </w:r>
      <w:r>
        <w:rPr>
          <w:sz w:val="21"/>
        </w:rPr>
        <w:t>2)</w:t>
      </w:r>
      <w:r>
        <w:rPr>
          <w:sz w:val="21"/>
        </w:rPr>
        <w:t>（下称：本项目）的采购文件和成交通知书的要求，在自愿、平等、互利的基础上，经双方共同协商。就甲方委托乙方实行中山市自然资源局自然资源政务信息平台运维服务管理事宜，订立本合同，以资双方共同遵守执行。</w:t>
      </w:r>
    </w:p>
    <w:p>
      <w:pPr>
        <w:jc w:val="both"/>
      </w:pPr>
    </w:p>
    <w:p>
      <w:pPr>
        <w:jc w:val="both"/>
      </w:pPr>
      <w:r>
        <w:rPr>
          <w:b/>
          <w:sz w:val="21"/>
        </w:rPr>
        <w:t>第二条：项目名称及实施地点</w:t>
      </w:r>
    </w:p>
    <w:p>
      <w:pPr>
        <w:jc w:val="both"/>
      </w:pPr>
      <w:r>
        <w:rPr>
          <w:sz w:val="21"/>
        </w:rPr>
        <w:t>项目名称：中山市自然资源局自然资源政务信息平台运维项目</w:t>
      </w:r>
    </w:p>
    <w:p>
      <w:pPr>
        <w:jc w:val="both"/>
      </w:pPr>
      <w:r>
        <w:rPr>
          <w:sz w:val="21"/>
        </w:rPr>
        <w:t>实施地点：</w:t>
      </w:r>
      <w:r>
        <w:rPr>
          <w:sz w:val="21"/>
        </w:rPr>
        <w:t>中山市自然资源局</w:t>
      </w:r>
    </w:p>
    <w:p>
      <w:pPr>
        <w:jc w:val="both"/>
      </w:pPr>
    </w:p>
    <w:p>
      <w:pPr>
        <w:jc w:val="both"/>
      </w:pPr>
      <w:r>
        <w:rPr>
          <w:b/>
          <w:sz w:val="21"/>
        </w:rPr>
        <w:t>第三条：项目维护内容</w:t>
      </w:r>
    </w:p>
    <w:p>
      <w:pPr>
        <w:jc w:val="both"/>
      </w:pPr>
      <w:r>
        <w:rPr>
          <w:b/>
          <w:sz w:val="21"/>
        </w:rPr>
        <w:t>一、项目目标</w:t>
      </w:r>
    </w:p>
    <w:p>
      <w:pPr>
        <w:jc w:val="both"/>
      </w:pPr>
      <w:r>
        <w:rPr>
          <w:sz w:val="21"/>
        </w:rPr>
        <w:t>保障项目范围内所有信息系统在维护期限内整体、稳定、协同、持续、高效地运行，全面及时掌握平台建设和运行情况，根据自然资源服务提升需求进行系统配置和功能调整，主要实现以下目标：</w:t>
      </w:r>
    </w:p>
    <w:p>
      <w:pPr>
        <w:jc w:val="both"/>
      </w:pPr>
      <w:r>
        <w:rPr>
          <w:sz w:val="21"/>
        </w:rPr>
        <w:t>1</w:t>
      </w:r>
      <w:r>
        <w:rPr>
          <w:sz w:val="21"/>
        </w:rPr>
        <w:t>）保障系统基础运行支撑服务，保障平台安全稳定运行</w:t>
      </w:r>
    </w:p>
    <w:p>
      <w:pPr>
        <w:jc w:val="both"/>
      </w:pPr>
      <w:r>
        <w:rPr>
          <w:sz w:val="21"/>
        </w:rPr>
        <w:t>通过强化中山市自然资源综合业务平台、中山市自然资源决策支持平台等系统运维，提高安全保障能力及数据服务支撑能力，为自然资源管理与服务提供坚强保障，落实系统软件日常运维服务及技术支持等工作，保障项目范围内系统平台在维护期限内的稳定、高效、安全运行。</w:t>
      </w:r>
    </w:p>
    <w:p>
      <w:pPr>
        <w:jc w:val="both"/>
      </w:pPr>
      <w:r>
        <w:rPr>
          <w:sz w:val="21"/>
        </w:rPr>
        <w:t>2</w:t>
      </w:r>
      <w:r>
        <w:rPr>
          <w:sz w:val="21"/>
        </w:rPr>
        <w:t>）加强网络与信息安全运维保障服务</w:t>
      </w:r>
    </w:p>
    <w:p>
      <w:pPr>
        <w:jc w:val="both"/>
      </w:pPr>
      <w:r>
        <w:rPr>
          <w:sz w:val="21"/>
        </w:rPr>
        <w:t>为深度融入数字政府网络安全体系，以“实战化，体系化，常态化”为新理念，以“动态防御，主动防御，纵深防御，精准防护，整体防护，联防联控”为新举措，整体上利用数字政府公共安全服务组件对中山市自然资源数据和应用进行护航。提供数据加密、数据脱敏、数据备份等数据安全管理手段，提供漏洞扫描、系统安全配置、病毒检测、主机系统渗透测试、软件测试、故障排查、日志检查、账号维护等软件、系统安全防护措施，制定安全应急预案、网络攻防演练等安全防护手段，对平台系统安全的状态进行实时监控评估，全方位提升网络安全、数据安全、系统安全、软件安全防护能力，推进自然资源网络安全治理能力现代化。最大程度地解决平台所面临的应用安全问题，从根本上提升安全防护能力。</w:t>
      </w:r>
    </w:p>
    <w:p>
      <w:pPr>
        <w:jc w:val="both"/>
      </w:pPr>
    </w:p>
    <w:p>
      <w:pPr>
        <w:jc w:val="both"/>
      </w:pPr>
      <w:r>
        <w:rPr>
          <w:b/>
          <w:sz w:val="21"/>
        </w:rPr>
        <w:t>二、主要服务内容</w:t>
      </w:r>
    </w:p>
    <w:p>
      <w:pPr>
        <w:ind w:firstLine="420"/>
        <w:jc w:val="both"/>
      </w:pPr>
      <w:r>
        <w:rPr>
          <w:sz w:val="21"/>
        </w:rPr>
        <w:t>中山市自然资源综合业务平台及自然资源决策支持平台服务内容包括系统运维服务及网络与信息安全运维服务，包括纳入本项目范围的中山市自然资源综合业务平台及自然资源决策支持平台等信息化系统的系统运维服务。</w:t>
      </w:r>
    </w:p>
    <w:p>
      <w:pPr>
        <w:jc w:val="both"/>
      </w:pPr>
      <w:r>
        <w:rPr>
          <w:sz w:val="21"/>
        </w:rPr>
        <w:t xml:space="preserve">   </w:t>
      </w:r>
      <w:r>
        <w:rPr>
          <w:sz w:val="21"/>
        </w:rPr>
        <w:t>相关运维工作详细内容按本项目磋商文件中约定的要求执行。</w:t>
      </w:r>
    </w:p>
    <w:p>
      <w:pPr>
        <w:jc w:val="both"/>
      </w:pPr>
      <w:r>
        <w:rPr>
          <w:b/>
          <w:sz w:val="21"/>
        </w:rPr>
        <w:t>三、维护方式和要求</w:t>
      </w:r>
    </w:p>
    <w:p>
      <w:pPr>
        <w:jc w:val="both"/>
      </w:pPr>
      <w:r>
        <w:rPr>
          <w:b/>
          <w:sz w:val="21"/>
        </w:rPr>
        <w:t>（一）</w:t>
      </w:r>
      <w:r>
        <w:rPr>
          <w:b/>
          <w:sz w:val="21"/>
        </w:rPr>
        <w:t>服务方式</w:t>
      </w:r>
    </w:p>
    <w:p>
      <w:pPr>
        <w:jc w:val="both"/>
      </w:pPr>
      <w:r>
        <w:rPr>
          <w:sz w:val="21"/>
        </w:rPr>
        <w:t>1</w:t>
      </w:r>
      <w:r>
        <w:rPr>
          <w:sz w:val="21"/>
        </w:rPr>
        <w:t>）</w:t>
      </w:r>
      <w:r>
        <w:rPr>
          <w:sz w:val="21"/>
        </w:rPr>
        <w:t>驻场服务</w:t>
      </w:r>
    </w:p>
    <w:p>
      <w:pPr>
        <w:ind w:firstLine="420"/>
        <w:jc w:val="both"/>
      </w:pPr>
      <w:r>
        <w:rPr>
          <w:sz w:val="21"/>
        </w:rPr>
        <w:t>按照各信息系统实际运维需求为系统用户、局信息化部门、业务科室提供驻场服务，包括技术支持、日常运维、故障处理、系统巡检、性能优化、纠错性修改、安全加固、部分功能点优化升级及调整完善、数据整理与勘误、系统监控、数据资源维护、接口调试及其他相关服务。</w:t>
      </w:r>
    </w:p>
    <w:p>
      <w:pPr>
        <w:jc w:val="both"/>
      </w:pPr>
      <w:r>
        <w:rPr>
          <w:sz w:val="21"/>
        </w:rPr>
        <w:t>2</w:t>
      </w:r>
      <w:r>
        <w:rPr>
          <w:sz w:val="21"/>
        </w:rPr>
        <w:t>）</w:t>
      </w:r>
      <w:r>
        <w:rPr>
          <w:sz w:val="21"/>
        </w:rPr>
        <w:t>远程支持</w:t>
      </w:r>
    </w:p>
    <w:p>
      <w:pPr>
        <w:ind w:firstLine="420"/>
        <w:jc w:val="both"/>
      </w:pPr>
      <w:r>
        <w:rPr>
          <w:sz w:val="21"/>
        </w:rPr>
        <w:t>按照各信息系统运维需求为系统用户、局信息化部门、业务科室通过电话、远程协助等方式，提供问题咨询、故障定位、故障排除及其他相关服务。</w:t>
      </w:r>
    </w:p>
    <w:p>
      <w:pPr>
        <w:jc w:val="both"/>
      </w:pPr>
      <w:r>
        <w:rPr>
          <w:sz w:val="21"/>
        </w:rPr>
        <w:t>3</w:t>
      </w:r>
      <w:r>
        <w:rPr>
          <w:sz w:val="21"/>
        </w:rPr>
        <w:t>）</w:t>
      </w:r>
      <w:r>
        <w:rPr>
          <w:sz w:val="21"/>
        </w:rPr>
        <w:t>紧急现场服务</w:t>
      </w:r>
    </w:p>
    <w:p>
      <w:pPr>
        <w:ind w:firstLine="420"/>
        <w:jc w:val="both"/>
      </w:pPr>
      <w:r>
        <w:rPr>
          <w:sz w:val="21"/>
        </w:rPr>
        <w:t>在服务期内系统出现重大故障或需现场解决的重大运维需求时，增派具有快速解决问题能力的高层次技术专家，在紧急现场服务需求提出后</w:t>
      </w:r>
      <w:r>
        <w:rPr>
          <w:sz w:val="21"/>
        </w:rPr>
        <w:t>24</w:t>
      </w:r>
      <w:r>
        <w:rPr>
          <w:sz w:val="21"/>
        </w:rPr>
        <w:t>小时内，到达中山市自然资源局开展紧急现场服务，直至故障修复、问题完全解决。</w:t>
      </w:r>
    </w:p>
    <w:p>
      <w:pPr>
        <w:jc w:val="both"/>
      </w:pPr>
    </w:p>
    <w:p>
      <w:pPr>
        <w:jc w:val="both"/>
      </w:pPr>
      <w:r>
        <w:rPr>
          <w:b/>
          <w:sz w:val="21"/>
        </w:rPr>
        <w:t>（二）</w:t>
      </w:r>
      <w:r>
        <w:rPr>
          <w:b/>
          <w:sz w:val="21"/>
        </w:rPr>
        <w:t>人员要求</w:t>
      </w:r>
    </w:p>
    <w:p>
      <w:pPr>
        <w:ind w:firstLine="420"/>
        <w:jc w:val="both"/>
      </w:pPr>
      <w:r>
        <w:rPr>
          <w:sz w:val="21"/>
        </w:rPr>
        <w:t>乙方</w:t>
      </w:r>
      <w:r>
        <w:rPr>
          <w:sz w:val="21"/>
        </w:rPr>
        <w:t>应根据运维需要安排足够数量的维护人员，包括驻场人员和二线支持人员。建立相对独立的管理技术团队，并指定一名高管作为网络安全负责人。</w:t>
      </w:r>
      <w:r>
        <w:rPr>
          <w:sz w:val="21"/>
        </w:rPr>
        <w:t>乙方</w:t>
      </w:r>
      <w:r>
        <w:rPr>
          <w:sz w:val="21"/>
        </w:rPr>
        <w:t>要明确组织结构、岗位设置和岗位职责和人员安排的方案，项目实施前提交</w:t>
      </w:r>
      <w:r>
        <w:rPr>
          <w:sz w:val="21"/>
        </w:rPr>
        <w:t>甲方</w:t>
      </w:r>
      <w:r>
        <w:rPr>
          <w:sz w:val="21"/>
        </w:rPr>
        <w:t>备案。驻场人员应长期驻场，遵守</w:t>
      </w:r>
      <w:r>
        <w:rPr>
          <w:sz w:val="21"/>
        </w:rPr>
        <w:t>甲方</w:t>
      </w:r>
      <w:r>
        <w:rPr>
          <w:sz w:val="21"/>
        </w:rPr>
        <w:t>有关工作纪律要求。除法律法规规定的假期或事假外，应在</w:t>
      </w:r>
      <w:r>
        <w:rPr>
          <w:sz w:val="21"/>
        </w:rPr>
        <w:t>甲方</w:t>
      </w:r>
      <w:r>
        <w:rPr>
          <w:sz w:val="21"/>
        </w:rPr>
        <w:t>上班。驻场负责人休假需经管理部门书面审批同意，其他人员休假应提前报备。非特殊情况，全年事假不得每人不得超过</w:t>
      </w:r>
      <w:r>
        <w:rPr>
          <w:sz w:val="21"/>
        </w:rPr>
        <w:t>15</w:t>
      </w:r>
      <w:r>
        <w:rPr>
          <w:sz w:val="21"/>
        </w:rPr>
        <w:t>天，否则视作旷工。休假应合理安排，不得影响正常运维工作。</w:t>
      </w:r>
    </w:p>
    <w:p>
      <w:pPr>
        <w:ind w:firstLine="420"/>
        <w:jc w:val="both"/>
      </w:pPr>
      <w:r>
        <w:rPr>
          <w:sz w:val="21"/>
        </w:rPr>
        <w:t>当驻场人员不足或发生紧急故障等时，应立即协调二线人员介入支持。</w:t>
      </w:r>
      <w:r>
        <w:rPr>
          <w:sz w:val="21"/>
        </w:rPr>
        <w:t>乙方</w:t>
      </w:r>
      <w:r>
        <w:rPr>
          <w:sz w:val="21"/>
        </w:rPr>
        <w:t>须保证维护实施人员充足、队伍稳定。全部维护人员（括驻场人员和二线支持人员）的相关专业、资格证书复印和扫描件需在核查原件后交</w:t>
      </w:r>
      <w:r>
        <w:rPr>
          <w:sz w:val="21"/>
        </w:rPr>
        <w:t>甲方</w:t>
      </w:r>
      <w:r>
        <w:rPr>
          <w:sz w:val="21"/>
        </w:rPr>
        <w:t>备案。</w:t>
      </w:r>
    </w:p>
    <w:p>
      <w:pPr>
        <w:ind w:firstLine="420"/>
        <w:jc w:val="both"/>
      </w:pPr>
      <w:r>
        <w:rPr>
          <w:sz w:val="21"/>
        </w:rPr>
        <w:t>未经</w:t>
      </w:r>
      <w:r>
        <w:rPr>
          <w:sz w:val="21"/>
        </w:rPr>
        <w:t>甲方</w:t>
      </w:r>
      <w:r>
        <w:rPr>
          <w:sz w:val="21"/>
        </w:rPr>
        <w:t>同意，不得更换驻场技术人员。更换后人员经验、学历、能力不得低于被更换人员，所学专业应符合对应岗位的要求。项目启动后不得随意更换人员。更换人员与被更换人员应有不少于</w:t>
      </w:r>
      <w:r>
        <w:rPr>
          <w:sz w:val="21"/>
        </w:rPr>
        <w:t>1</w:t>
      </w:r>
      <w:r>
        <w:rPr>
          <w:sz w:val="21"/>
        </w:rPr>
        <w:t>月的交接过渡期。项目实施期间，更换驻场人员的累计比例不得超过驻场人员总数的</w:t>
      </w:r>
      <w:r>
        <w:rPr>
          <w:sz w:val="21"/>
        </w:rPr>
        <w:t>45%</w:t>
      </w:r>
      <w:r>
        <w:rPr>
          <w:sz w:val="21"/>
        </w:rPr>
        <w:t>。</w:t>
      </w:r>
    </w:p>
    <w:p>
      <w:pPr>
        <w:ind w:firstLine="420"/>
        <w:jc w:val="both"/>
      </w:pPr>
      <w:r>
        <w:rPr>
          <w:sz w:val="21"/>
        </w:rPr>
        <w:t>乙方</w:t>
      </w:r>
      <w:r>
        <w:rPr>
          <w:sz w:val="21"/>
        </w:rPr>
        <w:t>需列明各系统投入驻场人员的姓名、学历、职称和工作经验，明确何人担任现场负责人，承诺项目实际投入人员与投标时承诺的保持一致（要求是同一人）。</w:t>
      </w:r>
    </w:p>
    <w:p>
      <w:pPr>
        <w:jc w:val="both"/>
      </w:pPr>
      <w:r>
        <w:rPr>
          <w:sz w:val="21"/>
        </w:rPr>
        <w:t>以下为各系统需要的维护人员及驻场人员人数要求（驻场人员计入维护人员数量内）：</w:t>
      </w:r>
    </w:p>
    <w:tbl>
      <w:tblPr>
        <w:tblW w:w="0" w:type="auto"/>
        <w:tblBorders>
          <w:top w:val="none" w:color="000000" w:sz="4"/>
          <w:left w:val="none" w:color="000000" w:sz="4"/>
          <w:bottom w:val="none" w:color="000000" w:sz="4"/>
          <w:right w:val="none" w:color="000000" w:sz="4"/>
          <w:insideH w:val="none"/>
          <w:insideV w:val="none"/>
        </w:tblBorders>
      </w:tblPr>
      <w:tblGrid>
        <w:gridCol w:w="2835"/>
        <w:gridCol w:w="2265"/>
        <w:gridCol w:w="1920"/>
      </w:tblGrid>
      <w:tr>
        <w:tc>
          <w:tcPr>
            <w:tcW w:type="dxa" w:w="2835"/>
            <w:tcBorders>
              <w:top w:val="single" w:color="000000" w:sz="4"/>
              <w:left w:val="single" w:color="000000" w:sz="4"/>
              <w:bottom w:val="single" w:color="000000" w:sz="4"/>
              <w:right w:val="single" w:color="000000" w:sz="4"/>
            </w:tcBorders>
          </w:tcPr>
          <w:p>
            <w:pPr>
              <w:jc w:val="center"/>
            </w:pPr>
            <w:r>
              <w:rPr>
                <w:b/>
              </w:rPr>
              <w:t>系统名称</w:t>
            </w:r>
          </w:p>
        </w:tc>
        <w:tc>
          <w:tcPr>
            <w:tcW w:type="dxa" w:w="2265"/>
            <w:tcBorders>
              <w:top w:val="single" w:color="000000" w:sz="4"/>
              <w:left w:val="none" w:color="000000" w:sz="4"/>
              <w:bottom w:val="single" w:color="000000" w:sz="4"/>
              <w:right w:val="single" w:color="000000" w:sz="4"/>
            </w:tcBorders>
            <w:vAlign w:val="top"/>
          </w:tcPr>
          <w:p>
            <w:pPr>
              <w:jc w:val="center"/>
            </w:pPr>
            <w:r>
              <w:rPr>
                <w:b/>
              </w:rPr>
              <w:t>维护人员数量</w:t>
            </w:r>
          </w:p>
        </w:tc>
        <w:tc>
          <w:tcPr>
            <w:tcW w:type="dxa" w:w="1920"/>
            <w:tcBorders>
              <w:top w:val="single" w:color="000000" w:sz="4"/>
              <w:left w:val="none" w:color="000000" w:sz="4"/>
              <w:bottom w:val="single" w:color="000000" w:sz="4"/>
              <w:right w:val="single" w:color="000000" w:sz="4"/>
            </w:tcBorders>
            <w:vAlign w:val="top"/>
          </w:tcPr>
          <w:p>
            <w:pPr>
              <w:jc w:val="center"/>
            </w:pPr>
            <w:r>
              <w:rPr>
                <w:b/>
              </w:rPr>
              <w:t>其中驻场人员数量</w:t>
            </w:r>
          </w:p>
        </w:tc>
      </w:tr>
      <w:tr>
        <w:tc>
          <w:tcPr>
            <w:tcW w:type="dxa" w:w="2835"/>
            <w:tcBorders>
              <w:top w:val="none" w:color="000000" w:sz="4"/>
              <w:left w:val="single" w:color="000000" w:sz="4"/>
              <w:bottom w:val="single" w:color="000000" w:sz="4"/>
              <w:right w:val="single" w:color="000000" w:sz="4"/>
            </w:tcBorders>
            <w:vAlign w:val="top"/>
          </w:tcPr>
          <w:p>
            <w:pPr>
              <w:jc w:val="both"/>
            </w:pPr>
            <w:r>
              <w:rPr>
                <w:sz w:val="21"/>
              </w:rPr>
              <w:t>中山市自然资源综合业务平台及自然资源决策支持平台</w:t>
            </w:r>
          </w:p>
        </w:tc>
        <w:tc>
          <w:tcPr>
            <w:tcW w:type="dxa" w:w="2265"/>
            <w:tcBorders>
              <w:top w:val="none" w:color="000000" w:sz="4"/>
              <w:left w:val="none" w:color="000000" w:sz="4"/>
              <w:bottom w:val="single" w:color="000000" w:sz="4"/>
              <w:right w:val="single" w:color="000000" w:sz="4"/>
            </w:tcBorders>
            <w:vAlign w:val="top"/>
          </w:tcPr>
          <w:p>
            <w:pPr>
              <w:jc w:val="center"/>
            </w:pPr>
            <w:r>
              <w:rPr/>
              <w:t>承担运维工作的人员数量要求</w:t>
            </w:r>
            <w:r>
              <w:rPr/>
              <w:t>按本项目磋商文件中约定的要求执行。</w:t>
            </w:r>
          </w:p>
        </w:tc>
        <w:tc>
          <w:tcPr>
            <w:tcW w:type="dxa" w:w="1920"/>
            <w:tcBorders>
              <w:top w:val="none" w:color="000000" w:sz="4"/>
              <w:left w:val="none" w:color="000000" w:sz="4"/>
              <w:bottom w:val="single" w:color="000000" w:sz="4"/>
              <w:right w:val="single" w:color="000000" w:sz="4"/>
            </w:tcBorders>
            <w:vAlign w:val="top"/>
          </w:tcPr>
          <w:p>
            <w:pPr>
              <w:jc w:val="center"/>
            </w:pPr>
            <w:r>
              <w:rPr/>
              <w:t>承担运维工作的驻场人员数量要求按本项目磋商文件中约定的要求执行。</w:t>
            </w:r>
          </w:p>
        </w:tc>
      </w:tr>
    </w:tbl>
    <w:p>
      <w:pPr>
        <w:ind w:firstLine="630"/>
        <w:jc w:val="both"/>
      </w:pPr>
      <w:r>
        <w:rPr>
          <w:sz w:val="21"/>
        </w:rPr>
        <w:t>承担运维工作的人员岗位设置要求按本项目磋商文件中约定的要求执行。</w:t>
      </w:r>
    </w:p>
    <w:p>
      <w:pPr>
        <w:jc w:val="both"/>
      </w:pPr>
    </w:p>
    <w:p>
      <w:pPr>
        <w:jc w:val="both"/>
      </w:pPr>
      <w:r>
        <w:rPr>
          <w:b/>
          <w:sz w:val="21"/>
        </w:rPr>
        <w:t>（三）</w:t>
      </w:r>
      <w:r>
        <w:rPr>
          <w:b/>
          <w:sz w:val="21"/>
        </w:rPr>
        <w:t>运维响应要求</w:t>
      </w:r>
    </w:p>
    <w:p>
      <w:pPr>
        <w:ind w:firstLine="420"/>
        <w:jc w:val="both"/>
      </w:pPr>
      <w:r>
        <w:rPr>
          <w:sz w:val="21"/>
        </w:rPr>
        <w:t>乙方</w:t>
      </w:r>
      <w:r>
        <w:rPr>
          <w:sz w:val="21"/>
        </w:rPr>
        <w:t>应按</w:t>
      </w:r>
      <w:r>
        <w:rPr>
          <w:sz w:val="21"/>
        </w:rPr>
        <w:t>甲方</w:t>
      </w:r>
      <w:r>
        <w:rPr>
          <w:sz w:val="21"/>
        </w:rPr>
        <w:t>的要求编制、完善运维方案，制定应急响应预案，建立详细的系统维护响应机制。</w:t>
      </w:r>
      <w:r>
        <w:rPr>
          <w:sz w:val="21"/>
        </w:rPr>
        <w:t>乙方</w:t>
      </w:r>
      <w:r>
        <w:rPr>
          <w:sz w:val="21"/>
        </w:rPr>
        <w:t>应建立运维</w:t>
      </w:r>
      <w:r>
        <w:rPr>
          <w:sz w:val="21"/>
        </w:rPr>
        <w:t>AB</w:t>
      </w:r>
      <w:r>
        <w:rPr>
          <w:sz w:val="21"/>
        </w:rPr>
        <w:t>角制度，确保紧急情况备角能有效应对运维工作。</w:t>
      </w:r>
    </w:p>
    <w:p>
      <w:pPr>
        <w:ind w:firstLine="420"/>
        <w:jc w:val="both"/>
      </w:pPr>
      <w:r>
        <w:rPr>
          <w:sz w:val="21"/>
        </w:rPr>
        <w:t>在发现系统发生异常时和紧急运维需求提出后，</w:t>
      </w:r>
      <w:r>
        <w:rPr>
          <w:sz w:val="21"/>
        </w:rPr>
        <w:t>乙方</w:t>
      </w:r>
      <w:r>
        <w:rPr>
          <w:sz w:val="21"/>
        </w:rPr>
        <w:t>需组织驻场人员或远程技术支持人员，给予立即响应。</w:t>
      </w:r>
      <w:r>
        <w:rPr>
          <w:sz w:val="21"/>
        </w:rPr>
        <w:t>乙方</w:t>
      </w:r>
      <w:r>
        <w:rPr>
          <w:sz w:val="21"/>
        </w:rPr>
        <w:t>需提供</w:t>
      </w:r>
      <w:r>
        <w:rPr>
          <w:sz w:val="21"/>
        </w:rPr>
        <w:t>7</w:t>
      </w:r>
      <w:r>
        <w:rPr>
          <w:sz w:val="21"/>
        </w:rPr>
        <w:t>×</w:t>
      </w:r>
      <w:r>
        <w:rPr>
          <w:sz w:val="21"/>
        </w:rPr>
        <w:t>24</w:t>
      </w:r>
      <w:r>
        <w:rPr>
          <w:sz w:val="21"/>
        </w:rPr>
        <w:t>小时的应急服务，驻点维护人员需</w:t>
      </w:r>
      <w:r>
        <w:rPr>
          <w:sz w:val="21"/>
        </w:rPr>
        <w:t>2</w:t>
      </w:r>
      <w:r>
        <w:rPr>
          <w:sz w:val="21"/>
        </w:rPr>
        <w:t>小时以内到达现场。</w:t>
      </w:r>
      <w:r>
        <w:rPr>
          <w:sz w:val="21"/>
        </w:rPr>
        <w:t>乙方</w:t>
      </w:r>
      <w:r>
        <w:rPr>
          <w:sz w:val="21"/>
        </w:rPr>
        <w:t>应根据下表的故障事件等级及系统修复时限开展应急响应。不能按时解决的，</w:t>
      </w:r>
      <w:r>
        <w:rPr>
          <w:sz w:val="21"/>
        </w:rPr>
        <w:t>乙方</w:t>
      </w:r>
      <w:r>
        <w:rPr>
          <w:sz w:val="21"/>
        </w:rPr>
        <w:t>必须协调一切资源，采取对应措施，在</w:t>
      </w:r>
      <w:r>
        <w:rPr>
          <w:sz w:val="21"/>
        </w:rPr>
        <w:t>24</w:t>
      </w:r>
      <w:r>
        <w:rPr>
          <w:sz w:val="21"/>
        </w:rPr>
        <w:t>小时内保证系统恢复正常运行。</w:t>
      </w:r>
    </w:p>
    <w:p>
      <w:pPr>
        <w:ind w:firstLine="420"/>
        <w:jc w:val="both"/>
      </w:pPr>
      <w:r>
        <w:rPr>
          <w:sz w:val="21"/>
        </w:rPr>
        <w:t>对于一般运维工作，</w:t>
      </w:r>
      <w:r>
        <w:rPr>
          <w:sz w:val="21"/>
        </w:rPr>
        <w:t>乙方</w:t>
      </w:r>
      <w:r>
        <w:rPr>
          <w:sz w:val="21"/>
        </w:rPr>
        <w:t>需按照</w:t>
      </w:r>
      <w:r>
        <w:rPr>
          <w:sz w:val="21"/>
        </w:rPr>
        <w:t>甲方</w:t>
      </w:r>
      <w:r>
        <w:rPr>
          <w:sz w:val="21"/>
        </w:rPr>
        <w:t>运维管理有关制度的要求及时响应。不能按时完成的，应提前向中山市自然资源信息中心报告。</w:t>
      </w:r>
    </w:p>
    <w:tbl>
      <w:tblPr>
        <w:tblW w:w="0" w:type="auto"/>
        <w:tblBorders>
          <w:top w:val="none" w:color="000000" w:sz="4"/>
          <w:left w:val="none" w:color="000000" w:sz="4"/>
          <w:bottom w:val="none" w:color="000000" w:sz="4"/>
          <w:right w:val="none" w:color="000000" w:sz="4"/>
          <w:insideH w:val="none"/>
          <w:insideV w:val="none"/>
        </w:tblBorders>
      </w:tblPr>
      <w:tblGrid>
        <w:gridCol w:w="678"/>
        <w:gridCol w:w="2712"/>
        <w:gridCol w:w="2119"/>
        <w:gridCol w:w="2797"/>
      </w:tblGrid>
      <w:tr>
        <w:tc>
          <w:tcPr>
            <w:tcW w:type="dxa" w:w="678"/>
            <w:tcBorders>
              <w:top w:val="single" w:color="000000" w:sz="4"/>
              <w:left w:val="single" w:color="000000" w:sz="4"/>
              <w:bottom w:val="single" w:color="000000" w:sz="4"/>
              <w:right w:val="single" w:color="000000" w:sz="4"/>
            </w:tcBorders>
          </w:tcPr>
          <w:p>
            <w:pPr>
              <w:jc w:val="center"/>
            </w:pPr>
            <w:r>
              <w:rPr>
                <w:b/>
              </w:rPr>
              <w:t>事件等级</w:t>
            </w:r>
          </w:p>
        </w:tc>
        <w:tc>
          <w:tcPr>
            <w:tcW w:type="dxa" w:w="2712"/>
            <w:tcBorders>
              <w:top w:val="single" w:color="000000" w:sz="4"/>
              <w:left w:val="none" w:color="000000" w:sz="4"/>
              <w:bottom w:val="single" w:color="000000" w:sz="4"/>
              <w:right w:val="single" w:color="000000" w:sz="4"/>
            </w:tcBorders>
          </w:tcPr>
          <w:p>
            <w:pPr>
              <w:jc w:val="center"/>
            </w:pPr>
            <w:r>
              <w:rPr>
                <w:b/>
              </w:rPr>
              <w:t>事件定义</w:t>
            </w:r>
          </w:p>
        </w:tc>
        <w:tc>
          <w:tcPr>
            <w:tcW w:type="dxa" w:w="2119"/>
            <w:tcBorders>
              <w:top w:val="single" w:color="000000" w:sz="4"/>
              <w:left w:val="none" w:color="000000" w:sz="4"/>
              <w:bottom w:val="single" w:color="000000" w:sz="4"/>
              <w:right w:val="single" w:color="000000" w:sz="4"/>
            </w:tcBorders>
          </w:tcPr>
          <w:p>
            <w:pPr>
              <w:jc w:val="center"/>
            </w:pPr>
            <w:r>
              <w:rPr>
                <w:b/>
              </w:rPr>
              <w:t>系统修复时间</w:t>
            </w:r>
          </w:p>
        </w:tc>
        <w:tc>
          <w:tcPr>
            <w:tcW w:type="dxa" w:w="2797"/>
            <w:tcBorders>
              <w:top w:val="single" w:color="000000" w:sz="4"/>
              <w:left w:val="none" w:color="000000" w:sz="4"/>
              <w:bottom w:val="single" w:color="000000" w:sz="4"/>
              <w:right w:val="single" w:color="000000" w:sz="4"/>
            </w:tcBorders>
          </w:tcPr>
          <w:p>
            <w:pPr>
              <w:jc w:val="center"/>
            </w:pPr>
            <w:r>
              <w:rPr>
                <w:b/>
              </w:rPr>
              <w:t>解决时间</w:t>
            </w:r>
          </w:p>
        </w:tc>
      </w:tr>
      <w:tr>
        <w:tc>
          <w:tcPr>
            <w:tcW w:type="dxa" w:w="678"/>
            <w:tcBorders>
              <w:top w:val="none" w:color="000000" w:sz="4"/>
              <w:left w:val="single" w:color="000000" w:sz="4"/>
              <w:bottom w:val="single" w:color="000000" w:sz="4"/>
              <w:right w:val="single" w:color="000000" w:sz="4"/>
            </w:tcBorders>
          </w:tcPr>
          <w:p>
            <w:pPr>
              <w:jc w:val="center"/>
            </w:pPr>
            <w:r>
              <w:rPr/>
              <w:t>1</w:t>
            </w:r>
            <w:r>
              <w:rPr/>
              <w:t>级事件</w:t>
            </w:r>
          </w:p>
        </w:tc>
        <w:tc>
          <w:tcPr>
            <w:tcW w:type="dxa" w:w="2712"/>
            <w:tcBorders>
              <w:top w:val="none" w:color="000000" w:sz="4"/>
              <w:left w:val="none" w:color="000000" w:sz="4"/>
              <w:bottom w:val="single" w:color="000000" w:sz="4"/>
              <w:right w:val="single" w:color="000000" w:sz="4"/>
            </w:tcBorders>
          </w:tcPr>
          <w:p>
            <w:r>
              <w:rPr/>
              <w:t>发生安全事故或系统数据泄露，造成严重影响</w:t>
            </w:r>
          </w:p>
        </w:tc>
        <w:tc>
          <w:tcPr>
            <w:tcW w:type="dxa" w:w="2119"/>
            <w:tcBorders>
              <w:top w:val="none" w:color="000000" w:sz="4"/>
              <w:left w:val="none" w:color="000000" w:sz="4"/>
              <w:bottom w:val="single" w:color="000000" w:sz="4"/>
              <w:right w:val="single" w:color="000000" w:sz="4"/>
            </w:tcBorders>
          </w:tcPr>
          <w:p>
            <w:r>
              <w:rPr/>
              <w:t>30</w:t>
            </w:r>
            <w:r>
              <w:rPr/>
              <w:t>分钟恢复系统正常</w:t>
            </w:r>
          </w:p>
        </w:tc>
        <w:tc>
          <w:tcPr>
            <w:tcW w:type="dxa" w:w="2797"/>
            <w:tcBorders>
              <w:top w:val="none" w:color="000000" w:sz="4"/>
              <w:left w:val="none" w:color="000000" w:sz="4"/>
              <w:bottom w:val="single" w:color="000000" w:sz="4"/>
              <w:right w:val="single" w:color="000000" w:sz="4"/>
            </w:tcBorders>
          </w:tcPr>
          <w:p>
            <w:r>
              <w:rPr/>
              <w:t>8</w:t>
            </w:r>
            <w:r>
              <w:rPr/>
              <w:t>小时内分析故障原因，提出问题分析报告和整改方案</w:t>
            </w:r>
          </w:p>
        </w:tc>
      </w:tr>
      <w:tr>
        <w:tc>
          <w:tcPr>
            <w:tcW w:type="dxa" w:w="678"/>
            <w:tcBorders>
              <w:top w:val="none" w:color="000000" w:sz="4"/>
              <w:left w:val="single" w:color="000000" w:sz="4"/>
              <w:bottom w:val="single" w:color="000000" w:sz="4"/>
              <w:right w:val="single" w:color="000000" w:sz="4"/>
            </w:tcBorders>
          </w:tcPr>
          <w:p>
            <w:pPr>
              <w:jc w:val="center"/>
            </w:pPr>
            <w:r>
              <w:rPr/>
              <w:t>2</w:t>
            </w:r>
            <w:r>
              <w:rPr/>
              <w:t>级事件</w:t>
            </w:r>
          </w:p>
        </w:tc>
        <w:tc>
          <w:tcPr>
            <w:tcW w:type="dxa" w:w="2712"/>
            <w:tcBorders>
              <w:top w:val="none" w:color="000000" w:sz="4"/>
              <w:left w:val="none" w:color="000000" w:sz="4"/>
              <w:bottom w:val="single" w:color="000000" w:sz="4"/>
              <w:right w:val="single" w:color="000000" w:sz="4"/>
            </w:tcBorders>
          </w:tcPr>
          <w:p>
            <w:r>
              <w:rPr/>
              <w:t>信息系统崩溃，系统所有业务无法进行，造成较大影响</w:t>
            </w:r>
          </w:p>
        </w:tc>
        <w:tc>
          <w:tcPr>
            <w:tcW w:type="dxa" w:w="2119"/>
            <w:tcBorders>
              <w:top w:val="none" w:color="000000" w:sz="4"/>
              <w:left w:val="none" w:color="000000" w:sz="4"/>
              <w:bottom w:val="single" w:color="000000" w:sz="4"/>
              <w:right w:val="single" w:color="000000" w:sz="4"/>
            </w:tcBorders>
          </w:tcPr>
          <w:p>
            <w:r>
              <w:rPr/>
              <w:t>1</w:t>
            </w:r>
            <w:r>
              <w:rPr/>
              <w:t>小时内恢复系统正常</w:t>
            </w:r>
          </w:p>
        </w:tc>
        <w:tc>
          <w:tcPr>
            <w:tcW w:type="dxa" w:w="2797"/>
            <w:tcBorders>
              <w:top w:val="none" w:color="000000" w:sz="4"/>
              <w:left w:val="none" w:color="000000" w:sz="4"/>
              <w:bottom w:val="single" w:color="000000" w:sz="4"/>
              <w:right w:val="single" w:color="000000" w:sz="4"/>
            </w:tcBorders>
          </w:tcPr>
          <w:p>
            <w:r>
              <w:rPr/>
              <w:t>24</w:t>
            </w:r>
            <w:r>
              <w:rPr/>
              <w:t>小时内分析故障原因，提出问题分析报告和整改方案</w:t>
            </w:r>
          </w:p>
        </w:tc>
      </w:tr>
      <w:tr>
        <w:tc>
          <w:tcPr>
            <w:tcW w:type="dxa" w:w="678"/>
            <w:tcBorders>
              <w:top w:val="none" w:color="000000" w:sz="4"/>
              <w:left w:val="single" w:color="000000" w:sz="4"/>
              <w:bottom w:val="single" w:color="000000" w:sz="4"/>
              <w:right w:val="single" w:color="000000" w:sz="4"/>
            </w:tcBorders>
          </w:tcPr>
          <w:p>
            <w:pPr>
              <w:jc w:val="center"/>
            </w:pPr>
            <w:r>
              <w:rPr/>
              <w:t>3</w:t>
            </w:r>
            <w:r>
              <w:rPr/>
              <w:t>级事件</w:t>
            </w:r>
          </w:p>
        </w:tc>
        <w:tc>
          <w:tcPr>
            <w:tcW w:type="dxa" w:w="2712"/>
            <w:tcBorders>
              <w:top w:val="none" w:color="000000" w:sz="4"/>
              <w:left w:val="none" w:color="000000" w:sz="4"/>
              <w:bottom w:val="single" w:color="000000" w:sz="4"/>
              <w:right w:val="single" w:color="000000" w:sz="4"/>
            </w:tcBorders>
          </w:tcPr>
          <w:p>
            <w:r>
              <w:rPr/>
              <w:t>发生故障，部分业务无法开展，影响外单位业务开展</w:t>
            </w:r>
          </w:p>
        </w:tc>
        <w:tc>
          <w:tcPr>
            <w:tcW w:type="dxa" w:w="2119"/>
            <w:tcBorders>
              <w:top w:val="none" w:color="000000" w:sz="4"/>
              <w:left w:val="none" w:color="000000" w:sz="4"/>
              <w:bottom w:val="single" w:color="000000" w:sz="4"/>
              <w:right w:val="single" w:color="000000" w:sz="4"/>
            </w:tcBorders>
          </w:tcPr>
          <w:p>
            <w:r>
              <w:rPr/>
              <w:t>2</w:t>
            </w:r>
            <w:r>
              <w:rPr/>
              <w:t>小时内恢复系统正常或给出应急处理办法</w:t>
            </w:r>
          </w:p>
        </w:tc>
        <w:tc>
          <w:tcPr>
            <w:tcW w:type="dxa" w:w="2797"/>
            <w:tcBorders>
              <w:top w:val="none" w:color="000000" w:sz="4"/>
              <w:left w:val="none" w:color="000000" w:sz="4"/>
              <w:bottom w:val="single" w:color="000000" w:sz="4"/>
              <w:right w:val="single" w:color="000000" w:sz="4"/>
            </w:tcBorders>
          </w:tcPr>
          <w:p>
            <w:r>
              <w:rPr/>
              <w:t>24</w:t>
            </w:r>
            <w:r>
              <w:rPr/>
              <w:t>小时内分析故障原因，提出问题分析报告和整改方案</w:t>
            </w:r>
          </w:p>
        </w:tc>
      </w:tr>
      <w:tr>
        <w:tc>
          <w:tcPr>
            <w:tcW w:type="dxa" w:w="678"/>
            <w:tcBorders>
              <w:top w:val="none" w:color="000000" w:sz="4"/>
              <w:left w:val="single" w:color="000000" w:sz="4"/>
              <w:bottom w:val="single" w:color="000000" w:sz="4"/>
              <w:right w:val="single" w:color="000000" w:sz="4"/>
            </w:tcBorders>
          </w:tcPr>
          <w:p>
            <w:pPr>
              <w:jc w:val="center"/>
            </w:pPr>
            <w:r>
              <w:rPr/>
              <w:t>4</w:t>
            </w:r>
            <w:r>
              <w:rPr/>
              <w:t>级事件</w:t>
            </w:r>
          </w:p>
        </w:tc>
        <w:tc>
          <w:tcPr>
            <w:tcW w:type="dxa" w:w="2712"/>
            <w:tcBorders>
              <w:top w:val="none" w:color="000000" w:sz="4"/>
              <w:left w:val="none" w:color="000000" w:sz="4"/>
              <w:bottom w:val="single" w:color="000000" w:sz="4"/>
              <w:right w:val="single" w:color="000000" w:sz="4"/>
            </w:tcBorders>
          </w:tcPr>
          <w:p>
            <w:r>
              <w:rPr/>
              <w:t>性能下降或故障影响本局业务开展</w:t>
            </w:r>
          </w:p>
        </w:tc>
        <w:tc>
          <w:tcPr>
            <w:tcW w:type="dxa" w:w="2119"/>
            <w:tcBorders>
              <w:top w:val="none" w:color="000000" w:sz="4"/>
              <w:left w:val="none" w:color="000000" w:sz="4"/>
              <w:bottom w:val="single" w:color="000000" w:sz="4"/>
              <w:right w:val="single" w:color="000000" w:sz="4"/>
            </w:tcBorders>
          </w:tcPr>
          <w:p>
            <w:r>
              <w:rPr/>
              <w:t>2</w:t>
            </w:r>
            <w:r>
              <w:rPr/>
              <w:t>小时内恢复系统正常或给出应急处理办法</w:t>
            </w:r>
          </w:p>
        </w:tc>
        <w:tc>
          <w:tcPr>
            <w:tcW w:type="dxa" w:w="2797"/>
            <w:tcBorders>
              <w:top w:val="none" w:color="000000" w:sz="4"/>
              <w:left w:val="none" w:color="000000" w:sz="4"/>
              <w:bottom w:val="single" w:color="000000" w:sz="4"/>
              <w:right w:val="single" w:color="000000" w:sz="4"/>
            </w:tcBorders>
          </w:tcPr>
          <w:p>
            <w:r>
              <w:rPr/>
              <w:t>48</w:t>
            </w:r>
            <w:r>
              <w:rPr/>
              <w:t>小时内分析故障原因，提出问题分析报告和整改方案</w:t>
            </w:r>
          </w:p>
        </w:tc>
      </w:tr>
    </w:tbl>
    <w:p>
      <w:pPr>
        <w:ind w:firstLine="420"/>
        <w:jc w:val="both"/>
      </w:pPr>
      <w:r>
        <w:rPr>
          <w:sz w:val="21"/>
        </w:rPr>
        <w:t>乙方应严格按照甲方要求进行需求调研、并根据相关业务实际情况设计实施方案，编制好功能优化升级进度计划，根据运维人员数量和工作量科学评估各个阶段的实施时间并严格按照计划进行功能优化升级。如有调整整体功能优化升级进度计划，需取得甲方信息化部门同意。对于甲方有明确时间限制的运维需求，且运维工作内容非遭遇不可抗因素，乙方不得拒绝或延期实施。</w:t>
      </w:r>
    </w:p>
    <w:p>
      <w:pPr>
        <w:jc w:val="both"/>
      </w:pPr>
    </w:p>
    <w:p>
      <w:pPr>
        <w:jc w:val="both"/>
      </w:pPr>
      <w:r>
        <w:rPr>
          <w:b/>
          <w:sz w:val="21"/>
        </w:rPr>
        <w:t>（四）</w:t>
      </w:r>
      <w:r>
        <w:rPr>
          <w:b/>
          <w:sz w:val="21"/>
        </w:rPr>
        <w:t>培训要求</w:t>
      </w:r>
    </w:p>
    <w:p>
      <w:pPr>
        <w:ind w:firstLine="420"/>
        <w:jc w:val="both"/>
      </w:pPr>
      <w:r>
        <w:rPr>
          <w:sz w:val="21"/>
        </w:rPr>
        <w:t>每年度运维工作开始前，</w:t>
      </w:r>
      <w:r>
        <w:rPr>
          <w:sz w:val="21"/>
        </w:rPr>
        <w:t>乙方</w:t>
      </w:r>
      <w:r>
        <w:rPr>
          <w:sz w:val="21"/>
        </w:rPr>
        <w:t>应制定年度技术培训方案，组织相关培训，并提供培训讲义、签到表、照片等佐证材料。</w:t>
      </w:r>
    </w:p>
    <w:p>
      <w:pPr>
        <w:ind w:firstLine="420"/>
        <w:jc w:val="both"/>
      </w:pPr>
      <w:r>
        <w:rPr>
          <w:sz w:val="21"/>
        </w:rPr>
        <w:t>乙方</w:t>
      </w:r>
      <w:r>
        <w:rPr>
          <w:sz w:val="21"/>
        </w:rPr>
        <w:t>应组织运维团队驻场和远程技术人员开展与运维项目相关的继续教育、业务或技术学习及内部交流，按要求参加</w:t>
      </w:r>
      <w:r>
        <w:rPr>
          <w:sz w:val="21"/>
        </w:rPr>
        <w:t>甲</w:t>
      </w:r>
      <w:r>
        <w:rPr>
          <w:sz w:val="21"/>
        </w:rPr>
        <w:t>方安排的相关培训，重点从技术、业务、管理、安全意识等方面提高团队运维服务能力，每年每位运维技术人员参加的技术、业务、管理和安全意识培训各不少于</w:t>
      </w:r>
      <w:r>
        <w:rPr>
          <w:sz w:val="21"/>
        </w:rPr>
        <w:t>1</w:t>
      </w:r>
      <w:r>
        <w:rPr>
          <w:sz w:val="21"/>
        </w:rPr>
        <w:t>次。公司内部应加强培训，确保每位运维人员对系统有全面、充分、整体的了解，对于业务有清晰、准确的理解。对于运维团队新来的人员，应开展专门、集中培训，并保留相关记录，对培训和学习效果进行必要考核，待掌握系统情况和相关知识后方可正式开始运维工作。</w:t>
      </w:r>
    </w:p>
    <w:p>
      <w:pPr>
        <w:ind w:firstLine="420"/>
        <w:jc w:val="both"/>
      </w:pPr>
      <w:r>
        <w:rPr>
          <w:sz w:val="21"/>
        </w:rPr>
        <w:t>乙方</w:t>
      </w:r>
      <w:r>
        <w:rPr>
          <w:sz w:val="21"/>
        </w:rPr>
        <w:t>须根据需要为用户提供高质量的技术培训、业务辅导。运维期内，每个系统重点部门的综合性培训不少于</w:t>
      </w:r>
      <w:r>
        <w:rPr>
          <w:sz w:val="21"/>
        </w:rPr>
        <w:t>1</w:t>
      </w:r>
      <w:r>
        <w:rPr>
          <w:sz w:val="21"/>
        </w:rPr>
        <w:t>次</w:t>
      </w:r>
      <w:r>
        <w:rPr>
          <w:sz w:val="21"/>
        </w:rPr>
        <w:t>/</w:t>
      </w:r>
      <w:r>
        <w:rPr>
          <w:sz w:val="21"/>
        </w:rPr>
        <w:t>年。对于新增、优化调整的功能，在上线前需为用户开展上线前培训，并编写操作手册及时告知系统用户。</w:t>
      </w:r>
    </w:p>
    <w:p>
      <w:pPr>
        <w:ind w:firstLine="420"/>
        <w:jc w:val="both"/>
      </w:pPr>
      <w:r>
        <w:rPr>
          <w:sz w:val="21"/>
        </w:rPr>
        <w:t>培训的各项安排在培训前应经</w:t>
      </w:r>
      <w:r>
        <w:rPr>
          <w:sz w:val="21"/>
        </w:rPr>
        <w:t>甲方</w:t>
      </w:r>
      <w:r>
        <w:rPr>
          <w:sz w:val="21"/>
        </w:rPr>
        <w:t>同意后方可开展培训，确保培训内容、时间、人数、地点以及师资安排等方面满足要求。培训对象包括系统用户及局方技术人员，培训内容包括信息系统的使用、系统部署、配置管理、日常监控、数据备份和恢复、应急处置及系统业务操作。培训时，</w:t>
      </w:r>
      <w:r>
        <w:rPr>
          <w:sz w:val="21"/>
        </w:rPr>
        <w:t>乙方</w:t>
      </w:r>
      <w:r>
        <w:rPr>
          <w:sz w:val="21"/>
        </w:rPr>
        <w:t>应不局限于驻场人员，派出专业的、经验丰富的教员，充分准备，提前为用户提供详细的培训讲义，使用户能够熟练掌握被运维信息系统的使用和运维技能，确保培训能达到预期成效。</w:t>
      </w:r>
    </w:p>
    <w:p>
      <w:pPr>
        <w:jc w:val="both"/>
      </w:pPr>
    </w:p>
    <w:p>
      <w:pPr>
        <w:jc w:val="both"/>
      </w:pPr>
      <w:r>
        <w:rPr>
          <w:b/>
          <w:sz w:val="21"/>
        </w:rPr>
        <w:t>（五）</w:t>
      </w:r>
      <w:r>
        <w:rPr>
          <w:b/>
          <w:sz w:val="21"/>
        </w:rPr>
        <w:t>网络信息安全要求</w:t>
      </w:r>
    </w:p>
    <w:p>
      <w:pPr>
        <w:ind w:firstLine="420"/>
        <w:jc w:val="both"/>
      </w:pPr>
      <w:r>
        <w:rPr>
          <w:sz w:val="21"/>
        </w:rPr>
        <w:t>乙方</w:t>
      </w:r>
      <w:r>
        <w:rPr>
          <w:sz w:val="21"/>
        </w:rPr>
        <w:t>应建立网络信息安全的有关制度，严格落实各级网络信息安全管理的有关制度、规范，要将网络信息安全意识落实到运维全过程，编制运维相关方案应对网络信息安全予以专项讨论。要加强网络安全意识和技术培训，提高网络信息安全技术水平。落实网络安全责任制，安排专人负责系统的网络信息安全工作。网络信息安全实行一票否决制。</w:t>
      </w:r>
      <w:r>
        <w:rPr>
          <w:sz w:val="21"/>
        </w:rPr>
        <w:t>乙方</w:t>
      </w:r>
      <w:r>
        <w:rPr>
          <w:sz w:val="21"/>
        </w:rPr>
        <w:t>需承担运维工作中的网络信息安全责任，由于运维不及时、不恰当处理造成的网络安全责任由运维单位承担。</w:t>
      </w:r>
    </w:p>
    <w:p>
      <w:pPr>
        <w:jc w:val="both"/>
      </w:pPr>
    </w:p>
    <w:p>
      <w:pPr>
        <w:jc w:val="both"/>
      </w:pPr>
      <w:r>
        <w:rPr>
          <w:b/>
          <w:sz w:val="21"/>
        </w:rPr>
        <w:t>（六）</w:t>
      </w:r>
      <w:r>
        <w:rPr>
          <w:b/>
          <w:sz w:val="21"/>
        </w:rPr>
        <w:t>风险防控要求</w:t>
      </w:r>
    </w:p>
    <w:p>
      <w:pPr>
        <w:ind w:firstLine="420"/>
        <w:jc w:val="both"/>
      </w:pPr>
      <w:r>
        <w:rPr>
          <w:sz w:val="21"/>
        </w:rPr>
        <w:t>乙方</w:t>
      </w:r>
      <w:r>
        <w:rPr>
          <w:sz w:val="21"/>
        </w:rPr>
        <w:t>要将风险防控贯穿到运维工作的始终和每个运维工作中，要定期开展风险评估，形成风险防控报告，提出风险防控措施与建议并予以落实。</w:t>
      </w:r>
    </w:p>
    <w:p>
      <w:pPr>
        <w:ind w:firstLine="420"/>
        <w:jc w:val="both"/>
      </w:pPr>
      <w:r>
        <w:rPr>
          <w:sz w:val="21"/>
        </w:rPr>
        <w:t>要落实风险防控责任制，及时开展风险防控的有关培训，将风险防控意识及风险防控要求落实到每个运维工作人员。</w:t>
      </w:r>
    </w:p>
    <w:p>
      <w:pPr>
        <w:ind w:firstLine="420"/>
        <w:jc w:val="both"/>
      </w:pPr>
      <w:r>
        <w:rPr>
          <w:sz w:val="21"/>
        </w:rPr>
        <w:t>重大运行保障期和重大功能上线要提前开展专项评估，制定应急方案，防范潜在风险。要着重加强网络信息安全风险、数据保密、非法攻击、病毒入侵及管理漏洞风险防控。在各类技术方案的编制中，要落实风险防控的总体意识，系统优化改造和解决运维困难时，应从有总体意识、大局意识，全面、客观分析，避免只见局部不见整体，避免解决旧问题带来新问题。</w:t>
      </w:r>
    </w:p>
    <w:p>
      <w:pPr>
        <w:jc w:val="both"/>
      </w:pPr>
    </w:p>
    <w:p>
      <w:pPr>
        <w:jc w:val="both"/>
      </w:pPr>
      <w:r>
        <w:rPr>
          <w:b/>
          <w:sz w:val="21"/>
        </w:rPr>
        <w:t>（七）</w:t>
      </w:r>
      <w:r>
        <w:rPr>
          <w:b/>
          <w:sz w:val="21"/>
        </w:rPr>
        <w:t>规范性要求</w:t>
      </w:r>
    </w:p>
    <w:p>
      <w:pPr>
        <w:ind w:firstLine="420"/>
        <w:jc w:val="both"/>
      </w:pPr>
      <w:r>
        <w:rPr>
          <w:sz w:val="21"/>
        </w:rPr>
        <w:t>乙方</w:t>
      </w:r>
      <w:r>
        <w:rPr>
          <w:sz w:val="21"/>
        </w:rPr>
        <w:t>应按照本方案所列的标准规范和政策性文件的要求，明确各运维岗位工作职责和要求，确保各项运维工作文档齐全、操作安全、记录清晰、沟通顺畅，规范开展运维工作，确保运维有记录、可追溯。</w:t>
      </w:r>
    </w:p>
    <w:p>
      <w:pPr>
        <w:ind w:firstLine="420"/>
        <w:jc w:val="both"/>
      </w:pPr>
      <w:r>
        <w:rPr>
          <w:sz w:val="21"/>
        </w:rPr>
        <w:t>按要求及时更新相关技术报告、测试报告、系统设计、数据库设计等各类文档，并按时汇交有关成果到中山市自然资源信息中心。</w:t>
      </w:r>
    </w:p>
    <w:p>
      <w:pPr>
        <w:ind w:firstLine="420"/>
        <w:jc w:val="both"/>
      </w:pPr>
      <w:r>
        <w:rPr>
          <w:sz w:val="21"/>
        </w:rPr>
        <w:t>乙方</w:t>
      </w:r>
      <w:r>
        <w:rPr>
          <w:sz w:val="21"/>
        </w:rPr>
        <w:t>应完善系统运维工具或运维模块，按照</w:t>
      </w:r>
      <w:r>
        <w:rPr>
          <w:sz w:val="21"/>
        </w:rPr>
        <w:t>甲方</w:t>
      </w:r>
      <w:r>
        <w:rPr>
          <w:sz w:val="21"/>
        </w:rPr>
        <w:t>的要求全面应用中山市自然资源政务信息平台智能运维模块或云平台云纳管等相关运维软件，借助各种工具，通过可视化、流程化、工具化运维，降低运维难度，提高运维效率。</w:t>
      </w:r>
    </w:p>
    <w:p>
      <w:pPr>
        <w:ind w:firstLine="420"/>
        <w:jc w:val="both"/>
      </w:pPr>
      <w:r>
        <w:rPr>
          <w:sz w:val="21"/>
        </w:rPr>
        <w:t>对于新增或优化调整的功能模块，应按国标或行业标准规范相关文档编写和代码编写，代码应有全面注释，文档应与实际运行系统保持一致，数据库设计书或数据库说明文档应详细且与实际一致，形成相应的系统更新说明和操作手册。对于接口的开发，方案应由接口双方确认，接口设计和说明应详细、条理清楚。</w:t>
      </w:r>
    </w:p>
    <w:p>
      <w:pPr>
        <w:ind w:firstLine="420"/>
        <w:jc w:val="both"/>
      </w:pPr>
      <w:r>
        <w:rPr>
          <w:sz w:val="21"/>
        </w:rPr>
        <w:t>应对系统建设阶段的需求分析、设计、编码、测试、上线及运维阶段的文档进行更新和版本管理，对代码和程序进行规范化版本管理。运维工作应记录完备、详细，且有专人负责。所有系统日志保留时间不得少于半年。</w:t>
      </w:r>
    </w:p>
    <w:p>
      <w:pPr>
        <w:jc w:val="both"/>
      </w:pPr>
    </w:p>
    <w:p>
      <w:pPr>
        <w:jc w:val="both"/>
      </w:pPr>
      <w:r>
        <w:rPr>
          <w:b/>
          <w:sz w:val="21"/>
        </w:rPr>
        <w:t>（八）</w:t>
      </w:r>
      <w:r>
        <w:rPr>
          <w:b/>
          <w:sz w:val="21"/>
        </w:rPr>
        <w:t>运维团队内部管理要求</w:t>
      </w:r>
    </w:p>
    <w:p>
      <w:pPr>
        <w:ind w:firstLine="420"/>
        <w:jc w:val="both"/>
      </w:pPr>
      <w:r>
        <w:rPr>
          <w:sz w:val="21"/>
        </w:rPr>
        <w:t>乙方</w:t>
      </w:r>
      <w:r>
        <w:rPr>
          <w:sz w:val="21"/>
        </w:rPr>
        <w:t>应加强内部管理，完善相关管理制度，合理设置岗位，明确人员责任，优化考核与奖惩机制，加强运维队伍建设，确保运维队伍专业性和稳定性，持续提升运维保障能力。</w:t>
      </w:r>
    </w:p>
    <w:p>
      <w:pPr>
        <w:ind w:firstLine="420"/>
        <w:jc w:val="both"/>
      </w:pPr>
      <w:r>
        <w:rPr>
          <w:sz w:val="21"/>
        </w:rPr>
        <w:t>乙方</w:t>
      </w:r>
      <w:r>
        <w:rPr>
          <w:sz w:val="21"/>
        </w:rPr>
        <w:t>应服从中山市自然资源信息化部门的管理。对列入运维工作内容的事项，该系统的具体运维工作是否开展、如何开展、何时完成均由市自然资源局信息化部门决定，承担该系统运维的单位不得拒绝。</w:t>
      </w:r>
    </w:p>
    <w:p>
      <w:pPr>
        <w:jc w:val="both"/>
      </w:pPr>
    </w:p>
    <w:p>
      <w:pPr>
        <w:jc w:val="both"/>
      </w:pPr>
      <w:r>
        <w:rPr>
          <w:b/>
          <w:sz w:val="21"/>
        </w:rPr>
        <w:t>（九）</w:t>
      </w:r>
      <w:r>
        <w:rPr>
          <w:b/>
          <w:sz w:val="21"/>
        </w:rPr>
        <w:t>项目成果及提交方式</w:t>
      </w:r>
    </w:p>
    <w:p>
      <w:pPr>
        <w:ind w:firstLine="420"/>
        <w:jc w:val="both"/>
      </w:pPr>
      <w:r>
        <w:rPr>
          <w:sz w:val="21"/>
        </w:rPr>
        <w:t>项目成果包括必要成果和条件性成果，均应按本章的要求提交。其中必要成果必须提交，条件性成果在一定条件下需要提交。</w:t>
      </w:r>
    </w:p>
    <w:p>
      <w:pPr>
        <w:ind w:firstLine="420"/>
        <w:jc w:val="both"/>
      </w:pPr>
      <w:r>
        <w:rPr>
          <w:sz w:val="21"/>
        </w:rPr>
        <w:t>成果移交时应填写交接单，办理交接手续。以系统为单位提交。</w:t>
      </w:r>
    </w:p>
    <w:p>
      <w:pPr>
        <w:ind w:firstLine="420"/>
        <w:jc w:val="both"/>
      </w:pPr>
      <w:r>
        <w:rPr>
          <w:sz w:val="21"/>
        </w:rPr>
        <w:t>对于重要性不高、规模不大的系统，其成果内容、提交形式、提交频率，甲方可根据实际情况减少成果类型和频次。对于重要性高、业务量大的系统，其运维工作和成果要求可根据实际需要调整。</w:t>
      </w:r>
    </w:p>
    <w:p>
      <w:pPr>
        <w:ind w:firstLine="420"/>
        <w:jc w:val="both"/>
      </w:pPr>
      <w:r>
        <w:rPr>
          <w:sz w:val="21"/>
        </w:rPr>
        <w:t>项目实施过程中关停的系统，其运行维护工作可进行置换，用于开展其他运行中系统的运维工作。</w:t>
      </w:r>
    </w:p>
    <w:p>
      <w:pPr>
        <w:ind w:firstLine="420"/>
        <w:jc w:val="both"/>
      </w:pPr>
      <w:r>
        <w:rPr>
          <w:sz w:val="21"/>
        </w:rPr>
        <w:t>纸质形式的成果，需经盖</w:t>
      </w:r>
      <w:r>
        <w:rPr>
          <w:sz w:val="21"/>
        </w:rPr>
        <w:t>乙方</w:t>
      </w:r>
      <w:r>
        <w:rPr>
          <w:sz w:val="21"/>
        </w:rPr>
        <w:t>公章，同时提供扫描件。成果提交工作的完成以该成果通过</w:t>
      </w:r>
      <w:r>
        <w:rPr>
          <w:sz w:val="21"/>
        </w:rPr>
        <w:t>甲方</w:t>
      </w:r>
      <w:r>
        <w:rPr>
          <w:sz w:val="21"/>
        </w:rPr>
        <w:t>的审核为标准。</w:t>
      </w:r>
    </w:p>
    <w:p>
      <w:pPr>
        <w:jc w:val="both"/>
      </w:pPr>
      <w:r>
        <w:rPr>
          <w:b/>
          <w:sz w:val="21"/>
        </w:rPr>
        <w:t xml:space="preserve">1)     </w:t>
      </w:r>
      <w:r>
        <w:rPr>
          <w:b/>
          <w:sz w:val="21"/>
        </w:rPr>
        <w:t>必要成果</w:t>
      </w:r>
    </w:p>
    <w:tbl>
      <w:tblPr>
        <w:tblW w:w="0" w:type="auto"/>
        <w:tblBorders>
          <w:top w:val="none" w:color="000000" w:sz="4"/>
          <w:left w:val="none" w:color="000000" w:sz="4"/>
          <w:bottom w:val="none" w:color="000000" w:sz="4"/>
          <w:right w:val="none" w:color="000000" w:sz="4"/>
          <w:insideH w:val="none"/>
          <w:insideV w:val="none"/>
        </w:tblBorders>
      </w:tblPr>
      <w:tblGrid>
        <w:gridCol w:w="942"/>
        <w:gridCol w:w="2055"/>
        <w:gridCol w:w="1113"/>
        <w:gridCol w:w="1798"/>
        <w:gridCol w:w="2398"/>
      </w:tblGrid>
      <w:tr>
        <w:tc>
          <w:tcPr>
            <w:tcW w:type="dxa" w:w="942"/>
            <w:tcBorders>
              <w:top w:val="single" w:color="000000" w:sz="4"/>
              <w:left w:val="single" w:color="000000" w:sz="4"/>
              <w:bottom w:val="single" w:color="000000" w:sz="4"/>
              <w:right w:val="single" w:color="000000" w:sz="4"/>
            </w:tcBorders>
          </w:tcPr>
          <w:p>
            <w:pPr>
              <w:jc w:val="center"/>
            </w:pPr>
            <w:r>
              <w:rPr>
                <w:b/>
              </w:rPr>
              <w:t>序号</w:t>
            </w:r>
          </w:p>
        </w:tc>
        <w:tc>
          <w:tcPr>
            <w:tcW w:type="dxa" w:w="2055"/>
            <w:tcBorders>
              <w:top w:val="single" w:color="000000" w:sz="4"/>
              <w:left w:val="none" w:color="000000" w:sz="4"/>
              <w:bottom w:val="single" w:color="000000" w:sz="4"/>
              <w:right w:val="single" w:color="000000" w:sz="4"/>
            </w:tcBorders>
          </w:tcPr>
          <w:p>
            <w:pPr>
              <w:jc w:val="center"/>
            </w:pPr>
            <w:r>
              <w:rPr>
                <w:b/>
              </w:rPr>
              <w:t>成果名称</w:t>
            </w:r>
          </w:p>
        </w:tc>
        <w:tc>
          <w:tcPr>
            <w:tcW w:type="dxa" w:w="1113"/>
            <w:tcBorders>
              <w:top w:val="single" w:color="000000" w:sz="4"/>
              <w:left w:val="none" w:color="000000" w:sz="4"/>
              <w:bottom w:val="single" w:color="000000" w:sz="4"/>
              <w:right w:val="single" w:color="000000" w:sz="4"/>
            </w:tcBorders>
          </w:tcPr>
          <w:p>
            <w:pPr>
              <w:jc w:val="center"/>
            </w:pPr>
            <w:r>
              <w:rPr>
                <w:b/>
              </w:rPr>
              <w:t>数量</w:t>
            </w:r>
          </w:p>
        </w:tc>
        <w:tc>
          <w:tcPr>
            <w:tcW w:type="dxa" w:w="1798"/>
            <w:tcBorders>
              <w:top w:val="single" w:color="000000" w:sz="4"/>
              <w:left w:val="none" w:color="000000" w:sz="4"/>
              <w:bottom w:val="single" w:color="000000" w:sz="4"/>
              <w:right w:val="single" w:color="000000" w:sz="4"/>
            </w:tcBorders>
          </w:tcPr>
          <w:p>
            <w:pPr>
              <w:jc w:val="center"/>
            </w:pPr>
            <w:r>
              <w:rPr>
                <w:b/>
              </w:rPr>
              <w:t>形 式</w:t>
            </w:r>
          </w:p>
        </w:tc>
        <w:tc>
          <w:tcPr>
            <w:tcW w:type="dxa" w:w="2398"/>
            <w:tcBorders>
              <w:top w:val="single" w:color="000000" w:sz="4"/>
              <w:left w:val="none" w:color="000000" w:sz="4"/>
              <w:bottom w:val="single" w:color="000000" w:sz="4"/>
              <w:right w:val="single" w:color="000000" w:sz="4"/>
            </w:tcBorders>
          </w:tcPr>
          <w:p>
            <w:pPr>
              <w:jc w:val="center"/>
            </w:pPr>
            <w:r>
              <w:rPr>
                <w:b/>
              </w:rPr>
              <w:t>要 求</w:t>
            </w:r>
          </w:p>
        </w:tc>
      </w:tr>
      <w:tr>
        <w:tc>
          <w:tcPr>
            <w:tcW w:type="dxa" w:w="942"/>
            <w:tcBorders>
              <w:top w:val="none" w:color="000000" w:sz="4"/>
              <w:left w:val="single" w:color="000000" w:sz="4"/>
              <w:bottom w:val="single" w:color="000000" w:sz="4"/>
              <w:right w:val="single" w:color="000000" w:sz="4"/>
            </w:tcBorders>
          </w:tcPr>
          <w:p>
            <w:pPr>
              <w:jc w:val="center"/>
            </w:pPr>
            <w:r>
              <w:rPr/>
              <w:t>1</w:t>
            </w:r>
          </w:p>
        </w:tc>
        <w:tc>
          <w:tcPr>
            <w:tcW w:type="dxa" w:w="2055"/>
            <w:tcBorders>
              <w:top w:val="none" w:color="000000" w:sz="4"/>
              <w:left w:val="none" w:color="000000" w:sz="4"/>
              <w:bottom w:val="single" w:color="000000" w:sz="4"/>
              <w:right w:val="single" w:color="000000" w:sz="4"/>
            </w:tcBorders>
          </w:tcPr>
          <w:p>
            <w:pPr>
              <w:jc w:val="center"/>
            </w:pPr>
            <w:r>
              <w:rPr>
                <w:sz w:val="21"/>
              </w:rPr>
              <w:t>项目工作方案</w:t>
            </w:r>
          </w:p>
        </w:tc>
        <w:tc>
          <w:tcPr>
            <w:tcW w:type="dxa" w:w="1113"/>
            <w:tcBorders>
              <w:top w:val="none" w:color="000000" w:sz="4"/>
              <w:left w:val="none" w:color="000000" w:sz="4"/>
              <w:bottom w:val="single" w:color="000000" w:sz="4"/>
              <w:right w:val="single" w:color="000000" w:sz="4"/>
            </w:tcBorders>
          </w:tcPr>
          <w:p>
            <w:pPr>
              <w:jc w:val="center"/>
            </w:pPr>
            <w:r>
              <w:rPr/>
              <w:t>1</w:t>
            </w:r>
            <w:r>
              <w:rPr/>
              <w:t>套</w:t>
            </w:r>
          </w:p>
        </w:tc>
        <w:tc>
          <w:tcPr>
            <w:tcW w:type="dxa" w:w="1798"/>
            <w:tcBorders>
              <w:top w:val="none" w:color="000000" w:sz="4"/>
              <w:left w:val="none" w:color="000000" w:sz="4"/>
              <w:bottom w:val="single" w:color="000000" w:sz="4"/>
              <w:right w:val="single" w:color="000000" w:sz="4"/>
            </w:tcBorders>
          </w:tcPr>
          <w:p>
            <w:pPr>
              <w:jc w:val="center"/>
            </w:pPr>
            <w:r>
              <w:rPr/>
              <w:t>电子文档和纸质</w:t>
            </w:r>
          </w:p>
        </w:tc>
        <w:tc>
          <w:tcPr>
            <w:tcW w:type="dxa" w:w="2398"/>
            <w:tcBorders>
              <w:top w:val="none" w:color="000000" w:sz="4"/>
              <w:left w:val="none" w:color="000000" w:sz="4"/>
              <w:bottom w:val="single" w:color="000000" w:sz="4"/>
              <w:right w:val="single" w:color="000000" w:sz="4"/>
            </w:tcBorders>
          </w:tcPr>
          <w:p>
            <w:pPr>
              <w:jc w:val="center"/>
            </w:pPr>
            <w:r>
              <w:rPr/>
              <w:t>签订合同后15个工作日内，支付首期款前，共提交1次</w:t>
            </w:r>
          </w:p>
        </w:tc>
      </w:tr>
      <w:tr>
        <w:tc>
          <w:tcPr>
            <w:tcW w:type="dxa" w:w="942"/>
            <w:tcBorders>
              <w:top w:val="none" w:color="000000" w:sz="4"/>
              <w:left w:val="single" w:color="000000" w:sz="4"/>
              <w:bottom w:val="single" w:color="000000" w:sz="4"/>
              <w:right w:val="single" w:color="000000" w:sz="4"/>
            </w:tcBorders>
          </w:tcPr>
          <w:p>
            <w:pPr>
              <w:jc w:val="center"/>
            </w:pPr>
            <w:r>
              <w:rPr/>
              <w:t>2</w:t>
            </w:r>
          </w:p>
        </w:tc>
        <w:tc>
          <w:tcPr>
            <w:tcW w:type="dxa" w:w="2055"/>
            <w:tcBorders>
              <w:top w:val="none" w:color="000000" w:sz="4"/>
              <w:left w:val="none" w:color="000000" w:sz="4"/>
              <w:bottom w:val="single" w:color="000000" w:sz="4"/>
              <w:right w:val="single" w:color="000000" w:sz="4"/>
            </w:tcBorders>
          </w:tcPr>
          <w:p>
            <w:pPr>
              <w:jc w:val="center"/>
            </w:pPr>
            <w:r>
              <w:rPr>
                <w:sz w:val="21"/>
              </w:rPr>
              <w:t>项目总结报告</w:t>
            </w:r>
          </w:p>
        </w:tc>
        <w:tc>
          <w:tcPr>
            <w:tcW w:type="dxa" w:w="1113"/>
            <w:tcBorders>
              <w:top w:val="none" w:color="000000" w:sz="4"/>
              <w:left w:val="none" w:color="000000" w:sz="4"/>
              <w:bottom w:val="single" w:color="000000" w:sz="4"/>
              <w:right w:val="single" w:color="000000" w:sz="4"/>
            </w:tcBorders>
          </w:tcPr>
          <w:p>
            <w:pPr>
              <w:jc w:val="center"/>
            </w:pPr>
            <w:r>
              <w:rPr/>
              <w:t>1</w:t>
            </w:r>
            <w:r>
              <w:rPr/>
              <w:t>套</w:t>
            </w:r>
          </w:p>
        </w:tc>
        <w:tc>
          <w:tcPr>
            <w:tcW w:type="dxa" w:w="1798"/>
            <w:tcBorders>
              <w:top w:val="none" w:color="000000" w:sz="4"/>
              <w:left w:val="none" w:color="000000" w:sz="4"/>
              <w:bottom w:val="single" w:color="000000" w:sz="4"/>
              <w:right w:val="single" w:color="000000" w:sz="4"/>
            </w:tcBorders>
          </w:tcPr>
          <w:p>
            <w:pPr>
              <w:jc w:val="center"/>
            </w:pPr>
            <w:r>
              <w:rPr/>
              <w:t>电子文档和纸质</w:t>
            </w:r>
          </w:p>
        </w:tc>
        <w:tc>
          <w:tcPr>
            <w:tcW w:type="dxa" w:w="2398"/>
            <w:tcBorders>
              <w:top w:val="none" w:color="000000" w:sz="4"/>
              <w:left w:val="none" w:color="000000" w:sz="4"/>
              <w:bottom w:val="single" w:color="000000" w:sz="4"/>
              <w:right w:val="single" w:color="000000" w:sz="4"/>
            </w:tcBorders>
          </w:tcPr>
          <w:p>
            <w:pPr>
              <w:jc w:val="center"/>
            </w:pPr>
            <w:r>
              <w:rPr/>
              <w:t>项目运维期结束支付尾款前，共提交1次</w:t>
            </w:r>
          </w:p>
        </w:tc>
      </w:tr>
      <w:tr>
        <w:tc>
          <w:tcPr>
            <w:tcW w:type="dxa" w:w="942"/>
            <w:tcBorders>
              <w:top w:val="none" w:color="000000" w:sz="4"/>
              <w:left w:val="single" w:color="000000" w:sz="4"/>
              <w:bottom w:val="single" w:color="000000" w:sz="4"/>
              <w:right w:val="single" w:color="000000" w:sz="4"/>
            </w:tcBorders>
          </w:tcPr>
          <w:p>
            <w:pPr>
              <w:jc w:val="center"/>
            </w:pPr>
            <w:r>
              <w:rPr/>
              <w:t>3</w:t>
            </w:r>
          </w:p>
        </w:tc>
        <w:tc>
          <w:tcPr>
            <w:tcW w:type="dxa" w:w="2055"/>
            <w:tcBorders>
              <w:top w:val="none" w:color="000000" w:sz="4"/>
              <w:left w:val="none" w:color="000000" w:sz="4"/>
              <w:bottom w:val="single" w:color="000000" w:sz="4"/>
              <w:right w:val="single" w:color="000000" w:sz="4"/>
            </w:tcBorders>
          </w:tcPr>
          <w:p>
            <w:pPr>
              <w:jc w:val="center"/>
            </w:pPr>
            <w:r>
              <w:rPr/>
              <w:t>系统运维方案（运维指南）</w:t>
            </w:r>
          </w:p>
        </w:tc>
        <w:tc>
          <w:tcPr>
            <w:tcW w:type="dxa" w:w="1113"/>
            <w:tcBorders>
              <w:top w:val="none" w:color="000000" w:sz="4"/>
              <w:left w:val="none" w:color="000000" w:sz="4"/>
              <w:bottom w:val="single" w:color="000000" w:sz="4"/>
              <w:right w:val="single" w:color="000000" w:sz="4"/>
            </w:tcBorders>
          </w:tcPr>
          <w:p>
            <w:pPr>
              <w:jc w:val="center"/>
            </w:pPr>
            <w:r>
              <w:rPr/>
              <w:t>1</w:t>
            </w:r>
            <w:r>
              <w:rPr/>
              <w:t>套</w:t>
            </w:r>
          </w:p>
        </w:tc>
        <w:tc>
          <w:tcPr>
            <w:tcW w:type="dxa" w:w="1798"/>
            <w:tcBorders>
              <w:top w:val="none" w:color="000000" w:sz="4"/>
              <w:left w:val="none" w:color="000000" w:sz="4"/>
              <w:bottom w:val="single" w:color="000000" w:sz="4"/>
              <w:right w:val="single" w:color="000000" w:sz="4"/>
            </w:tcBorders>
          </w:tcPr>
          <w:p>
            <w:pPr>
              <w:jc w:val="center"/>
            </w:pPr>
            <w:r>
              <w:rPr/>
              <w:t>电子文档和纸质</w:t>
            </w:r>
          </w:p>
        </w:tc>
        <w:tc>
          <w:tcPr>
            <w:tcW w:type="dxa" w:w="2398"/>
            <w:tcBorders>
              <w:top w:val="none" w:color="000000" w:sz="4"/>
              <w:left w:val="none" w:color="000000" w:sz="4"/>
              <w:bottom w:val="single" w:color="000000" w:sz="4"/>
              <w:right w:val="single" w:color="000000" w:sz="4"/>
            </w:tcBorders>
          </w:tcPr>
          <w:p>
            <w:pPr>
              <w:jc w:val="center"/>
            </w:pPr>
            <w:r>
              <w:rPr/>
              <w:t>应在运维开始之前的15个工作日提交；应包含风险评估和应对措施。</w:t>
            </w:r>
          </w:p>
        </w:tc>
      </w:tr>
      <w:tr>
        <w:tc>
          <w:tcPr>
            <w:tcW w:type="dxa" w:w="942"/>
            <w:tcBorders>
              <w:top w:val="none" w:color="000000" w:sz="4"/>
              <w:left w:val="single" w:color="000000" w:sz="4"/>
              <w:bottom w:val="single" w:color="000000" w:sz="4"/>
              <w:right w:val="single" w:color="000000" w:sz="4"/>
            </w:tcBorders>
          </w:tcPr>
          <w:p>
            <w:pPr>
              <w:jc w:val="center"/>
            </w:pPr>
            <w:r>
              <w:rPr/>
              <w:t>4</w:t>
            </w:r>
          </w:p>
        </w:tc>
        <w:tc>
          <w:tcPr>
            <w:tcW w:type="dxa" w:w="2055"/>
            <w:tcBorders>
              <w:top w:val="none" w:color="000000" w:sz="4"/>
              <w:left w:val="none" w:color="000000" w:sz="4"/>
              <w:bottom w:val="single" w:color="000000" w:sz="4"/>
              <w:right w:val="single" w:color="000000" w:sz="4"/>
            </w:tcBorders>
          </w:tcPr>
          <w:p>
            <w:pPr>
              <w:jc w:val="center"/>
            </w:pPr>
            <w:r>
              <w:rPr/>
              <w:t>系统故障排查指南</w:t>
            </w:r>
          </w:p>
        </w:tc>
        <w:tc>
          <w:tcPr>
            <w:tcW w:type="dxa" w:w="1113"/>
            <w:tcBorders>
              <w:top w:val="none" w:color="000000" w:sz="4"/>
              <w:left w:val="none" w:color="000000" w:sz="4"/>
              <w:bottom w:val="single" w:color="000000" w:sz="4"/>
              <w:right w:val="single" w:color="000000" w:sz="4"/>
            </w:tcBorders>
          </w:tcPr>
          <w:p>
            <w:pPr>
              <w:jc w:val="center"/>
            </w:pPr>
            <w:r>
              <w:rPr/>
              <w:t>1</w:t>
            </w:r>
            <w:r>
              <w:rPr/>
              <w:t>套</w:t>
            </w:r>
          </w:p>
        </w:tc>
        <w:tc>
          <w:tcPr>
            <w:tcW w:type="dxa" w:w="1798"/>
            <w:tcBorders>
              <w:top w:val="none" w:color="000000" w:sz="4"/>
              <w:left w:val="none" w:color="000000" w:sz="4"/>
              <w:bottom w:val="single" w:color="000000" w:sz="4"/>
              <w:right w:val="single" w:color="000000" w:sz="4"/>
            </w:tcBorders>
          </w:tcPr>
          <w:p>
            <w:pPr>
              <w:jc w:val="center"/>
            </w:pPr>
            <w:r>
              <w:rPr/>
              <w:t>电子文档</w:t>
            </w:r>
          </w:p>
        </w:tc>
        <w:tc>
          <w:tcPr>
            <w:tcW w:type="dxa" w:w="2398"/>
            <w:tcBorders>
              <w:top w:val="none" w:color="000000" w:sz="4"/>
              <w:left w:val="none" w:color="000000" w:sz="4"/>
              <w:bottom w:val="single" w:color="000000" w:sz="4"/>
              <w:right w:val="single" w:color="000000" w:sz="4"/>
            </w:tcBorders>
          </w:tcPr>
          <w:p>
            <w:pPr>
              <w:jc w:val="center"/>
            </w:pPr>
            <w:r>
              <w:rPr/>
              <w:t>实时更新</w:t>
            </w:r>
          </w:p>
        </w:tc>
      </w:tr>
      <w:tr>
        <w:tc>
          <w:tcPr>
            <w:tcW w:type="dxa" w:w="942"/>
            <w:tcBorders>
              <w:top w:val="none" w:color="000000" w:sz="4"/>
              <w:left w:val="single" w:color="000000" w:sz="4"/>
              <w:bottom w:val="single" w:color="000000" w:sz="4"/>
              <w:right w:val="single" w:color="000000" w:sz="4"/>
            </w:tcBorders>
          </w:tcPr>
          <w:p>
            <w:pPr>
              <w:jc w:val="center"/>
            </w:pPr>
            <w:r>
              <w:rPr/>
              <w:t>5</w:t>
            </w:r>
          </w:p>
        </w:tc>
        <w:tc>
          <w:tcPr>
            <w:tcW w:type="dxa" w:w="2055"/>
            <w:tcBorders>
              <w:top w:val="none" w:color="000000" w:sz="4"/>
              <w:left w:val="none" w:color="000000" w:sz="4"/>
              <w:bottom w:val="single" w:color="000000" w:sz="4"/>
              <w:right w:val="single" w:color="000000" w:sz="4"/>
            </w:tcBorders>
          </w:tcPr>
          <w:p>
            <w:pPr>
              <w:jc w:val="center"/>
            </w:pPr>
            <w:r>
              <w:rPr/>
              <w:t>系统应急响应预案</w:t>
            </w:r>
          </w:p>
        </w:tc>
        <w:tc>
          <w:tcPr>
            <w:tcW w:type="dxa" w:w="1113"/>
            <w:tcBorders>
              <w:top w:val="none" w:color="000000" w:sz="4"/>
              <w:left w:val="none" w:color="000000" w:sz="4"/>
              <w:bottom w:val="single" w:color="000000" w:sz="4"/>
              <w:right w:val="single" w:color="000000" w:sz="4"/>
            </w:tcBorders>
          </w:tcPr>
          <w:p>
            <w:pPr>
              <w:jc w:val="center"/>
            </w:pPr>
            <w:r>
              <w:rPr/>
              <w:t>1</w:t>
            </w:r>
            <w:r>
              <w:rPr/>
              <w:t>套</w:t>
            </w:r>
          </w:p>
        </w:tc>
        <w:tc>
          <w:tcPr>
            <w:tcW w:type="dxa" w:w="1798"/>
            <w:tcBorders>
              <w:top w:val="none" w:color="000000" w:sz="4"/>
              <w:left w:val="none" w:color="000000" w:sz="4"/>
              <w:bottom w:val="single" w:color="000000" w:sz="4"/>
              <w:right w:val="single" w:color="000000" w:sz="4"/>
            </w:tcBorders>
          </w:tcPr>
          <w:p>
            <w:pPr>
              <w:jc w:val="center"/>
            </w:pPr>
            <w:r>
              <w:rPr/>
              <w:t>电子文档</w:t>
            </w:r>
          </w:p>
        </w:tc>
        <w:tc>
          <w:tcPr>
            <w:tcW w:type="dxa" w:w="2398"/>
            <w:tcBorders>
              <w:top w:val="none" w:color="000000" w:sz="4"/>
              <w:left w:val="none" w:color="000000" w:sz="4"/>
              <w:bottom w:val="single" w:color="000000" w:sz="4"/>
              <w:right w:val="single" w:color="000000" w:sz="4"/>
            </w:tcBorders>
          </w:tcPr>
          <w:p>
            <w:pPr>
              <w:jc w:val="center"/>
            </w:pPr>
            <w:r>
              <w:rPr/>
              <w:t>实时更新</w:t>
            </w:r>
          </w:p>
        </w:tc>
      </w:tr>
      <w:tr>
        <w:tc>
          <w:tcPr>
            <w:tcW w:type="dxa" w:w="942"/>
            <w:tcBorders>
              <w:top w:val="none" w:color="000000" w:sz="4"/>
              <w:left w:val="single" w:color="000000" w:sz="4"/>
              <w:bottom w:val="single" w:color="000000" w:sz="4"/>
              <w:right w:val="single" w:color="000000" w:sz="4"/>
            </w:tcBorders>
          </w:tcPr>
          <w:p>
            <w:pPr>
              <w:jc w:val="center"/>
            </w:pPr>
            <w:r>
              <w:rPr/>
              <w:t>6</w:t>
            </w:r>
          </w:p>
        </w:tc>
        <w:tc>
          <w:tcPr>
            <w:tcW w:type="dxa" w:w="2055"/>
            <w:tcBorders>
              <w:top w:val="none" w:color="000000" w:sz="4"/>
              <w:left w:val="none" w:color="000000" w:sz="4"/>
              <w:bottom w:val="single" w:color="000000" w:sz="4"/>
              <w:right w:val="single" w:color="000000" w:sz="4"/>
            </w:tcBorders>
          </w:tcPr>
          <w:p>
            <w:pPr>
              <w:jc w:val="center"/>
            </w:pPr>
            <w:r>
              <w:rPr/>
              <w:t>系统数据备份与恢复方案</w:t>
            </w:r>
          </w:p>
        </w:tc>
        <w:tc>
          <w:tcPr>
            <w:tcW w:type="dxa" w:w="1113"/>
            <w:tcBorders>
              <w:top w:val="none" w:color="000000" w:sz="4"/>
              <w:left w:val="none" w:color="000000" w:sz="4"/>
              <w:bottom w:val="single" w:color="000000" w:sz="4"/>
              <w:right w:val="single" w:color="000000" w:sz="4"/>
            </w:tcBorders>
          </w:tcPr>
          <w:p>
            <w:pPr>
              <w:jc w:val="center"/>
            </w:pPr>
            <w:r>
              <w:rPr/>
              <w:t>1</w:t>
            </w:r>
            <w:r>
              <w:rPr/>
              <w:t>套</w:t>
            </w:r>
          </w:p>
        </w:tc>
        <w:tc>
          <w:tcPr>
            <w:tcW w:type="dxa" w:w="1798"/>
            <w:tcBorders>
              <w:top w:val="none" w:color="000000" w:sz="4"/>
              <w:left w:val="none" w:color="000000" w:sz="4"/>
              <w:bottom w:val="single" w:color="000000" w:sz="4"/>
              <w:right w:val="single" w:color="000000" w:sz="4"/>
            </w:tcBorders>
          </w:tcPr>
          <w:p>
            <w:pPr>
              <w:jc w:val="center"/>
            </w:pPr>
            <w:r>
              <w:rPr/>
              <w:t>电子文档</w:t>
            </w:r>
          </w:p>
        </w:tc>
        <w:tc>
          <w:tcPr>
            <w:tcW w:type="dxa" w:w="2398"/>
            <w:tcBorders>
              <w:top w:val="none" w:color="000000" w:sz="4"/>
              <w:left w:val="none" w:color="000000" w:sz="4"/>
              <w:bottom w:val="single" w:color="000000" w:sz="4"/>
              <w:right w:val="single" w:color="000000" w:sz="4"/>
            </w:tcBorders>
          </w:tcPr>
          <w:p>
            <w:pPr>
              <w:jc w:val="center"/>
            </w:pPr>
            <w:r>
              <w:rPr/>
              <w:t>实时更新</w:t>
            </w:r>
          </w:p>
        </w:tc>
      </w:tr>
      <w:tr>
        <w:tc>
          <w:tcPr>
            <w:tcW w:type="dxa" w:w="942"/>
            <w:tcBorders>
              <w:top w:val="none" w:color="000000" w:sz="4"/>
              <w:left w:val="single" w:color="000000" w:sz="4"/>
              <w:bottom w:val="single" w:color="000000" w:sz="4"/>
              <w:right w:val="single" w:color="000000" w:sz="4"/>
            </w:tcBorders>
          </w:tcPr>
          <w:p>
            <w:pPr>
              <w:jc w:val="center"/>
            </w:pPr>
            <w:r>
              <w:rPr/>
              <w:t>8</w:t>
            </w:r>
          </w:p>
        </w:tc>
        <w:tc>
          <w:tcPr>
            <w:tcW w:type="dxa" w:w="2055"/>
            <w:tcBorders>
              <w:top w:val="none" w:color="000000" w:sz="4"/>
              <w:left w:val="none" w:color="000000" w:sz="4"/>
              <w:bottom w:val="single" w:color="000000" w:sz="4"/>
              <w:right w:val="single" w:color="000000" w:sz="4"/>
            </w:tcBorders>
          </w:tcPr>
          <w:p>
            <w:pPr>
              <w:jc w:val="center"/>
            </w:pPr>
            <w:r>
              <w:rPr>
                <w:sz w:val="21"/>
              </w:rPr>
              <w:t>系统运维台帐及维护月报</w:t>
            </w:r>
          </w:p>
        </w:tc>
        <w:tc>
          <w:tcPr>
            <w:tcW w:type="dxa" w:w="1113"/>
            <w:tcBorders>
              <w:top w:val="none" w:color="000000" w:sz="4"/>
              <w:left w:val="none" w:color="000000" w:sz="4"/>
              <w:bottom w:val="single" w:color="000000" w:sz="4"/>
              <w:right w:val="single" w:color="000000" w:sz="4"/>
            </w:tcBorders>
          </w:tcPr>
          <w:p>
            <w:pPr>
              <w:jc w:val="center"/>
            </w:pPr>
            <w:r>
              <w:rPr/>
              <w:t>1</w:t>
            </w:r>
            <w:r>
              <w:rPr/>
              <w:t>套</w:t>
            </w:r>
          </w:p>
        </w:tc>
        <w:tc>
          <w:tcPr>
            <w:tcW w:type="dxa" w:w="1798"/>
            <w:tcBorders>
              <w:top w:val="none" w:color="000000" w:sz="4"/>
              <w:left w:val="none" w:color="000000" w:sz="4"/>
              <w:bottom w:val="single" w:color="000000" w:sz="4"/>
              <w:right w:val="single" w:color="000000" w:sz="4"/>
            </w:tcBorders>
          </w:tcPr>
          <w:p>
            <w:pPr>
              <w:jc w:val="center"/>
            </w:pPr>
            <w:r>
              <w:rPr/>
              <w:t>电子文档</w:t>
            </w:r>
          </w:p>
        </w:tc>
        <w:tc>
          <w:tcPr>
            <w:tcW w:type="dxa" w:w="2398"/>
            <w:tcBorders>
              <w:top w:val="none" w:color="000000" w:sz="4"/>
              <w:left w:val="none" w:color="000000" w:sz="4"/>
              <w:bottom w:val="single" w:color="000000" w:sz="4"/>
              <w:right w:val="single" w:color="000000" w:sz="4"/>
            </w:tcBorders>
          </w:tcPr>
          <w:p>
            <w:pPr>
              <w:jc w:val="center"/>
            </w:pPr>
            <w:r>
              <w:rPr/>
              <w:t>每月5日前提交上一月</w:t>
            </w:r>
          </w:p>
        </w:tc>
      </w:tr>
      <w:tr>
        <w:tc>
          <w:tcPr>
            <w:tcW w:type="dxa" w:w="942"/>
            <w:tcBorders>
              <w:top w:val="none" w:color="000000" w:sz="4"/>
              <w:left w:val="single" w:color="000000" w:sz="4"/>
              <w:bottom w:val="single" w:color="000000" w:sz="4"/>
              <w:right w:val="single" w:color="000000" w:sz="4"/>
            </w:tcBorders>
          </w:tcPr>
          <w:p>
            <w:pPr>
              <w:jc w:val="center"/>
            </w:pPr>
            <w:r>
              <w:rPr/>
              <w:t>9</w:t>
            </w:r>
          </w:p>
        </w:tc>
        <w:tc>
          <w:tcPr>
            <w:tcW w:type="dxa" w:w="2055"/>
            <w:tcBorders>
              <w:top w:val="none" w:color="000000" w:sz="4"/>
              <w:left w:val="none" w:color="000000" w:sz="4"/>
              <w:bottom w:val="single" w:color="000000" w:sz="4"/>
              <w:right w:val="single" w:color="000000" w:sz="4"/>
            </w:tcBorders>
          </w:tcPr>
          <w:p>
            <w:pPr>
              <w:jc w:val="center"/>
            </w:pPr>
            <w:r>
              <w:rPr>
                <w:sz w:val="21"/>
              </w:rPr>
              <w:t>系统源代码（含全面注释）</w:t>
            </w:r>
          </w:p>
        </w:tc>
        <w:tc>
          <w:tcPr>
            <w:tcW w:type="dxa" w:w="1113"/>
            <w:tcBorders>
              <w:top w:val="none" w:color="000000" w:sz="4"/>
              <w:left w:val="none" w:color="000000" w:sz="4"/>
              <w:bottom w:val="single" w:color="000000" w:sz="4"/>
              <w:right w:val="single" w:color="000000" w:sz="4"/>
            </w:tcBorders>
          </w:tcPr>
          <w:p>
            <w:pPr>
              <w:jc w:val="center"/>
            </w:pPr>
            <w:r>
              <w:rPr/>
              <w:t>1</w:t>
            </w:r>
            <w:r>
              <w:rPr/>
              <w:t>套</w:t>
            </w:r>
          </w:p>
        </w:tc>
        <w:tc>
          <w:tcPr>
            <w:tcW w:type="dxa" w:w="1798"/>
            <w:tcBorders>
              <w:top w:val="none" w:color="000000" w:sz="4"/>
              <w:left w:val="none" w:color="000000" w:sz="4"/>
              <w:bottom w:val="single" w:color="000000" w:sz="4"/>
              <w:right w:val="single" w:color="000000" w:sz="4"/>
            </w:tcBorders>
          </w:tcPr>
          <w:p>
            <w:pPr>
              <w:jc w:val="center"/>
            </w:pPr>
            <w:r>
              <w:rPr/>
              <w:t>光盘或拷贝</w:t>
            </w:r>
          </w:p>
        </w:tc>
        <w:tc>
          <w:tcPr>
            <w:tcW w:type="dxa" w:w="2398"/>
            <w:tcBorders>
              <w:top w:val="none" w:color="000000" w:sz="4"/>
              <w:left w:val="none" w:color="000000" w:sz="4"/>
              <w:bottom w:val="single" w:color="000000" w:sz="4"/>
              <w:right w:val="single" w:color="000000" w:sz="4"/>
            </w:tcBorders>
          </w:tcPr>
          <w:p>
            <w:pPr>
              <w:jc w:val="center"/>
            </w:pPr>
            <w:r>
              <w:rPr/>
              <w:t>年末或项目运维结束时提交1次当前版本系统的全部代码（含系统建设阶段的代码）。源代码的含义，运维公司有解释清楚的义务。对于为本系统开发的源代码，若经过了封装，应提供封装前的源代码。运维期间，运维公司需根据中山市自然资源局的要求随时提供源代码</w:t>
            </w:r>
          </w:p>
        </w:tc>
      </w:tr>
      <w:tr>
        <w:tc>
          <w:tcPr>
            <w:tcW w:type="dxa" w:w="942"/>
            <w:tcBorders>
              <w:top w:val="none" w:color="000000" w:sz="4"/>
              <w:left w:val="single" w:color="000000" w:sz="4"/>
              <w:bottom w:val="single" w:color="000000" w:sz="4"/>
              <w:right w:val="single" w:color="000000" w:sz="4"/>
            </w:tcBorders>
          </w:tcPr>
          <w:p>
            <w:pPr>
              <w:jc w:val="center"/>
            </w:pPr>
            <w:r>
              <w:rPr/>
              <w:t>10</w:t>
            </w:r>
          </w:p>
        </w:tc>
        <w:tc>
          <w:tcPr>
            <w:tcW w:type="dxa" w:w="2055"/>
            <w:tcBorders>
              <w:top w:val="none" w:color="000000" w:sz="4"/>
              <w:left w:val="none" w:color="000000" w:sz="4"/>
              <w:bottom w:val="single" w:color="000000" w:sz="4"/>
              <w:right w:val="single" w:color="000000" w:sz="4"/>
            </w:tcBorders>
          </w:tcPr>
          <w:p>
            <w:pPr>
              <w:jc w:val="center"/>
            </w:pPr>
            <w:r>
              <w:rPr>
                <w:sz w:val="21"/>
              </w:rPr>
              <w:t>数据库设计文档</w:t>
            </w:r>
          </w:p>
        </w:tc>
        <w:tc>
          <w:tcPr>
            <w:tcW w:type="dxa" w:w="1113"/>
            <w:tcBorders>
              <w:top w:val="none" w:color="000000" w:sz="4"/>
              <w:left w:val="none" w:color="000000" w:sz="4"/>
              <w:bottom w:val="single" w:color="000000" w:sz="4"/>
              <w:right w:val="single" w:color="000000" w:sz="4"/>
            </w:tcBorders>
          </w:tcPr>
          <w:p>
            <w:pPr>
              <w:jc w:val="center"/>
            </w:pPr>
            <w:r>
              <w:rPr/>
              <w:t>1</w:t>
            </w:r>
            <w:r>
              <w:rPr/>
              <w:t>套</w:t>
            </w:r>
          </w:p>
        </w:tc>
        <w:tc>
          <w:tcPr>
            <w:tcW w:type="dxa" w:w="1798"/>
            <w:tcBorders>
              <w:top w:val="none" w:color="000000" w:sz="4"/>
              <w:left w:val="none" w:color="000000" w:sz="4"/>
              <w:bottom w:val="single" w:color="000000" w:sz="4"/>
              <w:right w:val="single" w:color="000000" w:sz="4"/>
            </w:tcBorders>
          </w:tcPr>
          <w:p>
            <w:pPr>
              <w:jc w:val="center"/>
            </w:pPr>
            <w:r>
              <w:rPr/>
              <w:t>电子文档</w:t>
            </w:r>
          </w:p>
        </w:tc>
        <w:tc>
          <w:tcPr>
            <w:tcW w:type="dxa" w:w="2398"/>
            <w:tcBorders>
              <w:top w:val="none" w:color="000000" w:sz="4"/>
              <w:left w:val="none" w:color="000000" w:sz="4"/>
              <w:bottom w:val="single" w:color="000000" w:sz="4"/>
              <w:right w:val="single" w:color="000000" w:sz="4"/>
            </w:tcBorders>
          </w:tcPr>
          <w:p>
            <w:pPr>
              <w:jc w:val="center"/>
            </w:pPr>
            <w:r>
              <w:rPr/>
              <w:t>项目完成交付后提交一次</w:t>
            </w:r>
          </w:p>
        </w:tc>
      </w:tr>
      <w:tr>
        <w:tc>
          <w:tcPr>
            <w:tcW w:type="dxa" w:w="942"/>
            <w:tcBorders>
              <w:top w:val="none" w:color="000000" w:sz="4"/>
              <w:left w:val="single" w:color="000000" w:sz="4"/>
              <w:bottom w:val="single" w:color="000000" w:sz="4"/>
              <w:right w:val="single" w:color="000000" w:sz="4"/>
            </w:tcBorders>
          </w:tcPr>
          <w:p>
            <w:pPr>
              <w:jc w:val="center"/>
            </w:pPr>
            <w:r>
              <w:rPr/>
              <w:t>11</w:t>
            </w:r>
          </w:p>
        </w:tc>
        <w:tc>
          <w:tcPr>
            <w:tcW w:type="dxa" w:w="2055"/>
            <w:tcBorders>
              <w:top w:val="none" w:color="000000" w:sz="4"/>
              <w:left w:val="none" w:color="000000" w:sz="4"/>
              <w:bottom w:val="single" w:color="000000" w:sz="4"/>
              <w:right w:val="single" w:color="000000" w:sz="4"/>
            </w:tcBorders>
          </w:tcPr>
          <w:p>
            <w:pPr>
              <w:jc w:val="center"/>
            </w:pPr>
            <w:r>
              <w:rPr>
                <w:sz w:val="21"/>
              </w:rPr>
              <w:t>系统部署手册（含服务器部署和客户端安装）</w:t>
            </w:r>
          </w:p>
        </w:tc>
        <w:tc>
          <w:tcPr>
            <w:tcW w:type="dxa" w:w="1113"/>
            <w:tcBorders>
              <w:top w:val="none" w:color="000000" w:sz="4"/>
              <w:left w:val="none" w:color="000000" w:sz="4"/>
              <w:bottom w:val="single" w:color="000000" w:sz="4"/>
              <w:right w:val="single" w:color="000000" w:sz="4"/>
            </w:tcBorders>
          </w:tcPr>
          <w:p>
            <w:pPr>
              <w:jc w:val="center"/>
            </w:pPr>
            <w:r>
              <w:rPr/>
              <w:t>1</w:t>
            </w:r>
            <w:r>
              <w:rPr/>
              <w:t>套</w:t>
            </w:r>
          </w:p>
        </w:tc>
        <w:tc>
          <w:tcPr>
            <w:tcW w:type="dxa" w:w="1798"/>
            <w:tcBorders>
              <w:top w:val="none" w:color="000000" w:sz="4"/>
              <w:left w:val="none" w:color="000000" w:sz="4"/>
              <w:bottom w:val="single" w:color="000000" w:sz="4"/>
              <w:right w:val="single" w:color="000000" w:sz="4"/>
            </w:tcBorders>
          </w:tcPr>
          <w:p>
            <w:pPr>
              <w:jc w:val="center"/>
            </w:pPr>
            <w:r>
              <w:rPr/>
              <w:t>电子文档</w:t>
            </w:r>
          </w:p>
        </w:tc>
        <w:tc>
          <w:tcPr>
            <w:tcW w:type="dxa" w:w="2398"/>
            <w:tcBorders>
              <w:top w:val="none" w:color="000000" w:sz="4"/>
              <w:left w:val="none" w:color="000000" w:sz="4"/>
              <w:bottom w:val="single" w:color="000000" w:sz="4"/>
              <w:right w:val="single" w:color="000000" w:sz="4"/>
            </w:tcBorders>
          </w:tcPr>
          <w:p>
            <w:pPr>
              <w:jc w:val="center"/>
            </w:pPr>
            <w:r>
              <w:rPr/>
              <w:t>项目完成交付后提交一次</w:t>
            </w:r>
          </w:p>
        </w:tc>
      </w:tr>
      <w:tr>
        <w:tc>
          <w:tcPr>
            <w:tcW w:type="dxa" w:w="942"/>
            <w:tcBorders>
              <w:top w:val="none" w:color="000000" w:sz="4"/>
              <w:left w:val="single" w:color="000000" w:sz="4"/>
              <w:bottom w:val="single" w:color="000000" w:sz="4"/>
              <w:right w:val="single" w:color="000000" w:sz="4"/>
            </w:tcBorders>
          </w:tcPr>
          <w:p>
            <w:pPr>
              <w:jc w:val="center"/>
            </w:pPr>
            <w:r>
              <w:rPr/>
              <w:t>12</w:t>
            </w:r>
          </w:p>
        </w:tc>
        <w:tc>
          <w:tcPr>
            <w:tcW w:type="dxa" w:w="2055"/>
            <w:tcBorders>
              <w:top w:val="none" w:color="000000" w:sz="4"/>
              <w:left w:val="none" w:color="000000" w:sz="4"/>
              <w:bottom w:val="single" w:color="000000" w:sz="4"/>
              <w:right w:val="single" w:color="000000" w:sz="4"/>
            </w:tcBorders>
          </w:tcPr>
          <w:p>
            <w:pPr>
              <w:jc w:val="center"/>
            </w:pPr>
            <w:r>
              <w:rPr>
                <w:sz w:val="21"/>
              </w:rPr>
              <w:t>系统用户操作手册</w:t>
            </w:r>
          </w:p>
        </w:tc>
        <w:tc>
          <w:tcPr>
            <w:tcW w:type="dxa" w:w="1113"/>
            <w:tcBorders>
              <w:top w:val="none" w:color="000000" w:sz="4"/>
              <w:left w:val="none" w:color="000000" w:sz="4"/>
              <w:bottom w:val="single" w:color="000000" w:sz="4"/>
              <w:right w:val="single" w:color="000000" w:sz="4"/>
            </w:tcBorders>
          </w:tcPr>
          <w:p>
            <w:pPr>
              <w:jc w:val="center"/>
            </w:pPr>
            <w:r>
              <w:rPr/>
              <w:t>1</w:t>
            </w:r>
            <w:r>
              <w:rPr/>
              <w:t>套</w:t>
            </w:r>
          </w:p>
        </w:tc>
        <w:tc>
          <w:tcPr>
            <w:tcW w:type="dxa" w:w="1798"/>
            <w:tcBorders>
              <w:top w:val="none" w:color="000000" w:sz="4"/>
              <w:left w:val="none" w:color="000000" w:sz="4"/>
              <w:bottom w:val="single" w:color="000000" w:sz="4"/>
              <w:right w:val="single" w:color="000000" w:sz="4"/>
            </w:tcBorders>
          </w:tcPr>
          <w:p>
            <w:pPr>
              <w:jc w:val="center"/>
            </w:pPr>
            <w:r>
              <w:rPr/>
              <w:t>电子文档</w:t>
            </w:r>
          </w:p>
        </w:tc>
        <w:tc>
          <w:tcPr>
            <w:tcW w:type="dxa" w:w="2398"/>
            <w:tcBorders>
              <w:top w:val="none" w:color="000000" w:sz="4"/>
              <w:left w:val="none" w:color="000000" w:sz="4"/>
              <w:bottom w:val="single" w:color="000000" w:sz="4"/>
              <w:right w:val="single" w:color="000000" w:sz="4"/>
            </w:tcBorders>
          </w:tcPr>
          <w:p>
            <w:pPr>
              <w:jc w:val="center"/>
            </w:pPr>
            <w:r>
              <w:rPr/>
              <w:t>项目完成交付后提交一次</w:t>
            </w:r>
          </w:p>
        </w:tc>
      </w:tr>
      <w:tr>
        <w:tc>
          <w:tcPr>
            <w:tcW w:type="dxa" w:w="942"/>
            <w:tcBorders>
              <w:top w:val="none" w:color="000000" w:sz="4"/>
              <w:left w:val="single" w:color="000000" w:sz="4"/>
              <w:bottom w:val="single" w:color="000000" w:sz="4"/>
              <w:right w:val="single" w:color="000000" w:sz="4"/>
            </w:tcBorders>
          </w:tcPr>
          <w:p>
            <w:pPr>
              <w:jc w:val="center"/>
            </w:pPr>
            <w:r>
              <w:rPr/>
              <w:t>13</w:t>
            </w:r>
          </w:p>
        </w:tc>
        <w:tc>
          <w:tcPr>
            <w:tcW w:type="dxa" w:w="2055"/>
            <w:tcBorders>
              <w:top w:val="none" w:color="000000" w:sz="4"/>
              <w:left w:val="none" w:color="000000" w:sz="4"/>
              <w:bottom w:val="single" w:color="000000" w:sz="4"/>
              <w:right w:val="single" w:color="000000" w:sz="4"/>
            </w:tcBorders>
          </w:tcPr>
          <w:p>
            <w:pPr>
              <w:jc w:val="center"/>
            </w:pPr>
            <w:r>
              <w:rPr>
                <w:sz w:val="21"/>
              </w:rPr>
              <w:t>系统服务器端及客户端的全套软件安装包</w:t>
            </w:r>
          </w:p>
        </w:tc>
        <w:tc>
          <w:tcPr>
            <w:tcW w:type="dxa" w:w="1113"/>
            <w:tcBorders>
              <w:top w:val="none" w:color="000000" w:sz="4"/>
              <w:left w:val="none" w:color="000000" w:sz="4"/>
              <w:bottom w:val="single" w:color="000000" w:sz="4"/>
              <w:right w:val="single" w:color="000000" w:sz="4"/>
            </w:tcBorders>
          </w:tcPr>
          <w:p>
            <w:pPr>
              <w:jc w:val="center"/>
            </w:pPr>
            <w:r>
              <w:rPr/>
              <w:t>1</w:t>
            </w:r>
            <w:r>
              <w:rPr/>
              <w:t>套</w:t>
            </w:r>
          </w:p>
        </w:tc>
        <w:tc>
          <w:tcPr>
            <w:tcW w:type="dxa" w:w="1798"/>
            <w:tcBorders>
              <w:top w:val="none" w:color="000000" w:sz="4"/>
              <w:left w:val="none" w:color="000000" w:sz="4"/>
              <w:bottom w:val="single" w:color="000000" w:sz="4"/>
              <w:right w:val="single" w:color="000000" w:sz="4"/>
            </w:tcBorders>
          </w:tcPr>
          <w:p>
            <w:pPr>
              <w:jc w:val="center"/>
            </w:pPr>
            <w:r>
              <w:rPr/>
              <w:t>光盘或拷贝</w:t>
            </w:r>
          </w:p>
        </w:tc>
        <w:tc>
          <w:tcPr>
            <w:tcW w:type="dxa" w:w="2398"/>
            <w:tcBorders>
              <w:top w:val="none" w:color="000000" w:sz="4"/>
              <w:left w:val="none" w:color="000000" w:sz="4"/>
              <w:bottom w:val="single" w:color="000000" w:sz="4"/>
              <w:right w:val="single" w:color="000000" w:sz="4"/>
            </w:tcBorders>
          </w:tcPr>
          <w:p>
            <w:pPr>
              <w:jc w:val="center"/>
            </w:pPr>
            <w:r>
              <w:rPr/>
              <w:t>项目结束时提交1次。运维期间，运维公司需根据中山市自然资源局的要求随时提交</w:t>
            </w:r>
          </w:p>
        </w:tc>
      </w:tr>
      <w:tr>
        <w:tc>
          <w:tcPr>
            <w:tcW w:type="dxa" w:w="942"/>
            <w:tcBorders>
              <w:top w:val="none" w:color="000000" w:sz="4"/>
              <w:left w:val="single" w:color="000000" w:sz="4"/>
              <w:bottom w:val="single" w:color="000000" w:sz="4"/>
              <w:right w:val="single" w:color="000000" w:sz="4"/>
            </w:tcBorders>
          </w:tcPr>
          <w:p>
            <w:pPr>
              <w:jc w:val="center"/>
            </w:pPr>
            <w:r>
              <w:rPr/>
              <w:t>14</w:t>
            </w:r>
          </w:p>
        </w:tc>
        <w:tc>
          <w:tcPr>
            <w:tcW w:type="dxa" w:w="2055"/>
            <w:tcBorders>
              <w:top w:val="none" w:color="000000" w:sz="4"/>
              <w:left w:val="none" w:color="000000" w:sz="4"/>
              <w:bottom w:val="single" w:color="000000" w:sz="4"/>
              <w:right w:val="single" w:color="000000" w:sz="4"/>
            </w:tcBorders>
          </w:tcPr>
          <w:p>
            <w:pPr>
              <w:jc w:val="center"/>
            </w:pPr>
            <w:r>
              <w:rPr>
                <w:sz w:val="21"/>
              </w:rPr>
              <w:t>网络安全报告</w:t>
            </w:r>
          </w:p>
        </w:tc>
        <w:tc>
          <w:tcPr>
            <w:tcW w:type="dxa" w:w="1113"/>
            <w:tcBorders>
              <w:top w:val="none" w:color="000000" w:sz="4"/>
              <w:left w:val="none" w:color="000000" w:sz="4"/>
              <w:bottom w:val="single" w:color="000000" w:sz="4"/>
              <w:right w:val="single" w:color="000000" w:sz="4"/>
            </w:tcBorders>
          </w:tcPr>
          <w:p>
            <w:pPr>
              <w:jc w:val="center"/>
            </w:pPr>
            <w:r>
              <w:rPr/>
              <w:t>1</w:t>
            </w:r>
            <w:r>
              <w:rPr/>
              <w:t>套</w:t>
            </w:r>
          </w:p>
        </w:tc>
        <w:tc>
          <w:tcPr>
            <w:tcW w:type="dxa" w:w="1798"/>
            <w:tcBorders>
              <w:top w:val="none" w:color="000000" w:sz="4"/>
              <w:left w:val="none" w:color="000000" w:sz="4"/>
              <w:bottom w:val="single" w:color="000000" w:sz="4"/>
              <w:right w:val="single" w:color="000000" w:sz="4"/>
            </w:tcBorders>
          </w:tcPr>
          <w:p>
            <w:pPr>
              <w:jc w:val="center"/>
            </w:pPr>
            <w:r>
              <w:rPr/>
              <w:t>电子文档</w:t>
            </w:r>
          </w:p>
        </w:tc>
        <w:tc>
          <w:tcPr>
            <w:tcW w:type="dxa" w:w="2398"/>
            <w:tcBorders>
              <w:top w:val="none" w:color="000000" w:sz="4"/>
              <w:left w:val="none" w:color="000000" w:sz="4"/>
              <w:bottom w:val="single" w:color="000000" w:sz="4"/>
              <w:right w:val="single" w:color="000000" w:sz="4"/>
            </w:tcBorders>
          </w:tcPr>
          <w:p>
            <w:pPr>
              <w:jc w:val="center"/>
            </w:pPr>
            <w:r>
              <w:rPr/>
              <w:t>包括数据安全管理措施、关键软件供应链安全情况、管理技术团队变化情况等，项目结束时提交1次。</w:t>
            </w:r>
          </w:p>
        </w:tc>
      </w:tr>
    </w:tbl>
    <w:p>
      <w:pPr>
        <w:jc w:val="both"/>
      </w:pPr>
    </w:p>
    <w:p>
      <w:pPr>
        <w:jc w:val="both"/>
      </w:pPr>
      <w:r>
        <w:rPr>
          <w:b/>
          <w:sz w:val="21"/>
        </w:rPr>
        <w:t xml:space="preserve">2)     </w:t>
      </w:r>
      <w:r>
        <w:rPr>
          <w:b/>
          <w:sz w:val="21"/>
        </w:rPr>
        <w:t>条件性成果</w:t>
      </w:r>
    </w:p>
    <w:p>
      <w:pPr>
        <w:jc w:val="both"/>
      </w:pPr>
      <w:r>
        <w:rPr>
          <w:b/>
          <w:sz w:val="21"/>
        </w:rPr>
        <w:t>2.1.</w:t>
      </w:r>
      <w:r>
        <w:rPr>
          <w:b/>
          <w:sz w:val="21"/>
        </w:rPr>
        <w:t>有新增功能优化及服务</w:t>
      </w:r>
    </w:p>
    <w:p>
      <w:pPr>
        <w:jc w:val="both"/>
      </w:pPr>
      <w:r>
        <w:rPr>
          <w:sz w:val="21"/>
        </w:rPr>
        <w:t>如果中山市自然资源综合业务平台及自然资源决策支持平台有新增功能优化及服务</w:t>
      </w:r>
      <w:r>
        <w:rPr>
          <w:sz w:val="21"/>
        </w:rPr>
        <w:t>,</w:t>
      </w:r>
      <w:r>
        <w:rPr>
          <w:sz w:val="21"/>
        </w:rPr>
        <w:t>已新增运维服务表单形式提交，相应更新。如下表：</w:t>
      </w:r>
    </w:p>
    <w:tbl>
      <w:tblPr>
        <w:tblW w:w="0" w:type="auto"/>
        <w:tblBorders>
          <w:top w:val="none" w:color="000000" w:sz="4"/>
          <w:left w:val="none" w:color="000000" w:sz="4"/>
          <w:bottom w:val="none" w:color="000000" w:sz="4"/>
          <w:right w:val="none" w:color="000000" w:sz="4"/>
          <w:insideH w:val="none"/>
          <w:insideV w:val="none"/>
        </w:tblBorders>
      </w:tblPr>
      <w:tblGrid>
        <w:gridCol w:w="942"/>
        <w:gridCol w:w="2740"/>
        <w:gridCol w:w="856"/>
        <w:gridCol w:w="1884"/>
        <w:gridCol w:w="1884"/>
      </w:tblGrid>
      <w:tr>
        <w:tc>
          <w:tcPr>
            <w:tcW w:type="dxa" w:w="942"/>
            <w:tcBorders>
              <w:top w:val="single" w:color="000000" w:sz="4"/>
              <w:left w:val="single" w:color="000000" w:sz="4"/>
              <w:bottom w:val="single" w:color="000000" w:sz="4"/>
              <w:right w:val="single" w:color="000000" w:sz="4"/>
            </w:tcBorders>
          </w:tcPr>
          <w:p>
            <w:pPr>
              <w:jc w:val="center"/>
            </w:pPr>
            <w:r>
              <w:rPr>
                <w:b/>
                <w:sz w:val="21"/>
              </w:rPr>
              <w:t>序号</w:t>
            </w:r>
          </w:p>
        </w:tc>
        <w:tc>
          <w:tcPr>
            <w:tcW w:type="dxa" w:w="2740"/>
            <w:tcBorders>
              <w:top w:val="single" w:color="000000" w:sz="4"/>
              <w:left w:val="none" w:color="000000" w:sz="4"/>
              <w:bottom w:val="single" w:color="000000" w:sz="4"/>
              <w:right w:val="single" w:color="000000" w:sz="4"/>
            </w:tcBorders>
          </w:tcPr>
          <w:p>
            <w:pPr>
              <w:jc w:val="center"/>
            </w:pPr>
            <w:r>
              <w:rPr>
                <w:b/>
                <w:sz w:val="21"/>
              </w:rPr>
              <w:t>成果名称</w:t>
            </w:r>
          </w:p>
        </w:tc>
        <w:tc>
          <w:tcPr>
            <w:tcW w:type="dxa" w:w="856"/>
            <w:tcBorders>
              <w:top w:val="single" w:color="000000" w:sz="4"/>
              <w:left w:val="none" w:color="000000" w:sz="4"/>
              <w:bottom w:val="single" w:color="000000" w:sz="4"/>
              <w:right w:val="single" w:color="000000" w:sz="4"/>
            </w:tcBorders>
          </w:tcPr>
          <w:p>
            <w:pPr>
              <w:jc w:val="center"/>
            </w:pPr>
            <w:r>
              <w:rPr>
                <w:b/>
                <w:sz w:val="21"/>
              </w:rPr>
              <w:t>数量</w:t>
            </w:r>
          </w:p>
        </w:tc>
        <w:tc>
          <w:tcPr>
            <w:tcW w:type="dxa" w:w="1884"/>
            <w:tcBorders>
              <w:top w:val="single" w:color="000000" w:sz="4"/>
              <w:left w:val="none" w:color="000000" w:sz="4"/>
              <w:bottom w:val="single" w:color="000000" w:sz="4"/>
              <w:right w:val="single" w:color="000000" w:sz="4"/>
            </w:tcBorders>
          </w:tcPr>
          <w:p>
            <w:pPr>
              <w:jc w:val="center"/>
            </w:pPr>
            <w:r>
              <w:rPr>
                <w:b/>
                <w:sz w:val="21"/>
              </w:rPr>
              <w:t>形</w:t>
            </w:r>
            <w:r>
              <w:rPr>
                <w:b/>
                <w:sz w:val="21"/>
              </w:rPr>
              <w:t>式</w:t>
            </w:r>
          </w:p>
        </w:tc>
        <w:tc>
          <w:tcPr>
            <w:tcW w:type="dxa" w:w="1884"/>
            <w:tcBorders>
              <w:top w:val="single" w:color="000000" w:sz="4"/>
              <w:left w:val="none" w:color="000000" w:sz="4"/>
              <w:bottom w:val="single" w:color="000000" w:sz="4"/>
              <w:right w:val="single" w:color="000000" w:sz="4"/>
            </w:tcBorders>
          </w:tcPr>
          <w:p>
            <w:pPr>
              <w:jc w:val="center"/>
            </w:pPr>
            <w:r>
              <w:rPr>
                <w:b/>
                <w:sz w:val="21"/>
              </w:rPr>
              <w:t>要</w:t>
            </w:r>
            <w:r>
              <w:rPr>
                <w:b/>
                <w:sz w:val="21"/>
              </w:rPr>
              <w:t>求</w:t>
            </w:r>
          </w:p>
        </w:tc>
      </w:tr>
      <w:tr>
        <w:tc>
          <w:tcPr>
            <w:tcW w:type="dxa" w:w="942"/>
            <w:tcBorders>
              <w:top w:val="none" w:color="000000" w:sz="4"/>
              <w:left w:val="single" w:color="000000" w:sz="4"/>
              <w:bottom w:val="single" w:color="000000" w:sz="4"/>
              <w:right w:val="single" w:color="000000" w:sz="4"/>
            </w:tcBorders>
          </w:tcPr>
          <w:p>
            <w:pPr>
              <w:jc w:val="center"/>
            </w:pPr>
            <w:r>
              <w:rPr>
                <w:sz w:val="21"/>
              </w:rPr>
              <w:t>1</w:t>
            </w:r>
          </w:p>
        </w:tc>
        <w:tc>
          <w:tcPr>
            <w:tcW w:type="dxa" w:w="2740"/>
            <w:tcBorders>
              <w:top w:val="none" w:color="000000" w:sz="4"/>
              <w:left w:val="none" w:color="000000" w:sz="4"/>
              <w:bottom w:val="single" w:color="000000" w:sz="4"/>
              <w:right w:val="single" w:color="000000" w:sz="4"/>
            </w:tcBorders>
          </w:tcPr>
          <w:p>
            <w:pPr>
              <w:jc w:val="center"/>
            </w:pPr>
            <w:r>
              <w:rPr>
                <w:sz w:val="21"/>
              </w:rPr>
              <w:t>运维分析及设计</w:t>
            </w:r>
          </w:p>
        </w:tc>
        <w:tc>
          <w:tcPr>
            <w:tcW w:type="dxa" w:w="856"/>
            <w:tcBorders>
              <w:top w:val="none" w:color="000000" w:sz="4"/>
              <w:left w:val="none" w:color="000000" w:sz="4"/>
              <w:bottom w:val="single" w:color="000000" w:sz="4"/>
              <w:right w:val="single" w:color="000000" w:sz="4"/>
            </w:tcBorders>
          </w:tcPr>
          <w:p>
            <w:pPr>
              <w:jc w:val="center"/>
            </w:pPr>
            <w:r>
              <w:rPr>
                <w:sz w:val="21"/>
              </w:rPr>
              <w:t>1</w:t>
            </w:r>
            <w:r>
              <w:rPr>
                <w:sz w:val="21"/>
              </w:rPr>
              <w:t>套</w:t>
            </w:r>
          </w:p>
        </w:tc>
        <w:tc>
          <w:tcPr>
            <w:tcW w:type="dxa" w:w="1884"/>
            <w:tcBorders>
              <w:top w:val="none" w:color="000000" w:sz="4"/>
              <w:left w:val="none" w:color="000000" w:sz="4"/>
              <w:bottom w:val="single" w:color="000000" w:sz="4"/>
              <w:right w:val="single" w:color="000000" w:sz="4"/>
            </w:tcBorders>
          </w:tcPr>
          <w:p>
            <w:pPr>
              <w:jc w:val="center"/>
            </w:pPr>
            <w:r>
              <w:rPr>
                <w:sz w:val="21"/>
              </w:rPr>
              <w:t>电子文档（含扫描件）</w:t>
            </w:r>
          </w:p>
        </w:tc>
        <w:tc>
          <w:tcPr>
            <w:tcW w:type="dxa" w:w="1884"/>
            <w:tcBorders>
              <w:top w:val="none" w:color="000000" w:sz="4"/>
              <w:left w:val="none" w:color="000000" w:sz="4"/>
              <w:bottom w:val="single" w:color="000000" w:sz="4"/>
              <w:right w:val="single" w:color="000000" w:sz="4"/>
            </w:tcBorders>
          </w:tcPr>
          <w:p>
            <w:pPr>
              <w:jc w:val="center"/>
            </w:pPr>
            <w:r>
              <w:rPr>
                <w:sz w:val="21"/>
              </w:rPr>
              <w:t>新增功能完成后</w:t>
            </w:r>
            <w:r>
              <w:rPr>
                <w:sz w:val="21"/>
              </w:rPr>
              <w:t>10</w:t>
            </w:r>
            <w:r>
              <w:rPr>
                <w:sz w:val="21"/>
              </w:rPr>
              <w:t>天内。</w:t>
            </w:r>
          </w:p>
        </w:tc>
      </w:tr>
      <w:tr>
        <w:tc>
          <w:tcPr>
            <w:tcW w:type="dxa" w:w="942"/>
            <w:tcBorders>
              <w:top w:val="none" w:color="000000" w:sz="4"/>
              <w:left w:val="single" w:color="000000" w:sz="4"/>
              <w:bottom w:val="single" w:color="000000" w:sz="4"/>
              <w:right w:val="single" w:color="000000" w:sz="4"/>
            </w:tcBorders>
          </w:tcPr>
          <w:p>
            <w:pPr>
              <w:jc w:val="center"/>
            </w:pPr>
            <w:r>
              <w:rPr>
                <w:sz w:val="21"/>
              </w:rPr>
              <w:t>2</w:t>
            </w:r>
          </w:p>
        </w:tc>
        <w:tc>
          <w:tcPr>
            <w:tcW w:type="dxa" w:w="2740"/>
            <w:tcBorders>
              <w:top w:val="none" w:color="000000" w:sz="4"/>
              <w:left w:val="none" w:color="000000" w:sz="4"/>
              <w:bottom w:val="single" w:color="000000" w:sz="4"/>
              <w:right w:val="single" w:color="000000" w:sz="4"/>
            </w:tcBorders>
          </w:tcPr>
          <w:p>
            <w:pPr>
              <w:jc w:val="center"/>
            </w:pPr>
            <w:r>
              <w:rPr>
                <w:sz w:val="21"/>
              </w:rPr>
              <w:t>新增功能技术方案</w:t>
            </w:r>
          </w:p>
        </w:tc>
        <w:tc>
          <w:tcPr>
            <w:tcW w:type="dxa" w:w="856"/>
            <w:tcBorders>
              <w:top w:val="none" w:color="000000" w:sz="4"/>
              <w:left w:val="none" w:color="000000" w:sz="4"/>
              <w:bottom w:val="single" w:color="000000" w:sz="4"/>
              <w:right w:val="single" w:color="000000" w:sz="4"/>
            </w:tcBorders>
          </w:tcPr>
          <w:p>
            <w:pPr>
              <w:jc w:val="center"/>
            </w:pPr>
            <w:r>
              <w:rPr>
                <w:sz w:val="21"/>
              </w:rPr>
              <w:t>1</w:t>
            </w:r>
            <w:r>
              <w:rPr>
                <w:sz w:val="21"/>
              </w:rPr>
              <w:t>套</w:t>
            </w:r>
          </w:p>
        </w:tc>
        <w:tc>
          <w:tcPr>
            <w:tcW w:type="dxa" w:w="1884"/>
            <w:tcBorders>
              <w:top w:val="none" w:color="000000" w:sz="4"/>
              <w:left w:val="none" w:color="000000" w:sz="4"/>
              <w:bottom w:val="single" w:color="000000" w:sz="4"/>
              <w:right w:val="single" w:color="000000" w:sz="4"/>
            </w:tcBorders>
          </w:tcPr>
          <w:p>
            <w:pPr>
              <w:jc w:val="center"/>
            </w:pPr>
            <w:r>
              <w:rPr>
                <w:sz w:val="21"/>
              </w:rPr>
              <w:t>电子文档（含扫描件）</w:t>
            </w:r>
          </w:p>
        </w:tc>
        <w:tc>
          <w:tcPr>
            <w:tcW w:type="dxa" w:w="1884"/>
            <w:tcBorders>
              <w:top w:val="none" w:color="000000" w:sz="4"/>
              <w:left w:val="none" w:color="000000" w:sz="4"/>
              <w:bottom w:val="single" w:color="000000" w:sz="4"/>
              <w:right w:val="single" w:color="000000" w:sz="4"/>
            </w:tcBorders>
          </w:tcPr>
          <w:p>
            <w:pPr>
              <w:jc w:val="center"/>
            </w:pPr>
            <w:r>
              <w:rPr>
                <w:sz w:val="21"/>
              </w:rPr>
              <w:t>新增功能完成后</w:t>
            </w:r>
            <w:r>
              <w:rPr>
                <w:sz w:val="21"/>
              </w:rPr>
              <w:t>10</w:t>
            </w:r>
            <w:r>
              <w:rPr>
                <w:sz w:val="21"/>
              </w:rPr>
              <w:t>天内。应包含风险预测和应对措施。</w:t>
            </w:r>
          </w:p>
        </w:tc>
      </w:tr>
      <w:tr>
        <w:tc>
          <w:tcPr>
            <w:tcW w:type="dxa" w:w="942"/>
            <w:tcBorders>
              <w:top w:val="none" w:color="000000" w:sz="4"/>
              <w:left w:val="single" w:color="000000" w:sz="4"/>
              <w:bottom w:val="single" w:color="000000" w:sz="4"/>
              <w:right w:val="single" w:color="000000" w:sz="4"/>
            </w:tcBorders>
          </w:tcPr>
          <w:p>
            <w:pPr>
              <w:jc w:val="center"/>
            </w:pPr>
            <w:r>
              <w:rPr>
                <w:sz w:val="21"/>
              </w:rPr>
              <w:t>3</w:t>
            </w:r>
          </w:p>
        </w:tc>
        <w:tc>
          <w:tcPr>
            <w:tcW w:type="dxa" w:w="2740"/>
            <w:tcBorders>
              <w:top w:val="none" w:color="000000" w:sz="4"/>
              <w:left w:val="none" w:color="000000" w:sz="4"/>
              <w:bottom w:val="single" w:color="000000" w:sz="4"/>
              <w:right w:val="single" w:color="000000" w:sz="4"/>
            </w:tcBorders>
          </w:tcPr>
          <w:p>
            <w:pPr>
              <w:jc w:val="center"/>
            </w:pPr>
            <w:r>
              <w:rPr>
                <w:sz w:val="21"/>
              </w:rPr>
              <w:t>用户需求确认表</w:t>
            </w:r>
          </w:p>
        </w:tc>
        <w:tc>
          <w:tcPr>
            <w:tcW w:type="dxa" w:w="856"/>
            <w:tcBorders>
              <w:top w:val="none" w:color="000000" w:sz="4"/>
              <w:left w:val="none" w:color="000000" w:sz="4"/>
              <w:bottom w:val="single" w:color="000000" w:sz="4"/>
              <w:right w:val="single" w:color="000000" w:sz="4"/>
            </w:tcBorders>
          </w:tcPr>
          <w:p>
            <w:pPr>
              <w:jc w:val="center"/>
            </w:pPr>
            <w:r>
              <w:rPr>
                <w:sz w:val="21"/>
              </w:rPr>
              <w:t>1</w:t>
            </w:r>
            <w:r>
              <w:rPr>
                <w:sz w:val="21"/>
              </w:rPr>
              <w:t>套</w:t>
            </w:r>
          </w:p>
        </w:tc>
        <w:tc>
          <w:tcPr>
            <w:tcW w:type="dxa" w:w="1884"/>
            <w:tcBorders>
              <w:top w:val="none" w:color="000000" w:sz="4"/>
              <w:left w:val="none" w:color="000000" w:sz="4"/>
              <w:bottom w:val="single" w:color="000000" w:sz="4"/>
              <w:right w:val="single" w:color="000000" w:sz="4"/>
            </w:tcBorders>
          </w:tcPr>
          <w:p>
            <w:pPr>
              <w:jc w:val="center"/>
            </w:pPr>
            <w:r>
              <w:rPr>
                <w:sz w:val="21"/>
              </w:rPr>
              <w:t>电子文档（含扫描件）</w:t>
            </w:r>
          </w:p>
        </w:tc>
        <w:tc>
          <w:tcPr>
            <w:tcW w:type="dxa" w:w="1884"/>
            <w:tcBorders>
              <w:top w:val="none" w:color="000000" w:sz="4"/>
              <w:left w:val="none" w:color="000000" w:sz="4"/>
              <w:bottom w:val="single" w:color="000000" w:sz="4"/>
              <w:right w:val="single" w:color="000000" w:sz="4"/>
            </w:tcBorders>
          </w:tcPr>
          <w:p>
            <w:pPr>
              <w:jc w:val="center"/>
            </w:pPr>
            <w:r>
              <w:rPr>
                <w:sz w:val="21"/>
              </w:rPr>
              <w:t>新增功能完成后</w:t>
            </w:r>
            <w:r>
              <w:rPr>
                <w:sz w:val="21"/>
              </w:rPr>
              <w:t>10</w:t>
            </w:r>
            <w:r>
              <w:rPr>
                <w:sz w:val="21"/>
              </w:rPr>
              <w:t>天内。</w:t>
            </w:r>
          </w:p>
        </w:tc>
      </w:tr>
      <w:tr>
        <w:tc>
          <w:tcPr>
            <w:tcW w:type="dxa" w:w="942"/>
            <w:tcBorders>
              <w:top w:val="none" w:color="000000" w:sz="4"/>
              <w:left w:val="single" w:color="000000" w:sz="4"/>
              <w:bottom w:val="single" w:color="000000" w:sz="4"/>
              <w:right w:val="single" w:color="000000" w:sz="4"/>
            </w:tcBorders>
          </w:tcPr>
          <w:p>
            <w:pPr>
              <w:jc w:val="center"/>
            </w:pPr>
            <w:r>
              <w:rPr>
                <w:sz w:val="21"/>
              </w:rPr>
              <w:t>4</w:t>
            </w:r>
          </w:p>
        </w:tc>
        <w:tc>
          <w:tcPr>
            <w:tcW w:type="dxa" w:w="2740"/>
            <w:tcBorders>
              <w:top w:val="none" w:color="000000" w:sz="4"/>
              <w:left w:val="none" w:color="000000" w:sz="4"/>
              <w:bottom w:val="single" w:color="000000" w:sz="4"/>
              <w:right w:val="single" w:color="000000" w:sz="4"/>
            </w:tcBorders>
          </w:tcPr>
          <w:p>
            <w:pPr>
              <w:jc w:val="center"/>
            </w:pPr>
            <w:r>
              <w:rPr>
                <w:sz w:val="21"/>
              </w:rPr>
              <w:t>系统测试报告</w:t>
            </w:r>
          </w:p>
        </w:tc>
        <w:tc>
          <w:tcPr>
            <w:tcW w:type="dxa" w:w="856"/>
            <w:tcBorders>
              <w:top w:val="none" w:color="000000" w:sz="4"/>
              <w:left w:val="none" w:color="000000" w:sz="4"/>
              <w:bottom w:val="single" w:color="000000" w:sz="4"/>
              <w:right w:val="single" w:color="000000" w:sz="4"/>
            </w:tcBorders>
          </w:tcPr>
          <w:p>
            <w:pPr>
              <w:jc w:val="center"/>
            </w:pPr>
            <w:r>
              <w:rPr>
                <w:sz w:val="21"/>
              </w:rPr>
              <w:t>1</w:t>
            </w:r>
            <w:r>
              <w:rPr>
                <w:sz w:val="21"/>
              </w:rPr>
              <w:t>套</w:t>
            </w:r>
          </w:p>
        </w:tc>
        <w:tc>
          <w:tcPr>
            <w:tcW w:type="dxa" w:w="1884"/>
            <w:tcBorders>
              <w:top w:val="none" w:color="000000" w:sz="4"/>
              <w:left w:val="none" w:color="000000" w:sz="4"/>
              <w:bottom w:val="single" w:color="000000" w:sz="4"/>
              <w:right w:val="single" w:color="000000" w:sz="4"/>
            </w:tcBorders>
          </w:tcPr>
          <w:p>
            <w:pPr>
              <w:jc w:val="center"/>
            </w:pPr>
            <w:r>
              <w:rPr>
                <w:sz w:val="21"/>
              </w:rPr>
              <w:t>电子文档（含扫描件）</w:t>
            </w:r>
          </w:p>
        </w:tc>
        <w:tc>
          <w:tcPr>
            <w:tcW w:type="dxa" w:w="1884"/>
            <w:tcBorders>
              <w:top w:val="none" w:color="000000" w:sz="4"/>
              <w:left w:val="none" w:color="000000" w:sz="4"/>
              <w:bottom w:val="single" w:color="000000" w:sz="4"/>
              <w:right w:val="single" w:color="000000" w:sz="4"/>
            </w:tcBorders>
          </w:tcPr>
          <w:p>
            <w:pPr>
              <w:jc w:val="center"/>
            </w:pPr>
            <w:r>
              <w:rPr>
                <w:sz w:val="21"/>
              </w:rPr>
              <w:t>新增功能完成后</w:t>
            </w:r>
            <w:r>
              <w:rPr>
                <w:sz w:val="21"/>
              </w:rPr>
              <w:t>10</w:t>
            </w:r>
            <w:r>
              <w:rPr>
                <w:sz w:val="21"/>
              </w:rPr>
              <w:t>天内。</w:t>
            </w:r>
          </w:p>
        </w:tc>
      </w:tr>
      <w:tr>
        <w:tc>
          <w:tcPr>
            <w:tcW w:type="dxa" w:w="942"/>
            <w:tcBorders>
              <w:top w:val="none" w:color="000000" w:sz="4"/>
              <w:left w:val="single" w:color="000000" w:sz="4"/>
              <w:bottom w:val="single" w:color="000000" w:sz="4"/>
              <w:right w:val="single" w:color="000000" w:sz="4"/>
            </w:tcBorders>
          </w:tcPr>
          <w:p>
            <w:pPr>
              <w:jc w:val="center"/>
            </w:pPr>
            <w:r>
              <w:rPr>
                <w:sz w:val="21"/>
              </w:rPr>
              <w:t>5</w:t>
            </w:r>
          </w:p>
        </w:tc>
        <w:tc>
          <w:tcPr>
            <w:tcW w:type="dxa" w:w="2740"/>
            <w:tcBorders>
              <w:top w:val="none" w:color="000000" w:sz="4"/>
              <w:left w:val="none" w:color="000000" w:sz="4"/>
              <w:bottom w:val="single" w:color="000000" w:sz="4"/>
              <w:right w:val="single" w:color="000000" w:sz="4"/>
            </w:tcBorders>
          </w:tcPr>
          <w:p>
            <w:pPr>
              <w:jc w:val="center"/>
            </w:pPr>
            <w:r>
              <w:rPr>
                <w:sz w:val="21"/>
              </w:rPr>
              <w:t>用户试运行确认单</w:t>
            </w:r>
          </w:p>
        </w:tc>
        <w:tc>
          <w:tcPr>
            <w:tcW w:type="dxa" w:w="856"/>
            <w:tcBorders>
              <w:top w:val="none" w:color="000000" w:sz="4"/>
              <w:left w:val="none" w:color="000000" w:sz="4"/>
              <w:bottom w:val="single" w:color="000000" w:sz="4"/>
              <w:right w:val="single" w:color="000000" w:sz="4"/>
            </w:tcBorders>
          </w:tcPr>
          <w:p>
            <w:pPr>
              <w:jc w:val="center"/>
            </w:pPr>
            <w:r>
              <w:rPr>
                <w:sz w:val="21"/>
              </w:rPr>
              <w:t>1</w:t>
            </w:r>
            <w:r>
              <w:rPr>
                <w:sz w:val="21"/>
              </w:rPr>
              <w:t>套</w:t>
            </w:r>
          </w:p>
        </w:tc>
        <w:tc>
          <w:tcPr>
            <w:tcW w:type="dxa" w:w="1884"/>
            <w:tcBorders>
              <w:top w:val="none" w:color="000000" w:sz="4"/>
              <w:left w:val="none" w:color="000000" w:sz="4"/>
              <w:bottom w:val="single" w:color="000000" w:sz="4"/>
              <w:right w:val="single" w:color="000000" w:sz="4"/>
            </w:tcBorders>
          </w:tcPr>
          <w:p>
            <w:pPr>
              <w:jc w:val="center"/>
            </w:pPr>
            <w:r>
              <w:rPr>
                <w:sz w:val="21"/>
              </w:rPr>
              <w:t>电子文档（含扫描件）</w:t>
            </w:r>
          </w:p>
        </w:tc>
        <w:tc>
          <w:tcPr>
            <w:tcW w:type="dxa" w:w="1884"/>
            <w:tcBorders>
              <w:top w:val="none" w:color="000000" w:sz="4"/>
              <w:left w:val="none" w:color="000000" w:sz="4"/>
              <w:bottom w:val="single" w:color="000000" w:sz="4"/>
              <w:right w:val="single" w:color="000000" w:sz="4"/>
            </w:tcBorders>
          </w:tcPr>
          <w:p>
            <w:pPr>
              <w:jc w:val="center"/>
            </w:pPr>
            <w:r>
              <w:rPr>
                <w:sz w:val="21"/>
              </w:rPr>
              <w:t>新增功能完成后</w:t>
            </w:r>
            <w:r>
              <w:rPr>
                <w:sz w:val="21"/>
              </w:rPr>
              <w:t>10</w:t>
            </w:r>
            <w:r>
              <w:rPr>
                <w:sz w:val="21"/>
              </w:rPr>
              <w:t>天内。</w:t>
            </w:r>
          </w:p>
        </w:tc>
      </w:tr>
      <w:tr>
        <w:tc>
          <w:tcPr>
            <w:tcW w:type="dxa" w:w="942"/>
            <w:tcBorders>
              <w:top w:val="none" w:color="000000" w:sz="4"/>
              <w:left w:val="single" w:color="000000" w:sz="4"/>
              <w:bottom w:val="single" w:color="000000" w:sz="4"/>
              <w:right w:val="single" w:color="000000" w:sz="4"/>
            </w:tcBorders>
          </w:tcPr>
          <w:p>
            <w:pPr>
              <w:jc w:val="center"/>
            </w:pPr>
            <w:r>
              <w:rPr>
                <w:sz w:val="21"/>
              </w:rPr>
              <w:t>6</w:t>
            </w:r>
          </w:p>
        </w:tc>
        <w:tc>
          <w:tcPr>
            <w:tcW w:type="dxa" w:w="2740"/>
            <w:tcBorders>
              <w:top w:val="none" w:color="000000" w:sz="4"/>
              <w:left w:val="none" w:color="000000" w:sz="4"/>
              <w:bottom w:val="single" w:color="000000" w:sz="4"/>
              <w:right w:val="single" w:color="000000" w:sz="4"/>
            </w:tcBorders>
          </w:tcPr>
          <w:p>
            <w:pPr>
              <w:jc w:val="center"/>
            </w:pPr>
            <w:r>
              <w:rPr>
                <w:sz w:val="21"/>
              </w:rPr>
              <w:t>用户培训记录</w:t>
            </w:r>
          </w:p>
        </w:tc>
        <w:tc>
          <w:tcPr>
            <w:tcW w:type="dxa" w:w="856"/>
            <w:tcBorders>
              <w:top w:val="none" w:color="000000" w:sz="4"/>
              <w:left w:val="none" w:color="000000" w:sz="4"/>
              <w:bottom w:val="single" w:color="000000" w:sz="4"/>
              <w:right w:val="single" w:color="000000" w:sz="4"/>
            </w:tcBorders>
          </w:tcPr>
          <w:p>
            <w:pPr>
              <w:jc w:val="center"/>
            </w:pPr>
            <w:r>
              <w:rPr>
                <w:sz w:val="21"/>
              </w:rPr>
              <w:t>1</w:t>
            </w:r>
            <w:r>
              <w:rPr>
                <w:sz w:val="21"/>
              </w:rPr>
              <w:t>套</w:t>
            </w:r>
          </w:p>
        </w:tc>
        <w:tc>
          <w:tcPr>
            <w:tcW w:type="dxa" w:w="1884"/>
            <w:tcBorders>
              <w:top w:val="none" w:color="000000" w:sz="4"/>
              <w:left w:val="none" w:color="000000" w:sz="4"/>
              <w:bottom w:val="single" w:color="000000" w:sz="4"/>
              <w:right w:val="single" w:color="000000" w:sz="4"/>
            </w:tcBorders>
          </w:tcPr>
          <w:p>
            <w:pPr>
              <w:jc w:val="center"/>
            </w:pPr>
            <w:r>
              <w:rPr>
                <w:sz w:val="21"/>
              </w:rPr>
              <w:t>电子文档（含扫描件）</w:t>
            </w:r>
          </w:p>
        </w:tc>
        <w:tc>
          <w:tcPr>
            <w:tcW w:type="dxa" w:w="1884"/>
            <w:tcBorders>
              <w:top w:val="none" w:color="000000" w:sz="4"/>
              <w:left w:val="none" w:color="000000" w:sz="4"/>
              <w:bottom w:val="single" w:color="000000" w:sz="4"/>
              <w:right w:val="single" w:color="000000" w:sz="4"/>
            </w:tcBorders>
          </w:tcPr>
          <w:p>
            <w:pPr>
              <w:jc w:val="center"/>
            </w:pPr>
            <w:r>
              <w:rPr>
                <w:sz w:val="21"/>
              </w:rPr>
              <w:t>新增功能完成后</w:t>
            </w:r>
            <w:r>
              <w:rPr>
                <w:sz w:val="21"/>
              </w:rPr>
              <w:t>10</w:t>
            </w:r>
            <w:r>
              <w:rPr>
                <w:sz w:val="21"/>
              </w:rPr>
              <w:t>天内。</w:t>
            </w:r>
          </w:p>
        </w:tc>
      </w:tr>
    </w:tbl>
    <w:p>
      <w:pPr>
        <w:jc w:val="both"/>
      </w:pPr>
      <w:r>
        <w:rPr>
          <w:b/>
          <w:sz w:val="21"/>
        </w:rPr>
        <w:t>2.2.</w:t>
      </w:r>
      <w:r>
        <w:rPr>
          <w:b/>
          <w:sz w:val="21"/>
        </w:rPr>
        <w:t>出现重大运行故障</w:t>
      </w:r>
    </w:p>
    <w:p>
      <w:pPr>
        <w:jc w:val="both"/>
      </w:pPr>
      <w:r>
        <w:rPr>
          <w:sz w:val="21"/>
        </w:rPr>
        <w:t>如果系统维护期间出现重大故障，还应提交以下成果。</w:t>
      </w:r>
    </w:p>
    <w:tbl>
      <w:tblPr>
        <w:tblW w:w="0" w:type="auto"/>
        <w:tblBorders>
          <w:top w:val="none" w:color="000000" w:sz="4"/>
          <w:left w:val="none" w:color="000000" w:sz="4"/>
          <w:bottom w:val="none" w:color="000000" w:sz="4"/>
          <w:right w:val="none" w:color="000000" w:sz="4"/>
          <w:insideH w:val="none"/>
          <w:insideV w:val="none"/>
        </w:tblBorders>
      </w:tblPr>
      <w:tblGrid>
        <w:gridCol w:w="942"/>
        <w:gridCol w:w="2740"/>
        <w:gridCol w:w="856"/>
        <w:gridCol w:w="1884"/>
        <w:gridCol w:w="1884"/>
      </w:tblGrid>
      <w:tr>
        <w:tc>
          <w:tcPr>
            <w:tcW w:type="dxa" w:w="942"/>
            <w:tcBorders>
              <w:top w:val="single" w:color="000000" w:sz="4"/>
              <w:left w:val="single" w:color="000000" w:sz="4"/>
              <w:bottom w:val="single" w:color="000000" w:sz="4"/>
              <w:right w:val="single" w:color="000000" w:sz="4"/>
            </w:tcBorders>
          </w:tcPr>
          <w:p>
            <w:pPr>
              <w:jc w:val="center"/>
            </w:pPr>
            <w:r>
              <w:rPr>
                <w:b/>
              </w:rPr>
              <w:t>序号</w:t>
            </w:r>
          </w:p>
        </w:tc>
        <w:tc>
          <w:tcPr>
            <w:tcW w:type="dxa" w:w="2740"/>
            <w:tcBorders>
              <w:top w:val="single" w:color="000000" w:sz="4"/>
              <w:left w:val="none" w:color="000000" w:sz="4"/>
              <w:bottom w:val="single" w:color="000000" w:sz="4"/>
              <w:right w:val="single" w:color="000000" w:sz="4"/>
            </w:tcBorders>
          </w:tcPr>
          <w:p>
            <w:pPr>
              <w:jc w:val="center"/>
            </w:pPr>
            <w:r>
              <w:rPr>
                <w:b/>
              </w:rPr>
              <w:t>成果名称</w:t>
            </w:r>
          </w:p>
        </w:tc>
        <w:tc>
          <w:tcPr>
            <w:tcW w:type="dxa" w:w="856"/>
            <w:tcBorders>
              <w:top w:val="single" w:color="000000" w:sz="4"/>
              <w:left w:val="none" w:color="000000" w:sz="4"/>
              <w:bottom w:val="single" w:color="000000" w:sz="4"/>
              <w:right w:val="single" w:color="000000" w:sz="4"/>
            </w:tcBorders>
          </w:tcPr>
          <w:p>
            <w:pPr>
              <w:jc w:val="center"/>
            </w:pPr>
            <w:r>
              <w:rPr>
                <w:b/>
              </w:rPr>
              <w:t>数量</w:t>
            </w:r>
          </w:p>
        </w:tc>
        <w:tc>
          <w:tcPr>
            <w:tcW w:type="dxa" w:w="1884"/>
            <w:tcBorders>
              <w:top w:val="single" w:color="000000" w:sz="4"/>
              <w:left w:val="none" w:color="000000" w:sz="4"/>
              <w:bottom w:val="single" w:color="000000" w:sz="4"/>
              <w:right w:val="single" w:color="000000" w:sz="4"/>
            </w:tcBorders>
          </w:tcPr>
          <w:p>
            <w:pPr>
              <w:jc w:val="center"/>
            </w:pPr>
            <w:r>
              <w:rPr>
                <w:b/>
              </w:rPr>
              <w:t>形 式</w:t>
            </w:r>
          </w:p>
        </w:tc>
        <w:tc>
          <w:tcPr>
            <w:tcW w:type="dxa" w:w="1884"/>
            <w:tcBorders>
              <w:top w:val="single" w:color="000000" w:sz="4"/>
              <w:left w:val="none" w:color="000000" w:sz="4"/>
              <w:bottom w:val="single" w:color="000000" w:sz="4"/>
              <w:right w:val="single" w:color="000000" w:sz="4"/>
            </w:tcBorders>
            <w:vAlign w:val="top"/>
          </w:tcPr>
          <w:p>
            <w:pPr>
              <w:jc w:val="center"/>
            </w:pPr>
            <w:r>
              <w:rPr>
                <w:b/>
              </w:rPr>
              <w:t>要 求</w:t>
            </w:r>
          </w:p>
        </w:tc>
      </w:tr>
      <w:tr>
        <w:tc>
          <w:tcPr>
            <w:tcW w:type="dxa" w:w="942"/>
            <w:tcBorders>
              <w:top w:val="none" w:color="000000" w:sz="4"/>
              <w:left w:val="single" w:color="000000" w:sz="4"/>
              <w:bottom w:val="single" w:color="000000" w:sz="4"/>
              <w:right w:val="single" w:color="000000" w:sz="4"/>
            </w:tcBorders>
          </w:tcPr>
          <w:p>
            <w:pPr>
              <w:jc w:val="center"/>
            </w:pPr>
            <w:r>
              <w:rPr/>
              <w:t>1</w:t>
            </w:r>
          </w:p>
        </w:tc>
        <w:tc>
          <w:tcPr>
            <w:tcW w:type="dxa" w:w="2740"/>
            <w:tcBorders>
              <w:top w:val="none" w:color="000000" w:sz="4"/>
              <w:left w:val="none" w:color="000000" w:sz="4"/>
              <w:bottom w:val="single" w:color="000000" w:sz="4"/>
              <w:right w:val="single" w:color="000000" w:sz="4"/>
            </w:tcBorders>
          </w:tcPr>
          <w:p>
            <w:pPr>
              <w:jc w:val="left"/>
            </w:pPr>
            <w:r>
              <w:rPr>
                <w:sz w:val="21"/>
              </w:rPr>
              <w:t>故障处理记录</w:t>
            </w:r>
          </w:p>
        </w:tc>
        <w:tc>
          <w:tcPr>
            <w:tcW w:type="dxa" w:w="856"/>
            <w:tcBorders>
              <w:top w:val="none" w:color="000000" w:sz="4"/>
              <w:left w:val="none" w:color="000000" w:sz="4"/>
              <w:bottom w:val="single" w:color="000000" w:sz="4"/>
              <w:right w:val="single" w:color="000000" w:sz="4"/>
            </w:tcBorders>
          </w:tcPr>
          <w:p>
            <w:pPr>
              <w:jc w:val="center"/>
            </w:pPr>
            <w:r>
              <w:rPr/>
              <w:t>1</w:t>
            </w:r>
            <w:r>
              <w:rPr/>
              <w:t>套</w:t>
            </w:r>
          </w:p>
        </w:tc>
        <w:tc>
          <w:tcPr>
            <w:tcW w:type="dxa" w:w="1884"/>
            <w:tcBorders>
              <w:top w:val="none" w:color="000000" w:sz="4"/>
              <w:left w:val="none" w:color="000000" w:sz="4"/>
              <w:bottom w:val="single" w:color="000000" w:sz="4"/>
              <w:right w:val="single" w:color="000000" w:sz="4"/>
            </w:tcBorders>
          </w:tcPr>
          <w:p>
            <w:pPr>
              <w:jc w:val="center"/>
            </w:pPr>
            <w:r>
              <w:rPr/>
              <w:t>电子文档</w:t>
            </w:r>
          </w:p>
        </w:tc>
        <w:tc>
          <w:tcPr>
            <w:tcW w:type="dxa" w:w="1884"/>
            <w:tcBorders>
              <w:top w:val="none" w:color="000000" w:sz="4"/>
              <w:left w:val="none" w:color="000000" w:sz="4"/>
              <w:bottom w:val="single" w:color="000000" w:sz="4"/>
              <w:right w:val="single" w:color="000000" w:sz="4"/>
            </w:tcBorders>
            <w:vAlign w:val="top"/>
          </w:tcPr>
          <w:p>
            <w:pPr>
              <w:jc w:val="center"/>
            </w:pPr>
            <w:r>
              <w:rPr/>
              <w:t>故障解决后5天内</w:t>
            </w:r>
          </w:p>
        </w:tc>
      </w:tr>
      <w:tr>
        <w:tc>
          <w:tcPr>
            <w:tcW w:type="dxa" w:w="942"/>
            <w:tcBorders>
              <w:top w:val="none" w:color="000000" w:sz="4"/>
              <w:left w:val="single" w:color="000000" w:sz="4"/>
              <w:bottom w:val="single" w:color="000000" w:sz="4"/>
              <w:right w:val="single" w:color="000000" w:sz="4"/>
            </w:tcBorders>
          </w:tcPr>
          <w:p>
            <w:pPr>
              <w:jc w:val="center"/>
            </w:pPr>
            <w:r>
              <w:rPr/>
              <w:t>2</w:t>
            </w:r>
          </w:p>
        </w:tc>
        <w:tc>
          <w:tcPr>
            <w:tcW w:type="dxa" w:w="2740"/>
            <w:tcBorders>
              <w:top w:val="none" w:color="000000" w:sz="4"/>
              <w:left w:val="none" w:color="000000" w:sz="4"/>
              <w:bottom w:val="single" w:color="000000" w:sz="4"/>
              <w:right w:val="single" w:color="000000" w:sz="4"/>
            </w:tcBorders>
          </w:tcPr>
          <w:p>
            <w:pPr>
              <w:jc w:val="left"/>
            </w:pPr>
            <w:r>
              <w:rPr>
                <w:sz w:val="21"/>
              </w:rPr>
              <w:t>故障分析报告</w:t>
            </w:r>
          </w:p>
        </w:tc>
        <w:tc>
          <w:tcPr>
            <w:tcW w:type="dxa" w:w="856"/>
            <w:tcBorders>
              <w:top w:val="none" w:color="000000" w:sz="4"/>
              <w:left w:val="none" w:color="000000" w:sz="4"/>
              <w:bottom w:val="single" w:color="000000" w:sz="4"/>
              <w:right w:val="single" w:color="000000" w:sz="4"/>
            </w:tcBorders>
          </w:tcPr>
          <w:p>
            <w:pPr>
              <w:jc w:val="center"/>
            </w:pPr>
            <w:r>
              <w:rPr/>
              <w:t>1</w:t>
            </w:r>
            <w:r>
              <w:rPr/>
              <w:t>套</w:t>
            </w:r>
          </w:p>
        </w:tc>
        <w:tc>
          <w:tcPr>
            <w:tcW w:type="dxa" w:w="1884"/>
            <w:tcBorders>
              <w:top w:val="none" w:color="000000" w:sz="4"/>
              <w:left w:val="none" w:color="000000" w:sz="4"/>
              <w:bottom w:val="single" w:color="000000" w:sz="4"/>
              <w:right w:val="single" w:color="000000" w:sz="4"/>
            </w:tcBorders>
          </w:tcPr>
          <w:p>
            <w:pPr>
              <w:jc w:val="center"/>
            </w:pPr>
            <w:r>
              <w:rPr/>
              <w:t>电子文档</w:t>
            </w:r>
          </w:p>
        </w:tc>
        <w:tc>
          <w:tcPr>
            <w:tcW w:type="dxa" w:w="1884"/>
            <w:tcBorders>
              <w:top w:val="none" w:color="000000" w:sz="4"/>
              <w:left w:val="none" w:color="000000" w:sz="4"/>
              <w:bottom w:val="single" w:color="000000" w:sz="4"/>
              <w:right w:val="single" w:color="000000" w:sz="4"/>
            </w:tcBorders>
            <w:vAlign w:val="top"/>
          </w:tcPr>
          <w:p>
            <w:pPr>
              <w:jc w:val="center"/>
            </w:pPr>
            <w:r>
              <w:rPr/>
              <w:t>故障解决后5天内</w:t>
            </w:r>
          </w:p>
        </w:tc>
      </w:tr>
    </w:tbl>
    <w:p>
      <w:pPr>
        <w:jc w:val="both"/>
      </w:pPr>
    </w:p>
    <w:p>
      <w:pPr>
        <w:jc w:val="both"/>
      </w:pPr>
      <w:r>
        <w:rPr>
          <w:b/>
          <w:sz w:val="21"/>
        </w:rPr>
        <w:t>（十）</w:t>
      </w:r>
      <w:r>
        <w:rPr>
          <w:b/>
          <w:sz w:val="21"/>
        </w:rPr>
        <w:t>系统性能要求</w:t>
      </w:r>
    </w:p>
    <w:p>
      <w:pPr>
        <w:ind w:firstLine="420"/>
        <w:jc w:val="both"/>
      </w:pPr>
      <w:r>
        <w:rPr>
          <w:sz w:val="21"/>
        </w:rPr>
        <w:t>对于本项目的运维系统，需要达到以下性能要求：</w:t>
      </w:r>
    </w:p>
    <w:p>
      <w:pPr>
        <w:ind w:firstLine="420"/>
        <w:jc w:val="both"/>
      </w:pPr>
      <w:r>
        <w:rPr>
          <w:sz w:val="21"/>
        </w:rPr>
        <w:t>（</w:t>
      </w:r>
      <w:r>
        <w:rPr>
          <w:sz w:val="21"/>
        </w:rPr>
        <w:t>1</w:t>
      </w:r>
      <w:r>
        <w:rPr>
          <w:sz w:val="21"/>
        </w:rPr>
        <w:t>）高效性：在</w:t>
      </w:r>
      <w:r>
        <w:rPr>
          <w:sz w:val="21"/>
        </w:rPr>
        <w:t>200</w:t>
      </w:r>
      <w:r>
        <w:rPr>
          <w:sz w:val="21"/>
        </w:rPr>
        <w:t>个用户并发的情况下，浏览漫游单次操作的页面响应时间小于</w:t>
      </w:r>
      <w:r>
        <w:rPr>
          <w:sz w:val="21"/>
        </w:rPr>
        <w:t>5</w:t>
      </w:r>
      <w:r>
        <w:rPr>
          <w:sz w:val="21"/>
        </w:rPr>
        <w:t>秒。支持同时在线的用户数量不少于</w:t>
      </w:r>
      <w:r>
        <w:rPr>
          <w:sz w:val="21"/>
        </w:rPr>
        <w:t>400</w:t>
      </w:r>
      <w:r>
        <w:rPr>
          <w:sz w:val="21"/>
        </w:rPr>
        <w:t>个。使用数据服务接口查询操作的响应时间不超过</w:t>
      </w:r>
      <w:r>
        <w:rPr>
          <w:sz w:val="21"/>
        </w:rPr>
        <w:t>10</w:t>
      </w:r>
      <w:r>
        <w:rPr>
          <w:sz w:val="21"/>
        </w:rPr>
        <w:t>秒</w:t>
      </w:r>
    </w:p>
    <w:p>
      <w:pPr>
        <w:ind w:firstLine="420"/>
        <w:jc w:val="both"/>
      </w:pPr>
      <w:r>
        <w:rPr>
          <w:sz w:val="21"/>
        </w:rPr>
        <w:t>（</w:t>
      </w:r>
      <w:r>
        <w:rPr>
          <w:sz w:val="21"/>
        </w:rPr>
        <w:t>2</w:t>
      </w:r>
      <w:r>
        <w:rPr>
          <w:sz w:val="21"/>
        </w:rPr>
        <w:t>）可靠性：对外提供互联网政务服务或自助终端服务的系统，应具备</w:t>
      </w:r>
      <w:r>
        <w:rPr>
          <w:sz w:val="21"/>
        </w:rPr>
        <w:t>7X24</w:t>
      </w:r>
      <w:r>
        <w:rPr>
          <w:sz w:val="21"/>
        </w:rPr>
        <w:t>小时不间断稳定运行能力。其他系统需保证在自然资源局工作时间稳定运行。</w:t>
      </w:r>
    </w:p>
    <w:p>
      <w:pPr>
        <w:ind w:firstLine="420"/>
        <w:jc w:val="both"/>
      </w:pPr>
      <w:r>
        <w:rPr>
          <w:sz w:val="21"/>
        </w:rPr>
        <w:t>（</w:t>
      </w:r>
      <w:r>
        <w:rPr>
          <w:sz w:val="21"/>
        </w:rPr>
        <w:t>3</w:t>
      </w:r>
      <w:r>
        <w:rPr>
          <w:sz w:val="21"/>
        </w:rPr>
        <w:t>）并发性：可支持</w:t>
      </w:r>
      <w:r>
        <w:rPr>
          <w:sz w:val="21"/>
        </w:rPr>
        <w:t>200</w:t>
      </w:r>
      <w:r>
        <w:rPr>
          <w:sz w:val="21"/>
        </w:rPr>
        <w:t>以上并发用户使用。</w:t>
      </w:r>
    </w:p>
    <w:p>
      <w:pPr>
        <w:ind w:firstLine="420"/>
        <w:jc w:val="both"/>
      </w:pPr>
      <w:r>
        <w:rPr>
          <w:sz w:val="21"/>
        </w:rPr>
        <w:t>（</w:t>
      </w:r>
      <w:r>
        <w:rPr>
          <w:sz w:val="21"/>
        </w:rPr>
        <w:t>4</w:t>
      </w:r>
      <w:r>
        <w:rPr>
          <w:sz w:val="21"/>
        </w:rPr>
        <w:t>）响应时间：数据的查询、申请的提交等事务响应没有明显的用户感觉得到滞慢现象。</w:t>
      </w:r>
    </w:p>
    <w:p>
      <w:pPr>
        <w:jc w:val="both"/>
      </w:pPr>
    </w:p>
    <w:p>
      <w:pPr>
        <w:jc w:val="both"/>
      </w:pPr>
      <w:r>
        <w:rPr>
          <w:b/>
          <w:sz w:val="21"/>
        </w:rPr>
        <w:t>（十一）</w:t>
      </w:r>
      <w:r>
        <w:rPr>
          <w:b/>
          <w:sz w:val="21"/>
        </w:rPr>
        <w:t>其他有关要求</w:t>
      </w:r>
    </w:p>
    <w:p>
      <w:pPr>
        <w:ind w:firstLine="420"/>
        <w:jc w:val="both"/>
      </w:pPr>
      <w:r>
        <w:rPr>
          <w:sz w:val="21"/>
        </w:rPr>
        <w:t>乙方</w:t>
      </w:r>
      <w:r>
        <w:rPr>
          <w:sz w:val="21"/>
        </w:rPr>
        <w:t>应根据系统运维需要自备必要的软硬件设备，包括计算机、打印机、扫描仪等办公设备；包括高性能图形图像工作站、大屏显示器等有关专业设备；包括软件开发环境、维护工具软件、平台软件、数据库软件等有关软件。如使用盗版软件或非法使用有知识产权争议的软件，相关责任由</w:t>
      </w:r>
      <w:r>
        <w:rPr>
          <w:sz w:val="21"/>
        </w:rPr>
        <w:t>乙方</w:t>
      </w:r>
      <w:r>
        <w:rPr>
          <w:sz w:val="21"/>
        </w:rPr>
        <w:t>承担。</w:t>
      </w:r>
    </w:p>
    <w:p>
      <w:pPr>
        <w:jc w:val="both"/>
      </w:pPr>
    </w:p>
    <w:p>
      <w:pPr>
        <w:jc w:val="both"/>
      </w:pPr>
      <w:r>
        <w:rPr>
          <w:b/>
          <w:sz w:val="21"/>
        </w:rPr>
        <w:t>第四条：合同金额</w:t>
      </w:r>
    </w:p>
    <w:p>
      <w:pPr>
        <w:jc w:val="both"/>
      </w:pPr>
      <w:r>
        <w:rPr>
          <w:sz w:val="21"/>
        </w:rPr>
        <w:t>1.</w:t>
      </w:r>
      <w:r>
        <w:rPr>
          <w:sz w:val="21"/>
        </w:rPr>
        <w:t>本合同总价：人民币大写</w:t>
      </w:r>
      <w:r>
        <w:rPr>
          <w:sz w:val="21"/>
          <w:u w:val="single"/>
        </w:rPr>
        <w:t xml:space="preserve">                        </w:t>
      </w:r>
      <w:r>
        <w:rPr>
          <w:sz w:val="21"/>
        </w:rPr>
        <w:t>（元）。</w:t>
      </w:r>
    </w:p>
    <w:p>
      <w:pPr>
        <w:jc w:val="both"/>
      </w:pPr>
      <w:r>
        <w:rPr>
          <w:sz w:val="21"/>
        </w:rPr>
        <w:t>2.</w:t>
      </w:r>
      <w:r>
        <w:rPr>
          <w:sz w:val="21"/>
        </w:rPr>
        <w:t>本合同价格为固定不变价，其中包括但不限于服务费、维修费、保养费、税费、售后服务费、保险费、仓储费、安装调试、培训费、质保期等的全部费用。</w:t>
      </w:r>
    </w:p>
    <w:p>
      <w:pPr>
        <w:jc w:val="both"/>
      </w:pPr>
      <w:r>
        <w:rPr>
          <w:sz w:val="21"/>
        </w:rPr>
        <w:t>3.</w:t>
      </w:r>
      <w:r>
        <w:rPr>
          <w:sz w:val="21"/>
        </w:rPr>
        <w:t>未经甲方书面同意，乙方不得就本合同的履行另行收取其他费用。</w:t>
      </w:r>
    </w:p>
    <w:p>
      <w:pPr>
        <w:jc w:val="both"/>
      </w:pPr>
      <w:r>
        <w:rPr>
          <w:sz w:val="21"/>
        </w:rPr>
        <w:t>4.</w:t>
      </w:r>
      <w:r>
        <w:rPr>
          <w:sz w:val="21"/>
        </w:rPr>
        <w:t>乙方收款前应向甲方出具同等金额的正式发票。</w:t>
      </w:r>
    </w:p>
    <w:p>
      <w:pPr>
        <w:jc w:val="both"/>
      </w:pPr>
    </w:p>
    <w:p>
      <w:pPr>
        <w:jc w:val="both"/>
      </w:pPr>
      <w:r>
        <w:rPr>
          <w:b/>
          <w:sz w:val="21"/>
        </w:rPr>
        <w:t>第五条：双方权利和义务</w:t>
      </w:r>
    </w:p>
    <w:p>
      <w:pPr>
        <w:jc w:val="both"/>
      </w:pPr>
      <w:r>
        <w:rPr>
          <w:sz w:val="21"/>
        </w:rPr>
        <w:t>（一）甲方权利义务</w:t>
      </w:r>
      <w:r>
        <w:rPr>
          <w:sz w:val="21"/>
        </w:rPr>
        <w:t>:</w:t>
      </w:r>
    </w:p>
    <w:p>
      <w:pPr>
        <w:jc w:val="both"/>
      </w:pPr>
      <w:r>
        <w:rPr>
          <w:sz w:val="21"/>
        </w:rPr>
        <w:t>（</w:t>
      </w:r>
      <w:r>
        <w:rPr>
          <w:sz w:val="21"/>
        </w:rPr>
        <w:t>1</w:t>
      </w:r>
      <w:r>
        <w:rPr>
          <w:sz w:val="21"/>
        </w:rPr>
        <w:t>）有权利得到乙方在本合同承诺的且满足甲方要求的服务。</w:t>
      </w:r>
    </w:p>
    <w:p>
      <w:pPr>
        <w:jc w:val="both"/>
      </w:pPr>
      <w:r>
        <w:rPr>
          <w:sz w:val="21"/>
        </w:rPr>
        <w:t>（</w:t>
      </w:r>
      <w:r>
        <w:rPr>
          <w:sz w:val="21"/>
        </w:rPr>
        <w:t>2</w:t>
      </w:r>
      <w:r>
        <w:rPr>
          <w:sz w:val="21"/>
        </w:rPr>
        <w:t>）负责维护场地的网络准备工作，使乙方在维护实施过程中不受网络因素的影响。</w:t>
      </w:r>
    </w:p>
    <w:p>
      <w:pPr>
        <w:jc w:val="both"/>
      </w:pPr>
      <w:r>
        <w:rPr>
          <w:sz w:val="21"/>
        </w:rPr>
        <w:t>（</w:t>
      </w:r>
      <w:r>
        <w:rPr>
          <w:sz w:val="21"/>
        </w:rPr>
        <w:t>3</w:t>
      </w:r>
      <w:r>
        <w:rPr>
          <w:sz w:val="21"/>
        </w:rPr>
        <w:t>）负责协调相关部门对乙方的维护进行人员配合和协助工作。</w:t>
      </w:r>
    </w:p>
    <w:p>
      <w:pPr>
        <w:jc w:val="both"/>
      </w:pPr>
      <w:r>
        <w:rPr>
          <w:sz w:val="21"/>
        </w:rPr>
        <w:t>（</w:t>
      </w:r>
      <w:r>
        <w:rPr>
          <w:sz w:val="21"/>
        </w:rPr>
        <w:t>4</w:t>
      </w:r>
      <w:r>
        <w:rPr>
          <w:sz w:val="21"/>
        </w:rPr>
        <w:t>）对乙方运维服务进行定期评价。按本合同的约定及本项目磋商文件约定的验收要求、验收标准、验收流程对本项目进行验收。</w:t>
      </w:r>
    </w:p>
    <w:p>
      <w:pPr>
        <w:jc w:val="both"/>
      </w:pPr>
      <w:r>
        <w:rPr>
          <w:sz w:val="21"/>
        </w:rPr>
        <w:t>（</w:t>
      </w:r>
      <w:r>
        <w:rPr>
          <w:sz w:val="21"/>
        </w:rPr>
        <w:t>5</w:t>
      </w:r>
      <w:r>
        <w:rPr>
          <w:sz w:val="21"/>
        </w:rPr>
        <w:t>）按本合同约定的付款时间及金额付款给乙方。</w:t>
      </w:r>
    </w:p>
    <w:p>
      <w:pPr>
        <w:jc w:val="both"/>
      </w:pPr>
      <w:r>
        <w:rPr>
          <w:sz w:val="21"/>
        </w:rPr>
        <w:t>（</w:t>
      </w:r>
      <w:r>
        <w:rPr>
          <w:sz w:val="21"/>
        </w:rPr>
        <w:t>7</w:t>
      </w:r>
      <w:r>
        <w:rPr>
          <w:sz w:val="21"/>
        </w:rPr>
        <w:t>）指派代表负责协助、检查、验收的维护保养工作。</w:t>
      </w:r>
    </w:p>
    <w:p>
      <w:pPr>
        <w:jc w:val="both"/>
      </w:pPr>
      <w:r>
        <w:rPr>
          <w:sz w:val="21"/>
        </w:rPr>
        <w:t>（</w:t>
      </w:r>
      <w:r>
        <w:rPr>
          <w:sz w:val="21"/>
        </w:rPr>
        <w:t>8</w:t>
      </w:r>
      <w:r>
        <w:rPr>
          <w:sz w:val="21"/>
        </w:rPr>
        <w:t>）乙方服务质量达不到要求而又不改正的、出现</w:t>
      </w:r>
      <w:r>
        <w:rPr>
          <w:sz w:val="21"/>
        </w:rPr>
        <w:t>3</w:t>
      </w:r>
      <w:r>
        <w:rPr>
          <w:sz w:val="21"/>
        </w:rPr>
        <w:t>次以上投诉的、出现重大疏忽事故的，甲方有权单方面终止本服务合同，并不需支付剩余款项。</w:t>
      </w:r>
    </w:p>
    <w:p>
      <w:pPr>
        <w:jc w:val="both"/>
      </w:pPr>
      <w:r>
        <w:rPr>
          <w:sz w:val="21"/>
        </w:rPr>
        <w:t>（</w:t>
      </w:r>
      <w:r>
        <w:rPr>
          <w:sz w:val="21"/>
        </w:rPr>
        <w:t>9</w:t>
      </w:r>
      <w:r>
        <w:rPr>
          <w:sz w:val="21"/>
        </w:rPr>
        <w:t>）本项目范围内的系统知识产权（包括系统方案、源代码等）均归甲方全权所有，甲方有权在任何时候对该技术成果自由地进行使用、复制和修改等，而无须支付任何费用。运维过程中对系统进行改造、优化、升级或新增的功能或系统模块所产生的知识产权也归甲方所有。</w:t>
      </w:r>
    </w:p>
    <w:p>
      <w:pPr>
        <w:jc w:val="both"/>
      </w:pPr>
      <w:r>
        <w:rPr>
          <w:sz w:val="21"/>
        </w:rPr>
        <w:t>（二）乙方权利义务：</w:t>
      </w:r>
    </w:p>
    <w:p>
      <w:pPr>
        <w:jc w:val="both"/>
      </w:pPr>
      <w:r>
        <w:rPr>
          <w:sz w:val="21"/>
        </w:rPr>
        <w:t>（</w:t>
      </w:r>
      <w:r>
        <w:rPr>
          <w:sz w:val="21"/>
        </w:rPr>
        <w:t>1</w:t>
      </w:r>
      <w:r>
        <w:rPr>
          <w:sz w:val="21"/>
        </w:rPr>
        <w:t>）有权利按照本合同约定的方式收取本合同约定的金额。</w:t>
      </w:r>
    </w:p>
    <w:p>
      <w:pPr>
        <w:jc w:val="both"/>
      </w:pPr>
      <w:r>
        <w:rPr>
          <w:sz w:val="21"/>
        </w:rPr>
        <w:t>（</w:t>
      </w:r>
      <w:r>
        <w:rPr>
          <w:sz w:val="21"/>
        </w:rPr>
        <w:t>2</w:t>
      </w:r>
      <w:r>
        <w:rPr>
          <w:sz w:val="21"/>
        </w:rPr>
        <w:t>）按本合同约定的质量、时间完成本项目维护工作</w:t>
      </w:r>
      <w:r>
        <w:rPr>
          <w:sz w:val="21"/>
        </w:rPr>
        <w:t>,</w:t>
      </w:r>
      <w:r>
        <w:rPr>
          <w:sz w:val="21"/>
        </w:rPr>
        <w:t>包括但不限于本合同约定及维护过程中用户提出的维护需求。</w:t>
      </w:r>
    </w:p>
    <w:p>
      <w:pPr>
        <w:jc w:val="both"/>
      </w:pPr>
      <w:r>
        <w:rPr>
          <w:sz w:val="21"/>
        </w:rPr>
        <w:t>（</w:t>
      </w:r>
      <w:r>
        <w:rPr>
          <w:sz w:val="21"/>
        </w:rPr>
        <w:t>3</w:t>
      </w:r>
      <w:r>
        <w:rPr>
          <w:sz w:val="21"/>
        </w:rPr>
        <w:t>）按本合同约定承担本项目的维护服务，配合甲方按本合同的约定及本项目磋商文件约定的验收要求、验收标准、验收流程对本项目进行验收。</w:t>
      </w:r>
    </w:p>
    <w:p>
      <w:pPr>
        <w:jc w:val="both"/>
      </w:pPr>
      <w:r>
        <w:rPr>
          <w:sz w:val="21"/>
        </w:rPr>
        <w:t>（</w:t>
      </w:r>
      <w:r>
        <w:rPr>
          <w:sz w:val="21"/>
        </w:rPr>
        <w:t>4</w:t>
      </w:r>
      <w:r>
        <w:rPr>
          <w:sz w:val="21"/>
        </w:rPr>
        <w:t>）按照甲方要求及磋商文件的要求提供足够技术、人员及工具，按约定进行有序的维护工作。</w:t>
      </w:r>
    </w:p>
    <w:p>
      <w:pPr>
        <w:jc w:val="both"/>
      </w:pPr>
      <w:r>
        <w:rPr>
          <w:sz w:val="21"/>
        </w:rPr>
        <w:t>（</w:t>
      </w:r>
      <w:r>
        <w:rPr>
          <w:sz w:val="21"/>
        </w:rPr>
        <w:t>5</w:t>
      </w:r>
      <w:r>
        <w:rPr>
          <w:sz w:val="21"/>
        </w:rPr>
        <w:t>）指导甲方操作人员掌握正确的操作方法。</w:t>
      </w:r>
    </w:p>
    <w:p>
      <w:pPr>
        <w:jc w:val="both"/>
      </w:pPr>
      <w:r>
        <w:rPr>
          <w:sz w:val="21"/>
        </w:rPr>
        <w:t>（</w:t>
      </w:r>
      <w:r>
        <w:rPr>
          <w:sz w:val="21"/>
        </w:rPr>
        <w:t>6</w:t>
      </w:r>
      <w:r>
        <w:rPr>
          <w:sz w:val="21"/>
        </w:rPr>
        <w:t>）因乙方过失导致本项目维护的软件系统故障、人员安全事故、系统安全事故等造成的经济损失及安全责任全部由乙方承担。</w:t>
      </w:r>
    </w:p>
    <w:p>
      <w:pPr>
        <w:jc w:val="both"/>
      </w:pPr>
      <w:r>
        <w:rPr>
          <w:sz w:val="21"/>
        </w:rPr>
        <w:t>（</w:t>
      </w:r>
      <w:r>
        <w:rPr>
          <w:sz w:val="21"/>
        </w:rPr>
        <w:t>7</w:t>
      </w:r>
      <w:r>
        <w:rPr>
          <w:sz w:val="21"/>
        </w:rPr>
        <w:t>）乙方应无条件接受甲方的监督、检查和合理的要求。</w:t>
      </w:r>
    </w:p>
    <w:p>
      <w:pPr>
        <w:jc w:val="both"/>
      </w:pPr>
      <w:r>
        <w:rPr>
          <w:sz w:val="21"/>
        </w:rPr>
        <w:t>（</w:t>
      </w:r>
      <w:r>
        <w:rPr>
          <w:sz w:val="21"/>
        </w:rPr>
        <w:t>8</w:t>
      </w:r>
      <w:r>
        <w:rPr>
          <w:sz w:val="21"/>
        </w:rPr>
        <w:t>）乙方在做好工作的同时，有责任向甲方提供合理化建议，以提高管理效率和管理质量。</w:t>
      </w:r>
    </w:p>
    <w:p>
      <w:pPr>
        <w:jc w:val="both"/>
      </w:pPr>
      <w:r>
        <w:rPr>
          <w:sz w:val="21"/>
        </w:rPr>
        <w:t>（</w:t>
      </w:r>
      <w:r>
        <w:rPr>
          <w:sz w:val="21"/>
        </w:rPr>
        <w:t>9</w:t>
      </w:r>
      <w:r>
        <w:rPr>
          <w:sz w:val="21"/>
        </w:rPr>
        <w:t>）乙方在实施之前，必须以书面形式向甲方提供维护方案，并经甲方书面确认。</w:t>
      </w:r>
    </w:p>
    <w:p>
      <w:pPr>
        <w:jc w:val="both"/>
      </w:pPr>
      <w:r>
        <w:rPr>
          <w:sz w:val="21"/>
        </w:rPr>
        <w:t>（</w:t>
      </w:r>
      <w:r>
        <w:rPr>
          <w:sz w:val="21"/>
        </w:rPr>
        <w:t>10</w:t>
      </w:r>
      <w:r>
        <w:rPr>
          <w:sz w:val="21"/>
        </w:rPr>
        <w:t>）乙方与甲方签署保密协议，约束其所属员工保证本项目的所有资料不向外泄露及用作其他用途。</w:t>
      </w:r>
    </w:p>
    <w:p>
      <w:pPr>
        <w:jc w:val="both"/>
      </w:pPr>
      <w:r>
        <w:rPr>
          <w:sz w:val="21"/>
        </w:rPr>
        <w:t>（</w:t>
      </w:r>
      <w:r>
        <w:rPr>
          <w:sz w:val="21"/>
        </w:rPr>
        <w:t>11</w:t>
      </w:r>
      <w:r>
        <w:rPr>
          <w:sz w:val="21"/>
        </w:rPr>
        <w:t>）如乙方维护人员在实施系统运维工作过程中造成任何方人身伤害或财产损失的，乙方应承担一切责任，并赔偿甲方及受害方因此遭受的一切损失（包括但不限于第三方索赔、律师费、采取补救措施的费用及开支等）。</w:t>
      </w:r>
    </w:p>
    <w:p>
      <w:pPr>
        <w:jc w:val="both"/>
      </w:pPr>
      <w:r>
        <w:rPr>
          <w:sz w:val="21"/>
        </w:rPr>
        <w:t>（</w:t>
      </w:r>
      <w:r>
        <w:rPr>
          <w:sz w:val="21"/>
        </w:rPr>
        <w:t>12</w:t>
      </w:r>
      <w:r>
        <w:rPr>
          <w:sz w:val="21"/>
        </w:rPr>
        <w:t>）乙方维护人员仪容仪表必须符合甲方要求，统一佩带工作证，保持服务期间的文明、守纪形象。乙方维护人员在遵守乙方的规章制度以外，也必须遵从甲方的规章制度。</w:t>
      </w:r>
    </w:p>
    <w:p>
      <w:pPr>
        <w:jc w:val="both"/>
      </w:pPr>
      <w:r>
        <w:rPr>
          <w:sz w:val="21"/>
        </w:rPr>
        <w:t>（</w:t>
      </w:r>
      <w:r>
        <w:rPr>
          <w:sz w:val="21"/>
        </w:rPr>
        <w:t>13</w:t>
      </w:r>
      <w:r>
        <w:rPr>
          <w:sz w:val="21"/>
        </w:rPr>
        <w:t>）乙方及其工作人员须遵守职业道德，保证不泄露任何涉及甲方工作秘密，不得作出有损甲方及相关人员形象、声誉的行为。否则，甲方保留追究乙方法律责任的权利，并有权提前解除本合同。同时，乙方应赔偿甲方因此遭受的损失、第三方索赔、律师费、采取补救措施的费用及开支等。</w:t>
      </w:r>
    </w:p>
    <w:p>
      <w:pPr>
        <w:jc w:val="both"/>
      </w:pPr>
      <w:r>
        <w:rPr>
          <w:sz w:val="21"/>
        </w:rPr>
        <w:t>（</w:t>
      </w:r>
      <w:r>
        <w:rPr>
          <w:sz w:val="21"/>
        </w:rPr>
        <w:t>14</w:t>
      </w:r>
      <w:r>
        <w:rPr>
          <w:sz w:val="21"/>
        </w:rPr>
        <w:t>）乙方应做好保密工作并承担相应的责任。乙方必须遵守甲方内部各项规章制度和内部操作规程，履行保密义务，签署保密协议，未经批准不得以任何理由泄露任何保密信息或内部资料。</w:t>
      </w:r>
    </w:p>
    <w:p>
      <w:pPr>
        <w:jc w:val="both"/>
      </w:pPr>
      <w:r>
        <w:rPr>
          <w:sz w:val="21"/>
        </w:rPr>
        <w:t>（</w:t>
      </w:r>
      <w:r>
        <w:rPr>
          <w:sz w:val="21"/>
        </w:rPr>
        <w:t>15</w:t>
      </w:r>
      <w:r>
        <w:rPr>
          <w:sz w:val="21"/>
        </w:rPr>
        <w:t>）维护过程中所需要的工具、运费，运维驻点场地费用、水电费和安全生产费用全部由乙方支付。</w:t>
      </w:r>
    </w:p>
    <w:p>
      <w:pPr>
        <w:jc w:val="both"/>
      </w:pPr>
      <w:r>
        <w:rPr>
          <w:sz w:val="21"/>
        </w:rPr>
        <w:t>（</w:t>
      </w:r>
      <w:r>
        <w:rPr>
          <w:sz w:val="21"/>
        </w:rPr>
        <w:t>16</w:t>
      </w:r>
      <w:r>
        <w:rPr>
          <w:sz w:val="21"/>
        </w:rPr>
        <w:t>）乙方应设立投诉机制，负责监督和提升服务质量。</w:t>
      </w:r>
    </w:p>
    <w:p>
      <w:pPr>
        <w:jc w:val="both"/>
      </w:pPr>
      <w:r>
        <w:rPr>
          <w:sz w:val="21"/>
        </w:rPr>
        <w:t>（</w:t>
      </w:r>
      <w:r>
        <w:rPr>
          <w:sz w:val="21"/>
        </w:rPr>
        <w:t>17</w:t>
      </w:r>
      <w:r>
        <w:rPr>
          <w:sz w:val="21"/>
        </w:rPr>
        <w:t>）如遇人力不可抗拒的因素（如交通瘫痪、火灾、水灾、台风、暴雨、地震等）、停电、网络中断等原因导致乙方不能按要求提供服务的，乙方无须负责。</w:t>
      </w:r>
    </w:p>
    <w:p>
      <w:pPr>
        <w:jc w:val="both"/>
      </w:pPr>
    </w:p>
    <w:p>
      <w:pPr>
        <w:jc w:val="both"/>
      </w:pPr>
      <w:r>
        <w:rPr>
          <w:b/>
          <w:sz w:val="21"/>
        </w:rPr>
        <w:t>第六条：维护工作准则</w:t>
      </w:r>
    </w:p>
    <w:p>
      <w:pPr>
        <w:jc w:val="both"/>
      </w:pPr>
      <w:r>
        <w:rPr>
          <w:sz w:val="21"/>
        </w:rPr>
        <w:t xml:space="preserve">        </w:t>
      </w:r>
      <w:r>
        <w:rPr>
          <w:sz w:val="21"/>
        </w:rPr>
        <w:t>为了规范乙方维护小组行为，切实履行本项目的维护服务职责，提高维护效率，乙方应指定相应的规章制度，对维护服务工作人员的工作行为进行约束，主要包括以下行为规范：</w:t>
      </w:r>
    </w:p>
    <w:p>
      <w:pPr>
        <w:jc w:val="both"/>
      </w:pPr>
      <w:r>
        <w:rPr>
          <w:sz w:val="21"/>
        </w:rPr>
        <w:t>1</w:t>
      </w:r>
      <w:r>
        <w:rPr>
          <w:sz w:val="21"/>
        </w:rPr>
        <w:t>、遵守国家法律、法规及服务单位的各项规章制度。</w:t>
      </w:r>
    </w:p>
    <w:p>
      <w:pPr>
        <w:jc w:val="both"/>
      </w:pPr>
      <w:r>
        <w:rPr>
          <w:sz w:val="21"/>
        </w:rPr>
        <w:t>2</w:t>
      </w:r>
      <w:r>
        <w:rPr>
          <w:sz w:val="21"/>
        </w:rPr>
        <w:t>、保持工作场所的整洁、有序，并按规定布置物品、文件。</w:t>
      </w:r>
    </w:p>
    <w:p>
      <w:pPr>
        <w:jc w:val="both"/>
      </w:pPr>
      <w:r>
        <w:rPr>
          <w:sz w:val="21"/>
        </w:rPr>
        <w:t>3</w:t>
      </w:r>
      <w:r>
        <w:rPr>
          <w:sz w:val="21"/>
        </w:rPr>
        <w:t>、乙方工作人员工作时间必须着装整洁，上班时间佩戴公司工作证，不准穿奇装异服。</w:t>
      </w:r>
    </w:p>
    <w:p>
      <w:pPr>
        <w:jc w:val="both"/>
      </w:pPr>
      <w:r>
        <w:rPr>
          <w:sz w:val="21"/>
        </w:rPr>
        <w:t>4</w:t>
      </w:r>
      <w:r>
        <w:rPr>
          <w:sz w:val="21"/>
        </w:rPr>
        <w:t>、在用户场所开展工作时，要遵守其关于工作现场方面的劳动纪律，不得妨碍其正常工作。</w:t>
      </w:r>
    </w:p>
    <w:p>
      <w:pPr>
        <w:jc w:val="both"/>
      </w:pPr>
      <w:r>
        <w:rPr>
          <w:sz w:val="21"/>
        </w:rPr>
        <w:t>5</w:t>
      </w:r>
      <w:r>
        <w:rPr>
          <w:sz w:val="21"/>
        </w:rPr>
        <w:t>、现场服务时，必须事先与甲方联系商定具体上门时间。一旦确定，必须遵守，特殊情况下需要延期，须经甲方同意后方可延期。</w:t>
      </w:r>
    </w:p>
    <w:p>
      <w:pPr>
        <w:jc w:val="both"/>
      </w:pPr>
      <w:r>
        <w:rPr>
          <w:sz w:val="21"/>
        </w:rPr>
        <w:t>6</w:t>
      </w:r>
      <w:r>
        <w:rPr>
          <w:sz w:val="21"/>
        </w:rPr>
        <w:t>、按照有关程序、规范等文件的规定，对有关事项用规定表格进行记录，要保证记录的真实性、完整性，文字要清晰、易于阅读。</w:t>
      </w:r>
    </w:p>
    <w:p>
      <w:pPr>
        <w:jc w:val="both"/>
      </w:pPr>
      <w:r>
        <w:rPr>
          <w:sz w:val="21"/>
        </w:rPr>
        <w:t>7</w:t>
      </w:r>
      <w:r>
        <w:rPr>
          <w:sz w:val="21"/>
        </w:rPr>
        <w:t>、按照有关程序、规范、合同等文件的规定，及时报送有关总结、计划、报告及记录。</w:t>
      </w:r>
    </w:p>
    <w:p>
      <w:pPr>
        <w:jc w:val="both"/>
      </w:pPr>
      <w:r>
        <w:rPr>
          <w:sz w:val="21"/>
        </w:rPr>
        <w:t>8</w:t>
      </w:r>
      <w:r>
        <w:rPr>
          <w:sz w:val="21"/>
        </w:rPr>
        <w:t>、在系统维护中，由于乙方过失或处理不当，对用户造成任何直接或间接损失的，由乙方承担责任。属甲方故意人为破坏、机器故障、突然断电、自然灾害等原因发生问题的，由甲方承担相应的责任。若乙方过失或处理不当造成甲方向任何第三方进行赔偿的，甲方有权向乙方进行追偿，乙方应赔偿甲方向第三方支付的赔偿。</w:t>
      </w:r>
    </w:p>
    <w:p>
      <w:pPr>
        <w:jc w:val="both"/>
      </w:pPr>
      <w:r>
        <w:rPr>
          <w:sz w:val="21"/>
        </w:rPr>
        <w:t>9</w:t>
      </w:r>
      <w:r>
        <w:rPr>
          <w:sz w:val="21"/>
        </w:rPr>
        <w:t>、乙方应严格按照磋商文件中的运维工作机制开展运维工作。</w:t>
      </w:r>
    </w:p>
    <w:p>
      <w:pPr>
        <w:jc w:val="both"/>
      </w:pPr>
    </w:p>
    <w:p>
      <w:pPr>
        <w:jc w:val="both"/>
      </w:pPr>
      <w:r>
        <w:rPr>
          <w:b/>
          <w:sz w:val="21"/>
        </w:rPr>
        <w:t>第七条：维护期限</w:t>
      </w:r>
    </w:p>
    <w:p>
      <w:pPr>
        <w:jc w:val="both"/>
      </w:pPr>
      <w:r>
        <w:rPr>
          <w:sz w:val="21"/>
        </w:rPr>
        <w:t>本服务合同期限为</w:t>
      </w:r>
      <w:r>
        <w:rPr>
          <w:sz w:val="21"/>
          <w:u w:val="single"/>
        </w:rPr>
        <w:t xml:space="preserve">  </w:t>
      </w:r>
      <w:r>
        <w:rPr>
          <w:sz w:val="21"/>
        </w:rPr>
        <w:t>个月，自</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日起至</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日止。</w:t>
      </w:r>
    </w:p>
    <w:p>
      <w:pPr>
        <w:jc w:val="both"/>
      </w:pPr>
      <w:r>
        <w:rPr>
          <w:sz w:val="21"/>
        </w:rPr>
        <w:t>过渡支持期：乙方需从项目运维期满之日起，在新运维单位到位前继续提供不少于两个月的系统基础运维支持服务，同时提供与新运维单位的交接工作服务，期限不少于两个月（费用已包含在合同总价中）。</w:t>
      </w:r>
    </w:p>
    <w:p>
      <w:pPr>
        <w:jc w:val="both"/>
      </w:pPr>
    </w:p>
    <w:p>
      <w:pPr>
        <w:jc w:val="both"/>
      </w:pPr>
      <w:r>
        <w:rPr>
          <w:b/>
          <w:sz w:val="21"/>
        </w:rPr>
        <w:t>第八条：付款方式</w:t>
      </w:r>
    </w:p>
    <w:p>
      <w:pPr>
        <w:jc w:val="both"/>
      </w:pPr>
      <w:r>
        <w:rPr>
          <w:sz w:val="21"/>
        </w:rPr>
        <w:t>1</w:t>
      </w:r>
      <w:r>
        <w:rPr>
          <w:sz w:val="21"/>
        </w:rPr>
        <w:t>．</w:t>
      </w:r>
      <w:r>
        <w:rPr>
          <w:sz w:val="21"/>
        </w:rPr>
        <w:t>本项</w:t>
      </w:r>
      <w:r>
        <w:rPr>
          <w:sz w:val="21"/>
        </w:rPr>
        <w:t>目分</w:t>
      </w:r>
      <w:r>
        <w:rPr>
          <w:sz w:val="21"/>
        </w:rPr>
        <w:t>3</w:t>
      </w:r>
      <w:r>
        <w:rPr>
          <w:sz w:val="21"/>
        </w:rPr>
        <w:t>期付款</w:t>
      </w:r>
      <w:r>
        <w:rPr>
          <w:sz w:val="21"/>
        </w:rPr>
        <w:t>:</w:t>
      </w:r>
    </w:p>
    <w:p>
      <w:pPr>
        <w:jc w:val="both"/>
      </w:pPr>
      <w:r>
        <w:rPr>
          <w:sz w:val="21"/>
        </w:rPr>
        <w:t>1</w:t>
      </w:r>
      <w:r>
        <w:rPr>
          <w:sz w:val="21"/>
        </w:rPr>
        <w:t>期：支付比例</w:t>
      </w:r>
      <w:r>
        <w:rPr>
          <w:sz w:val="21"/>
        </w:rPr>
        <w:t>25%,</w:t>
      </w:r>
      <w:r>
        <w:rPr>
          <w:sz w:val="21"/>
        </w:rPr>
        <w:t>完成合同签订及必要的运维准备工作，在中山市财政局安排落实项目进度对应经费后，甲方收到乙方完税发票之日起</w:t>
      </w:r>
      <w:r>
        <w:rPr>
          <w:sz w:val="21"/>
        </w:rPr>
        <w:t>30</w:t>
      </w:r>
      <w:r>
        <w:rPr>
          <w:sz w:val="21"/>
        </w:rPr>
        <w:t>个工作日内，甲方向乙方支付合同总额的</w:t>
      </w:r>
      <w:r>
        <w:rPr>
          <w:sz w:val="21"/>
        </w:rPr>
        <w:t>25%</w:t>
      </w:r>
      <w:r>
        <w:rPr>
          <w:sz w:val="21"/>
        </w:rPr>
        <w:t>；</w:t>
      </w:r>
    </w:p>
    <w:p>
      <w:pPr>
        <w:jc w:val="both"/>
      </w:pPr>
      <w:r>
        <w:rPr>
          <w:sz w:val="21"/>
        </w:rPr>
        <w:t>2</w:t>
      </w:r>
      <w:r>
        <w:rPr>
          <w:sz w:val="21"/>
        </w:rPr>
        <w:t>期：支付比例</w:t>
      </w:r>
      <w:r>
        <w:rPr>
          <w:sz w:val="21"/>
        </w:rPr>
        <w:t>50%,2024</w:t>
      </w:r>
      <w:r>
        <w:rPr>
          <w:sz w:val="21"/>
        </w:rPr>
        <w:t>年</w:t>
      </w:r>
      <w:r>
        <w:rPr>
          <w:sz w:val="21"/>
        </w:rPr>
        <w:t>4</w:t>
      </w:r>
      <w:r>
        <w:rPr>
          <w:sz w:val="21"/>
        </w:rPr>
        <w:t>月底之前，在中山市财政局安排落实项目进度对应经费后，甲方收到乙方完税发票之日起</w:t>
      </w:r>
      <w:r>
        <w:rPr>
          <w:sz w:val="21"/>
        </w:rPr>
        <w:t>30</w:t>
      </w:r>
      <w:r>
        <w:rPr>
          <w:sz w:val="21"/>
        </w:rPr>
        <w:t>个工作日内，且对处于运维服务期系统的运维服务季度（</w:t>
      </w:r>
      <w:r>
        <w:rPr>
          <w:sz w:val="21"/>
        </w:rPr>
        <w:t>2023</w:t>
      </w:r>
      <w:r>
        <w:rPr>
          <w:sz w:val="21"/>
        </w:rPr>
        <w:t>年</w:t>
      </w:r>
      <w:r>
        <w:rPr>
          <w:sz w:val="21"/>
        </w:rPr>
        <w:t>11</w:t>
      </w:r>
      <w:r>
        <w:rPr>
          <w:sz w:val="21"/>
        </w:rPr>
        <w:t>月至</w:t>
      </w:r>
      <w:r>
        <w:rPr>
          <w:sz w:val="21"/>
        </w:rPr>
        <w:t>2024</w:t>
      </w:r>
      <w:r>
        <w:rPr>
          <w:sz w:val="21"/>
        </w:rPr>
        <w:t>年</w:t>
      </w:r>
      <w:r>
        <w:rPr>
          <w:sz w:val="21"/>
        </w:rPr>
        <w:t>3</w:t>
      </w:r>
      <w:r>
        <w:rPr>
          <w:sz w:val="21"/>
        </w:rPr>
        <w:t>月）考核合格，甲方向乙方支付合同总金额的</w:t>
      </w:r>
      <w:r>
        <w:rPr>
          <w:sz w:val="21"/>
        </w:rPr>
        <w:t>50</w:t>
      </w:r>
      <w:r>
        <w:rPr>
          <w:sz w:val="21"/>
        </w:rPr>
        <w:t>％。</w:t>
      </w:r>
    </w:p>
    <w:p>
      <w:pPr>
        <w:jc w:val="both"/>
      </w:pPr>
      <w:r>
        <w:rPr>
          <w:sz w:val="21"/>
        </w:rPr>
        <w:t>3</w:t>
      </w:r>
      <w:r>
        <w:rPr>
          <w:sz w:val="21"/>
        </w:rPr>
        <w:t>期：支付比例</w:t>
      </w:r>
      <w:r>
        <w:rPr>
          <w:sz w:val="21"/>
        </w:rPr>
        <w:t>25%,</w:t>
      </w:r>
      <w:r>
        <w:rPr>
          <w:sz w:val="21"/>
        </w:rPr>
        <w:t>项目运维服务期满且全部成果提交后，在中山市财政局安排落实项目进度对应经费后，且项目整个服务期（</w:t>
      </w:r>
      <w:r>
        <w:rPr>
          <w:sz w:val="21"/>
        </w:rPr>
        <w:t>2023</w:t>
      </w:r>
      <w:r>
        <w:rPr>
          <w:sz w:val="21"/>
        </w:rPr>
        <w:t>年</w:t>
      </w:r>
      <w:r>
        <w:rPr>
          <w:sz w:val="21"/>
        </w:rPr>
        <w:t>11</w:t>
      </w:r>
      <w:r>
        <w:rPr>
          <w:sz w:val="21"/>
        </w:rPr>
        <w:t>月</w:t>
      </w:r>
      <w:r>
        <w:rPr>
          <w:sz w:val="21"/>
        </w:rPr>
        <w:t>6</w:t>
      </w:r>
      <w:r>
        <w:rPr>
          <w:sz w:val="21"/>
        </w:rPr>
        <w:t>日</w:t>
      </w:r>
      <w:r>
        <w:rPr>
          <w:sz w:val="21"/>
        </w:rPr>
        <w:t>-2024</w:t>
      </w:r>
      <w:r>
        <w:rPr>
          <w:sz w:val="21"/>
        </w:rPr>
        <w:t>年</w:t>
      </w:r>
      <w:r>
        <w:rPr>
          <w:sz w:val="21"/>
        </w:rPr>
        <w:t>6</w:t>
      </w:r>
      <w:r>
        <w:rPr>
          <w:sz w:val="21"/>
        </w:rPr>
        <w:t>月</w:t>
      </w:r>
      <w:r>
        <w:rPr>
          <w:sz w:val="21"/>
        </w:rPr>
        <w:t>30</w:t>
      </w:r>
      <w:r>
        <w:rPr>
          <w:sz w:val="21"/>
        </w:rPr>
        <w:t>日）考核合格，甲方收到乙方完税发票之日起</w:t>
      </w:r>
      <w:r>
        <w:rPr>
          <w:sz w:val="21"/>
        </w:rPr>
        <w:t>30</w:t>
      </w:r>
      <w:r>
        <w:rPr>
          <w:sz w:val="21"/>
        </w:rPr>
        <w:t>个工作日内，甲方向乙方支付合同总金额的</w:t>
      </w:r>
      <w:r>
        <w:rPr>
          <w:sz w:val="21"/>
        </w:rPr>
        <w:t>25</w:t>
      </w:r>
      <w:r>
        <w:rPr>
          <w:sz w:val="21"/>
        </w:rPr>
        <w:t>％。</w:t>
      </w:r>
    </w:p>
    <w:p>
      <w:pPr>
        <w:ind w:firstLine="420"/>
        <w:jc w:val="both"/>
      </w:pPr>
      <w:r>
        <w:rPr>
          <w:sz w:val="21"/>
        </w:rPr>
        <w:t>以上第</w:t>
      </w:r>
      <w:r>
        <w:rPr>
          <w:sz w:val="21"/>
        </w:rPr>
        <w:t>2</w:t>
      </w:r>
      <w:r>
        <w:rPr>
          <w:sz w:val="21"/>
        </w:rPr>
        <w:t>、</w:t>
      </w:r>
      <w:r>
        <w:rPr>
          <w:sz w:val="21"/>
        </w:rPr>
        <w:t>3</w:t>
      </w:r>
      <w:r>
        <w:rPr>
          <w:sz w:val="21"/>
        </w:rPr>
        <w:t>期付款中若当期运维考核不合格，甲方有权根据考核结果核减当期付款比例。</w:t>
      </w:r>
    </w:p>
    <w:p>
      <w:pPr>
        <w:ind w:firstLine="420"/>
        <w:jc w:val="both"/>
      </w:pPr>
      <w:r>
        <w:rPr>
          <w:sz w:val="21"/>
        </w:rPr>
        <w:t>因本项目使用的是市财政资金，前款规定的付款时间为甲方向政府采购支付部门办理财政支付手续的时间（不含政府财政支付部门审核的时间），在规定的时间内提交支付申请即视为甲方已经按期支付。</w:t>
      </w:r>
    </w:p>
    <w:p>
      <w:pPr>
        <w:ind w:firstLine="420"/>
        <w:jc w:val="both"/>
      </w:pPr>
      <w:r>
        <w:rPr>
          <w:sz w:val="21"/>
        </w:rPr>
        <w:t>甲方按照付款约定支付给乙方的所有合同款只能用于本项目，乙方不得转移用于其他用途。乙方不得拖欠本项目运维人员（包括驻点和非驻点人员）工资。如发现有违反上述约定的，甲方有权延迟或减少当期合同款支付。</w:t>
      </w:r>
    </w:p>
    <w:p>
      <w:pPr>
        <w:jc w:val="both"/>
      </w:pPr>
      <w:r>
        <w:rPr>
          <w:sz w:val="21"/>
        </w:rPr>
        <w:t xml:space="preserve">2.     </w:t>
      </w:r>
      <w:r>
        <w:rPr>
          <w:sz w:val="21"/>
        </w:rPr>
        <w:t>乙方的账户信息：</w:t>
      </w:r>
    </w:p>
    <w:p>
      <w:pPr>
        <w:jc w:val="both"/>
      </w:pPr>
      <w:r>
        <w:rPr>
          <w:sz w:val="21"/>
        </w:rPr>
        <w:t>（</w:t>
      </w:r>
      <w:r>
        <w:rPr>
          <w:sz w:val="21"/>
        </w:rPr>
        <w:t>1</w:t>
      </w:r>
      <w:r>
        <w:rPr>
          <w:sz w:val="21"/>
        </w:rPr>
        <w:t>）开户行：</w:t>
      </w:r>
    </w:p>
    <w:p>
      <w:pPr>
        <w:jc w:val="both"/>
      </w:pPr>
      <w:r>
        <w:rPr>
          <w:sz w:val="21"/>
        </w:rPr>
        <w:t>（</w:t>
      </w:r>
      <w:r>
        <w:rPr>
          <w:sz w:val="21"/>
        </w:rPr>
        <w:t>2</w:t>
      </w:r>
      <w:r>
        <w:rPr>
          <w:sz w:val="21"/>
        </w:rPr>
        <w:t>）开户账号：</w:t>
      </w:r>
    </w:p>
    <w:p>
      <w:pPr>
        <w:jc w:val="both"/>
      </w:pPr>
      <w:r>
        <w:rPr>
          <w:sz w:val="21"/>
        </w:rPr>
        <w:t>（</w:t>
      </w:r>
      <w:r>
        <w:rPr>
          <w:sz w:val="21"/>
        </w:rPr>
        <w:t>3</w:t>
      </w:r>
      <w:r>
        <w:rPr>
          <w:sz w:val="21"/>
        </w:rPr>
        <w:t>）开户名称：</w:t>
      </w:r>
    </w:p>
    <w:p>
      <w:pPr>
        <w:jc w:val="both"/>
      </w:pPr>
    </w:p>
    <w:p>
      <w:pPr>
        <w:jc w:val="both"/>
      </w:pPr>
      <w:r>
        <w:rPr>
          <w:b/>
          <w:sz w:val="21"/>
        </w:rPr>
        <w:t>第九条：考核办法</w:t>
      </w:r>
    </w:p>
    <w:p>
      <w:pPr>
        <w:ind w:firstLine="420"/>
        <w:jc w:val="both"/>
      </w:pPr>
      <w:r>
        <w:rPr>
          <w:sz w:val="21"/>
        </w:rPr>
        <w:t>甲方按照磋商文件约定要求对乙方进行运维服务考核。</w:t>
      </w:r>
    </w:p>
    <w:p>
      <w:pPr>
        <w:jc w:val="both"/>
      </w:pPr>
    </w:p>
    <w:p>
      <w:pPr>
        <w:jc w:val="both"/>
      </w:pPr>
      <w:r>
        <w:rPr>
          <w:b/>
          <w:sz w:val="21"/>
        </w:rPr>
        <w:t>第十条：违约责任与赔偿损失</w:t>
      </w:r>
    </w:p>
    <w:p>
      <w:pPr>
        <w:ind w:firstLine="420"/>
        <w:jc w:val="both"/>
      </w:pPr>
      <w:r>
        <w:rPr>
          <w:sz w:val="21"/>
        </w:rPr>
        <w:t>1.</w:t>
      </w:r>
      <w:r>
        <w:rPr>
          <w:sz w:val="21"/>
        </w:rPr>
        <w:t>在甲方使用本维护项目的软件成果过程中，因乙方软件自身缺陷未及时发现、处理或系统维护处理不及时或失误导致系统出现运行故障或数据错误，造成甲方或第三方各类损失（含经济损失、甲方向第三方赔偿等），甲方有权要求乙方赔偿全部损失，并有权解除本合同、拒绝支付未支付的运维费用，乙方还应按合同总价的</w:t>
      </w:r>
      <w:r>
        <w:rPr>
          <w:sz w:val="21"/>
        </w:rPr>
        <w:t>10%</w:t>
      </w:r>
      <w:r>
        <w:rPr>
          <w:sz w:val="21"/>
        </w:rPr>
        <w:t>向甲方支付违约金。</w:t>
      </w:r>
    </w:p>
    <w:p>
      <w:pPr>
        <w:ind w:firstLine="420"/>
        <w:jc w:val="both"/>
      </w:pPr>
      <w:r>
        <w:rPr>
          <w:sz w:val="21"/>
        </w:rPr>
        <w:t>2.</w:t>
      </w:r>
      <w:r>
        <w:rPr>
          <w:sz w:val="21"/>
        </w:rPr>
        <w:t>如乙方违反保密协议，或主观恶意泄露工作秘密，或恶意、滥用运维权限对系统故意设置</w:t>
      </w:r>
      <w:r>
        <w:rPr>
          <w:sz w:val="21"/>
        </w:rPr>
        <w:t>bug</w:t>
      </w:r>
      <w:r>
        <w:rPr>
          <w:sz w:val="21"/>
        </w:rPr>
        <w:t>或人为设置障碍，影响系统作用正常发挥的，甲方有权解除本合同、拒绝支付未支付的运维费用，并要求乙方赔偿全部损失（含经济损失、甲方向第三方赔偿等），乙方还应按合同总价的</w:t>
      </w:r>
      <w:r>
        <w:rPr>
          <w:sz w:val="21"/>
        </w:rPr>
        <w:t>10%</w:t>
      </w:r>
      <w:r>
        <w:rPr>
          <w:sz w:val="21"/>
        </w:rPr>
        <w:t>向甲方支付违约金。若涉嫌刑事责任的，甲方将依法移送公安机关追究乙方及相关人员的刑事责任。</w:t>
      </w:r>
    </w:p>
    <w:p>
      <w:pPr>
        <w:ind w:firstLine="420"/>
        <w:jc w:val="both"/>
      </w:pPr>
      <w:r>
        <w:rPr>
          <w:sz w:val="21"/>
        </w:rPr>
        <w:t>3.</w:t>
      </w:r>
      <w:r>
        <w:rPr>
          <w:sz w:val="21"/>
        </w:rPr>
        <w:t>本合同开始履行后</w:t>
      </w:r>
      <w:r>
        <w:rPr>
          <w:sz w:val="21"/>
        </w:rPr>
        <w:t>6</w:t>
      </w:r>
      <w:r>
        <w:rPr>
          <w:sz w:val="21"/>
        </w:rPr>
        <w:t>个月内乙方未按投标文件驻场人员清单安排人员驻场，或乙方在合同履行期内运维不合格，导致系统无法正常运行或正常业务办理的，甲方有权解除合同并重新选择其他单位承担运维工作，未完成的运维工作由新中标人负责的，乙方应按行业相关取费标准支付费用。</w:t>
      </w:r>
    </w:p>
    <w:p>
      <w:pPr>
        <w:ind w:firstLine="420"/>
        <w:jc w:val="both"/>
      </w:pPr>
      <w:r>
        <w:rPr>
          <w:sz w:val="21"/>
        </w:rPr>
        <w:t>4.</w:t>
      </w:r>
      <w:r>
        <w:rPr>
          <w:sz w:val="21"/>
        </w:rPr>
        <w:t>服务考核评价得分≤</w:t>
      </w:r>
      <w:r>
        <w:rPr>
          <w:sz w:val="21"/>
        </w:rPr>
        <w:t>70</w:t>
      </w:r>
      <w:r>
        <w:rPr>
          <w:sz w:val="21"/>
        </w:rPr>
        <w:t>分的，甲方有权根据考核结果部分减少未支付的项目额度。</w:t>
      </w:r>
    </w:p>
    <w:p>
      <w:pPr>
        <w:ind w:firstLine="420"/>
        <w:jc w:val="both"/>
      </w:pPr>
      <w:r>
        <w:rPr>
          <w:sz w:val="21"/>
        </w:rPr>
        <w:t>5.</w:t>
      </w:r>
      <w:r>
        <w:rPr>
          <w:sz w:val="21"/>
        </w:rPr>
        <w:t>因甲方使用的是财政资金，甲方向政府采购支付部门提出办理财政支付申请手续的时间（不含政府财政支付部门审核的时间）视为甲方履行支付义务的时间，甲方在约定时间内提出支付申请后即视为甲方已经按期支付。由于财政资金拨款需时审批而导致乙方收款延迟，甲方不承担违约责任。</w:t>
      </w:r>
    </w:p>
    <w:p>
      <w:pPr>
        <w:ind w:firstLine="420"/>
        <w:jc w:val="both"/>
      </w:pPr>
      <w:r>
        <w:rPr>
          <w:sz w:val="21"/>
        </w:rPr>
        <w:t>6.</w:t>
      </w:r>
      <w:r>
        <w:rPr>
          <w:sz w:val="21"/>
        </w:rPr>
        <w:t>如甲方未按照合同约定的付款期限履行支付义务，则每日按到期应付款总额</w:t>
      </w:r>
      <w:r>
        <w:rPr>
          <w:sz w:val="21"/>
        </w:rPr>
        <w:t>0.5%</w:t>
      </w:r>
      <w:r>
        <w:rPr>
          <w:sz w:val="21"/>
        </w:rPr>
        <w:t>向乙方偿付违约金，但总额不超过合同总额的</w:t>
      </w:r>
      <w:r>
        <w:rPr>
          <w:sz w:val="21"/>
        </w:rPr>
        <w:t>10%</w:t>
      </w:r>
      <w:r>
        <w:rPr>
          <w:sz w:val="21"/>
        </w:rPr>
        <w:t>。</w:t>
      </w:r>
    </w:p>
    <w:p>
      <w:pPr>
        <w:ind w:firstLine="420"/>
        <w:jc w:val="both"/>
      </w:pPr>
      <w:r>
        <w:rPr>
          <w:sz w:val="21"/>
        </w:rPr>
        <w:t>7.</w:t>
      </w:r>
      <w:r>
        <w:rPr>
          <w:sz w:val="21"/>
        </w:rPr>
        <w:t>如甲方、乙方任意一方违反合同约定，导致需向对方追偿经济损失及违约金等，因此产生的维权费用（包括但不限于律师费、公证费、鉴定费等费用）由违约方承担。</w:t>
      </w:r>
    </w:p>
    <w:p>
      <w:pPr>
        <w:ind w:firstLine="420"/>
        <w:jc w:val="both"/>
      </w:pPr>
      <w:r>
        <w:rPr>
          <w:sz w:val="21"/>
        </w:rPr>
        <w:t>8.</w:t>
      </w:r>
      <w:r>
        <w:rPr>
          <w:sz w:val="21"/>
        </w:rPr>
        <w:t>乙方存在违约的情况下，双方同意并出具书面文件后，甲方有权直接从应付给乙方合同价款中扣减其应赔偿损失的数额及违约金。</w:t>
      </w:r>
    </w:p>
    <w:p>
      <w:pPr>
        <w:jc w:val="both"/>
      </w:pPr>
    </w:p>
    <w:p>
      <w:pPr>
        <w:jc w:val="both"/>
      </w:pPr>
      <w:r>
        <w:rPr>
          <w:b/>
          <w:sz w:val="21"/>
        </w:rPr>
        <w:t>第十一条：技术文件</w:t>
      </w:r>
    </w:p>
    <w:p>
      <w:pPr>
        <w:ind w:firstLine="420"/>
        <w:jc w:val="both"/>
      </w:pPr>
      <w:r>
        <w:rPr>
          <w:sz w:val="21"/>
        </w:rPr>
        <w:t>1.</w:t>
      </w:r>
      <w:r>
        <w:rPr>
          <w:sz w:val="21"/>
        </w:rPr>
        <w:t>乙方应在提供服务同时向甲方提供所有有关本合同执行的技术文件（详见项目成果要求）。如果本项目必需但合同又未作约定要乙方提供的技术文件，乙方也应及时向甲方提供。技术文件可以是手册、图纸或其他形式的文件资料。</w:t>
      </w:r>
    </w:p>
    <w:p>
      <w:pPr>
        <w:ind w:firstLine="420"/>
        <w:jc w:val="both"/>
      </w:pPr>
      <w:r>
        <w:rPr>
          <w:sz w:val="21"/>
        </w:rPr>
        <w:t>2.</w:t>
      </w:r>
      <w:r>
        <w:rPr>
          <w:sz w:val="21"/>
        </w:rPr>
        <w:t>上述技术文件应包含保证甲方能够正确进行安装、操作、检查、维修、维护、调试、验收需要的所有内容。</w:t>
      </w:r>
    </w:p>
    <w:p>
      <w:pPr>
        <w:ind w:firstLine="420"/>
        <w:jc w:val="both"/>
      </w:pPr>
      <w:r>
        <w:rPr>
          <w:sz w:val="21"/>
        </w:rPr>
        <w:t>3.</w:t>
      </w:r>
      <w:r>
        <w:rPr>
          <w:sz w:val="21"/>
        </w:rPr>
        <w:t>甲方完全按照技术文件的指导进行的任何安装、操作、检查维修、维护、测试、调试、验收所引起的系统和</w:t>
      </w:r>
      <w:r>
        <w:rPr>
          <w:sz w:val="21"/>
        </w:rPr>
        <w:t>/</w:t>
      </w:r>
      <w:r>
        <w:rPr>
          <w:sz w:val="21"/>
        </w:rPr>
        <w:t>或货物或其部件的损坏由乙方承担责任。</w:t>
      </w:r>
    </w:p>
    <w:p>
      <w:pPr>
        <w:ind w:firstLine="420"/>
        <w:jc w:val="both"/>
      </w:pPr>
      <w:r>
        <w:rPr>
          <w:sz w:val="21"/>
        </w:rPr>
        <w:t>4.</w:t>
      </w:r>
      <w:r>
        <w:rPr>
          <w:sz w:val="21"/>
        </w:rPr>
        <w:t>乙方应按照甲方的要求提供上述技术文件给甲方。</w:t>
      </w:r>
    </w:p>
    <w:p>
      <w:pPr>
        <w:ind w:firstLine="420"/>
        <w:jc w:val="both"/>
      </w:pPr>
      <w:r>
        <w:rPr>
          <w:sz w:val="21"/>
        </w:rPr>
        <w:t>5.</w:t>
      </w:r>
      <w:r>
        <w:rPr>
          <w:sz w:val="21"/>
        </w:rPr>
        <w:t>所有乙方提供的技术文件的全部费用已包含在本合同总价中。</w:t>
      </w:r>
    </w:p>
    <w:p>
      <w:pPr>
        <w:ind w:firstLine="420"/>
        <w:jc w:val="both"/>
      </w:pPr>
      <w:r>
        <w:rPr>
          <w:sz w:val="21"/>
        </w:rPr>
        <w:t>6.</w:t>
      </w:r>
      <w:r>
        <w:rPr>
          <w:sz w:val="21"/>
        </w:rPr>
        <w:t>所有未列明交付时间的乙方应提供的技术文件，必须单独包装伴随在本合同期内交付给甲方。</w:t>
      </w:r>
    </w:p>
    <w:p>
      <w:pPr>
        <w:ind w:firstLine="420"/>
        <w:jc w:val="both"/>
      </w:pPr>
      <w:r>
        <w:rPr>
          <w:sz w:val="21"/>
        </w:rPr>
        <w:t>7.</w:t>
      </w:r>
      <w:r>
        <w:rPr>
          <w:sz w:val="21"/>
        </w:rPr>
        <w:t>本合同期内甲方如发现乙方未提供有关文件，可以推迟付款，直至乙方补齐有关文件。</w:t>
      </w:r>
    </w:p>
    <w:p>
      <w:pPr>
        <w:ind w:firstLine="420"/>
        <w:jc w:val="both"/>
      </w:pPr>
    </w:p>
    <w:p>
      <w:pPr>
        <w:jc w:val="both"/>
      </w:pPr>
      <w:r>
        <w:rPr>
          <w:b/>
          <w:sz w:val="21"/>
        </w:rPr>
        <w:t>第十二条：知识产权</w:t>
      </w:r>
    </w:p>
    <w:p>
      <w:pPr>
        <w:jc w:val="both"/>
      </w:pPr>
      <w:r>
        <w:rPr>
          <w:sz w:val="21"/>
        </w:rPr>
        <w:t xml:space="preserve">1.     </w:t>
      </w:r>
      <w:r>
        <w:rPr>
          <w:sz w:val="21"/>
        </w:rPr>
        <w:t>乙方应保证，甲方在中华人民共和国实施合同的范围内，免受第三方提出的侵犯其专利权、商标权或其他知识产权的起诉。如发生此类纠纷，由乙方承担一切责任（包括但不限于甲方遭受到的第三方索赔、律师费、行政处罚金、采取补救措施的费用及开支）。</w:t>
      </w:r>
    </w:p>
    <w:p>
      <w:pPr>
        <w:jc w:val="both"/>
      </w:pPr>
      <w:r>
        <w:rPr>
          <w:sz w:val="21"/>
        </w:rPr>
        <w:t xml:space="preserve">2.     </w:t>
      </w:r>
      <w:r>
        <w:rPr>
          <w:sz w:val="21"/>
        </w:rPr>
        <w:t>乙方为执行本合同而提供的技术资料、软件的使用权归甲方所有。</w:t>
      </w:r>
    </w:p>
    <w:p>
      <w:pPr>
        <w:jc w:val="both"/>
      </w:pPr>
    </w:p>
    <w:p>
      <w:pPr>
        <w:jc w:val="both"/>
      </w:pPr>
      <w:r>
        <w:rPr>
          <w:b/>
          <w:sz w:val="21"/>
        </w:rPr>
        <w:t>第十三条：保险</w:t>
      </w:r>
    </w:p>
    <w:p>
      <w:pPr>
        <w:ind w:firstLine="420"/>
        <w:jc w:val="both"/>
      </w:pPr>
      <w:r>
        <w:rPr>
          <w:sz w:val="21"/>
        </w:rPr>
        <w:t>根据本合同关于产权与风险转移条款规定，乙方承担本合同实施过程中的所有风险。因此，乙方应为实施本项目所需的车辆、仪器设备等投保险、为派往甲方服务的人员投保人身险、为有关本项目活动可能涉及的第三方投保相关险种，保险费用均由乙方负责。</w:t>
      </w:r>
    </w:p>
    <w:p>
      <w:pPr>
        <w:jc w:val="both"/>
      </w:pPr>
    </w:p>
    <w:p>
      <w:pPr>
        <w:jc w:val="both"/>
      </w:pPr>
      <w:r>
        <w:rPr>
          <w:b/>
          <w:sz w:val="21"/>
        </w:rPr>
        <w:t>第十四条：伴随服务</w:t>
      </w:r>
    </w:p>
    <w:p>
      <w:pPr>
        <w:ind w:firstLine="420"/>
        <w:jc w:val="both"/>
      </w:pPr>
      <w:r>
        <w:rPr>
          <w:sz w:val="21"/>
        </w:rPr>
        <w:t>应甲方要求，乙方应提供甲方要求和本合同列明的服务，磋商文件中规定的相关服务。除非另有约定，所有服务费用已包含在本合同总价中。</w:t>
      </w:r>
      <w:r>
        <w:rPr>
          <w:sz w:val="21"/>
        </w:rPr>
        <w:t>若超出服务内容，双方应当另行协商。</w:t>
      </w:r>
    </w:p>
    <w:p>
      <w:pPr>
        <w:jc w:val="both"/>
      </w:pPr>
    </w:p>
    <w:p>
      <w:pPr>
        <w:jc w:val="both"/>
      </w:pPr>
      <w:r>
        <w:rPr>
          <w:b/>
          <w:sz w:val="21"/>
        </w:rPr>
        <w:t>第十五条：保密条款</w:t>
      </w:r>
    </w:p>
    <w:p>
      <w:pPr>
        <w:jc w:val="both"/>
      </w:pPr>
      <w:r>
        <w:rPr>
          <w:sz w:val="21"/>
        </w:rPr>
        <w:t>乙方需和甲方签订保密协议。</w:t>
      </w:r>
    </w:p>
    <w:p>
      <w:pPr>
        <w:jc w:val="both"/>
      </w:pPr>
    </w:p>
    <w:p>
      <w:pPr>
        <w:jc w:val="both"/>
      </w:pPr>
      <w:r>
        <w:rPr>
          <w:b/>
          <w:sz w:val="21"/>
        </w:rPr>
        <w:t>第十六条：项目维护人员要求</w:t>
      </w:r>
    </w:p>
    <w:p>
      <w:pPr>
        <w:jc w:val="both"/>
      </w:pPr>
      <w:r>
        <w:rPr>
          <w:sz w:val="21"/>
        </w:rPr>
        <w:t xml:space="preserve">1. </w:t>
      </w:r>
      <w:r>
        <w:rPr>
          <w:sz w:val="21"/>
        </w:rPr>
        <w:t>乙方须保证本项目维护人员充足、稳定。未经甲方书面同意，乙方不得擅自更换维护人员。经甲方书面同意更换维护人员的，乙方还应保证所更换人员须具有相应的资质证书。</w:t>
      </w:r>
    </w:p>
    <w:p>
      <w:pPr>
        <w:jc w:val="both"/>
      </w:pPr>
      <w:r>
        <w:rPr>
          <w:sz w:val="21"/>
        </w:rPr>
        <w:t xml:space="preserve">2. </w:t>
      </w:r>
      <w:r>
        <w:rPr>
          <w:sz w:val="21"/>
        </w:rPr>
        <w:t>乙方的维护人员应自备有关工具、材料及承担相应的费用，如维护工具软件、电脑、交通和办公用具等。</w:t>
      </w:r>
    </w:p>
    <w:p>
      <w:pPr>
        <w:jc w:val="both"/>
      </w:pPr>
      <w:r>
        <w:rPr>
          <w:sz w:val="21"/>
        </w:rPr>
        <w:t xml:space="preserve">3. </w:t>
      </w:r>
      <w:r>
        <w:rPr>
          <w:sz w:val="21"/>
        </w:rPr>
        <w:t>乙方的维护人员不得利用工作之便，进行任何非法或非本项目范围内的活动，特别是发布非法信息</w:t>
      </w:r>
      <w:r>
        <w:rPr>
          <w:sz w:val="21"/>
        </w:rPr>
        <w:t>/</w:t>
      </w:r>
      <w:r>
        <w:rPr>
          <w:sz w:val="21"/>
        </w:rPr>
        <w:t>内容、留下系统后门等，须严格遵守有关法规和甲方内部规章制度，不得擅自修改、复制、传播所接触的系统源代码或数据。</w:t>
      </w:r>
    </w:p>
    <w:p>
      <w:pPr>
        <w:jc w:val="both"/>
      </w:pPr>
      <w:r>
        <w:rPr>
          <w:sz w:val="21"/>
        </w:rPr>
        <w:t xml:space="preserve">4. </w:t>
      </w:r>
      <w:r>
        <w:rPr>
          <w:sz w:val="21"/>
        </w:rPr>
        <w:t>如甲方对乙方维护人员不满意，有权要求乙方在日内更换维护人员，乙方应无条件在上述限期内更换完毕，并承担全部费用。</w:t>
      </w:r>
    </w:p>
    <w:p>
      <w:pPr>
        <w:jc w:val="both"/>
      </w:pPr>
    </w:p>
    <w:p>
      <w:pPr>
        <w:jc w:val="both"/>
      </w:pPr>
      <w:r>
        <w:rPr>
          <w:b/>
          <w:sz w:val="21"/>
        </w:rPr>
        <w:t>第十七条：不可抗力</w:t>
      </w:r>
    </w:p>
    <w:p>
      <w:pPr>
        <w:jc w:val="both"/>
      </w:pPr>
      <w:r>
        <w:rPr>
          <w:sz w:val="21"/>
        </w:rPr>
        <w:t xml:space="preserve">1. </w:t>
      </w:r>
      <w:r>
        <w:rPr>
          <w:sz w:val="21"/>
        </w:rPr>
        <w:t>甲、乙双方的任何一方由于不可抗力事件影响而不能执行本合同时，经双方协商后，可适当延长，其延长的期限应相当于事件所影响的时间。不可抗力事件系指甲、乙双方在缔结合同时所不能预见的，并且它的发生及其后果是无法避免和克服的事件，诸如战争、地震等。但不能因出现暴雨、台风、洪水、暴潮、山泥倾泻和咸潮等人力不可抗拒的自然灾害而免责。</w:t>
      </w:r>
    </w:p>
    <w:p>
      <w:pPr>
        <w:jc w:val="both"/>
      </w:pPr>
      <w:r>
        <w:rPr>
          <w:sz w:val="21"/>
        </w:rPr>
        <w:t xml:space="preserve">2. </w:t>
      </w:r>
      <w:r>
        <w:rPr>
          <w:sz w:val="21"/>
        </w:rPr>
        <w:t>受阻一方应在不可抗力事件发生后，尽快用电报、传真或电传通知对方，并于事件发生后</w:t>
      </w:r>
      <w:r>
        <w:rPr>
          <w:sz w:val="21"/>
        </w:rPr>
        <w:t>14</w:t>
      </w:r>
      <w:r>
        <w:rPr>
          <w:sz w:val="21"/>
        </w:rPr>
        <w:t>天内将有关部门出具的证明文件用特快专递或挂号信寄给对方审阅确认。一旦不可抗力事件的影响持续</w:t>
      </w:r>
      <w:r>
        <w:rPr>
          <w:sz w:val="21"/>
        </w:rPr>
        <w:t>60</w:t>
      </w:r>
      <w:r>
        <w:rPr>
          <w:sz w:val="21"/>
        </w:rPr>
        <w:t>天以上，双方应通过友好协商，在合理的时间内达成进一步履行合同的协议或解除合同。</w:t>
      </w:r>
    </w:p>
    <w:p>
      <w:pPr>
        <w:jc w:val="both"/>
      </w:pPr>
    </w:p>
    <w:p>
      <w:pPr>
        <w:jc w:val="both"/>
      </w:pPr>
      <w:r>
        <w:rPr>
          <w:b/>
          <w:sz w:val="21"/>
        </w:rPr>
        <w:t>第十八条：合同变更</w:t>
      </w:r>
    </w:p>
    <w:p>
      <w:pPr>
        <w:jc w:val="both"/>
      </w:pPr>
      <w:r>
        <w:rPr>
          <w:sz w:val="21"/>
        </w:rPr>
        <w:t>1</w:t>
      </w:r>
      <w:r>
        <w:rPr>
          <w:sz w:val="21"/>
        </w:rPr>
        <w:t>）</w:t>
      </w:r>
      <w:r>
        <w:rPr>
          <w:sz w:val="21"/>
        </w:rPr>
        <w:t xml:space="preserve"> </w:t>
      </w:r>
      <w:r>
        <w:rPr>
          <w:sz w:val="21"/>
        </w:rPr>
        <w:t>乙方根据现场实际或施工情况，发现本合同原计划或方案不尽合理，确实需变更本合同约定的内容的，应在</w:t>
      </w:r>
      <w:r>
        <w:rPr>
          <w:sz w:val="21"/>
          <w:u w:val="single"/>
        </w:rPr>
        <w:t xml:space="preserve">  </w:t>
      </w:r>
      <w:r>
        <w:rPr>
          <w:sz w:val="21"/>
        </w:rPr>
        <w:t>日内书面通知甲方，并提出变更理由、修正方案、及变更清单，经甲方书面确认方可实施，并将变更后的文件作为本合同的附件。</w:t>
      </w:r>
    </w:p>
    <w:p>
      <w:pPr>
        <w:jc w:val="both"/>
      </w:pPr>
      <w:r>
        <w:rPr>
          <w:sz w:val="21"/>
        </w:rPr>
        <w:t>2</w:t>
      </w:r>
      <w:r>
        <w:rPr>
          <w:sz w:val="21"/>
        </w:rPr>
        <w:t>）</w:t>
      </w:r>
      <w:r>
        <w:rPr>
          <w:sz w:val="21"/>
        </w:rPr>
        <w:t xml:space="preserve"> </w:t>
      </w:r>
      <w:r>
        <w:rPr>
          <w:sz w:val="21"/>
        </w:rPr>
        <w:t>因甲方的原因变更本合同内容的，甲方应以书面形式通知乙方，并经双方协商一致签署有关变更文件。如因此造成乙方履行本合同义务的价格或时间增减，乙方据此要求的调整必须在收到甲方通知变更之日起</w:t>
      </w:r>
      <w:r>
        <w:rPr>
          <w:sz w:val="21"/>
        </w:rPr>
        <w:t>30</w:t>
      </w:r>
      <w:r>
        <w:rPr>
          <w:sz w:val="21"/>
        </w:rPr>
        <w:t>天内提出。</w:t>
      </w:r>
    </w:p>
    <w:p>
      <w:pPr>
        <w:jc w:val="both"/>
      </w:pPr>
      <w:r>
        <w:rPr>
          <w:sz w:val="21"/>
        </w:rPr>
        <w:t>3</w:t>
      </w:r>
      <w:r>
        <w:rPr>
          <w:sz w:val="21"/>
        </w:rPr>
        <w:t>）</w:t>
      </w:r>
      <w:r>
        <w:rPr>
          <w:sz w:val="21"/>
        </w:rPr>
        <w:t xml:space="preserve"> </w:t>
      </w:r>
      <w:r>
        <w:rPr>
          <w:sz w:val="21"/>
        </w:rPr>
        <w:t>无论是按本合同要求，或是根据现场实际情况作出变更提供服务，乙方都不能免除其对本合同应承担的责任。</w:t>
      </w:r>
    </w:p>
    <w:p>
      <w:pPr>
        <w:jc w:val="both"/>
      </w:pPr>
    </w:p>
    <w:p>
      <w:pPr>
        <w:jc w:val="both"/>
      </w:pPr>
      <w:r>
        <w:rPr>
          <w:b/>
          <w:sz w:val="21"/>
        </w:rPr>
        <w:t>第十九条：合同解除和终止</w:t>
      </w:r>
    </w:p>
    <w:p>
      <w:pPr>
        <w:jc w:val="both"/>
      </w:pPr>
      <w:r>
        <w:rPr>
          <w:sz w:val="21"/>
        </w:rPr>
        <w:t xml:space="preserve">1.     </w:t>
      </w:r>
      <w:r>
        <w:rPr>
          <w:sz w:val="21"/>
        </w:rPr>
        <w:t>违约违规终止合同</w:t>
      </w:r>
    </w:p>
    <w:p>
      <w:pPr>
        <w:ind w:firstLine="420"/>
        <w:jc w:val="both"/>
      </w:pPr>
      <w:r>
        <w:rPr>
          <w:sz w:val="21"/>
        </w:rPr>
        <w:t>在甲方对乙方违约违规而采取的任何补救措施不受影响的情况下，甲方可向乙方发出书面的违约通知书，提前解除部份或全部合同：</w:t>
      </w:r>
    </w:p>
    <w:p>
      <w:pPr>
        <w:jc w:val="both"/>
      </w:pPr>
      <w:r>
        <w:rPr>
          <w:sz w:val="21"/>
        </w:rPr>
        <w:t xml:space="preserve">1.1. </w:t>
      </w:r>
      <w:r>
        <w:rPr>
          <w:sz w:val="21"/>
        </w:rPr>
        <w:t>如果乙方未能在本合同约定的期限内提供符合甲方、磋商文件及用户需求书要求的服务；</w:t>
      </w:r>
    </w:p>
    <w:p>
      <w:pPr>
        <w:jc w:val="both"/>
      </w:pPr>
      <w:r>
        <w:rPr>
          <w:sz w:val="21"/>
        </w:rPr>
        <w:t xml:space="preserve">1.2. </w:t>
      </w:r>
      <w:r>
        <w:rPr>
          <w:sz w:val="21"/>
        </w:rPr>
        <w:t>除本合同另有约定外，如乙方未能履行其于本合同项下承担的其他义务，且在收到甲方通知之日起未能在</w:t>
      </w:r>
      <w:r>
        <w:rPr>
          <w:sz w:val="21"/>
        </w:rPr>
        <w:t>2</w:t>
      </w:r>
      <w:r>
        <w:rPr>
          <w:sz w:val="21"/>
        </w:rPr>
        <w:t>个工作日内对违约行为作出纠正，则视为乙方违约。乙方违约超过</w:t>
      </w:r>
      <w:r>
        <w:rPr>
          <w:sz w:val="21"/>
        </w:rPr>
        <w:t>15</w:t>
      </w:r>
      <w:r>
        <w:rPr>
          <w:sz w:val="21"/>
        </w:rPr>
        <w:t>天或乙方累计违约次数超过</w:t>
      </w:r>
      <w:r>
        <w:rPr>
          <w:sz w:val="21"/>
        </w:rPr>
        <w:t>3</w:t>
      </w:r>
      <w:r>
        <w:rPr>
          <w:sz w:val="21"/>
        </w:rPr>
        <w:t>次，视乙方作违约处理，甲方有权单方解除本合同，乙方除退还已收款项给甲方外，还须向甲方支付本合同总金额</w:t>
      </w:r>
      <w:r>
        <w:rPr>
          <w:sz w:val="21"/>
        </w:rPr>
        <w:t>10</w:t>
      </w:r>
      <w:r>
        <w:rPr>
          <w:sz w:val="21"/>
        </w:rPr>
        <w:t>％违约金。</w:t>
      </w:r>
    </w:p>
    <w:p>
      <w:pPr>
        <w:jc w:val="both"/>
      </w:pPr>
      <w:r>
        <w:rPr>
          <w:sz w:val="21"/>
        </w:rPr>
        <w:t xml:space="preserve">1.3. </w:t>
      </w:r>
      <w:r>
        <w:rPr>
          <w:sz w:val="21"/>
        </w:rPr>
        <w:t>甲方认为乙方在本合同的报价竞争和实施过程中有违反有关政府采购的法律、法规，涉嫌用不正当手段影响甲方采购过程，包括谎报或隐瞒事实、损害甲方利益、干扰甲方、评委、采购代理机构的招标、评标等行为</w:t>
      </w:r>
      <w:r>
        <w:rPr>
          <w:sz w:val="21"/>
        </w:rPr>
        <w:t>，则甲方有权解除全部或部分合同，并可以依其认为适当的条件和方法另行购买类似的服务，乙方应承担甲方因购买类似货物或服务而产生的额外支出。但是，乙方应继续执行本合同中未终止的部分。</w:t>
      </w:r>
    </w:p>
    <w:p>
      <w:pPr>
        <w:jc w:val="both"/>
      </w:pPr>
      <w:r>
        <w:rPr>
          <w:sz w:val="21"/>
        </w:rPr>
        <w:t xml:space="preserve">2.     </w:t>
      </w:r>
      <w:r>
        <w:rPr>
          <w:sz w:val="21"/>
        </w:rPr>
        <w:t>因乙方破产而终止合同</w:t>
      </w:r>
    </w:p>
    <w:p>
      <w:pPr>
        <w:ind w:firstLine="420"/>
        <w:jc w:val="both"/>
      </w:pPr>
      <w:r>
        <w:rPr>
          <w:sz w:val="21"/>
        </w:rPr>
        <w:t>如果乙方破产或无清偿能力，甲方可在任何时候以书面形式通知乙方，提出终止本合同而不给乙方补偿。本合同的终止将不损害或影响甲方已经采取或将要采取的任何行动或补救措施的权利。</w:t>
      </w:r>
    </w:p>
    <w:p>
      <w:pPr>
        <w:jc w:val="both"/>
      </w:pPr>
      <w:r>
        <w:rPr>
          <w:sz w:val="21"/>
        </w:rPr>
        <w:t xml:space="preserve">3.     </w:t>
      </w:r>
      <w:r>
        <w:rPr>
          <w:sz w:val="21"/>
        </w:rPr>
        <w:t>因系统停止使用而终止合同</w:t>
      </w:r>
    </w:p>
    <w:p>
      <w:pPr>
        <w:ind w:firstLine="420"/>
        <w:jc w:val="both"/>
      </w:pPr>
      <w:r>
        <w:rPr>
          <w:sz w:val="21"/>
        </w:rPr>
        <w:t>如本项目维护范围内的系统在维护期内因甲方原因或上级部门要求永久停止使用，不再维护，甲方必须以书面形式通知乙方，提出终止全部或部分合同而不给乙方补偿。本合同的终止将不损害或影响甲方已经采取或将要采取的任何行动或补救措施的权利。</w:t>
      </w:r>
    </w:p>
    <w:p>
      <w:pPr>
        <w:ind w:firstLine="420"/>
        <w:jc w:val="both"/>
      </w:pPr>
      <w:r>
        <w:rPr>
          <w:sz w:val="21"/>
        </w:rPr>
        <w:t>甲方根据本条款的约定，解除了全部或部分合同，对于停止维护的系统，甲方应根据最近一次合同付款时间到系统停止使用时间计算并支付乙方已实施维护工作的应付费用。从系统停止使用直到合同原约定维护期结束的时间段对应的剩余部分费用，甲方有权不予支付。如合同为部分终止，乙方应继续执行本合同中未终止的部分。合同剩余款项应根据未终止维护系统的所占费用按照比例重新计算。</w:t>
      </w:r>
    </w:p>
    <w:p>
      <w:pPr>
        <w:jc w:val="both"/>
      </w:pPr>
    </w:p>
    <w:p>
      <w:pPr>
        <w:jc w:val="both"/>
      </w:pPr>
      <w:r>
        <w:rPr>
          <w:b/>
          <w:sz w:val="21"/>
        </w:rPr>
        <w:t>第二十条：争端的解决</w:t>
      </w:r>
    </w:p>
    <w:p>
      <w:pPr>
        <w:jc w:val="both"/>
      </w:pPr>
      <w:r>
        <w:rPr>
          <w:sz w:val="21"/>
        </w:rPr>
        <w:t xml:space="preserve">1.     </w:t>
      </w:r>
      <w:r>
        <w:rPr>
          <w:sz w:val="21"/>
        </w:rPr>
        <w:t>凡与本合同有关的一切争议，甲、乙双方应首先通过友好协商解决，如经协商后仍不能解决的，任何一方可以向中山市第一人民法院提起诉讼。</w:t>
      </w:r>
    </w:p>
    <w:p>
      <w:pPr>
        <w:jc w:val="both"/>
      </w:pPr>
      <w:r>
        <w:rPr>
          <w:sz w:val="21"/>
        </w:rPr>
        <w:t xml:space="preserve">2.     </w:t>
      </w:r>
      <w:r>
        <w:rPr>
          <w:sz w:val="21"/>
        </w:rPr>
        <w:t>在法院审理期间，除提交法院审理的事项外，本合同其他部份仍应继续履行。</w:t>
      </w:r>
    </w:p>
    <w:p>
      <w:pPr>
        <w:jc w:val="both"/>
      </w:pPr>
    </w:p>
    <w:p>
      <w:pPr>
        <w:jc w:val="both"/>
      </w:pPr>
      <w:r>
        <w:rPr>
          <w:b/>
          <w:sz w:val="21"/>
        </w:rPr>
        <w:t>第二十一条：其它</w:t>
      </w:r>
    </w:p>
    <w:p>
      <w:pPr>
        <w:jc w:val="both"/>
      </w:pPr>
      <w:r>
        <w:rPr>
          <w:sz w:val="21"/>
        </w:rPr>
        <w:t xml:space="preserve">1.     </w:t>
      </w:r>
      <w:r>
        <w:rPr>
          <w:sz w:val="21"/>
        </w:rPr>
        <w:t>本合同按照中华人民共和国的法律进行解释。</w:t>
      </w:r>
    </w:p>
    <w:p>
      <w:pPr>
        <w:jc w:val="both"/>
      </w:pPr>
      <w:r>
        <w:rPr>
          <w:sz w:val="21"/>
        </w:rPr>
        <w:t xml:space="preserve">2.     </w:t>
      </w:r>
      <w:r>
        <w:rPr>
          <w:sz w:val="21"/>
        </w:rPr>
        <w:t>根据中华人民共和国现行税法的有关规定执行。</w:t>
      </w:r>
    </w:p>
    <w:p>
      <w:pPr>
        <w:jc w:val="both"/>
      </w:pPr>
      <w:r>
        <w:rPr>
          <w:sz w:val="21"/>
        </w:rPr>
        <w:t xml:space="preserve">3.     </w:t>
      </w:r>
      <w:r>
        <w:rPr>
          <w:sz w:val="21"/>
        </w:rPr>
        <w:t>本合同经甲、乙双方签字盖章后生效，本合同签署日期以较迟签订的日期为准。</w:t>
      </w:r>
    </w:p>
    <w:p>
      <w:pPr>
        <w:jc w:val="both"/>
      </w:pPr>
      <w:r>
        <w:rPr>
          <w:sz w:val="21"/>
        </w:rPr>
        <w:t xml:space="preserve">4.     </w:t>
      </w:r>
      <w:r>
        <w:rPr>
          <w:sz w:val="21"/>
        </w:rPr>
        <w:t>成交通知书、响应文件、采购文件及本合同之所有附件均为本合同的有效组成部份，与本合同具有同样法律效力，解释的顺序以文件签订时间在后的为准。</w:t>
      </w:r>
    </w:p>
    <w:p>
      <w:pPr>
        <w:jc w:val="both"/>
      </w:pPr>
      <w:r>
        <w:rPr>
          <w:sz w:val="21"/>
        </w:rPr>
        <w:t xml:space="preserve">5.     </w:t>
      </w:r>
      <w:r>
        <w:rPr>
          <w:sz w:val="21"/>
        </w:rPr>
        <w:t>在执行本合同的过程中，所有经甲、乙双方签署确认的文件（包括会议纪要、补充协议、合同修改书、往来信函等）均为本合同的有效组成部份，其生效日期为双方均签字盖章或确认之日期。</w:t>
      </w:r>
    </w:p>
    <w:p>
      <w:pPr>
        <w:jc w:val="both"/>
      </w:pPr>
      <w:r>
        <w:rPr>
          <w:sz w:val="21"/>
        </w:rPr>
        <w:t xml:space="preserve">6.     </w:t>
      </w:r>
      <w:r>
        <w:rPr>
          <w:sz w:val="21"/>
        </w:rPr>
        <w:t>除甲方事先以书面形式确认同意外，乙方不得将部份或全部转让其应履行的合同项下的义务。</w:t>
      </w:r>
    </w:p>
    <w:p>
      <w:pPr>
        <w:jc w:val="both"/>
      </w:pPr>
      <w:r>
        <w:rPr>
          <w:sz w:val="21"/>
        </w:rPr>
        <w:t xml:space="preserve">7.     </w:t>
      </w:r>
      <w:r>
        <w:rPr>
          <w:sz w:val="21"/>
        </w:rPr>
        <w:t>本合同及其附件和补充协议中未约定的事宜，均遵照中华人民共和国有关法律、法规和规章执行。</w:t>
      </w:r>
    </w:p>
    <w:p>
      <w:pPr>
        <w:jc w:val="both"/>
      </w:pPr>
      <w:r>
        <w:rPr>
          <w:sz w:val="21"/>
        </w:rPr>
        <w:t xml:space="preserve">8.     </w:t>
      </w:r>
      <w:r>
        <w:rPr>
          <w:sz w:val="21"/>
        </w:rPr>
        <w:t>本合同正本连同附件共</w:t>
      </w:r>
      <w:r>
        <w:rPr>
          <w:sz w:val="21"/>
          <w:u w:val="single"/>
        </w:rPr>
        <w:t xml:space="preserve">  </w:t>
      </w:r>
      <w:r>
        <w:rPr>
          <w:sz w:val="21"/>
        </w:rPr>
        <w:t>页，一式</w:t>
      </w:r>
      <w:r>
        <w:rPr>
          <w:sz w:val="21"/>
          <w:u w:val="single"/>
        </w:rPr>
        <w:t xml:space="preserve">  </w:t>
      </w:r>
      <w:r>
        <w:rPr>
          <w:sz w:val="21"/>
        </w:rPr>
        <w:t>份，甲、乙双方各执</w:t>
      </w:r>
      <w:r>
        <w:rPr>
          <w:sz w:val="21"/>
          <w:u w:val="single"/>
        </w:rPr>
        <w:t xml:space="preserve">  </w:t>
      </w:r>
      <w:r>
        <w:rPr>
          <w:sz w:val="21"/>
        </w:rPr>
        <w:t>份，采购代理机构执壹份，具有同等法律效力。</w:t>
      </w:r>
    </w:p>
    <w:p>
      <w:pPr>
        <w:jc w:val="both"/>
      </w:pPr>
      <w:r>
        <w:rPr>
          <w:sz w:val="21"/>
        </w:rPr>
        <w:t>（以下无正文）</w:t>
      </w:r>
    </w:p>
    <w:p>
      <w:pPr>
        <w:jc w:val="both"/>
      </w:pPr>
    </w:p>
    <w:p>
      <w:pPr>
        <w:jc w:val="both"/>
      </w:pPr>
      <w:r>
        <w:rPr>
          <w:sz w:val="21"/>
        </w:rPr>
        <w:t>甲</w:t>
      </w:r>
      <w:r>
        <w:rPr>
          <w:sz w:val="21"/>
        </w:rPr>
        <w:t xml:space="preserve"> </w:t>
      </w:r>
      <w:r>
        <w:rPr>
          <w:sz w:val="21"/>
        </w:rPr>
        <w:t>方：（公章）</w:t>
      </w:r>
      <w:r>
        <w:rPr>
          <w:sz w:val="21"/>
        </w:rPr>
        <w:t xml:space="preserve">                         </w:t>
      </w:r>
      <w:r>
        <w:rPr>
          <w:sz w:val="21"/>
        </w:rPr>
        <w:t>乙</w:t>
      </w:r>
      <w:r>
        <w:rPr>
          <w:sz w:val="21"/>
        </w:rPr>
        <w:t xml:space="preserve"> </w:t>
      </w:r>
      <w:r>
        <w:rPr>
          <w:sz w:val="21"/>
        </w:rPr>
        <w:t>方：（公章）</w:t>
      </w:r>
    </w:p>
    <w:p>
      <w:pPr>
        <w:jc w:val="both"/>
      </w:pPr>
      <w:r>
        <w:rPr>
          <w:sz w:val="21"/>
        </w:rPr>
        <w:t>地</w:t>
      </w:r>
      <w:r>
        <w:rPr>
          <w:sz w:val="21"/>
        </w:rPr>
        <w:t xml:space="preserve"> </w:t>
      </w:r>
      <w:r>
        <w:rPr>
          <w:sz w:val="21"/>
        </w:rPr>
        <w:t>址：</w:t>
      </w:r>
      <w:r>
        <w:rPr>
          <w:sz w:val="21"/>
        </w:rPr>
        <w:t xml:space="preserve">                                </w:t>
      </w:r>
      <w:r>
        <w:rPr>
          <w:sz w:val="21"/>
        </w:rPr>
        <w:t>地</w:t>
      </w:r>
      <w:r>
        <w:rPr>
          <w:sz w:val="21"/>
        </w:rPr>
        <w:t xml:space="preserve"> </w:t>
      </w:r>
      <w:r>
        <w:rPr>
          <w:sz w:val="21"/>
        </w:rPr>
        <w:t>址：</w:t>
      </w:r>
    </w:p>
    <w:p>
      <w:pPr>
        <w:jc w:val="both"/>
      </w:pPr>
      <w:r>
        <w:rPr>
          <w:sz w:val="21"/>
        </w:rPr>
        <w:t>法定代表人：</w:t>
      </w:r>
      <w:r>
        <w:rPr>
          <w:sz w:val="21"/>
        </w:rPr>
        <w:t xml:space="preserve">                            </w:t>
      </w:r>
      <w:r>
        <w:rPr>
          <w:sz w:val="21"/>
        </w:rPr>
        <w:t>法定代表人：</w:t>
      </w:r>
    </w:p>
    <w:p>
      <w:pPr>
        <w:jc w:val="both"/>
      </w:pPr>
      <w:r>
        <w:rPr>
          <w:sz w:val="21"/>
        </w:rPr>
        <w:t>委托代理人：</w:t>
      </w:r>
      <w:r>
        <w:rPr>
          <w:sz w:val="21"/>
        </w:rPr>
        <w:t xml:space="preserve">                            </w:t>
      </w:r>
      <w:r>
        <w:rPr>
          <w:sz w:val="21"/>
        </w:rPr>
        <w:t>委托代理人：</w:t>
      </w:r>
    </w:p>
    <w:p>
      <w:pPr>
        <w:jc w:val="both"/>
      </w:pPr>
      <w:r>
        <w:rPr>
          <w:sz w:val="21"/>
        </w:rPr>
        <w:t>电</w:t>
      </w:r>
      <w:r>
        <w:rPr>
          <w:sz w:val="21"/>
        </w:rPr>
        <w:t xml:space="preserve"> </w:t>
      </w:r>
      <w:r>
        <w:rPr>
          <w:sz w:val="21"/>
        </w:rPr>
        <w:t>话：</w:t>
      </w:r>
      <w:r>
        <w:rPr>
          <w:sz w:val="21"/>
        </w:rPr>
        <w:t xml:space="preserve">                                </w:t>
      </w:r>
      <w:r>
        <w:rPr>
          <w:sz w:val="21"/>
        </w:rPr>
        <w:t>电</w:t>
      </w:r>
      <w:r>
        <w:rPr>
          <w:sz w:val="21"/>
        </w:rPr>
        <w:t xml:space="preserve"> </w:t>
      </w:r>
      <w:r>
        <w:rPr>
          <w:sz w:val="21"/>
        </w:rPr>
        <w:t>话：</w:t>
      </w:r>
    </w:p>
    <w:p>
      <w:pPr>
        <w:jc w:val="both"/>
      </w:pPr>
      <w:r>
        <w:rPr>
          <w:sz w:val="21"/>
        </w:rPr>
        <w:t>传</w:t>
      </w:r>
      <w:r>
        <w:rPr>
          <w:sz w:val="21"/>
        </w:rPr>
        <w:t xml:space="preserve"> </w:t>
      </w:r>
      <w:r>
        <w:rPr>
          <w:sz w:val="21"/>
        </w:rPr>
        <w:t>真：</w:t>
      </w:r>
      <w:r>
        <w:rPr>
          <w:sz w:val="21"/>
        </w:rPr>
        <w:t xml:space="preserve">                                </w:t>
      </w:r>
      <w:r>
        <w:rPr>
          <w:sz w:val="21"/>
        </w:rPr>
        <w:t>传</w:t>
      </w:r>
      <w:r>
        <w:rPr>
          <w:sz w:val="21"/>
        </w:rPr>
        <w:t xml:space="preserve"> </w:t>
      </w:r>
      <w:r>
        <w:rPr>
          <w:sz w:val="21"/>
        </w:rPr>
        <w:t>真：</w:t>
      </w:r>
    </w:p>
    <w:p>
      <w:pPr>
        <w:jc w:val="both"/>
      </w:pPr>
      <w:r>
        <w:rPr>
          <w:sz w:val="21"/>
        </w:rPr>
        <w:t>开户银行：</w:t>
      </w:r>
      <w:r>
        <w:rPr>
          <w:sz w:val="21"/>
        </w:rPr>
        <w:t xml:space="preserve">                              </w:t>
      </w:r>
      <w:r>
        <w:rPr>
          <w:sz w:val="21"/>
        </w:rPr>
        <w:t>开户银行：</w:t>
      </w:r>
    </w:p>
    <w:p>
      <w:pPr>
        <w:jc w:val="both"/>
      </w:pPr>
      <w:r>
        <w:rPr>
          <w:sz w:val="21"/>
        </w:rPr>
        <w:t>帐</w:t>
      </w:r>
      <w:r>
        <w:rPr>
          <w:sz w:val="21"/>
        </w:rPr>
        <w:t xml:space="preserve"> </w:t>
      </w:r>
      <w:r>
        <w:rPr>
          <w:sz w:val="21"/>
        </w:rPr>
        <w:t>号：</w:t>
      </w:r>
      <w:r>
        <w:rPr>
          <w:sz w:val="21"/>
        </w:rPr>
        <w:t xml:space="preserve">                                </w:t>
      </w:r>
      <w:r>
        <w:rPr>
          <w:sz w:val="21"/>
        </w:rPr>
        <w:t>帐</w:t>
      </w:r>
      <w:r>
        <w:rPr>
          <w:sz w:val="21"/>
        </w:rPr>
        <w:t xml:space="preserve"> </w:t>
      </w:r>
      <w:r>
        <w:rPr>
          <w:sz w:val="21"/>
        </w:rPr>
        <w:t>号：</w:t>
      </w:r>
    </w:p>
    <w:p>
      <w:pPr>
        <w:jc w:val="both"/>
      </w:pPr>
      <w:r>
        <w:rPr>
          <w:sz w:val="21"/>
        </w:rPr>
        <w:t>邮政编码：</w:t>
      </w:r>
      <w:r>
        <w:rPr>
          <w:sz w:val="21"/>
        </w:rPr>
        <w:t xml:space="preserve">                              </w:t>
      </w:r>
      <w:r>
        <w:rPr>
          <w:sz w:val="21"/>
        </w:rPr>
        <w:t>邮政编码：</w:t>
      </w:r>
    </w:p>
    <w:p>
      <w:pPr>
        <w:jc w:val="both"/>
      </w:pPr>
      <w:r>
        <w:rPr>
          <w:sz w:val="21"/>
        </w:rPr>
        <w:t>电子邮箱</w:t>
      </w:r>
      <w:r>
        <w:rPr>
          <w:sz w:val="21"/>
        </w:rPr>
        <w:t xml:space="preserve">:                               </w:t>
      </w:r>
      <w:r>
        <w:rPr>
          <w:sz w:val="21"/>
        </w:rPr>
        <w:t>电子邮箱</w:t>
      </w:r>
      <w:r>
        <w:rPr>
          <w:sz w:val="21"/>
        </w:rPr>
        <w:t>:</w:t>
      </w:r>
    </w:p>
    <w:p>
      <w:pPr>
        <w:jc w:val="both"/>
      </w:pPr>
      <w:r>
        <w:rPr/>
        <w:t xml:space="preserve"> </w:t>
      </w:r>
    </w:p>
    <w:p>
      <w:pPr>
        <w:jc w:val="both"/>
      </w:pPr>
    </w:p>
    <w:p>
      <w:pPr>
        <w:jc w:val="both"/>
      </w:pPr>
    </w:p>
    <w:p/>
    <w:p>
      <w:pPr>
        <w:ind w:firstLine="480"/>
      </w:pPr>
    </w:p>
    <w:p>
      <w:r>
        <w:rPr/>
        <w:t xml:space="preserve"> </w:t>
      </w:r>
    </w:p>
    <w:p/>
    <w:p>
      <w:pPr>
        <w:jc w:val="center"/>
      </w:pPr>
      <w:r>
        <w:rPr>
          <w:b/>
          <w:sz w:val="36"/>
        </w:rPr>
        <w:t>第六章 响应文件格式与要求</w:t>
      </w:r>
    </w:p>
    <w:p>
      <w:pPr>
        <w:ind w:firstLine="480"/>
      </w:pPr>
      <w:r>
        <w:rPr/>
        <w:t>供应商应提交证明其有资格参加磋商和成交后有能力履行合同的相关文件，并作为其响应文件的一部分，所有文件必须真实可靠、不得伪造，否则将按相关规定予以处罚。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4.供应商参加政府采购前三年内在经营活动中没有重大违法记录声明函。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（2）查询截止时点：提交响应文件截止日当天；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ind w:firstLine="480"/>
      </w:pPr>
      <w:r>
        <w:rPr/>
        <w:t>6. 按照磋商文件要求，供应商应当提交的资格、资信证明文件。</w:t>
      </w:r>
    </w:p>
    <w:p>
      <w:pPr>
        <w:ind w:firstLine="480"/>
      </w:pPr>
    </w:p>
    <w:p>
      <w:r>
        <w:rPr/>
        <w:t xml:space="preserve"> </w:t>
      </w:r>
    </w:p>
    <w:p/>
    <w:p>
      <w:pPr>
        <w:jc w:val="center"/>
      </w:pPr>
      <w:r>
        <w:rPr>
          <w:b/>
          <w:sz w:val="48"/>
        </w:rPr>
        <w:t>响应文件封面</w:t>
      </w:r>
    </w:p>
    <w:p/>
    <w:p>
      <w:pPr>
        <w:jc w:val="center"/>
      </w:pPr>
      <w:r>
        <w:rPr>
          <w:b/>
          <w:sz w:val="48"/>
        </w:rPr>
        <w:t>（项目名称）</w:t>
      </w:r>
    </w:p>
    <w:p>
      <w:pPr>
        <w:jc w:val="center"/>
      </w:pPr>
      <w:r>
        <w:rPr>
          <w:b/>
          <w:sz w:val="48"/>
        </w:rPr>
        <w:t>响应文件封面</w:t>
      </w:r>
    </w:p>
    <w:p>
      <w:pPr>
        <w:jc w:val="center"/>
      </w:pPr>
      <w:r>
        <w:rPr>
          <w:b/>
          <w:sz w:val="24"/>
        </w:rPr>
        <w:t>（正本/副本）</w:t>
      </w:r>
    </w:p>
    <w:p/>
    <w:p>
      <w:pPr>
        <w:jc w:val="center"/>
      </w:pPr>
      <w:r>
        <w:rPr>
          <w:b/>
          <w:sz w:val="24"/>
        </w:rPr>
        <w:t>采购计划编号：</w:t>
      </w:r>
      <w:r>
        <w:rPr>
          <w:b/>
          <w:sz w:val="24"/>
        </w:rPr>
        <w:t>442000-2023-05078</w:t>
      </w:r>
    </w:p>
    <w:p>
      <w:pPr>
        <w:jc w:val="center"/>
      </w:pPr>
      <w:r>
        <w:rPr>
          <w:b/>
          <w:sz w:val="24"/>
        </w:rPr>
        <w:t>采购项目编号：</w:t>
      </w:r>
      <w:r>
        <w:rPr>
          <w:b/>
          <w:sz w:val="24"/>
        </w:rPr>
        <w:t>ZZ22317538</w:t>
      </w:r>
    </w:p>
    <w:p>
      <w:pPr>
        <w:jc w:val="center"/>
      </w:pPr>
      <w:r>
        <w:rPr>
          <w:b/>
          <w:sz w:val="24"/>
        </w:rPr>
        <w:t>所响应采购包：第 包</w:t>
      </w:r>
    </w:p>
    <w:p/>
    <w:p>
      <w:pPr>
        <w:jc w:val="center"/>
      </w:pPr>
      <w:r>
        <w:rPr>
          <w:b/>
          <w:sz w:val="24"/>
        </w:rPr>
        <w:t>（供应商名称）</w:t>
      </w:r>
    </w:p>
    <w:p>
      <w:pPr>
        <w:jc w:val="center"/>
      </w:pPr>
      <w:r>
        <w:rPr>
          <w:b/>
          <w:sz w:val="24"/>
        </w:rPr>
        <w:t>年 月 日</w:t>
      </w:r>
    </w:p>
    <w:p>
      <w:pPr>
        <w:ind w:firstLine="480"/>
      </w:pPr>
    </w:p>
    <w:p>
      <w:r>
        <w:rPr/>
        <w:t xml:space="preserve"> </w:t>
      </w:r>
    </w:p>
    <w:p/>
    <w:p>
      <w:pPr>
        <w:jc w:val="center"/>
      </w:pPr>
      <w:r>
        <w:rPr>
          <w:b/>
          <w:sz w:val="24"/>
        </w:rPr>
        <w:t>响应文件目录</w:t>
      </w:r>
    </w:p>
    <w:p>
      <w:pPr>
        <w:ind w:firstLine="480"/>
      </w:pPr>
      <w:r>
        <w:rPr/>
        <w:t>一、响应承诺函</w:t>
      </w:r>
    </w:p>
    <w:p>
      <w:pPr>
        <w:ind w:firstLine="480"/>
      </w:pPr>
      <w:r>
        <w:rPr/>
        <w:t>二、首轮报价表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七、响应保证金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十四、联合体共同响应协议书</w:t>
      </w:r>
    </w:p>
    <w:p>
      <w:pPr>
        <w:ind w:firstLine="480"/>
      </w:pPr>
      <w:r>
        <w:rPr/>
        <w:t>十五、供应商业绩情况表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pPr>
        <w:jc w:val="center"/>
      </w:pPr>
      <w:r>
        <w:rPr>
          <w:b/>
          <w:sz w:val="24"/>
        </w:rPr>
        <w:t>响 应 承 诺 函</w:t>
      </w:r>
    </w:p>
    <w:p>
      <w:pPr>
        <w:ind w:firstLine="480"/>
      </w:pPr>
      <w:r>
        <w:rPr/>
        <w:t>致：</w:t>
      </w:r>
      <w:r>
        <w:rPr/>
        <w:t>广东志正招标有限公司中山分公司</w:t>
      </w:r>
    </w:p>
    <w:p>
      <w:pPr>
        <w:ind w:firstLine="480"/>
      </w:pPr>
      <w:r>
        <w:rPr/>
        <w:t>你方组织的</w:t>
      </w:r>
      <w:r>
        <w:rPr>
          <w:u w:val="single"/>
        </w:rPr>
        <w:t>“</w:t>
      </w:r>
      <w:r>
        <w:rPr>
          <w:u w:val="single"/>
        </w:rPr>
        <w:t>中山市自然资源局自然资源政务信息平台运维项目</w:t>
      </w:r>
      <w:r>
        <w:rPr>
          <w:u w:val="single"/>
        </w:rPr>
        <w:t>”</w:t>
      </w:r>
      <w:r>
        <w:rPr/>
        <w:t>项目的竞争性磋商[采购项目编号为：</w:t>
      </w:r>
      <w:r>
        <w:rPr>
          <w:u w:val="single"/>
        </w:rPr>
        <w:t>ZZ22317538</w:t>
      </w:r>
      <w:r>
        <w:rPr/>
        <w:t>]，我方愿参与响应。</w:t>
      </w:r>
    </w:p>
    <w:p>
      <w:pPr>
        <w:ind w:firstLine="480"/>
      </w:pPr>
      <w:r>
        <w:rPr/>
        <w:t>我方确认收到贵方提供的</w:t>
      </w:r>
      <w:r>
        <w:rPr>
          <w:u w:val="single"/>
        </w:rPr>
        <w:t>“</w:t>
      </w:r>
      <w:r>
        <w:rPr>
          <w:u w:val="single"/>
        </w:rPr>
        <w:t>中山市自然资源局自然资源政务信息平台运维项目</w:t>
      </w:r>
      <w:r>
        <w:rPr>
          <w:u w:val="single"/>
        </w:rPr>
        <w:t>”</w:t>
      </w:r>
      <w:r>
        <w:rPr/>
        <w:t>项目的磋商文件的全部内容。</w:t>
      </w:r>
    </w:p>
    <w:p>
      <w:pPr>
        <w:ind w:firstLine="480"/>
      </w:pPr>
      <w:r>
        <w:rPr/>
        <w:t>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力。</w:t>
      </w:r>
    </w:p>
    <w:p>
      <w:pPr>
        <w:ind w:firstLine="480"/>
      </w:pPr>
      <w:r>
        <w:rPr>
          <w:u w:val="single"/>
        </w:rPr>
        <w:t>(供应商名称)</w:t>
      </w:r>
      <w:r>
        <w:rPr/>
        <w:t>作为供应商正式授权</w:t>
      </w:r>
      <w:r>
        <w:rPr>
          <w:u w:val="single"/>
        </w:rPr>
        <w:t>(授权代表全名,职务)</w:t>
      </w:r>
      <w:r>
        <w:rPr/>
        <w:t>代表我方全权处理有关本响应的一切事宜。</w:t>
      </w:r>
    </w:p>
    <w:p>
      <w:pPr>
        <w:ind w:firstLine="480"/>
      </w:pPr>
      <w:r>
        <w:rPr/>
        <w:t>我方已完全明白磋商文件的所有条款要求，并申明如下：</w:t>
      </w:r>
    </w:p>
    <w:p>
      <w:pPr>
        <w:ind w:firstLine="480"/>
      </w:pPr>
      <w:r>
        <w:rPr/>
        <w:t>（一）按磋商文件提供的全部货物（工程、服务）与相关服务的磋商总价详见《首轮报价表》。</w:t>
      </w:r>
    </w:p>
    <w:p>
      <w:pPr>
        <w:ind w:firstLine="480"/>
      </w:pPr>
      <w:r>
        <w:rPr/>
        <w:t>（二）本响应文件的有效期为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ind w:firstLine="480"/>
      </w:pPr>
      <w:r>
        <w:rPr/>
        <w:t>（三）我方明白并同意，在规定的开启日之后，响应有效期之内撤回响应或成交后不按规定与采购人签订合同或不提交履约保证金, 则贵方将不予退还响应保证金。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（五）我方理解贵方不一定接受最低磋商价或任何贵方可能收到的响应。</w:t>
      </w:r>
    </w:p>
    <w:p>
      <w:pPr>
        <w:ind w:firstLine="480"/>
      </w:pPr>
      <w:r>
        <w:rPr/>
        <w:t>（六）我方如果成交，将保证履行磋商文件及其澄清、修改文件（如果有）中的全部责任和义务，按质、按量、按期完成《采购需求》及《合同书》中的全部任务。</w:t>
      </w:r>
    </w:p>
    <w:p>
      <w:pPr>
        <w:ind w:firstLine="480"/>
      </w:pPr>
      <w:r>
        <w:rPr/>
        <w:t>（七）我方作为法律、财务和运作上独立于采购人、采购代理机构的供应商，在此保证所提交的所有文件和全部说明是真实的和正确的。</w:t>
      </w:r>
    </w:p>
    <w:p>
      <w:pPr>
        <w:ind w:firstLine="480"/>
      </w:pPr>
      <w:r>
        <w:rPr/>
        <w:t>（八）我方磋商报价已包含应向知识产权所有权人支付的所有相关税费，并保证采购人在中国使用我方提供的货物时，如有第三方提出侵犯其知识产权主张的，责任由我方承担。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（九）我方接受采购人委托向贵方支付代理服务费，项目总报价已包含代理服务费，如果被确定为成交供应商，承诺向贵方足额支付。（若采购人支付代理服务费，则此条不适用）</w:t>
      </w:r>
    </w:p>
    <w:p>
      <w:pPr>
        <w:ind w:firstLine="480"/>
      </w:pPr>
      <w:r>
        <w:rPr/>
        <w:t>（十）我方与其他供应商不存在单位负责人为同一人或者存在直接控股、管理关系。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（十三）我方承诺遵守《中华人民共和国劳动合同法》有关规定和《中华人民共和国妇女权益保障法》中关于“劳动和社会保障权益”的有关要求。</w:t>
      </w:r>
    </w:p>
    <w:p>
      <w:pPr>
        <w:ind w:firstLine="480"/>
      </w:pPr>
      <w:r>
        <w:rPr/>
        <w:t>（十四）我方具备《中华人民共和国政府采购法》第二十二条规定的条件，承诺如下：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以上内容如有虚假或与事实不符的，磋商小组可将我方做无效响应处理，我方愿意承担相应的法律责任。</w:t>
      </w:r>
    </w:p>
    <w:p>
      <w:pPr>
        <w:ind w:firstLine="480"/>
      </w:pPr>
      <w:r>
        <w:rPr/>
        <w:t>（十五）我方对在本函及响应文件中所作的所有承诺承担法律责任。</w:t>
      </w:r>
    </w:p>
    <w:p>
      <w:pPr>
        <w:ind w:firstLine="480"/>
      </w:pPr>
      <w:r>
        <w:rPr/>
        <w:t>（十六）所有与本磋商有关的函件请发往下列地址：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pPr>
        <w:jc w:val="right"/>
      </w:pPr>
      <w:r>
        <w:rPr/>
        <w:t>法定代表人或授权委托人（签字）：__________________</w:t>
      </w:r>
    </w:p>
    <w:p>
      <w:pPr>
        <w:jc w:val="right"/>
      </w:pPr>
      <w:r>
        <w:rPr/>
        <w:t>加盖公章：__________________</w:t>
      </w:r>
    </w:p>
    <w:p>
      <w:pPr>
        <w:jc w:val="right"/>
      </w:pPr>
      <w:r>
        <w:rPr/>
        <w:t xml:space="preserve"> 日  期：__________________</w:t>
      </w:r>
    </w:p>
    <w:p>
      <w:pPr>
        <w:ind w:firstLine="480"/>
      </w:pPr>
    </w:p>
    <w:p>
      <w:r>
        <w:rPr/>
        <w:t xml:space="preserve"> </w:t>
      </w:r>
    </w:p>
    <w:p/>
    <w:p>
      <w:r>
        <w:rPr>
          <w:b/>
          <w:sz w:val="28"/>
        </w:rPr>
        <w:t>格式二：</w:t>
      </w:r>
    </w:p>
    <w:p>
      <w:pPr>
        <w:jc w:val="center"/>
      </w:pPr>
      <w:r>
        <w:rPr>
          <w:b/>
          <w:sz w:val="24"/>
        </w:rPr>
        <w:t>首轮报价表</w:t>
      </w:r>
    </w:p>
    <w:p>
      <w:pPr>
        <w:ind w:firstLine="480"/>
      </w:pPr>
      <w:r>
        <w:rPr/>
        <w:t>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响应报价（元/%）</w:t>
            </w:r>
          </w:p>
        </w:tc>
        <w:tc>
          <w:tcPr>
            <w:tcW w:type="dxa" w:w="1661"/>
          </w:tcPr>
          <w:p>
            <w:r>
              <w:rPr/>
              <w:t>交货或服务期</w:t>
            </w:r>
          </w:p>
        </w:tc>
        <w:tc>
          <w:tcPr>
            <w:tcW w:type="dxa" w:w="1661"/>
          </w:tcPr>
          <w:p>
            <w:r>
              <w:rPr/>
              <w:t>交货或服务地点</w:t>
            </w:r>
          </w:p>
        </w:tc>
      </w:tr>
      <w:tr>
        <w:tc>
          <w:tcPr>
            <w:tcW w:type="dxa" w:w="1661"/>
          </w:tcPr>
          <w:p>
            <w:pPr>
              <w:jc w:val="center"/>
            </w:pPr>
            <w:r>
              <w:rPr/>
              <w:t>1</w:t>
            </w:r>
          </w:p>
        </w:tc>
        <w:tc>
          <w:tcPr>
            <w:tcW w:type="dxa" w:w="1661"/>
          </w:tcPr>
          <w:p/>
        </w:tc>
        <w:tc>
          <w:tcPr>
            <w:tcW w:type="dxa" w:w="1661"/>
          </w:tcPr>
          <w:p/>
        </w:tc>
        <w:tc>
          <w:tcPr>
            <w:tcW w:type="dxa" w:w="1661"/>
          </w:tcPr>
          <w:p/>
        </w:tc>
        <w:tc>
          <w:tcPr>
            <w:tcW w:type="dxa" w:w="166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p>
      <w:pPr>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pPr>
              <w:jc w:val="center"/>
            </w:pPr>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w:t>
      </w:r>
    </w:p>
    <w:p>
      <w:pPr>
        <w:ind w:firstLine="480"/>
      </w:pPr>
      <w:r>
        <w:rPr/>
        <w:t>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2.“节能产品、环境标志产品”须填写认证证书编号，并在对应“节能产品”、“环境标志产品”栏中勾选，同时提供有效期内的证书复印件（加盖供应商公章）</w:t>
      </w:r>
    </w:p>
    <w:p>
      <w:pPr>
        <w:jc w:val="right"/>
      </w:pPr>
      <w:r>
        <w:rPr/>
        <w:t xml:space="preserve"> 供应商名称（盖章）：__________________</w:t>
      </w:r>
    </w:p>
    <w:p>
      <w:pPr>
        <w:jc w:val="right"/>
      </w:pPr>
      <w:r>
        <w:rPr/>
        <w:t xml:space="preserve"> 日  期：__________________</w:t>
      </w:r>
    </w:p>
    <w:p>
      <w:pPr>
        <w:ind w:firstLine="480"/>
      </w:pPr>
    </w:p>
    <w:p>
      <w:r>
        <w:rPr/>
        <w:t xml:space="preserve"> </w:t>
      </w:r>
    </w:p>
    <w:p/>
    <w:p>
      <w:r>
        <w:rPr>
          <w:b/>
          <w:sz w:val="28"/>
        </w:rPr>
        <w:t>格式五：</w:t>
      </w:r>
    </w:p>
    <w:p>
      <w:pPr>
        <w:ind w:firstLine="480"/>
      </w:pPr>
      <w:r>
        <w:rPr/>
        <w:t>（供应商可使用下述格式，也可使用广东省工商行政管理局统一印制的法定代表人证明书格式）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经营范围：__________________________________________________________</w:t>
      </w:r>
    </w:p>
    <w:p>
      <w:pPr>
        <w:ind w:firstLine="480"/>
      </w:pPr>
    </w:p>
    <w:p>
      <w:pPr>
        <w:ind w:firstLine="480"/>
      </w:pPr>
    </w:p>
    <w:p>
      <w:pPr>
        <w:jc w:val="right"/>
      </w:pPr>
      <w:r>
        <w:rPr/>
        <w:t xml:space="preserve"> 供应商名称（盖章）：__________________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（对于银行、保险、电信、邮政、铁路等行业以及获得总公司响应授权的分公司，可以提供响应分支机构负责人授权书）</w:t>
      </w:r>
    </w:p>
    <w:p>
      <w:pPr>
        <w:jc w:val="center"/>
      </w:pPr>
      <w:r>
        <w:rPr>
          <w:b/>
          <w:sz w:val="24"/>
        </w:rPr>
        <w:t>法定代表人授权书</w:t>
      </w:r>
    </w:p>
    <w:p>
      <w:pPr>
        <w:ind w:firstLine="480"/>
      </w:pPr>
      <w:r>
        <w:rPr/>
        <w:t>致：</w:t>
      </w:r>
      <w:r>
        <w:rPr/>
        <w:t>广东志正招标有限公司中山分公司</w:t>
      </w:r>
    </w:p>
    <w:p>
      <w:pPr>
        <w:ind w:firstLine="480"/>
      </w:pPr>
      <w:r>
        <w:rPr/>
        <w:t>本授权书声明：________是注册于</w:t>
      </w:r>
      <w:r>
        <w:rPr>
          <w:u w:val="single"/>
        </w:rPr>
        <w:t>（国家或地区）</w:t>
      </w:r>
      <w:r>
        <w:rPr/>
        <w:t>的</w:t>
      </w:r>
      <w:r>
        <w:rPr>
          <w:u w:val="single"/>
        </w:rPr>
        <w:t>（供应商名称）</w:t>
      </w:r>
      <w:r>
        <w:rPr/>
        <w:t>的法定代表人，现任________职务，有效证件号码：________________。现授权</w:t>
      </w:r>
      <w:r>
        <w:rPr>
          <w:u w:val="single"/>
        </w:rPr>
        <w:t>（姓名、职务）</w:t>
      </w:r>
      <w:r>
        <w:rPr/>
        <w:t>作为我公司的全权代理人，就“</w:t>
      </w:r>
      <w:r>
        <w:rPr/>
        <w:t>中山市自然资源局自然资源政务信息平台运维项目</w:t>
      </w:r>
      <w:r>
        <w:rPr/>
        <w:t>”项目采购[采购项目编号为</w:t>
      </w:r>
      <w:r>
        <w:rPr/>
        <w:t>ZZ22317538</w:t>
      </w:r>
      <w:r>
        <w:rPr/>
        <w:t>]的响应和合同执行，以我方的名义处理一切与之有关的事宜。</w:t>
      </w:r>
    </w:p>
    <w:p>
      <w:pPr>
        <w:ind w:firstLine="480"/>
      </w:pPr>
      <w:r>
        <w:rPr/>
        <w:t>本授权书于________年________月________日签字生效，特此声明。</w:t>
      </w:r>
    </w:p>
    <w:p>
      <w:pPr>
        <w:jc w:val="right"/>
      </w:pPr>
      <w:r>
        <w:rPr/>
        <w:t xml:space="preserve"> 供应商（盖章）：__________________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被授权人（签字或盖章）：__________________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格式七：</w:t>
      </w:r>
    </w:p>
    <w:p>
      <w:pPr>
        <w:jc w:val="center"/>
      </w:pPr>
      <w:r>
        <w:rPr>
          <w:b/>
          <w:sz w:val="24"/>
        </w:rPr>
        <w:t>响应保证金</w:t>
      </w:r>
    </w:p>
    <w:p>
      <w:pPr>
        <w:ind w:firstLine="480"/>
      </w:pPr>
      <w:r>
        <w:rPr/>
        <w:t>响应文件要求递交响应保证金的，供应商应在此提供保证金的凭证的复印件。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中山市自然资源局</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中小企业声明函（所投产品制造商为中小企业时提交本函，所属行业应符合磋商文件中明确的本项目所属行业）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中小企业声明函（承建本项目工程为中小企业或者承接本项目服务为中小企业时提交本函，所属行业应符合磋商文件中明确的本项目所属行业）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r>
        <w:rPr/>
        <w:t>1：从业人员、营业收入、资产总额填报上一年度数据，无上一年度数据的新成立企业可不填报。</w:t>
      </w:r>
    </w:p>
    <w:p>
      <w:pPr>
        <w:ind w:firstLine="480"/>
      </w:pPr>
      <w:r>
        <w:rPr/>
        <w:t>2：供应商应当自行核实是否属于小微企业，并认真填写声明函，若有虚假将追究其责任。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pPr>
        <w:jc w:val="right"/>
      </w:pPr>
      <w:r>
        <w:rPr/>
        <w:t>单位名称（盖章）：__________________</w:t>
      </w:r>
    </w:p>
    <w:p>
      <w:pPr>
        <w:jc w:val="right"/>
      </w:pPr>
      <w:r>
        <w:rPr/>
        <w:t xml:space="preserve"> 日  期：__________________</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联合体共同响应协议书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ind w:firstLine="480"/>
      </w:pPr>
      <w:r>
        <w:rPr/>
        <w:t>二、联合体内部有关事项约定如下：</w:t>
      </w:r>
    </w:p>
    <w:p>
      <w:pPr>
        <w:ind w:firstLine="480"/>
      </w:pPr>
      <w:r>
        <w:rPr/>
        <w:t>1.（甲公司全称）作为联合体的牵头单位，代表联合体双方负责响应和合同实施阶段的主办、协调工作。</w:t>
      </w:r>
    </w:p>
    <w:p>
      <w:pPr>
        <w:ind w:firstLine="480"/>
      </w:pPr>
      <w:r>
        <w:rPr/>
        <w:t>2.联合体将严格按照文件的各项要求，递交响应文件，切实执行一切合同文件，共同承担合同规定的一切义务和责任，同时按照内部职责的划分，承担自身所负的责任和风险，在法律在承担连带责任。</w:t>
      </w:r>
    </w:p>
    <w:p>
      <w:pPr>
        <w:ind w:firstLine="480"/>
      </w:pPr>
      <w:r>
        <w:rPr/>
        <w:t>3.如果本联合体成交，（甲公司全称）负责本项目___________部分，（乙公司全称）负责本项目___________部分。</w:t>
      </w:r>
    </w:p>
    <w:p>
      <w:pPr>
        <w:ind w:firstLine="480"/>
      </w:pPr>
      <w:r>
        <w:rPr/>
        <w:t>4.如成交，联合体各方共同与（采购人）签订合同书，并就成交项目向采购人负责有连带的和各自的法律责任；</w:t>
      </w:r>
    </w:p>
    <w:p>
      <w:pPr>
        <w:ind w:firstLine="480"/>
      </w:pPr>
      <w:r>
        <w:rPr/>
        <w:t>5.联合体成员（公司全称）为（请填写：小型、微型）企业，将承担合同总金额____%的工作内容（联合体成员中有小型、微型企业时适用）。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五、本协议在自签署之日起生效，有效期内有效，如获成交资格，合同有效期延续至合同履行完毕之日。</w:t>
      </w:r>
    </w:p>
    <w:p>
      <w:pPr>
        <w:ind w:firstLine="480"/>
      </w:pPr>
      <w:r>
        <w:rPr/>
        <w:t>六、本协议书正本一式____份，随响应文件装订____份，送采购人____份，联合体成员各一份；副本一式____份，联合体成员各执____份。</w:t>
      </w:r>
    </w:p>
    <w:p>
      <w:pPr>
        <w:jc w:val="right"/>
      </w:pPr>
      <w:r>
        <w:rPr/>
        <w:t>甲公司全称：____（盖章）________，乙公司全称：____（盖章）________，……公司全称：____（盖章）________，</w:t>
      </w:r>
    </w:p>
    <w:p>
      <w:pPr>
        <w:jc w:val="right"/>
      </w:pPr>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pPr>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根据上述业绩情况，按磋商文件要求附销售或服务合同复印件。</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磋商文件规定的技术和服务要求</w:t>
            </w:r>
          </w:p>
        </w:tc>
        <w:tc>
          <w:tcPr>
            <w:tcW w:type="dxa" w:w="923"/>
          </w:tcPr>
          <w:p>
            <w:r>
              <w:rPr/>
              <w:t>响应文件响应的具体内容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1.“磋商文件规定的技术和服务要求”项下填写的内容应与磋商文件中采购需求的</w:t>
        <w:tab/>
        <w:tab/>
        <w:t xml:space="preserve">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2.参数性质栏标注“★”、“▲”号条款标志，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3.“是否偏离”项下应按下列规定填写：优于的，填写“正偏离”；符合的，填写“无偏离”；低于的，填写“负偏离”。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磋商文件规定的商务条件</w:t>
            </w:r>
          </w:p>
        </w:tc>
        <w:tc>
          <w:tcPr>
            <w:tcW w:type="dxa" w:w="1187"/>
          </w:tcPr>
          <w:p>
            <w:r>
              <w:rPr/>
              <w:t>响应文件响应的具体内容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pPr>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1.“磋商文件规定的商务条件”项下填写的内容应与磋商文件中采购需求的 “商务要求”的内容保持一致。</w:t>
      </w:r>
    </w:p>
    <w:p>
      <w:pPr>
        <w:ind w:firstLine="480"/>
      </w:pPr>
      <w:r>
        <w:rPr/>
        <w:t>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3.参数性质栏标注“★”、“▲”号条款标志，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4.“是否偏离”项下应按下列规定填写：优于的，填写“正偏离”；符合的，填写“无偏离”；低于的，填写“负偏离”。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pPr>
              <w:jc w:val="center"/>
            </w:pPr>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pPr>
              <w:jc w:val="center"/>
            </w:pPr>
            <w:r>
              <w:rPr/>
              <w:t>2</w:t>
            </w:r>
          </w:p>
        </w:tc>
        <w:tc>
          <w:tcPr>
            <w:tcW w:type="dxa" w:w="2076"/>
          </w:tcPr>
          <w:p>
            <w:r>
              <w:rPr/>
              <w:t>___月___日—___月___日</w:t>
            </w:r>
          </w:p>
        </w:tc>
        <w:tc>
          <w:tcPr>
            <w:tcW w:type="dxa" w:w="2076"/>
          </w:tcPr>
          <w:p/>
        </w:tc>
        <w:tc>
          <w:tcPr>
            <w:tcW w:type="dxa" w:w="2076"/>
          </w:tcPr>
          <w:p/>
        </w:tc>
      </w:tr>
      <w:tr>
        <w:tc>
          <w:tcPr>
            <w:tcW w:type="dxa" w:w="2076"/>
          </w:tcPr>
          <w:p>
            <w:pPr>
              <w:jc w:val="center"/>
            </w:pPr>
            <w:r>
              <w:rPr/>
              <w:t>3</w:t>
            </w:r>
          </w:p>
        </w:tc>
        <w:tc>
          <w:tcPr>
            <w:tcW w:type="dxa" w:w="2076"/>
          </w:tcPr>
          <w:p>
            <w:r>
              <w:rPr/>
              <w:t>___月___日—___月___日</w:t>
            </w:r>
          </w:p>
        </w:tc>
        <w:tc>
          <w:tcPr>
            <w:tcW w:type="dxa" w:w="2076"/>
          </w:tcPr>
          <w:p/>
        </w:tc>
        <w:tc>
          <w:tcPr>
            <w:tcW w:type="dxa" w:w="2076"/>
          </w:tcPr>
          <w:p/>
        </w:tc>
      </w:tr>
      <w:tr>
        <w:tc>
          <w:tcPr>
            <w:tcW w:type="dxa" w:w="2076"/>
          </w:tcPr>
          <w:p>
            <w:pPr>
              <w:jc w:val="center"/>
            </w:pPr>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1.磋商文件要求提供的其他资料。</w:t>
      </w:r>
    </w:p>
    <w:p>
      <w:pPr>
        <w:ind w:firstLine="480"/>
      </w:pPr>
      <w:r>
        <w:rPr/>
        <w:t>2.供应商认为需提供的其他资料。</w:t>
      </w:r>
    </w:p>
    <w:p>
      <w:pPr>
        <w:ind w:firstLine="480"/>
      </w:pPr>
    </w:p>
    <w:p>
      <w:r>
        <w:rPr/>
        <w:t xml:space="preserve"> </w:t>
      </w:r>
    </w:p>
    <w:p/>
    <w:p>
      <w:r>
        <w:rPr>
          <w:b/>
          <w:sz w:val="28"/>
        </w:rPr>
        <w:t>格式二十：</w:t>
      </w:r>
    </w:p>
    <w:p>
      <w:pPr>
        <w:ind w:firstLine="480"/>
      </w:pPr>
      <w:r>
        <w:rPr/>
        <w:t>（若采购人支付代理服务费，则无需出具此承诺书）</w:t>
      </w:r>
    </w:p>
    <w:p>
      <w:pPr>
        <w:jc w:val="center"/>
      </w:pPr>
      <w:r>
        <w:rPr>
          <w:b/>
          <w:sz w:val="24"/>
        </w:rPr>
        <w:t>代理服务费缴纳承诺函</w:t>
      </w:r>
    </w:p>
    <w:p>
      <w:pPr>
        <w:ind w:firstLine="480"/>
      </w:pPr>
      <w:r>
        <w:rPr/>
        <w:t>致：</w:t>
      </w:r>
      <w:r>
        <w:rPr/>
        <w:t>广东志正招标有限公司中山分公司</w:t>
      </w:r>
    </w:p>
    <w:p>
      <w:pPr>
        <w:ind w:firstLine="480"/>
      </w:pPr>
      <w:r>
        <w:rPr/>
        <w:t>我单位参加贵公司组织的</w:t>
      </w:r>
      <w:r>
        <w:rPr/>
        <w:t>中山市自然资源局自然资源政务信息平台运维项目</w:t>
      </w:r>
      <w:r>
        <w:rPr/>
        <w:t>（采购项目编号：</w:t>
      </w:r>
      <w:r>
        <w:rPr/>
        <w:t>ZZ22317538</w:t>
      </w:r>
      <w:r>
        <w:rPr/>
        <w:t>），作出如下承诺：</w:t>
      </w:r>
    </w:p>
    <w:p>
      <w:pPr>
        <w:ind w:firstLine="480"/>
      </w:pPr>
      <w:r>
        <w:rPr/>
        <w:t>1、完全响应磋商文件中要求的条款，若提供虚假资料将作为无效响应处理，并接受相关部门的处罚。</w:t>
      </w:r>
    </w:p>
    <w:p>
      <w:pPr>
        <w:ind w:firstLine="480"/>
      </w:pPr>
      <w:r>
        <w:rPr/>
        <w:t>2、我单位若被选为成交供应商，承诺按照规定缴纳代理服务费。代理服务费包括组织专家对审查供应商资格、答疑、组织磋商、评审、确定成交供应商，以及提供采购前期咨询、协调合同的签订等服务，按______支付。</w:t>
      </w:r>
    </w:p>
    <w:p>
      <w:pPr>
        <w:ind w:firstLine="480"/>
      </w:pPr>
      <w:r>
        <w:rPr/>
        <w:t>3、如我公司被选为成交供应商，在成交结果公示后3日内向采购代理机构指定账户缴付代理服务费。</w:t>
      </w:r>
    </w:p>
    <w:p>
      <w:pPr>
        <w:ind w:firstLine="480"/>
      </w:pPr>
      <w:r>
        <w:rPr/>
        <w:t>特此承诺！</w:t>
      </w:r>
    </w:p>
    <w:p>
      <w:pPr>
        <w:ind w:firstLine="480"/>
      </w:pPr>
    </w:p>
    <w:p>
      <w:pPr>
        <w:jc w:val="right"/>
      </w:pPr>
      <w:r>
        <w:rPr/>
        <w:t>供应商法定名称（公章）；_____________________</w:t>
      </w:r>
    </w:p>
    <w:p>
      <w:pPr>
        <w:jc w:val="right"/>
      </w:pPr>
      <w:r>
        <w:rPr/>
        <w:t>供应商法定地址：_____________________</w:t>
      </w:r>
    </w:p>
    <w:p>
      <w:pPr>
        <w:jc w:val="right"/>
      </w:pPr>
      <w:r>
        <w:rPr/>
        <w:t>供应商授权代表（签字或盖章）：_____________________</w:t>
      </w:r>
    </w:p>
    <w:p>
      <w:pPr>
        <w:jc w:val="right"/>
      </w:pPr>
      <w:r>
        <w:rPr/>
        <w:t>电 话：_____________________</w:t>
      </w:r>
    </w:p>
    <w:p>
      <w:pPr>
        <w:jc w:val="right"/>
      </w:pPr>
      <w:r>
        <w:rPr/>
        <w:t>传 真：_____________________</w:t>
      </w:r>
    </w:p>
    <w:p>
      <w:pPr>
        <w:jc w:val="right"/>
      </w:pPr>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供应商需要采购人提供的附加条件</w:t>
            </w:r>
          </w:p>
        </w:tc>
      </w:tr>
      <w:tr>
        <w:tc>
          <w:tcPr>
            <w:tcW w:type="dxa" w:w="4153"/>
          </w:tcPr>
          <w:p>
            <w:pPr>
              <w:jc w:val="center"/>
            </w:pPr>
            <w:r>
              <w:rPr/>
              <w:t>1</w:t>
            </w:r>
          </w:p>
        </w:tc>
        <w:tc>
          <w:tcPr>
            <w:tcW w:type="dxa" w:w="4153"/>
          </w:tcPr>
          <w:p/>
        </w:tc>
      </w:tr>
      <w:tr>
        <w:tc>
          <w:tcPr>
            <w:tcW w:type="dxa" w:w="4153"/>
          </w:tcPr>
          <w:p>
            <w:pPr>
              <w:jc w:val="center"/>
            </w:pPr>
            <w:r>
              <w:rPr/>
              <w:t>2</w:t>
            </w:r>
          </w:p>
        </w:tc>
        <w:tc>
          <w:tcPr>
            <w:tcW w:type="dxa" w:w="4153"/>
          </w:tcPr>
          <w:p/>
        </w:tc>
      </w:tr>
      <w:tr>
        <w:tc>
          <w:tcPr>
            <w:tcW w:type="dxa" w:w="4153"/>
          </w:tcPr>
          <w:p>
            <w:pPr>
              <w:jc w:val="center"/>
            </w:pPr>
            <w:r>
              <w:rPr/>
              <w:t>3</w:t>
            </w:r>
          </w:p>
        </w:tc>
        <w:tc>
          <w:tcPr>
            <w:tcW w:type="dxa" w:w="4153"/>
          </w:tcPr>
          <w:p/>
        </w:tc>
      </w:tr>
    </w:tbl>
    <w:p>
      <w:pPr>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说明：本部分格式为供应商提交询问函、质疑函、投诉函时使用，不属于响应文件格式的组成部分。</w:t>
      </w:r>
    </w:p>
    <w:p>
      <w:pPr>
        <w:jc w:val="center"/>
      </w:pPr>
      <w:r>
        <w:rPr>
          <w:b/>
          <w:sz w:val="24"/>
        </w:rPr>
        <w:t>询问函</w:t>
      </w:r>
    </w:p>
    <w:p>
      <w:pPr>
        <w:ind w:firstLine="480"/>
      </w:pPr>
      <w:r>
        <w:rPr/>
        <w:t>广东志正招标有限公司中山分公司</w:t>
      </w:r>
    </w:p>
    <w:p>
      <w:pPr>
        <w:ind w:firstLine="480"/>
      </w:pPr>
      <w:r>
        <w:rPr/>
        <w:t>我单位已登记并准备参与“</w:t>
      </w:r>
      <w:r>
        <w:rPr/>
        <w:t>中山市自然资源局自然资源政务信息平台运维项目</w:t>
      </w:r>
      <w:r>
        <w:rPr/>
        <w:t>”项目（采购项目编号：</w:t>
      </w:r>
      <w:r>
        <w:rPr/>
        <w:t>ZZ22317538</w:t>
      </w:r>
      <w:r>
        <w:rPr/>
        <w:t>）的响应活动，现有以下几个内容（或条款）存在疑问（或无法理解），特提出询问。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pPr>
        <w:ind w:firstLine="480"/>
      </w:pPr>
      <w:r>
        <w:rPr/>
        <w:t>询问人：（公章）</w:t>
      </w:r>
    </w:p>
    <w:p>
      <w:pPr>
        <w:ind w:firstLine="480"/>
      </w:pPr>
      <w:r>
        <w:rPr/>
        <w:t>法定代表人（授权代表）：</w:t>
      </w:r>
    </w:p>
    <w:p>
      <w:pPr>
        <w:ind w:firstLine="480"/>
      </w:pPr>
      <w:r>
        <w:rPr/>
        <w:t>地址/邮编：</w:t>
      </w:r>
    </w:p>
    <w:p>
      <w:pPr>
        <w:ind w:firstLine="480"/>
      </w:pPr>
      <w:r>
        <w:rPr/>
        <w:t>电话/传真：</w:t>
      </w:r>
    </w:p>
    <w:p>
      <w:pPr>
        <w:jc w:val="right"/>
      </w:pPr>
      <w:r>
        <w:rPr/>
        <w:t xml:space="preserve"> 日  期：__________________</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质疑供应商：__________________________________________</w:t>
      </w:r>
    </w:p>
    <w:p>
      <w:pPr>
        <w:ind w:firstLine="480"/>
      </w:pPr>
      <w:r>
        <w:rPr/>
        <w:t>地址：_____________________邮编：_____________________</w:t>
      </w:r>
    </w:p>
    <w:p>
      <w:pPr>
        <w:ind w:firstLine="480"/>
      </w:pPr>
      <w:r>
        <w:rPr/>
        <w:t>联系：_____________________联系电话：_________________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磋商文件获取日期：_____________________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w:t>
      </w:r>
    </w:p>
    <w:p>
      <w:pPr>
        <w:ind w:firstLine="480"/>
      </w:pPr>
      <w:r>
        <w:rPr/>
        <w:t>……</w:t>
      </w:r>
    </w:p>
    <w:p>
      <w:pPr>
        <w:ind w:firstLine="480"/>
      </w:pPr>
      <w:r>
        <w:rPr/>
        <w:t>四、与质疑事项相关的质疑请求</w:t>
      </w:r>
    </w:p>
    <w:p>
      <w:pPr>
        <w:ind w:firstLine="480"/>
      </w:pPr>
      <w:r>
        <w:rPr/>
        <w:t>请求：</w:t>
      </w:r>
    </w:p>
    <w:p>
      <w:pPr>
        <w:jc w:val="right"/>
      </w:pPr>
      <w:r>
        <w:rPr/>
        <w:t xml:space="preserve"> 签字(签章)：_____________________ 公章：_____________________</w:t>
      </w:r>
    </w:p>
    <w:p>
      <w:pPr>
        <w:jc w:val="right"/>
      </w:pPr>
      <w:r>
        <w:rPr/>
        <w:t>日期：_____________________</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3.质疑供应商若对项目的某一采购包进行质疑，质疑函中应列明具体分包号。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磋商文件公告:</w:t>
      </w:r>
      <w:r>
        <w:rPr>
          <w:u w:val="single"/>
        </w:rPr>
        <w:t>是/否</w:t>
      </w:r>
      <w:r>
        <w:rPr/>
        <w:t>公告期限：</w:t>
      </w:r>
    </w:p>
    <w:p>
      <w:pPr>
        <w:ind w:firstLine="480"/>
      </w:pPr>
      <w:r>
        <w:rPr/>
        <w:t>采购结果公告:</w:t>
      </w:r>
      <w:r>
        <w:rPr>
          <w:u w:val="single"/>
        </w:rPr>
        <w:t>是/否</w:t>
      </w:r>
      <w:r>
        <w:rPr/>
        <w:t>公告期限：</w:t>
      </w:r>
    </w:p>
    <w:p>
      <w:pPr>
        <w:ind w:firstLine="480"/>
      </w:pPr>
      <w:r>
        <w:rPr/>
        <w:t>三、质疑基本情况</w:t>
      </w:r>
    </w:p>
    <w:p>
      <w:pPr>
        <w:ind w:firstLine="480"/>
      </w:pPr>
      <w:r>
        <w:rPr/>
        <w:t>投诉人于 ____年____月____日,向____________________提出质疑，质疑事项为：________________________________________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投诉事项1：____________________</w:t>
      </w:r>
    </w:p>
    <w:p>
      <w:pPr>
        <w:ind w:firstLine="480"/>
      </w:pPr>
      <w:r>
        <w:rPr/>
        <w:t>事实依据：____________________</w:t>
      </w:r>
    </w:p>
    <w:p>
      <w:pPr>
        <w:ind w:firstLine="480"/>
      </w:pPr>
      <w:r>
        <w:rPr/>
        <w:t>法律依据：____________________</w:t>
      </w:r>
    </w:p>
    <w:p>
      <w:pPr>
        <w:ind w:firstLine="480"/>
      </w:pPr>
      <w:r>
        <w:rPr/>
        <w:t>投诉事项2</w:t>
      </w:r>
    </w:p>
    <w:p>
      <w:pPr>
        <w:ind w:firstLine="480"/>
      </w:pPr>
      <w:r>
        <w:rPr/>
        <w:t>……</w:t>
      </w:r>
    </w:p>
    <w:p>
      <w:pPr>
        <w:ind w:firstLine="480"/>
      </w:pPr>
      <w:r>
        <w:rPr/>
        <w:t>五、与投诉事项相关的投诉请求</w:t>
      </w:r>
    </w:p>
    <w:p>
      <w:pPr>
        <w:ind w:firstLine="480"/>
      </w:pPr>
      <w:r>
        <w:rPr/>
        <w:t>请求：________________________</w:t>
      </w:r>
    </w:p>
    <w:p>
      <w:pPr>
        <w:ind w:firstLine="480"/>
      </w:pPr>
    </w:p>
    <w:p>
      <w:pPr>
        <w:jc w:val="right"/>
      </w:pPr>
      <w:r>
        <w:rPr/>
        <w:t>签字(签章)：_________公章________</w:t>
      </w:r>
    </w:p>
    <w:p>
      <w:pPr>
        <w:jc w:val="right"/>
      </w:pPr>
      <w:r>
        <w:rPr/>
        <w:t>日期：_____________________</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pPr>
        <w:jc w:val="right"/>
      </w:pPr>
      <w:r>
        <w:rPr/>
        <w:t>编号：【】号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ind w:firstLine="480"/>
      </w:pPr>
      <w:r>
        <w:rPr/>
        <w:t>一、保证责任的情形及保证金额</w:t>
      </w:r>
    </w:p>
    <w:p>
      <w:pPr>
        <w:ind w:firstLine="480"/>
      </w:pPr>
      <w:r>
        <w:rPr/>
        <w:t>（一）在投标（响应）人出现下列情形之一时，我方承担保证责任：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（二）我方承担保证责任的最高金额为人民币__________元（大写）即本项目的投标（响应）保证金金额。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我方的保证期间为：本保函自__年__月__日起生效，有效期至开标日后的90天内。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因本保函发生的纠纷，由你我双方协商解决，协商不成的，通过诉讼程序解决，诉讼管辖地法院为________法院。</w:t>
      </w:r>
    </w:p>
    <w:p>
      <w:pPr>
        <w:ind w:firstLine="480"/>
      </w:pPr>
      <w:r>
        <w:rPr/>
        <w:t>七、保函的生效</w:t>
      </w:r>
    </w:p>
    <w:p>
      <w:pPr>
        <w:ind w:firstLine="480"/>
      </w:pPr>
      <w:r>
        <w:rPr/>
        <w:t>本保函自我方加盖公章之日起生效。</w:t>
      </w:r>
    </w:p>
    <w:p>
      <w:pPr>
        <w:ind w:firstLine="480"/>
      </w:pPr>
    </w:p>
    <w:p>
      <w:pPr>
        <w:jc w:val="right"/>
      </w:pPr>
      <w:r>
        <w:rPr/>
        <w:t>保证人：_______（公章）_______</w:t>
      </w:r>
    </w:p>
    <w:p>
      <w:pPr>
        <w:jc w:val="right"/>
      </w:pPr>
      <w:r>
        <w:rPr/>
        <w:t>联系人：________________联系电话：_______________</w:t>
      </w:r>
    </w:p>
    <w:p>
      <w:pPr>
        <w:jc w:val="right"/>
      </w:pPr>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