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442000-2023-04064</w:t>
      </w:r>
    </w:p>
    <w:p>
      <w:pPr>
        <w:jc w:val="center"/>
      </w:pPr>
      <w:r>
        <w:rPr>
          <w:b/>
          <w:sz w:val="24"/>
        </w:rPr>
        <w:t>采购项目编号：</w:t>
      </w:r>
      <w:r>
        <w:rPr>
          <w:b/>
          <w:sz w:val="24"/>
        </w:rPr>
        <w:t>CGZX-CG202309034</w:t>
      </w:r>
    </w:p>
    <w:p>
      <w:pPr>
        <w:jc w:val="center"/>
      </w:pPr>
      <w:r>
        <w:rPr>
          <w:b/>
          <w:sz w:val="24"/>
        </w:rPr>
        <w:t>项目名称：</w:t>
      </w:r>
      <w:r>
        <w:rPr>
          <w:b/>
          <w:sz w:val="24"/>
        </w:rPr>
        <w:t>中山市文化艺术中心2024年度物业管理服务采购项目</w:t>
      </w:r>
    </w:p>
    <w:p>
      <w:pPr>
        <w:jc w:val="center"/>
      </w:pPr>
      <w:r>
        <w:rPr>
          <w:b/>
          <w:sz w:val="24"/>
        </w:rPr>
        <w:t>采购人：</w:t>
      </w:r>
      <w:r>
        <w:rPr>
          <w:b/>
          <w:sz w:val="24"/>
        </w:rPr>
        <w:t>中山市文化艺术中心</w:t>
      </w:r>
    </w:p>
    <w:p>
      <w:pPr>
        <w:jc w:val="center"/>
      </w:pPr>
      <w:r>
        <w:rPr>
          <w:b/>
          <w:sz w:val="24"/>
        </w:rPr>
        <w:t>采购代理机构：</w:t>
      </w:r>
      <w:r>
        <w:rPr>
          <w:b/>
          <w:sz w:val="24"/>
        </w:rPr>
        <w:t>中山市政府采购中心</w:t>
      </w:r>
    </w:p>
    <w:p>
      <w:pPr>
        <w:ind w:firstLine="480"/>
      </w:pPr>
    </w:p>
    <w:p>
      <w:r>
        <w:rPr/>
        <w:t xml:space="preserve"> </w:t>
      </w:r>
    </w:p>
    <w:p/>
    <w:p>
      <w:pPr>
        <w:jc w:val="center"/>
      </w:pPr>
      <w:r>
        <w:rPr>
          <w:b/>
          <w:sz w:val="36"/>
        </w:rPr>
        <w:t>第一章投标邀请</w:t>
      </w:r>
    </w:p>
    <w:p>
      <w:pPr>
        <w:ind w:firstLine="480"/>
      </w:pPr>
      <w:r>
        <w:rPr/>
        <w:t>中山市政府采购中心</w:t>
      </w:r>
      <w:r>
        <w:rPr/>
        <w:t>受</w:t>
      </w:r>
      <w:r>
        <w:rPr/>
        <w:t>中山市文化艺术中心</w:t>
      </w:r>
      <w:r>
        <w:rPr/>
        <w:t>的委托，采用</w:t>
      </w:r>
      <w:r>
        <w:rPr/>
        <w:t>公开招标</w:t>
      </w:r>
      <w:r>
        <w:rPr/>
        <w:t>方式组织采购</w:t>
      </w:r>
      <w:r>
        <w:rPr/>
        <w:t>中山市文化艺术中心2024年度物业管理服务采购项目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中山市文化艺术中心2024年度物业管理服务采购项目</w:t>
      </w:r>
    </w:p>
    <w:p>
      <w:pPr>
        <w:ind w:firstLine="480"/>
      </w:pPr>
      <w:r>
        <w:rPr/>
        <w:t>采购计划编号：</w:t>
      </w:r>
      <w:r>
        <w:rPr/>
        <w:t>442000-2023-04064</w:t>
      </w:r>
    </w:p>
    <w:p>
      <w:pPr>
        <w:ind w:firstLine="480"/>
      </w:pPr>
      <w:r>
        <w:rPr/>
        <w:t>采购项目编号：</w:t>
      </w:r>
      <w:r>
        <w:rPr/>
        <w:t>CGZX-CG202309034</w:t>
      </w:r>
    </w:p>
    <w:p>
      <w:pPr>
        <w:ind w:firstLine="480"/>
      </w:pPr>
      <w:r>
        <w:rPr/>
        <w:t>采购方式：</w:t>
      </w:r>
      <w:r>
        <w:rPr/>
        <w:t>公开招标</w:t>
      </w:r>
    </w:p>
    <w:p>
      <w:pPr>
        <w:ind w:firstLine="480"/>
      </w:pPr>
      <w:r>
        <w:rPr/>
        <w:t>预算金额：</w:t>
      </w:r>
      <w:r>
        <w:rPr/>
        <w:t>6,784,259.68</w:t>
      </w:r>
      <w:r>
        <w:rPr/>
        <w:t>元</w:t>
      </w:r>
    </w:p>
    <w:p>
      <w:r>
        <w:rPr>
          <w:b/>
          <w:sz w:val="24"/>
        </w:rPr>
        <w:t>2.项目内容及需求情况（采购项目技术规格、参数及要求）</w:t>
      </w:r>
    </w:p>
    <w:p>
      <w:pPr>
        <w:ind w:firstLine="480"/>
      </w:pPr>
    </w:p>
    <w:p/>
    <w:p>
      <w:r>
        <w:rPr/>
        <w:t>采购包1(物业管理服务包):</w:t>
      </w:r>
    </w:p>
    <w:p>
      <w:r>
        <w:rPr/>
        <w:t>采购包预算金额：6,784,259.68元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物业管理服务</w:t>
            </w:r>
          </w:p>
        </w:tc>
        <w:tc>
          <w:tcPr>
            <w:tcW w:type="dxa" w:w="2136"/>
          </w:tcPr>
          <w:p>
            <w:r>
              <w:rPr/>
              <w:t>中山市文化艺术中心2024年度物业管理服务采购项目</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合同履行期限：自服务合同约定进场服务之日起1年（含试用期3个月）。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
      <w:r>
        <w:rPr/>
        <w:t>2）有依法缴纳税收和社会保障资金的良好记录：提供有缴纳过税收和社保的证明材料，具体要求为：2022年1月至开标当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证明材料之一：（1）2021年度财务状况报告；（2）2022年度财务状况报告；（3）企业所在基本开户行出具的资信证明 。</w:t>
      </w:r>
    </w:p>
    <w:p/>
    <w:p>
      <w:r>
        <w:rPr/>
        <w:t>4）履行合同所必需的设备和专业技术能力：投标人在投标函中申明具备《中华人民共和国政府采购法》第二十二条规定的条件，则视为符合要求。</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p/>
    <w:p>
      <w:r>
        <w:rPr>
          <w:b/>
          <w:sz w:val="24"/>
        </w:rPr>
        <w:t>2.落实政府采购政策需满足的资格要求：</w:t>
      </w:r>
    </w:p>
    <w:p>
      <w:pPr>
        <w:ind w:firstLine="480"/>
      </w:pPr>
    </w:p>
    <w:p>
      <w:pPr>
        <w:jc w:val="left"/>
      </w:pPr>
    </w:p>
    <w:p>
      <w:r>
        <w:rPr/>
        <w:t>采购包1（物业管理服务包）：</w:t>
      </w:r>
      <w:r>
        <w:rPr/>
        <w:t>本项目专门面向中小企业采购。供应商须符合本项目所属行业（物业管理）政策划分标准的中小企业。监狱企业、残疾人福利性单位视同小型、微型企业。注：中小企业声明函中行业应为填写“物业管理”或“（采购文件中明确的所属行业）”并按本招标文件第六章格式十一填写《中小企业声明函（工程、服务）》为判定标准，残疾人福利性单位以供应商填写的《残疾人福利性单位声明函》（格式见招标文件第六章）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采购包1（物业管理服务包）：</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招标文件第六章“格式一”提供《投标函》，对应内容为《投标函》的第十条和第十一条）</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w:t>
      </w:r>
    </w:p>
    <w:p>
      <w:r>
        <w:rPr>
          <w:b/>
          <w:sz w:val="28"/>
        </w:rPr>
        <w:t>六.本项目联系方式：</w:t>
      </w:r>
    </w:p>
    <w:p>
      <w:r>
        <w:rPr>
          <w:b/>
          <w:sz w:val="24"/>
        </w:rPr>
        <w:t>1.采购人信息</w:t>
      </w:r>
    </w:p>
    <w:p>
      <w:pPr>
        <w:ind w:firstLine="480"/>
      </w:pPr>
      <w:r>
        <w:rPr/>
        <w:t>名称：</w:t>
      </w:r>
      <w:r>
        <w:rPr/>
        <w:t>中山市文化艺术中心</w:t>
      </w:r>
    </w:p>
    <w:p>
      <w:pPr>
        <w:ind w:firstLine="480"/>
      </w:pPr>
      <w:r>
        <w:rPr/>
        <w:t>地址：</w:t>
      </w:r>
      <w:r>
        <w:rPr/>
        <w:t>中山市东区兴中道73号中山市文化艺术中心</w:t>
      </w:r>
    </w:p>
    <w:p>
      <w:pPr>
        <w:ind w:firstLine="480"/>
      </w:pPr>
      <w:r>
        <w:rPr/>
        <w:t>联系方式：</w:t>
      </w:r>
      <w:r>
        <w:rPr/>
        <w:t>0760-88268310</w:t>
      </w:r>
    </w:p>
    <w:p>
      <w:r>
        <w:rPr>
          <w:b/>
          <w:sz w:val="24"/>
        </w:rPr>
        <w:t>2.采购代理机构信息</w:t>
      </w:r>
    </w:p>
    <w:p>
      <w:pPr>
        <w:ind w:firstLine="480"/>
      </w:pPr>
      <w:r>
        <w:rPr/>
        <w:t>名称：</w:t>
      </w:r>
      <w:r>
        <w:rPr/>
        <w:t>中山市政府采购中心</w:t>
      </w:r>
    </w:p>
    <w:p>
      <w:pPr>
        <w:ind w:firstLine="480"/>
      </w:pPr>
      <w:r>
        <w:rPr/>
        <w:t>地址：</w:t>
      </w:r>
      <w:r>
        <w:rPr/>
        <w:t>中山市博爱六路22号政务服务大厅二楼D区公共资源交易中心</w:t>
      </w:r>
    </w:p>
    <w:p>
      <w:pPr>
        <w:ind w:firstLine="480"/>
      </w:pPr>
      <w:r>
        <w:rPr/>
        <w:t>联系方式：</w:t>
      </w:r>
      <w:r>
        <w:rPr/>
        <w:t>0760-89817357</w:t>
      </w:r>
    </w:p>
    <w:p>
      <w:r>
        <w:rPr>
          <w:b/>
          <w:sz w:val="24"/>
        </w:rPr>
        <w:t>3.项目联系方式</w:t>
      </w:r>
    </w:p>
    <w:p>
      <w:pPr>
        <w:ind w:firstLine="480"/>
      </w:pPr>
      <w:r>
        <w:rPr/>
        <w:t>项目联系人：</w:t>
      </w:r>
      <w:r>
        <w:rPr/>
        <w:t>周先生</w:t>
      </w:r>
    </w:p>
    <w:p>
      <w:pPr>
        <w:ind w:firstLine="480"/>
      </w:pPr>
      <w:r>
        <w:rPr/>
        <w:t>电话：</w:t>
      </w:r>
      <w:r>
        <w:rPr/>
        <w:t>0760-89817357</w:t>
      </w:r>
    </w:p>
    <w:p>
      <w:r>
        <w:rPr>
          <w:b/>
          <w:sz w:val="24"/>
        </w:rPr>
        <w:t>4.技术支持联系方式</w:t>
      </w:r>
    </w:p>
    <w:p>
      <w:pPr>
        <w:ind w:firstLine="480"/>
      </w:pPr>
      <w:r>
        <w:rPr/>
        <w:t>云平台联系方式：020-88696588</w:t>
      </w:r>
    </w:p>
    <w:p>
      <w:r>
        <w:rPr/>
        <w:t>采购代理机构：</w:t>
      </w:r>
      <w:r>
        <w:rPr/>
        <w:t>中山市政府采购中心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（一）基本信息</w:t>
      </w:r>
    </w:p>
    <w:p>
      <w:pPr>
        <w:ind w:firstLine="480"/>
        <w:jc w:val="both"/>
      </w:pPr>
      <w:r>
        <w:rPr>
          <w:sz w:val="21"/>
        </w:rPr>
        <w:t>1.项目名称：</w:t>
      </w:r>
      <w:r>
        <w:rPr>
          <w:sz w:val="21"/>
        </w:rPr>
        <w:t>中山市文化艺术中心</w:t>
      </w:r>
      <w:r>
        <w:rPr>
          <w:sz w:val="21"/>
        </w:rPr>
        <w:t>2024年度物业管理服务采购项目</w:t>
      </w:r>
    </w:p>
    <w:p>
      <w:pPr>
        <w:ind w:firstLine="480"/>
        <w:jc w:val="both"/>
      </w:pPr>
      <w:r>
        <w:rPr>
          <w:sz w:val="21"/>
        </w:rPr>
        <w:t>2.项目编号：CGZX-CG202309034</w:t>
      </w:r>
    </w:p>
    <w:p>
      <w:pPr>
        <w:ind w:firstLine="480"/>
        <w:jc w:val="both"/>
      </w:pPr>
      <w:r>
        <w:rPr>
          <w:sz w:val="21"/>
        </w:rPr>
        <w:t>3.预算金额：6784259.68元</w:t>
      </w:r>
    </w:p>
    <w:p>
      <w:pPr>
        <w:ind w:firstLine="480"/>
        <w:jc w:val="both"/>
      </w:pPr>
      <w:r>
        <w:rPr>
          <w:sz w:val="21"/>
        </w:rPr>
        <w:t>4.最高限价：与预算金额一致</w:t>
      </w:r>
    </w:p>
    <w:p>
      <w:pPr>
        <w:ind w:firstLine="480"/>
        <w:jc w:val="both"/>
      </w:pPr>
      <w:r>
        <w:rPr>
          <w:sz w:val="21"/>
        </w:rPr>
        <w:t>5.服务期：自服务合同约定进场服务之日起1年（含试用期3个月）。</w:t>
      </w:r>
    </w:p>
    <w:p>
      <w:pPr>
        <w:ind w:firstLine="480"/>
        <w:jc w:val="both"/>
      </w:pPr>
      <w:r>
        <w:rPr>
          <w:sz w:val="21"/>
        </w:rPr>
        <w:t>6</w:t>
      </w:r>
      <w:r>
        <w:rPr>
          <w:sz w:val="21"/>
        </w:rPr>
        <w:t>.</w:t>
      </w:r>
      <w:r>
        <w:rPr>
          <w:sz w:val="21"/>
        </w:rPr>
        <w:t>本项目不接受联合体投标。</w:t>
      </w:r>
    </w:p>
    <w:p>
      <w:pPr>
        <w:ind w:firstLine="480"/>
        <w:jc w:val="both"/>
      </w:pPr>
      <w:r>
        <w:rPr>
          <w:sz w:val="21"/>
        </w:rPr>
        <w:t>7.</w:t>
      </w:r>
      <w:r>
        <w:rPr>
          <w:sz w:val="21"/>
        </w:rPr>
        <w:t>本项目不统一组织现场踏勘。</w:t>
      </w:r>
    </w:p>
    <w:p>
      <w:pPr>
        <w:ind w:firstLine="480"/>
        <w:jc w:val="both"/>
      </w:pPr>
      <w:r>
        <w:rPr>
          <w:sz w:val="21"/>
        </w:rPr>
        <w:t>8.</w:t>
      </w:r>
      <w:r>
        <w:rPr>
          <w:sz w:val="21"/>
        </w:rPr>
        <w:t>招标说明：原物业管理服务合同服务期限将在近期内结束，为保障物业服务的不间断提供，现拟通过公开招标方式对新物业管理服务进行采购。</w:t>
      </w:r>
    </w:p>
    <w:p>
      <w:pPr>
        <w:ind w:firstLine="421"/>
        <w:jc w:val="both"/>
      </w:pPr>
      <w:r>
        <w:rPr>
          <w:b/>
          <w:sz w:val="21"/>
        </w:rPr>
        <w:t>（二）特别注意事项</w:t>
      </w:r>
    </w:p>
    <w:p>
      <w:pPr>
        <w:ind w:firstLine="420"/>
        <w:jc w:val="both"/>
      </w:pPr>
      <w:r>
        <w:rPr>
          <w:sz w:val="21"/>
        </w:rPr>
        <w:t>1.本文提及的《“★”条款响应表》格式可在本项目采购公告附件处下载，其他格式可在招标文件第六章格式中查找。</w:t>
      </w:r>
    </w:p>
    <w:p>
      <w:pPr>
        <w:ind w:firstLine="420"/>
        <w:jc w:val="both"/>
      </w:pPr>
      <w:r>
        <w:rPr>
          <w:sz w:val="21"/>
        </w:rPr>
        <w:t>2.本项目属于</w:t>
      </w:r>
      <w:r>
        <w:rPr>
          <w:sz w:val="21"/>
          <w:u w:val="single"/>
        </w:rPr>
        <w:t>服务类</w:t>
      </w:r>
      <w:r>
        <w:rPr>
          <w:sz w:val="21"/>
        </w:rPr>
        <w:t>项目，中小企业划分标准所属行业为：</w:t>
      </w:r>
      <w:r>
        <w:rPr>
          <w:sz w:val="21"/>
          <w:u w:val="single"/>
        </w:rPr>
        <w:t>物业管理</w:t>
      </w:r>
      <w:r>
        <w:rPr>
          <w:sz w:val="21"/>
        </w:rPr>
        <w:t>。中小企业声明函中行业应为填写</w:t>
      </w:r>
      <w:r>
        <w:rPr>
          <w:sz w:val="21"/>
          <w:u w:val="single"/>
        </w:rPr>
        <w:t>“物业管理 ”</w:t>
      </w:r>
      <w:r>
        <w:rPr>
          <w:sz w:val="21"/>
        </w:rPr>
        <w:t>或</w:t>
      </w:r>
      <w:r>
        <w:rPr>
          <w:sz w:val="21"/>
          <w:u w:val="single"/>
        </w:rPr>
        <w:t>“（采购文件中明确的所属行业）”</w:t>
      </w:r>
      <w:r>
        <w:rPr>
          <w:sz w:val="21"/>
        </w:rPr>
        <w:t>并按本招标文件第六章中格式十一《中小企业声明函（工程、服务）》填写，否则视为非中小企业。关于中小企业的划分标准，可以查看《关于印发中小企业划型标准规定的通知》（工信部联企业〔</w:t>
      </w:r>
      <w:r>
        <w:rPr>
          <w:sz w:val="21"/>
        </w:rPr>
        <w:t>2011〕300号），查询网址：http://www.ccgp.gov.cn/zcfg/mof/201310/t20131029_3587674.htm。</w:t>
      </w:r>
    </w:p>
    <w:p>
      <w:pPr>
        <w:ind w:firstLine="420"/>
        <w:jc w:val="both"/>
      </w:pPr>
      <w:r>
        <w:rPr>
          <w:sz w:val="21"/>
        </w:rPr>
        <w:t>3.采购需求中标记“★”的条款应优先在</w:t>
      </w:r>
      <w:r>
        <w:rPr>
          <w:sz w:val="21"/>
          <w:u w:val="single"/>
        </w:rPr>
        <w:t>“投标文件附加格式《“★”条款响应表》”</w:t>
      </w:r>
      <w:r>
        <w:rPr>
          <w:sz w:val="21"/>
        </w:rPr>
        <w:t>中填写并作出响应，作为评审依据。第六章中格式十《承诺函》、格式十六《技术和服务要求响应表》及格式十七《商务条件响应表》仅作参考格式，不强制要求填写，若内容能体现响应</w:t>
      </w:r>
      <w:r>
        <w:rPr>
          <w:sz w:val="21"/>
        </w:rPr>
        <w:t>“★”条款的同样视为有效响应。</w:t>
      </w:r>
    </w:p>
    <w:p>
      <w:pPr>
        <w:ind w:firstLine="420"/>
        <w:jc w:val="both"/>
      </w:pPr>
      <w:r>
        <w:rPr>
          <w:sz w:val="21"/>
        </w:rPr>
        <w:t>4.采购需求中带“★”的条款中若有要求提供证明材料的，投标文件中须按要求附上证明资料，否则视为不满足。</w:t>
      </w:r>
    </w:p>
    <w:p>
      <w:pPr>
        <w:ind w:firstLine="420"/>
        <w:jc w:val="both"/>
      </w:pPr>
      <w:r>
        <w:rPr>
          <w:sz w:val="21"/>
        </w:rPr>
        <w:t>5.投标人若存在“★”条款不满足要求的情况，则按无效投标处理。</w:t>
      </w:r>
    </w:p>
    <w:p>
      <w:pPr>
        <w:ind w:firstLine="420"/>
        <w:jc w:val="both"/>
      </w:pPr>
      <w:r>
        <w:rPr>
          <w:sz w:val="21"/>
        </w:rPr>
        <w:t>6.投标文件中提供的法定代表人授权书及法定代表人证明书在开标评标当天处于有效期内即视为有效。</w:t>
      </w:r>
    </w:p>
    <w:p>
      <w:pPr>
        <w:ind w:firstLine="420"/>
        <w:jc w:val="both"/>
      </w:pPr>
      <w:r>
        <w:rPr>
          <w:sz w:val="21"/>
        </w:rPr>
        <w:t>7.采购文件所称的“以上”、“以下”、“以内”、“届满”，包括本数；所称的“不满”、“超过”、“以外”，不包括本数。</w:t>
      </w:r>
    </w:p>
    <w:p>
      <w:pPr>
        <w:ind w:firstLine="420"/>
        <w:jc w:val="both"/>
      </w:pPr>
      <w:r>
        <w:rPr>
          <w:sz w:val="21"/>
        </w:rPr>
        <w:t>8.若本项目为采用合同分包形式预留给小型企业或微型企业的，小微企业不得将合同分包给大中型企业，中型企业不得将合同分包给大型企业。（若本项目为非预留采购份额项目，则此条款可忽略）</w:t>
      </w:r>
    </w:p>
    <w:p>
      <w:pPr>
        <w:ind w:firstLine="420"/>
        <w:jc w:val="both"/>
      </w:pPr>
      <w:r>
        <w:rPr>
          <w:sz w:val="21"/>
        </w:rPr>
        <w:t>9.投标人在获取采购文件至投标截止时间期间存在工商变更情况（例如变更公司名称、变更地址等）的，应在投标文件营业执照复印件后面附上</w:t>
      </w:r>
      <w:r>
        <w:rPr>
          <w:sz w:val="21"/>
        </w:rPr>
        <w:t>政府部门出具的</w:t>
      </w:r>
      <w:r>
        <w:rPr>
          <w:sz w:val="21"/>
        </w:rPr>
        <w:t>变更</w:t>
      </w:r>
      <w:r>
        <w:rPr>
          <w:sz w:val="21"/>
        </w:rPr>
        <w:t>证明</w:t>
      </w:r>
      <w:r>
        <w:rPr>
          <w:sz w:val="21"/>
        </w:rPr>
        <w:t>，否则采购人代表或评标委员会有权因为无法判断变更前后两公司关系而不承认变更信息前公司的资料。</w:t>
      </w:r>
    </w:p>
    <w:p>
      <w:pPr>
        <w:ind w:firstLine="420"/>
        <w:jc w:val="both"/>
      </w:pPr>
      <w:r>
        <w:rPr>
          <w:sz w:val="21"/>
        </w:rPr>
        <w:t>10.本采购需求中若有出现“我局”“我单位”“我中心”“我院”“医院”“学校”“校方”“我校”等称呼的，均指本项目采购人。</w:t>
      </w:r>
    </w:p>
    <w:p>
      <w:pPr>
        <w:ind w:firstLine="441"/>
        <w:jc w:val="both"/>
      </w:pPr>
      <w:r>
        <w:rPr>
          <w:b/>
          <w:sz w:val="22"/>
        </w:rPr>
        <w:t>（三）违约条款</w:t>
      </w:r>
    </w:p>
    <w:p>
      <w:pPr>
        <w:ind w:firstLine="420"/>
        <w:jc w:val="both"/>
      </w:pPr>
      <w:r>
        <w:rPr>
          <w:sz w:val="21"/>
        </w:rPr>
        <w:t>1.投标人在投标文件中承诺的内容将作为以后（中标后）签订政府采购合同的内容，包括★条款、▲条款及一般条款的响应情况，投标人在履行合同过程中必须严格执行，在履行合同过程中无法满足★条款的相关要求将按中标人违约处理（采购人有权扣除较重的违约金甚至解除合同），在履行合同过程中无法满足▲条款及一般条款的相关要求将按中标人违约处理（采购人有权扣除一定的违约金甚至解除合同）。</w:t>
      </w:r>
    </w:p>
    <w:p>
      <w:pPr>
        <w:ind w:firstLine="420"/>
        <w:jc w:val="both"/>
      </w:pPr>
      <w:r>
        <w:rPr>
          <w:sz w:val="21"/>
        </w:rPr>
        <w:t>2.投标人在投标文件中用于响应评分的服务方案（包括但不限于技术评分表的方案）将作为以后（中标后）签订政府采购合同的内容，在履行合同过程中无法满足要求的将按中标人违约处理（采购人有权扣除一定的违约金甚至解除合同）。</w:t>
      </w:r>
    </w:p>
    <w:p>
      <w:pPr>
        <w:ind w:firstLine="420"/>
        <w:jc w:val="both"/>
      </w:pPr>
      <w:r>
        <w:rPr>
          <w:sz w:val="21"/>
        </w:rPr>
        <w:t>3.投标人在投标文件中用于响应评分的委派具体人员为中标后委派人员，实际到场人员与投标文件中拟派具体人员不符的，将按中标人违约处理（采购人有权扣除较重的违约金甚至解除合同）。</w:t>
      </w:r>
    </w:p>
    <w:p>
      <w:pPr>
        <w:ind w:firstLine="441"/>
        <w:jc w:val="both"/>
      </w:pPr>
      <w:r>
        <w:rPr>
          <w:b/>
          <w:sz w:val="22"/>
        </w:rPr>
        <w:t>（四）远程开标相关注意事项</w:t>
      </w:r>
    </w:p>
    <w:p>
      <w:pPr>
        <w:ind w:firstLine="420"/>
        <w:jc w:val="both"/>
      </w:pPr>
      <w:r>
        <w:rPr>
          <w:sz w:val="21"/>
        </w:rPr>
        <w:t>1.请注意：本项目采用远程开标形式，投标人应登录广东省政府采购网（广东政府采购智慧云平台，网址：https://gdgpo.czt.gd.gov.cn/）对相关操作指南进行研读并熟悉系统的操作。咨询电话：020-88696588。</w:t>
      </w:r>
    </w:p>
    <w:p>
      <w:pPr>
        <w:ind w:firstLine="420"/>
        <w:jc w:val="both"/>
      </w:pPr>
      <w:r>
        <w:rPr>
          <w:sz w:val="21"/>
        </w:rPr>
        <w:t>2.关于提前进入开标大厅的提醒：参加本项目投标的供应商，请务必于投标截止时间前30分钟登录广东省政府采购智慧云平台，并进入本项目“开标大厅”，进入后请立即加入右侧“开标消息”聊天群组，关注代理机构发布的消息。无法进入“开标大厅”的应该及时联系平台技术人员解决。供应商不按要求进入“开标大厅”的，将无法收到相关注意事项消息，由此造成的后果由供应商承担。</w:t>
      </w:r>
    </w:p>
    <w:p>
      <w:pPr>
        <w:ind w:firstLine="420"/>
        <w:jc w:val="both"/>
      </w:pPr>
      <w:r>
        <w:rPr>
          <w:sz w:val="21"/>
        </w:rPr>
        <w:t>3.关于开标专用电脑的选取：供应商应尽量使用本项目投标（响应）文件成功加密所使用的电脑，避免开标时由于解密失败所带来的影响。</w:t>
      </w:r>
    </w:p>
    <w:p>
      <w:pPr>
        <w:ind w:firstLine="420"/>
        <w:jc w:val="both"/>
      </w:pPr>
      <w:r>
        <w:rPr>
          <w:sz w:val="21"/>
        </w:rPr>
        <w:t>4.关于参与开标资料准备提醒：供应商进入本项目“开标大厅”（参加投标）时，应提前准备有效的数字证书，以及响应文件加密时生成的备用标书。</w:t>
      </w:r>
    </w:p>
    <w:p>
      <w:pPr>
        <w:ind w:firstLine="420"/>
        <w:jc w:val="both"/>
      </w:pPr>
      <w:r>
        <w:rPr>
          <w:sz w:val="21"/>
        </w:rPr>
        <w:t>（</w:t>
      </w:r>
      <w:r>
        <w:rPr>
          <w:sz w:val="21"/>
        </w:rPr>
        <w:t>1）有效的数字证书将用于开标时解密及签名环节；</w:t>
      </w:r>
    </w:p>
    <w:p>
      <w:pPr>
        <w:ind w:firstLine="420"/>
        <w:jc w:val="both"/>
      </w:pPr>
      <w:r>
        <w:rPr>
          <w:sz w:val="21"/>
        </w:rPr>
        <w:t>（</w:t>
      </w:r>
      <w:r>
        <w:rPr>
          <w:sz w:val="21"/>
        </w:rPr>
        <w:t>2）备用标书用于开标时解密失败的情况下可以补充上传。若供应商未及时准备上述资料，由此造成的后果由供应商承担；</w:t>
      </w:r>
    </w:p>
    <w:p>
      <w:pPr>
        <w:ind w:firstLine="420"/>
        <w:jc w:val="both"/>
      </w:pPr>
      <w:r>
        <w:rPr>
          <w:sz w:val="21"/>
        </w:rPr>
        <w:t>（</w:t>
      </w:r>
      <w:r>
        <w:rPr>
          <w:sz w:val="21"/>
        </w:rPr>
        <w:t>3）投标人代表对开标过程和开标记录有异议，应当场提出，若投标人签名环节签名失败且未在“开标消息”即时提出异议的视为对开标过程和结果无异议，因签名失败造成的其他后果由供应商承担。</w:t>
      </w:r>
    </w:p>
    <w:p>
      <w:pPr>
        <w:ind w:firstLine="480"/>
        <w:jc w:val="both"/>
      </w:pPr>
      <w:r>
        <w:rPr>
          <w:sz w:val="21"/>
        </w:rPr>
        <w:t>5.投标当天投标人应保持手机畅通及备好数字证书，评标委员会有可能会随时发起澄清，投标人在规定时间内未在系统上进行响应澄清的视为放弃澄清。</w:t>
      </w:r>
    </w:p>
    <w:p>
      <w:pPr>
        <w:jc w:val="both"/>
      </w:pPr>
    </w:p>
    <w:p>
      <w:pPr>
        <w:ind w:firstLine="420"/>
        <w:jc w:val="both"/>
      </w:pPr>
    </w:p>
    <w:p>
      <w:pPr>
        <w:jc w:val="both"/>
      </w:pPr>
      <w:r>
        <w:rPr>
          <w:b/>
          <w:sz w:val="28"/>
        </w:rPr>
        <w:t>二、项目具体范围及现有场地情况</w:t>
      </w:r>
    </w:p>
    <w:p>
      <w:pPr>
        <w:ind w:firstLine="421"/>
        <w:jc w:val="both"/>
      </w:pPr>
      <w:r>
        <w:rPr>
          <w:b/>
          <w:sz w:val="21"/>
        </w:rPr>
        <w:t>1.物业服务场地概述：</w:t>
      </w:r>
      <w:r>
        <w:rPr>
          <w:sz w:val="21"/>
        </w:rPr>
        <w:t>中山市文化艺术中心，位于中山市东区兴中道</w:t>
      </w:r>
      <w:r>
        <w:rPr>
          <w:sz w:val="21"/>
        </w:rPr>
        <w:t>73号，是中山市的标志性建筑和最高艺术殿堂，现代化大型综合性剧场，中山市大型会议和活动重要举办场所。每年大小剧场、文化广场举办的各类活动约为230场，广场舞会每年举办约280场。</w:t>
      </w:r>
    </w:p>
    <w:p>
      <w:pPr>
        <w:ind w:firstLine="420"/>
        <w:jc w:val="both"/>
      </w:pPr>
      <w:r>
        <w:rPr>
          <w:b/>
          <w:sz w:val="21"/>
        </w:rPr>
        <w:t>2.物业建筑基本情况：</w:t>
      </w:r>
      <w:r>
        <w:rPr>
          <w:sz w:val="21"/>
        </w:rPr>
        <w:t>中山市文化艺术中心含演艺大楼和培训大楼两大主体建筑物，占地面积</w:t>
      </w:r>
      <w:r>
        <w:rPr>
          <w:sz w:val="21"/>
        </w:rPr>
        <w:t>68599.58㎡，总建筑面积 43431.4㎡。</w:t>
      </w:r>
    </w:p>
    <w:p>
      <w:pPr>
        <w:ind w:firstLine="420"/>
        <w:jc w:val="both"/>
      </w:pPr>
      <w:r>
        <w:rPr>
          <w:sz w:val="21"/>
        </w:rPr>
        <w:t>2.1演艺大楼建筑面积23879.9平方米，设有1386个座位的大剧场、636个座位的多功能小剧场以及售票厅、演员化妆间、贵宾接待厅、艺术长廊、仓库、办公室、会议室、设备用房等场所。</w:t>
      </w:r>
    </w:p>
    <w:p>
      <w:pPr>
        <w:ind w:firstLine="420"/>
        <w:jc w:val="both"/>
      </w:pPr>
      <w:r>
        <w:rPr>
          <w:sz w:val="21"/>
        </w:rPr>
        <w:t>2.2培训大楼建筑面积共（含地下面积）19551.5㎡，为中山市文化馆办公场地，设有各类培训用房、排演厅、展览厅、香山书房及办公用房。</w:t>
      </w:r>
    </w:p>
    <w:p>
      <w:pPr>
        <w:ind w:firstLine="420"/>
        <w:jc w:val="both"/>
      </w:pPr>
      <w:r>
        <w:rPr>
          <w:sz w:val="21"/>
        </w:rPr>
        <w:t>2.3外环境面积约34901.45平方米，包含文化广场、露天舞台（含化妆间、配电房）、露天停车场、地下停车场、室外设备设施等。</w:t>
      </w:r>
    </w:p>
    <w:p>
      <w:pPr>
        <w:ind w:firstLine="420"/>
        <w:jc w:val="both"/>
      </w:pPr>
      <w:r>
        <w:rPr>
          <w:b/>
          <w:sz w:val="21"/>
        </w:rPr>
        <w:t>3.建筑物内设施、设备配套先进，自动化程度高，消防、供配电系统、智能监控系统配置完备。</w:t>
      </w:r>
    </w:p>
    <w:p>
      <w:pPr>
        <w:ind w:firstLine="420"/>
        <w:jc w:val="both"/>
      </w:pPr>
      <w:r>
        <w:rPr>
          <w:b/>
          <w:sz w:val="21"/>
        </w:rPr>
        <w:t>4.管理范围主要设施、设备情况如下：</w:t>
      </w:r>
    </w:p>
    <w:p>
      <w:pPr>
        <w:ind w:firstLine="420"/>
        <w:jc w:val="both"/>
      </w:pPr>
      <w:r>
        <w:rPr>
          <w:sz w:val="21"/>
        </w:rPr>
        <w:t>4.1机电设备系统：</w:t>
      </w:r>
    </w:p>
    <w:p>
      <w:pPr>
        <w:ind w:firstLine="420"/>
        <w:jc w:val="both"/>
      </w:pPr>
      <w:r>
        <w:rPr>
          <w:sz w:val="21"/>
        </w:rPr>
        <w:t>4.1.1电梯：合资奥的斯4台。</w:t>
      </w:r>
    </w:p>
    <w:p>
      <w:pPr>
        <w:ind w:firstLine="420"/>
        <w:jc w:val="both"/>
      </w:pPr>
      <w:r>
        <w:rPr>
          <w:sz w:val="21"/>
        </w:rPr>
        <w:t>4.1.2中央空调：特灵水冷机5台，风冷机5台，美的分体152台。</w:t>
      </w:r>
    </w:p>
    <w:p>
      <w:pPr>
        <w:ind w:firstLine="420"/>
        <w:jc w:val="both"/>
      </w:pPr>
      <w:r>
        <w:rPr>
          <w:sz w:val="21"/>
        </w:rPr>
        <w:t>4.1.3发电机：组装卡特彼勒1台，备用连续功率：720KW。</w:t>
      </w:r>
    </w:p>
    <w:p>
      <w:pPr>
        <w:ind w:firstLine="420"/>
        <w:jc w:val="both"/>
      </w:pPr>
      <w:r>
        <w:rPr>
          <w:sz w:val="21"/>
        </w:rPr>
        <w:t>4.1.4变配电：明阳配电柜,ABB开关，顺德产变电设备。</w:t>
      </w:r>
    </w:p>
    <w:p>
      <w:pPr>
        <w:ind w:firstLine="420"/>
        <w:jc w:val="both"/>
      </w:pPr>
      <w:r>
        <w:rPr>
          <w:sz w:val="21"/>
        </w:rPr>
        <w:t>4.2消防系统：海湾品牌。</w:t>
      </w:r>
    </w:p>
    <w:p>
      <w:pPr>
        <w:ind w:firstLine="420"/>
        <w:jc w:val="both"/>
      </w:pPr>
      <w:r>
        <w:rPr>
          <w:sz w:val="21"/>
        </w:rPr>
        <w:t>4.3送排风系统。</w:t>
      </w:r>
    </w:p>
    <w:p>
      <w:pPr>
        <w:ind w:firstLine="420"/>
        <w:jc w:val="both"/>
      </w:pPr>
      <w:r>
        <w:rPr>
          <w:sz w:val="21"/>
        </w:rPr>
        <w:t>4.4给排水系统：由市政给水管网引入两根DN200至本中心。排水使用雨污水分流制，污水采用三级化粪、化油。</w:t>
      </w:r>
    </w:p>
    <w:p>
      <w:pPr>
        <w:ind w:firstLine="420"/>
        <w:jc w:val="both"/>
      </w:pPr>
      <w:r>
        <w:rPr>
          <w:sz w:val="21"/>
        </w:rPr>
        <w:t>4.5智能化系统：楼宇自控系统、综合布线系统、综合安防系统（海康威视品牌）、音视系统、消防广播及背景音乐系统、有线电视系统、公众信息发布与查询系统、手机信号屏蔽系统、防雷接地系统、UPS不间断电源系统、机房工程控制系统、停车场管理系统（深圳道尔品牌，含广场电动升降柱）、智能照明系统、智能建筑集成管理系统、计算机网络系统、呼叫报警系统、LED电子屏幕系统、室内LED广告机系统。</w:t>
      </w:r>
    </w:p>
    <w:p>
      <w:pPr>
        <w:ind w:firstLine="420"/>
        <w:jc w:val="both"/>
      </w:pPr>
      <w:r>
        <w:rPr>
          <w:b/>
          <w:sz w:val="21"/>
        </w:rPr>
        <w:t>5.绿化设施：</w:t>
      </w:r>
      <w:r>
        <w:rPr>
          <w:sz w:val="21"/>
        </w:rPr>
        <w:t>各种树木</w:t>
      </w:r>
      <w:r>
        <w:rPr>
          <w:sz w:val="21"/>
        </w:rPr>
        <w:t>500多棵（其中名贵大树113棵）以及苗木草皮，室外建筑小景，喷水池及室内绿化布置。</w:t>
      </w:r>
    </w:p>
    <w:p>
      <w:pPr>
        <w:ind w:firstLine="420"/>
        <w:jc w:val="both"/>
      </w:pPr>
    </w:p>
    <w:p>
      <w:pPr>
        <w:ind w:firstLine="420"/>
        <w:jc w:val="both"/>
      </w:pPr>
    </w:p>
    <w:p>
      <w:pPr>
        <w:jc w:val="both"/>
      </w:pPr>
      <w:r>
        <w:rPr>
          <w:b/>
          <w:sz w:val="28"/>
        </w:rPr>
        <w:t>三</w:t>
      </w:r>
      <w:r>
        <w:rPr>
          <w:b/>
          <w:sz w:val="28"/>
        </w:rPr>
        <w:t>、</w:t>
      </w:r>
      <w:r>
        <w:rPr>
          <w:b/>
          <w:sz w:val="28"/>
        </w:rPr>
        <w:t>物业服务</w:t>
      </w:r>
      <w:r>
        <w:rPr>
          <w:b/>
          <w:sz w:val="28"/>
        </w:rPr>
        <w:t>基本要求</w:t>
      </w:r>
      <w:r>
        <w:rPr>
          <w:b/>
          <w:sz w:val="28"/>
        </w:rPr>
        <w:t>（总体要求）</w:t>
      </w:r>
    </w:p>
    <w:p>
      <w:pPr>
        <w:ind w:firstLine="421"/>
        <w:jc w:val="both"/>
      </w:pPr>
      <w:r>
        <w:rPr>
          <w:b/>
          <w:sz w:val="21"/>
        </w:rPr>
        <w:t>1.项目服务要求简述：</w:t>
      </w:r>
      <w:r>
        <w:rPr>
          <w:sz w:val="21"/>
        </w:rPr>
        <w:t>物业管理服务包括但不限于日常及演出期间的安全保卫、车辆管理、剧场服务、保洁绿化、设备设施</w:t>
      </w:r>
      <w:r>
        <w:rPr>
          <w:sz w:val="21"/>
        </w:rPr>
        <w:t>维修</w:t>
      </w:r>
      <w:r>
        <w:rPr>
          <w:sz w:val="21"/>
        </w:rPr>
        <w:t>维护等内容。</w:t>
      </w:r>
    </w:p>
    <w:p>
      <w:pPr>
        <w:ind w:firstLine="421"/>
        <w:jc w:val="both"/>
      </w:pPr>
      <w:r>
        <w:rPr>
          <w:b/>
          <w:sz w:val="21"/>
        </w:rPr>
        <w:t>★</w:t>
      </w:r>
      <w:r>
        <w:rPr>
          <w:b/>
          <w:sz w:val="21"/>
        </w:rPr>
        <w:t>2.项目服务目标要求：</w:t>
      </w:r>
      <w:r>
        <w:rPr>
          <w:sz w:val="21"/>
        </w:rPr>
        <w:t>中山市文化艺术中心是中山市目前最高的艺术殿堂，是中山市大型的高雅文化艺术演出和群众文化培训的主要活动场所，物业管理服务须高标准、高档</w:t>
      </w:r>
      <w:r>
        <w:rPr>
          <w:sz w:val="21"/>
        </w:rPr>
        <w:t>次，以及管理运作具备严格的安全性和规范性。确保每年采购人的顾客满意度不低于</w:t>
      </w:r>
      <w:r>
        <w:rPr>
          <w:sz w:val="21"/>
        </w:rPr>
        <w:t>90%。</w:t>
      </w:r>
      <w:r>
        <w:rPr>
          <w:sz w:val="21"/>
          <w:u w:val="single"/>
        </w:rPr>
        <w:t>【响应方式：投标文件承诺响应，应优先在</w:t>
      </w:r>
      <w:r>
        <w:rPr>
          <w:sz w:val="21"/>
          <w:u w:val="single"/>
        </w:rPr>
        <w:t>“投标文件附加格式《“★”条款响应表》”中填写并作出响应，填表视为已承诺，作为评审依据。】</w:t>
      </w:r>
    </w:p>
    <w:p>
      <w:pPr>
        <w:ind w:firstLine="420"/>
        <w:jc w:val="both"/>
      </w:pPr>
      <w:r>
        <w:rPr>
          <w:sz w:val="21"/>
        </w:rPr>
        <w:t>★</w:t>
      </w:r>
      <w:r>
        <w:rPr>
          <w:b/>
          <w:sz w:val="21"/>
        </w:rPr>
        <w:t>3.试用期说明：</w:t>
      </w:r>
      <w:r>
        <w:rPr>
          <w:sz w:val="21"/>
        </w:rPr>
        <w:t>中标人履行服务合同的前</w:t>
      </w:r>
      <w:r>
        <w:rPr>
          <w:sz w:val="21"/>
        </w:rPr>
        <w:t>3个月为试用期。在试用期间，中标人有以下情况之一的，采购人可解除合同，且采购人对中标人不作任何经济补偿。造成采购人经济损失的，中标人须</w:t>
      </w:r>
      <w:r>
        <w:rPr>
          <w:sz w:val="21"/>
        </w:rPr>
        <w:t>给予</w:t>
      </w:r>
      <w:r>
        <w:rPr>
          <w:sz w:val="21"/>
        </w:rPr>
        <w:t>经济赔偿并承担相应法律责任：</w:t>
      </w:r>
    </w:p>
    <w:p>
      <w:pPr>
        <w:ind w:firstLine="420"/>
        <w:jc w:val="both"/>
      </w:pPr>
      <w:r>
        <w:rPr>
          <w:sz w:val="21"/>
        </w:rPr>
        <w:t>3.1试用期内，未经采购人书面同意，中标人实际在岗人数少于需求总人数95%，且在采购人要求整改期限内未整改的。</w:t>
      </w:r>
    </w:p>
    <w:p>
      <w:pPr>
        <w:ind w:firstLine="420"/>
        <w:jc w:val="both"/>
      </w:pPr>
      <w:r>
        <w:rPr>
          <w:sz w:val="21"/>
        </w:rPr>
        <w:t>3.2未经采购人书面同意，重点岗位人员缺岗或未按要求持证上岗达到2人或以上，且在采购人要求整改期限内未整改的。</w:t>
      </w:r>
    </w:p>
    <w:p>
      <w:pPr>
        <w:ind w:firstLine="420"/>
        <w:jc w:val="both"/>
      </w:pPr>
      <w:r>
        <w:rPr>
          <w:sz w:val="21"/>
        </w:rPr>
        <w:t>3.3未按照合同要求履行设备设施</w:t>
      </w:r>
      <w:r>
        <w:rPr>
          <w:sz w:val="21"/>
        </w:rPr>
        <w:t>维修</w:t>
      </w:r>
      <w:r>
        <w:rPr>
          <w:sz w:val="21"/>
        </w:rPr>
        <w:t>维护责任，且在采购人要求整改期限内未整改的。</w:t>
      </w:r>
    </w:p>
    <w:p>
      <w:pPr>
        <w:ind w:firstLine="420"/>
        <w:jc w:val="both"/>
      </w:pPr>
      <w:r>
        <w:rPr>
          <w:sz w:val="21"/>
        </w:rPr>
        <w:t>3.4采购人根据考评准则每月对中标人的物业管理服务质量进行考评</w:t>
      </w:r>
      <w:r>
        <w:rPr>
          <w:sz w:val="21"/>
        </w:rPr>
        <w:t>，</w:t>
      </w:r>
      <w:r>
        <w:rPr>
          <w:sz w:val="21"/>
        </w:rPr>
        <w:t>当月考评分数低于</w:t>
      </w:r>
      <w:r>
        <w:rPr>
          <w:sz w:val="21"/>
        </w:rPr>
        <w:t>50分或连续3个月低于60分</w:t>
      </w:r>
      <w:r>
        <w:rPr>
          <w:sz w:val="21"/>
        </w:rPr>
        <w:t>。</w:t>
      </w:r>
    </w:p>
    <w:p>
      <w:pPr>
        <w:ind w:firstLine="420"/>
        <w:jc w:val="both"/>
      </w:pPr>
      <w:r>
        <w:rPr>
          <w:sz w:val="21"/>
        </w:rPr>
        <w:t>3.5中标人未履行其投标文件中承诺的内容，且在采购人要求整改期限内未整改的</w:t>
      </w:r>
      <w:r>
        <w:rPr>
          <w:sz w:val="21"/>
        </w:rPr>
        <w:t>。</w:t>
      </w:r>
    </w:p>
    <w:p>
      <w:pPr>
        <w:ind w:firstLine="420"/>
        <w:jc w:val="both"/>
      </w:pPr>
      <w:r>
        <w:rPr>
          <w:sz w:val="21"/>
        </w:rPr>
        <w:t>3.6试用期内出现严重违约、重大管理失误等情况。</w:t>
      </w:r>
    </w:p>
    <w:p>
      <w:pPr>
        <w:ind w:firstLine="420"/>
        <w:jc w:val="both"/>
      </w:pPr>
      <w:r>
        <w:rPr>
          <w:sz w:val="21"/>
          <w:u w:val="single"/>
        </w:rPr>
        <w:t>【响应方式：投标文件承诺响应，应优先在</w:t>
      </w:r>
      <w:r>
        <w:rPr>
          <w:sz w:val="21"/>
          <w:u w:val="single"/>
        </w:rPr>
        <w:t>“投标文件附加格式《“★”条款响应表》”中填写并作出响应，填表视为已承诺，作为评审依据。】</w:t>
      </w:r>
    </w:p>
    <w:p>
      <w:pPr>
        <w:ind w:firstLine="421"/>
        <w:jc w:val="both"/>
      </w:pPr>
      <w:r>
        <w:rPr>
          <w:b/>
          <w:sz w:val="21"/>
        </w:rPr>
        <w:t>4.报价费用界定：</w:t>
      </w:r>
      <w:r>
        <w:rPr>
          <w:sz w:val="21"/>
        </w:rPr>
        <w:t>采购需求中如未特殊注明费用由采购人支付的，则默认由中标人支付。投标人需充分了解本项目需求后进行综合考虑，报出合理价格并承担相应风险。</w:t>
      </w:r>
    </w:p>
    <w:p>
      <w:pPr>
        <w:ind w:firstLine="421"/>
        <w:jc w:val="both"/>
      </w:pPr>
      <w:r>
        <w:rPr>
          <w:b/>
          <w:sz w:val="21"/>
        </w:rPr>
        <w:t>5.报价构成及风险说明：</w:t>
      </w:r>
      <w:r>
        <w:rPr>
          <w:sz w:val="21"/>
        </w:rPr>
        <w:t>投标人投标报价包括但不限于：进驻人员工资、加班费用、社会保险、各类补贴、福利费等人员成本费用，以及离职经济补偿费用、服装费、交通费、就餐费、通讯费等各项费用、税费、合理利润、风险费用及合同签订过程中可预见和不可预见费用等。</w:t>
      </w:r>
    </w:p>
    <w:p>
      <w:pPr>
        <w:ind w:firstLine="421"/>
        <w:jc w:val="both"/>
      </w:pPr>
      <w:r>
        <w:rPr>
          <w:b/>
          <w:sz w:val="21"/>
        </w:rPr>
        <w:t>6.服务团队归口管理：</w:t>
      </w:r>
      <w:r>
        <w:rPr>
          <w:sz w:val="21"/>
        </w:rPr>
        <w:t>采购人有权对中标人组建的中山市文化艺术中心物业管理机构进行业务归口管理。负责制定检查中标人工作的检查要求标准和奖罚标准。</w:t>
      </w:r>
    </w:p>
    <w:p>
      <w:pPr>
        <w:ind w:firstLine="421"/>
        <w:jc w:val="both"/>
      </w:pPr>
      <w:r>
        <w:rPr>
          <w:b/>
          <w:sz w:val="21"/>
        </w:rPr>
        <w:t>7.服务人员录用基本要求、服务人员录用采购人参与权与审批权：</w:t>
      </w:r>
    </w:p>
    <w:p>
      <w:pPr>
        <w:ind w:firstLine="421"/>
        <w:jc w:val="both"/>
      </w:pPr>
      <w:r>
        <w:rPr>
          <w:b/>
          <w:sz w:val="21"/>
        </w:rPr>
        <w:t>7.1服务人员基本要求：</w:t>
      </w:r>
      <w:r>
        <w:rPr>
          <w:sz w:val="21"/>
        </w:rPr>
        <w:t>遵纪守法，爱岗敬业，无犯罪记录，身体健康。</w:t>
      </w:r>
    </w:p>
    <w:p>
      <w:pPr>
        <w:ind w:firstLine="421"/>
        <w:jc w:val="both"/>
      </w:pPr>
      <w:r>
        <w:rPr>
          <w:b/>
          <w:sz w:val="21"/>
        </w:rPr>
        <w:t>7.2采购人的参与权、审核权、指挥权：</w:t>
      </w:r>
      <w:r>
        <w:rPr>
          <w:sz w:val="21"/>
        </w:rPr>
        <w:t>采购人对一些重要</w:t>
      </w:r>
      <w:r>
        <w:rPr>
          <w:sz w:val="21"/>
        </w:rPr>
        <w:t>或涉及安全岗位</w:t>
      </w:r>
      <w:r>
        <w:rPr>
          <w:sz w:val="21"/>
        </w:rPr>
        <w:t>的设置、人员录用与管理，一些重要的管理决策事项有直接参与权与审批权</w:t>
      </w:r>
      <w:r>
        <w:rPr>
          <w:sz w:val="21"/>
        </w:rPr>
        <w:t>。</w:t>
      </w:r>
      <w:r>
        <w:rPr>
          <w:sz w:val="21"/>
        </w:rPr>
        <w:t>每季度结束后</w:t>
      </w:r>
      <w:r>
        <w:rPr>
          <w:sz w:val="21"/>
        </w:rPr>
        <w:t>10日内，中标人需将当季各部门人员岗位情况以书面形式提交采购人。</w:t>
      </w:r>
      <w:r>
        <w:rPr>
          <w:sz w:val="21"/>
        </w:rPr>
        <w:t>采购人</w:t>
      </w:r>
      <w:r>
        <w:rPr>
          <w:sz w:val="21"/>
        </w:rPr>
        <w:t>有权在没有大幅增加总工作量时，</w:t>
      </w:r>
      <w:r>
        <w:rPr>
          <w:sz w:val="21"/>
        </w:rPr>
        <w:t>可</w:t>
      </w:r>
      <w:r>
        <w:rPr>
          <w:sz w:val="21"/>
        </w:rPr>
        <w:t>对岗位设置做出调整。</w:t>
      </w:r>
      <w:r>
        <w:rPr>
          <w:sz w:val="21"/>
        </w:rPr>
        <w:t>在处理特殊事件和紧急、突发事故时，采购人对中标人的人员有直接指挥权。</w:t>
      </w:r>
    </w:p>
    <w:p>
      <w:pPr>
        <w:ind w:firstLine="421"/>
        <w:jc w:val="both"/>
      </w:pPr>
      <w:r>
        <w:rPr>
          <w:b/>
          <w:sz w:val="21"/>
        </w:rPr>
        <w:t>7.3录用人员严格政审、培训及考核：</w:t>
      </w:r>
      <w:r>
        <w:rPr>
          <w:sz w:val="21"/>
        </w:rPr>
        <w:t>中标人对所有录用人员要严格审查，保证录用人员具有上岗的业务能力，没有治安处罚和刑事犯罪记录，且通过公安部门的政审（根据需要，配合公安部门的不定期政审），并将相关记录报采购人登记备案。采购人对物业员工招聘及培训的有参与权及审核权，并有权对所录用人员进行上岗前培训，未经采购人确认考核合格的员工不得上岗，对不符合要求的人员，采购人有权提出撤换要求。</w:t>
      </w:r>
      <w:r>
        <w:rPr>
          <w:sz w:val="21"/>
        </w:rPr>
        <w:t>中标人每月应对各部门员工进行业务培训及考核，并于每季度向采购人提交培训计划和考核结果。每年末前向采购人提交各部门下一年的培训计划。</w:t>
      </w:r>
      <w:r>
        <w:rPr>
          <w:sz w:val="21"/>
        </w:rPr>
        <w:t>中标人必须遵守采购人的各项规章制度，对管理能力低、服务质量差的工作人员，采购人有权责令中标人另行调配人员，中标人应于接到通知之日起</w:t>
      </w:r>
      <w:r>
        <w:rPr>
          <w:sz w:val="21"/>
        </w:rPr>
        <w:t>15日内，无条件为</w:t>
      </w:r>
      <w:r>
        <w:rPr>
          <w:sz w:val="21"/>
        </w:rPr>
        <w:t>采购人更换符合条件的工作人员。若出现违法违纪现象或管理不力，采购人有权直接要求中标人更换人员，中标人须在接到采购人要求之日起</w:t>
      </w:r>
      <w:r>
        <w:rPr>
          <w:sz w:val="21"/>
        </w:rPr>
        <w:t>3</w:t>
      </w:r>
      <w:r>
        <w:rPr>
          <w:sz w:val="21"/>
        </w:rPr>
        <w:t>天内进行人员更换，否则按缺员处理。</w:t>
      </w:r>
    </w:p>
    <w:p>
      <w:pPr>
        <w:ind w:firstLine="421"/>
        <w:jc w:val="both"/>
      </w:pPr>
      <w:r>
        <w:rPr>
          <w:b/>
          <w:sz w:val="21"/>
        </w:rPr>
        <w:t>★</w:t>
      </w:r>
      <w:r>
        <w:rPr>
          <w:b/>
          <w:sz w:val="21"/>
        </w:rPr>
        <w:t>7.4持证上岗要求：</w:t>
      </w:r>
      <w:r>
        <w:rPr>
          <w:sz w:val="21"/>
        </w:rPr>
        <w:t>中标人应</w:t>
      </w:r>
      <w:r>
        <w:rPr>
          <w:sz w:val="21"/>
        </w:rPr>
        <w:t>保证录</w:t>
      </w:r>
      <w:r>
        <w:rPr>
          <w:sz w:val="21"/>
        </w:rPr>
        <w:t>用人员具有上岗的业务能力，重要设备岗位按照国家规定持有上岗资格证。重点岗位人员需持国家规定的上岗证持证上岗，按照本需求书要求的岗位人员持证上岗率必须达到</w:t>
      </w:r>
      <w:r>
        <w:rPr>
          <w:sz w:val="21"/>
        </w:rPr>
        <w:t>100%。重要专业技术岗位3个月内（含3个月）未按法律法规要求配备足够人员或人员不具备上岗资格的，采购人有权在当月扣发物业管理费，每缺1人扣减当月1%物业管理费。重要专业技术岗位超3个月（不含3个月）未按法律法规要求配备足够人员或人员不具备上岗资格的，每缺1人扣减当月2%物业管理费。</w:t>
      </w:r>
      <w:r>
        <w:rPr>
          <w:sz w:val="21"/>
          <w:u w:val="single"/>
        </w:rPr>
        <w:t>【响应方式：投标文件承诺响应，应优先在</w:t>
      </w:r>
      <w:r>
        <w:rPr>
          <w:sz w:val="21"/>
          <w:u w:val="single"/>
        </w:rPr>
        <w:t>“投标文件附加格式《“★”条款响应表》”中填写并作出响应，填表视为已承诺，作为评审依据。】</w:t>
      </w:r>
    </w:p>
    <w:p>
      <w:pPr>
        <w:ind w:firstLine="421"/>
        <w:jc w:val="both"/>
      </w:pPr>
      <w:r>
        <w:rPr>
          <w:b/>
          <w:sz w:val="21"/>
        </w:rPr>
        <w:t>8.服务人员的劳动关系界定、工资福利、稳定性、人身安全管理及责任：</w:t>
      </w:r>
    </w:p>
    <w:p>
      <w:pPr>
        <w:ind w:firstLine="421"/>
        <w:jc w:val="both"/>
      </w:pPr>
      <w:r>
        <w:rPr>
          <w:b/>
          <w:sz w:val="21"/>
        </w:rPr>
        <w:t>8.1</w:t>
      </w:r>
      <w:r>
        <w:rPr>
          <w:b/>
          <w:sz w:val="21"/>
        </w:rPr>
        <w:t>服务人员劳动关系界定：</w:t>
      </w:r>
      <w:r>
        <w:rPr>
          <w:sz w:val="21"/>
        </w:rPr>
        <w:t>中标人对其所聘用的全体人员负责，必须与所雇用的全体人员签订劳动合同，采购人对中标人所雇用人员不承担任何责任。</w:t>
      </w:r>
      <w:r>
        <w:rPr>
          <w:sz w:val="21"/>
        </w:rPr>
        <w:t>中标人派驻的服务人员在本项目范围内发生违法、违规行为的，所造成一切后果及损失，由中标人承担责任和负责赔偿。</w:t>
      </w:r>
      <w:r>
        <w:rPr>
          <w:sz w:val="21"/>
        </w:rPr>
        <w:t>中标人与其聘用人员之间的一切权利、义务和纠纷由中标人自行负责，与采购人无关。</w:t>
      </w:r>
    </w:p>
    <w:p>
      <w:pPr>
        <w:ind w:firstLine="421"/>
        <w:jc w:val="both"/>
      </w:pPr>
      <w:r>
        <w:rPr>
          <w:b/>
          <w:sz w:val="21"/>
        </w:rPr>
        <w:t>8.2</w:t>
      </w:r>
      <w:r>
        <w:rPr>
          <w:b/>
          <w:sz w:val="21"/>
        </w:rPr>
        <w:t>服务人员工资福利要求：</w:t>
      </w:r>
      <w:r>
        <w:rPr>
          <w:sz w:val="21"/>
        </w:rPr>
        <w:t>工资福利标准必须符合中山市最新标准及采购人对各岗位所设定的要求，排岗用工必须符合《中华人民共和国劳动法》的有关要求，并按中山市用工标准签订合同。中标人应</w:t>
      </w:r>
      <w:r>
        <w:rPr>
          <w:sz w:val="21"/>
        </w:rPr>
        <w:t>办理合法用工手续、按时发放录用人员工资、福利，</w:t>
      </w:r>
      <w:r>
        <w:rPr>
          <w:sz w:val="21"/>
        </w:rPr>
        <w:t>并为</w:t>
      </w:r>
      <w:r>
        <w:rPr>
          <w:sz w:val="21"/>
        </w:rPr>
        <w:t>其聘用</w:t>
      </w:r>
      <w:r>
        <w:rPr>
          <w:sz w:val="21"/>
        </w:rPr>
        <w:t>人员购买养老、医疗、工伤、失业等国家法律规定的社会保险，并按国家法律法规规定发放工资福利。</w:t>
      </w:r>
      <w:r>
        <w:rPr>
          <w:sz w:val="21"/>
        </w:rPr>
        <w:t>如中标人存在拖欠工</w:t>
      </w:r>
      <w:r>
        <w:rPr>
          <w:sz w:val="21"/>
        </w:rPr>
        <w:t>资</w:t>
      </w:r>
      <w:r>
        <w:rPr>
          <w:sz w:val="21"/>
        </w:rPr>
        <w:t>情况，采购人下一个月度考核中扣减当月物业管理费</w:t>
      </w:r>
      <w:r>
        <w:rPr>
          <w:sz w:val="21"/>
        </w:rPr>
        <w:t>1%以示惩戒。</w:t>
      </w:r>
    </w:p>
    <w:p>
      <w:pPr>
        <w:ind w:firstLine="421"/>
        <w:jc w:val="both"/>
      </w:pPr>
      <w:r>
        <w:rPr>
          <w:b/>
          <w:sz w:val="21"/>
        </w:rPr>
        <w:t>8.3服务人员稳定性要求：</w:t>
      </w:r>
      <w:r>
        <w:rPr>
          <w:sz w:val="21"/>
        </w:rPr>
        <w:t>中标人全体物业人员队伍应保持相对稳定，中标人派驻采购人场馆开展物业管理服务的主管及以上的管理层工作人员或贵宾接待等重要岗位人员，要求保持稳定，无合理理由，不得随时或随意更换。物业管理期限内本需求内所述的每一个重要岗位不能超出</w:t>
      </w:r>
      <w:r>
        <w:rPr>
          <w:sz w:val="21"/>
        </w:rPr>
        <w:t>1次的人员更换。若违反此条规定时，采购人将在该年度最后一次支付物业管理费用时扣减每年物业管理总费用的1%。</w:t>
      </w:r>
      <w:r>
        <w:rPr>
          <w:sz w:val="21"/>
        </w:rPr>
        <w:t>为确保物业管理服务质量稳定，未经采购人同意，中标人不得采取兼职方式或短期雇佣合同（少于</w:t>
      </w:r>
      <w:r>
        <w:rPr>
          <w:sz w:val="21"/>
        </w:rPr>
        <w:t>6个月）的方式雇佣工作人员。除人员正常离职外，中标人应保证岗位人员任职时间不低少于6个月。如中标人违反此项，采购人有权在每月考评按照发现的人数扣减相应考核分数。</w:t>
      </w:r>
    </w:p>
    <w:p>
      <w:pPr>
        <w:ind w:firstLine="421"/>
        <w:jc w:val="both"/>
      </w:pPr>
      <w:r>
        <w:rPr>
          <w:b/>
          <w:sz w:val="21"/>
        </w:rPr>
        <w:t>8.4购买保险要求：</w:t>
      </w:r>
      <w:r>
        <w:rPr>
          <w:sz w:val="21"/>
        </w:rPr>
        <w:t>中标人需给服务人员购买意外保险、第三者责任险，为在物业服务过程中产生的意外提供一定的保障。</w:t>
      </w:r>
    </w:p>
    <w:p>
      <w:pPr>
        <w:ind w:firstLine="421"/>
        <w:jc w:val="both"/>
      </w:pPr>
      <w:r>
        <w:rPr>
          <w:b/>
          <w:sz w:val="21"/>
        </w:rPr>
        <w:t>9.应急预案及安全管理：</w:t>
      </w:r>
    </w:p>
    <w:p>
      <w:pPr>
        <w:ind w:firstLine="421"/>
        <w:jc w:val="both"/>
      </w:pPr>
      <w:r>
        <w:rPr>
          <w:b/>
          <w:sz w:val="21"/>
        </w:rPr>
        <w:t>9.1安全生产方针：</w:t>
      </w:r>
      <w:r>
        <w:rPr>
          <w:sz w:val="21"/>
        </w:rPr>
        <w:t>中标人须认真落实</w:t>
      </w:r>
      <w:r>
        <w:rPr>
          <w:sz w:val="21"/>
        </w:rPr>
        <w:t>“安全第一、预防为主”的安全生产方针。</w:t>
      </w:r>
    </w:p>
    <w:p>
      <w:pPr>
        <w:ind w:firstLine="421"/>
        <w:jc w:val="both"/>
      </w:pPr>
      <w:r>
        <w:rPr>
          <w:b/>
          <w:sz w:val="21"/>
        </w:rPr>
        <w:t>9.2应急预案及演练：</w:t>
      </w:r>
      <w:r>
        <w:rPr>
          <w:sz w:val="21"/>
        </w:rPr>
        <w:t>中标人制定的各项安全应急预案，每年进行突发事件应急演练不少于</w:t>
      </w:r>
      <w:r>
        <w:rPr>
          <w:sz w:val="21"/>
        </w:rPr>
        <w:t>2次（含2次），确保应急预案可顺利实施，以减少相关的损失和消除安全隐患。重大活动期间制定重大活动安全预案及防控措施，确保重大活动安全进行。</w:t>
      </w:r>
    </w:p>
    <w:p>
      <w:pPr>
        <w:ind w:firstLine="421"/>
        <w:jc w:val="both"/>
      </w:pPr>
      <w:r>
        <w:rPr>
          <w:b/>
          <w:sz w:val="21"/>
        </w:rPr>
        <w:t>9.3消防安全管理人：</w:t>
      </w:r>
      <w:r>
        <w:rPr>
          <w:sz w:val="21"/>
        </w:rPr>
        <w:t>中标人项目经理担任采购人物业管理范围内的消防安全管理人，物业管理范围内的消防安全管理工作由中标人负责，要求每周联合中标人的各部门负责人进行一次消防例检，每月牵头组织建筑物内的各单位负责人进行一次消防安全大检查，并编制消防安全检查报告提交采购人。另外对检查中发现的消防安全隐患问题，需在</w:t>
      </w:r>
      <w:r>
        <w:rPr>
          <w:sz w:val="21"/>
        </w:rPr>
        <w:t>3天内以书面形式向相关单位反映及要求其限期整改，并全程跟踪整改结果以书面形式向采购人汇报。按照有关法律法规要求，每日做好消防巡查信息的汇总上报。</w:t>
      </w:r>
    </w:p>
    <w:p>
      <w:pPr>
        <w:ind w:firstLine="421"/>
        <w:jc w:val="both"/>
      </w:pPr>
      <w:r>
        <w:rPr>
          <w:b/>
          <w:sz w:val="21"/>
        </w:rPr>
        <w:t>★</w:t>
      </w:r>
      <w:r>
        <w:rPr>
          <w:b/>
          <w:sz w:val="21"/>
        </w:rPr>
        <w:t>9.4中标人必须确保消防设施完好率100%，管理区域内无火灾事故发生。</w:t>
      </w:r>
      <w:r>
        <w:rPr>
          <w:sz w:val="21"/>
          <w:u w:val="single"/>
        </w:rPr>
        <w:t>【响应方式：投标文件承诺响应，应优先在</w:t>
      </w:r>
      <w:r>
        <w:rPr>
          <w:sz w:val="21"/>
          <w:u w:val="single"/>
        </w:rPr>
        <w:t>“投标文件附加格式《“★”条款响应表》”中填写并作出响应，填表视为已承诺，作为评审依据。】</w:t>
      </w:r>
    </w:p>
    <w:p>
      <w:pPr>
        <w:ind w:firstLine="421"/>
        <w:jc w:val="both"/>
      </w:pPr>
      <w:r>
        <w:rPr>
          <w:b/>
          <w:sz w:val="21"/>
        </w:rPr>
        <w:t>9.5服务人员人身安全管理及责任：</w:t>
      </w:r>
      <w:r>
        <w:rPr>
          <w:sz w:val="21"/>
        </w:rPr>
        <w:t>严格执行劳动保护和安全生产的法律、法规等文件要求，强化安全生产管理，落实安全生产责任制。在服务期内，中标人要对从业人员进行安全培训，做好安全保护。不论中标人的员工在上下班途中、工作场地、或其他地方出现安全事故，均由中标人负责，采购人概不负责；若给采购人造成损失的，应赔偿采购人遭受的一切损失（包括但不限于第三方索赔、律师费、诉讼费等）。服务期间，中标人应建立科学的管理制度，建立防火和生产安全防护措施，遵守和执行防火、安全生产、文明施工等规定，服务期内一切由中标人引致的损失和安全生产责任（如财产损失、人员伤亡等），由中标人依法承担相应责任，</w:t>
      </w:r>
      <w:r>
        <w:rPr>
          <w:sz w:val="21"/>
        </w:rPr>
        <w:t>与采购人无关。</w:t>
      </w:r>
      <w:r>
        <w:rPr>
          <w:sz w:val="21"/>
        </w:rPr>
        <w:t>若给采购人造成损失的，应赔偿采购人遭受的一切损失（包括但不限于第三方索赔、律师费、诉讼费等）。</w:t>
      </w:r>
    </w:p>
    <w:p>
      <w:pPr>
        <w:ind w:firstLine="421"/>
        <w:jc w:val="both"/>
      </w:pPr>
      <w:r>
        <w:rPr>
          <w:b/>
          <w:sz w:val="21"/>
        </w:rPr>
        <w:t>10.服务人员仪容仪表要求：</w:t>
      </w:r>
      <w:r>
        <w:rPr>
          <w:sz w:val="21"/>
        </w:rPr>
        <w:t>中标人各类管理、服务人员按岗位要求统一着装，</w:t>
      </w:r>
      <w:r>
        <w:rPr>
          <w:sz w:val="21"/>
        </w:rPr>
        <w:t>佩戴工牌，</w:t>
      </w:r>
      <w:r>
        <w:rPr>
          <w:sz w:val="21"/>
        </w:rPr>
        <w:t>言行规范，要注意仪容仪表、公众形象，对一些公众岗位录用人员体形、身高要有规定。</w:t>
      </w:r>
    </w:p>
    <w:p>
      <w:pPr>
        <w:ind w:firstLine="421"/>
        <w:jc w:val="both"/>
      </w:pPr>
      <w:r>
        <w:rPr>
          <w:b/>
          <w:sz w:val="21"/>
        </w:rPr>
        <w:t>11.严格落实上下班制度：</w:t>
      </w:r>
      <w:r>
        <w:rPr>
          <w:sz w:val="21"/>
        </w:rPr>
        <w:t>全体物业服务人员必须严格遵守上下班制度，不得迟到、早退、缺勤，在岗服务人员不得串岗、聊天或做私人工作。</w:t>
      </w:r>
      <w:r>
        <w:rPr>
          <w:sz w:val="21"/>
        </w:rPr>
        <w:t>中标人的项目经理、副经理、各部门及重要岗位负责人每天于采购人场地内驻场，并专职负责本中心的各项管理工作，不允许本条款上所述岗位人员同时负责其它物业管理项目的情况出现。若违反此条规定时，采购人将按中标人投标文件所确定的工资标准在当月度支付物业管理费用时扣减当月相关人员的工资额度。</w:t>
      </w:r>
    </w:p>
    <w:p>
      <w:pPr>
        <w:ind w:firstLine="421"/>
        <w:jc w:val="both"/>
      </w:pPr>
      <w:r>
        <w:rPr>
          <w:b/>
          <w:sz w:val="21"/>
        </w:rPr>
        <w:t>12.</w:t>
      </w:r>
      <w:r>
        <w:rPr>
          <w:b/>
          <w:sz w:val="21"/>
        </w:rPr>
        <w:t>设备设施损坏处理方案：</w:t>
      </w:r>
    </w:p>
    <w:p>
      <w:pPr>
        <w:ind w:firstLine="420"/>
        <w:jc w:val="both"/>
      </w:pPr>
      <w:r>
        <w:rPr>
          <w:sz w:val="21"/>
        </w:rPr>
        <w:t>12.1</w:t>
      </w:r>
      <w:r>
        <w:rPr>
          <w:sz w:val="21"/>
        </w:rPr>
        <w:t>采购人交由中标人管理的建筑物、设备、设施、场地、物品、绿化等，因中标人管理不善导致损坏、遗失的，中标人须及时向采购人报告，由中标人负责修缮恢复原样或承担赔偿责任。如由中标人负责修缮恢复原样的，修缮恢复方案必须经采购人审核批准后，方可实施。</w:t>
      </w:r>
    </w:p>
    <w:p>
      <w:pPr>
        <w:ind w:firstLine="420"/>
        <w:jc w:val="both"/>
      </w:pPr>
      <w:r>
        <w:rPr>
          <w:sz w:val="21"/>
        </w:rPr>
        <w:t>12</w:t>
      </w:r>
      <w:r>
        <w:rPr>
          <w:sz w:val="21"/>
        </w:rPr>
        <w:t>.2第三方损坏采购人建筑物、设备、设施、场地、物品、绿化等，由中标人负责与第三方进行沟通处理，中标人可根据损坏程度向采购人提出维修方案、报价，经采购人批准后，由中标人收取第三方维修金，待完成更换或修复原貌工作后，根据少补多退原则处理维修金。中标人必须及时将相关资料（维修方案、购买材料清单等）交采购人审核，并妥善保管相关文件、字据等。</w:t>
      </w:r>
    </w:p>
    <w:p>
      <w:pPr>
        <w:ind w:firstLine="420"/>
        <w:jc w:val="both"/>
      </w:pPr>
      <w:r>
        <w:rPr>
          <w:sz w:val="21"/>
        </w:rPr>
        <w:t>12.3建筑物、设备、设施、场地、物品、绿化（包括但不限于采购人原有或新增的设备、设施、物品、绿化等）等出现故障、损坏、遗失情况的，中标人应及时上报采购人并在3天内修复。举办活动期发生设备设施故障时维修人员到达现场时间不得超过15分钟。如因特殊情况中标人不能完成维修工作的，应及时上报采购人并得到采购人认可方为有效。否则，采购人有权在每月的物业管理费扣减因外请维修公司或人员进行修复所产生的费用。</w:t>
      </w:r>
    </w:p>
    <w:p>
      <w:pPr>
        <w:ind w:firstLine="420"/>
        <w:jc w:val="both"/>
      </w:pPr>
      <w:r>
        <w:rPr>
          <w:sz w:val="21"/>
        </w:rPr>
        <w:t>12.4中标人故意破坏采购人设备设施的，除追究其法律责任外，中标人负责赔偿采购人因恢复设备设施正常运行所支付的所有费用及由此造成的全部经济损失。</w:t>
      </w:r>
    </w:p>
    <w:p>
      <w:pPr>
        <w:ind w:firstLine="421"/>
        <w:jc w:val="both"/>
      </w:pPr>
      <w:r>
        <w:rPr>
          <w:b/>
          <w:sz w:val="21"/>
        </w:rPr>
        <w:t>13.制定规则制度及合理化建议：</w:t>
      </w:r>
      <w:r>
        <w:rPr>
          <w:sz w:val="21"/>
        </w:rPr>
        <w:t>中标人负责制定本项目的物业服务方案，建立各项规章制度。中标人应根据采购人场地实际，制定出各管理项目的管理方案、应急预案、维护保养计划、管理制度、培训制度、考核制度等，并经采购人审核后方可实施。</w:t>
      </w:r>
      <w:r>
        <w:rPr>
          <w:sz w:val="21"/>
        </w:rPr>
        <w:t>中标人在做好工作</w:t>
      </w:r>
      <w:r>
        <w:rPr>
          <w:sz w:val="21"/>
        </w:rPr>
        <w:t>的同时，有责任和义务向采购人提供合理化建议，以提高管理效率和管理质量。</w:t>
      </w:r>
    </w:p>
    <w:p>
      <w:pPr>
        <w:ind w:firstLine="421"/>
        <w:jc w:val="both"/>
      </w:pPr>
      <w:r>
        <w:rPr>
          <w:b/>
          <w:sz w:val="21"/>
        </w:rPr>
        <w:t>14.前服务员工优先原则：</w:t>
      </w:r>
      <w:r>
        <w:rPr>
          <w:sz w:val="21"/>
        </w:rPr>
        <w:t>在同等条件下，采购人有权要求中标人依法留用采购人认可的前物业管理公司管理人员</w:t>
      </w:r>
      <w:r>
        <w:rPr>
          <w:sz w:val="21"/>
        </w:rPr>
        <w:t>和</w:t>
      </w:r>
      <w:r>
        <w:rPr>
          <w:sz w:val="21"/>
        </w:rPr>
        <w:t>员工。</w:t>
      </w:r>
    </w:p>
    <w:p>
      <w:pPr>
        <w:ind w:firstLine="421"/>
        <w:jc w:val="both"/>
      </w:pPr>
      <w:r>
        <w:rPr>
          <w:b/>
          <w:sz w:val="21"/>
        </w:rPr>
        <w:t>★</w:t>
      </w:r>
      <w:r>
        <w:rPr>
          <w:b/>
          <w:sz w:val="21"/>
        </w:rPr>
        <w:t>15.重视采购人的要求及意见：</w:t>
      </w:r>
      <w:r>
        <w:rPr>
          <w:sz w:val="21"/>
        </w:rPr>
        <w:t>采购人对中标人口头或书面提出关于本物业管理范围内的合理要求或意见，中标人必须认真按时间要求进行落实和改进。对于需要到达现场协商解决的问题，中标人主要负责人在采购人提出要现场协商解决要求后</w:t>
      </w:r>
      <w:r>
        <w:rPr>
          <w:sz w:val="21"/>
        </w:rPr>
        <w:t>30分钟内到达现场协商解决（因不可抗力或其他合理原因经采购人同意可以延迟到达现场）。如有异议，应口头或书面形式向采购人提出；若不理会或以逃避态度面对采购人提出的要求和意见，则视为违约，采购人将采取书面方式提醒中标人，如中标人仍不进行整改，采购人有权扣除当月每月物业管理费总额的1%，以示惩戒。</w:t>
      </w:r>
      <w:r>
        <w:rPr>
          <w:sz w:val="21"/>
          <w:u w:val="single"/>
        </w:rPr>
        <w:t>【响应方式：投标文件承诺响应，应优先在</w:t>
      </w:r>
      <w:r>
        <w:rPr>
          <w:sz w:val="21"/>
          <w:u w:val="single"/>
        </w:rPr>
        <w:t>“投标文件附加格式《“★”条款响应表》”中填写并作出响应，填表视为已承诺，作为评审依据。】</w:t>
      </w:r>
    </w:p>
    <w:p>
      <w:pPr>
        <w:ind w:firstLine="421"/>
        <w:jc w:val="both"/>
      </w:pPr>
      <w:r>
        <w:rPr>
          <w:b/>
          <w:sz w:val="21"/>
        </w:rPr>
        <w:t>16.一般易耗品、消耗品的相关要求：</w:t>
      </w:r>
    </w:p>
    <w:p>
      <w:pPr>
        <w:ind w:firstLine="421"/>
        <w:jc w:val="both"/>
      </w:pPr>
      <w:r>
        <w:rPr>
          <w:b/>
          <w:sz w:val="21"/>
        </w:rPr>
        <w:t>16.1消耗性物品定义：</w:t>
      </w:r>
      <w:r>
        <w:rPr>
          <w:sz w:val="21"/>
        </w:rPr>
        <w:t>指不作为固定资产核算的各种用具物资，从其价值标准来看，指单位价值在</w:t>
      </w:r>
      <w:r>
        <w:rPr>
          <w:sz w:val="21"/>
        </w:rPr>
        <w:t>2000元（不含2000元）以下，不能作为固定资产的物资。</w:t>
      </w:r>
    </w:p>
    <w:p>
      <w:pPr>
        <w:ind w:firstLine="421"/>
        <w:jc w:val="both"/>
      </w:pPr>
      <w:r>
        <w:rPr>
          <w:b/>
          <w:sz w:val="21"/>
        </w:rPr>
        <w:t>16.2消耗性物品费用：</w:t>
      </w:r>
      <w:r>
        <w:rPr>
          <w:sz w:val="21"/>
        </w:rPr>
        <w:t>采购人支付的物业管理费用中已经包含购买消耗性物品的款项，采购人有权根据实际需求要求中标人购置或补充各类消耗性物品，中标人不得以各种借口拒绝购置。中标人所采购的消耗性物品应优先考虑节能环保型产品，必要时采购人有权要求中标人出具相关环保指标或检测报告。</w:t>
      </w:r>
    </w:p>
    <w:p>
      <w:pPr>
        <w:ind w:firstLine="421"/>
        <w:jc w:val="both"/>
      </w:pPr>
      <w:r>
        <w:rPr>
          <w:b/>
          <w:sz w:val="21"/>
        </w:rPr>
        <w:t>16.3消耗性物品包括但不限于以下这些物品：</w:t>
      </w:r>
    </w:p>
    <w:p>
      <w:pPr>
        <w:ind w:firstLine="421"/>
        <w:jc w:val="both"/>
      </w:pPr>
      <w:r>
        <w:rPr>
          <w:b/>
          <w:sz w:val="21"/>
          <w:u w:val="single"/>
        </w:rPr>
        <w:t>16.3.1保洁服务：</w:t>
      </w:r>
    </w:p>
    <w:p>
      <w:pPr>
        <w:ind w:firstLine="420"/>
        <w:jc w:val="both"/>
      </w:pPr>
      <w:r>
        <w:rPr>
          <w:sz w:val="21"/>
        </w:rPr>
        <w:t>16.3.1.1保洁卫生用劳保用品；</w:t>
      </w:r>
    </w:p>
    <w:p>
      <w:pPr>
        <w:ind w:firstLine="420"/>
        <w:jc w:val="both"/>
      </w:pPr>
      <w:r>
        <w:rPr>
          <w:sz w:val="21"/>
        </w:rPr>
        <w:t>16.3.1.2清洁用具及清洁用品（含特殊清洁用品）、消毒用品；</w:t>
      </w:r>
    </w:p>
    <w:p>
      <w:pPr>
        <w:ind w:firstLine="420"/>
        <w:jc w:val="both"/>
      </w:pPr>
      <w:r>
        <w:rPr>
          <w:sz w:val="21"/>
        </w:rPr>
        <w:t>16.3.1.3洗手间（含公共洗手间）的洗手液、卫生用纸、擦手纸、纸盒、垃圾桶等等。</w:t>
      </w:r>
    </w:p>
    <w:p>
      <w:pPr>
        <w:ind w:firstLine="421"/>
        <w:jc w:val="both"/>
      </w:pPr>
      <w:r>
        <w:rPr>
          <w:b/>
          <w:sz w:val="21"/>
          <w:u w:val="single"/>
        </w:rPr>
        <w:t>16.3.2剧场服务：</w:t>
      </w:r>
    </w:p>
    <w:p>
      <w:pPr>
        <w:ind w:firstLine="420"/>
        <w:jc w:val="both"/>
      </w:pPr>
      <w:r>
        <w:rPr>
          <w:sz w:val="21"/>
        </w:rPr>
        <w:t>16.3.2.1剧场服务用劳保用品；</w:t>
      </w:r>
    </w:p>
    <w:p>
      <w:pPr>
        <w:ind w:firstLine="420"/>
        <w:jc w:val="both"/>
      </w:pPr>
      <w:r>
        <w:rPr>
          <w:sz w:val="21"/>
        </w:rPr>
        <w:t>16.3.2.2贵宾接待饮用纸杯、贵宾厅用盒装纸；</w:t>
      </w:r>
    </w:p>
    <w:p>
      <w:pPr>
        <w:ind w:firstLine="420"/>
        <w:jc w:val="both"/>
      </w:pPr>
      <w:r>
        <w:rPr>
          <w:sz w:val="21"/>
        </w:rPr>
        <w:t>16.3.2.3演员化妆间纸杯、盒装纸；</w:t>
      </w:r>
    </w:p>
    <w:p>
      <w:pPr>
        <w:ind w:firstLine="420"/>
        <w:jc w:val="both"/>
      </w:pPr>
      <w:r>
        <w:rPr>
          <w:sz w:val="21"/>
        </w:rPr>
        <w:t>16.3.2.4会议室、接待室盒装纸；</w:t>
      </w:r>
    </w:p>
    <w:p>
      <w:pPr>
        <w:ind w:firstLine="420"/>
        <w:jc w:val="both"/>
      </w:pPr>
      <w:r>
        <w:rPr>
          <w:sz w:val="21"/>
        </w:rPr>
        <w:t>16.3.2.5观众入场统计器、剧场指引工具、急救药箱及药品、针线包、剧场夜明灯、雨伞、售票厅办公物品等等。</w:t>
      </w:r>
    </w:p>
    <w:p>
      <w:pPr>
        <w:ind w:firstLine="420"/>
        <w:jc w:val="both"/>
      </w:pPr>
      <w:r>
        <w:rPr>
          <w:sz w:val="21"/>
        </w:rPr>
        <w:t>16.3.2.6 消毒液、洗手液、口罩、测温机等防疫用品。</w:t>
      </w:r>
    </w:p>
    <w:p>
      <w:pPr>
        <w:ind w:firstLine="421"/>
        <w:jc w:val="both"/>
      </w:pPr>
      <w:r>
        <w:rPr>
          <w:b/>
          <w:sz w:val="21"/>
          <w:u w:val="single"/>
        </w:rPr>
        <w:t>16.3.3水电维修服务：</w:t>
      </w:r>
    </w:p>
    <w:p>
      <w:pPr>
        <w:ind w:firstLine="420"/>
        <w:jc w:val="both"/>
      </w:pPr>
      <w:r>
        <w:rPr>
          <w:sz w:val="21"/>
        </w:rPr>
        <w:t>16.3.3.1工程维修用劳保用品；</w:t>
      </w:r>
    </w:p>
    <w:p>
      <w:pPr>
        <w:ind w:firstLine="420"/>
        <w:jc w:val="both"/>
      </w:pPr>
      <w:r>
        <w:rPr>
          <w:sz w:val="21"/>
        </w:rPr>
        <w:t>16.3.3.2维修保养用品、工具用具、清洁保养剂及维修保养过程中消耗的燃料、材料（包括但不限于维修零配件）等等。</w:t>
      </w:r>
    </w:p>
    <w:p>
      <w:pPr>
        <w:ind w:firstLine="420"/>
        <w:jc w:val="both"/>
      </w:pPr>
      <w:r>
        <w:rPr>
          <w:sz w:val="21"/>
        </w:rPr>
        <w:t>16.3.</w:t>
      </w:r>
      <w:r>
        <w:rPr>
          <w:sz w:val="21"/>
        </w:rPr>
        <w:t>3</w:t>
      </w:r>
      <w:r>
        <w:rPr>
          <w:sz w:val="21"/>
        </w:rPr>
        <w:t>.3智能化系统维修保养用品、工具用具、及清洁用品、设备备件等。</w:t>
      </w:r>
    </w:p>
    <w:p>
      <w:pPr>
        <w:ind w:firstLine="421"/>
        <w:jc w:val="both"/>
      </w:pPr>
      <w:r>
        <w:rPr>
          <w:b/>
          <w:sz w:val="21"/>
          <w:u w:val="single"/>
        </w:rPr>
        <w:t>16.3.4保安服务：</w:t>
      </w:r>
    </w:p>
    <w:p>
      <w:pPr>
        <w:ind w:firstLine="420"/>
        <w:jc w:val="both"/>
      </w:pPr>
      <w:r>
        <w:rPr>
          <w:sz w:val="21"/>
        </w:rPr>
        <w:t>16.3.4.1安全保卫用劳保用品、巡更系统设备；</w:t>
      </w:r>
    </w:p>
    <w:p>
      <w:pPr>
        <w:ind w:firstLine="420"/>
        <w:jc w:val="both"/>
      </w:pPr>
      <w:r>
        <w:rPr>
          <w:sz w:val="21"/>
        </w:rPr>
        <w:t>16.3.4.2停车场管理车锁、剧场管理门锁、雪糕筒、警示带、遮阳伞、各类活动车辆指引标识牌、岗位办公用品及消防设施封条；</w:t>
      </w:r>
    </w:p>
    <w:p>
      <w:pPr>
        <w:ind w:firstLine="421"/>
        <w:jc w:val="both"/>
      </w:pPr>
      <w:r>
        <w:rPr>
          <w:b/>
          <w:sz w:val="21"/>
          <w:u w:val="single"/>
        </w:rPr>
        <w:t>16.3.5绿化服务：</w:t>
      </w:r>
    </w:p>
    <w:p>
      <w:pPr>
        <w:ind w:firstLine="420"/>
        <w:jc w:val="both"/>
      </w:pPr>
      <w:r>
        <w:rPr>
          <w:sz w:val="21"/>
        </w:rPr>
        <w:t>16.3.5.1绿化护理用工具、器具、农药化肥、花盘及底碟、养护用品、绿化植物及养护过程中消耗的燃料等等。</w:t>
      </w:r>
    </w:p>
    <w:p>
      <w:pPr>
        <w:ind w:firstLine="420"/>
        <w:jc w:val="both"/>
      </w:pPr>
      <w:r>
        <w:rPr>
          <w:sz w:val="21"/>
        </w:rPr>
        <w:t>16.3.5.2防台风、暴雨的用品，包括木支撑、沙包及绳等。</w:t>
      </w:r>
    </w:p>
    <w:p>
      <w:pPr>
        <w:ind w:firstLine="420"/>
        <w:jc w:val="both"/>
      </w:pPr>
      <w:r>
        <w:rPr>
          <w:sz w:val="21"/>
        </w:rPr>
        <w:t>16.4对消耗性物品支付产生分歧的，由采购人购买，产生的费用将由中标人支付。若中标人拒绝支付消耗性物品费用，采购人有权在支付中标人物业管理费中扣减相应消耗性物品费用，并在物业管理月度考评中扣减相应分数。</w:t>
      </w:r>
    </w:p>
    <w:p>
      <w:pPr>
        <w:ind w:firstLine="421"/>
        <w:jc w:val="both"/>
      </w:pPr>
      <w:r>
        <w:rPr>
          <w:b/>
          <w:sz w:val="21"/>
        </w:rPr>
        <w:t>17.保密规定：</w:t>
      </w:r>
      <w:r>
        <w:rPr>
          <w:sz w:val="21"/>
        </w:rPr>
        <w:t>投标人应当对涉及采购人的信息严格保密，未经采购人许可，不得将信息泄露给第三方。否则，采购人保留追究投标人法律责任的权利。</w:t>
      </w:r>
    </w:p>
    <w:p>
      <w:pPr>
        <w:ind w:firstLine="421"/>
        <w:jc w:val="both"/>
      </w:pPr>
      <w:r>
        <w:rPr>
          <w:b/>
          <w:sz w:val="21"/>
        </w:rPr>
        <w:t>18.工作效率优化提升：</w:t>
      </w:r>
    </w:p>
    <w:p>
      <w:pPr>
        <w:ind w:firstLine="421"/>
        <w:jc w:val="both"/>
      </w:pPr>
      <w:r>
        <w:rPr>
          <w:b/>
          <w:sz w:val="21"/>
        </w:rPr>
        <w:t>18.1信息化技术手段：</w:t>
      </w:r>
      <w:r>
        <w:rPr>
          <w:sz w:val="21"/>
        </w:rPr>
        <w:t>投标人尽可能地利用信息化技术手段提供服务效率，提升服务品质，投标人需阐述拟投入的信息化技术使用的总体设计，或是与之相关的软件开发的体系架构、功能模块、实现思路和关键技术路线等，提供针对本项目的物业管理信息化技术应用方案，并在中标后投入使用。</w:t>
      </w:r>
    </w:p>
    <w:p>
      <w:pPr>
        <w:ind w:firstLine="421"/>
        <w:jc w:val="both"/>
      </w:pPr>
      <w:r>
        <w:rPr>
          <w:b/>
          <w:sz w:val="21"/>
        </w:rPr>
        <w:t>18.2机械设备辅助手段：</w:t>
      </w:r>
      <w:r>
        <w:rPr>
          <w:sz w:val="21"/>
        </w:rPr>
        <w:t>积极研究最新物业相关机械设备，积极购入或租赁先进机械设备投入本物业服务项目中，提升物业服务工作效率</w:t>
      </w:r>
      <w:r>
        <w:rPr>
          <w:sz w:val="21"/>
        </w:rPr>
        <w:t>。</w:t>
      </w:r>
    </w:p>
    <w:p>
      <w:pPr>
        <w:ind w:firstLine="421"/>
        <w:jc w:val="both"/>
      </w:pPr>
      <w:r>
        <w:rPr>
          <w:b/>
          <w:sz w:val="21"/>
        </w:rPr>
        <w:t>19.</w:t>
      </w:r>
      <w:r>
        <w:rPr>
          <w:b/>
          <w:sz w:val="21"/>
        </w:rPr>
        <w:t>节能管理：</w:t>
      </w:r>
      <w:r>
        <w:rPr>
          <w:sz w:val="21"/>
        </w:rPr>
        <w:t>根据采购人的节约能源（资源）相关要求（创建节约型单位）开展相关服务工作。并按照相关节能强度目标实施相关巡查、抄表、统计、报告等服务管理工作。节约空调用电，节约照明用电，节约办公设备用电，养成节约用水的良好习惯，提倡循环用水，持续加强节能宣传和操作培训活动。</w:t>
      </w:r>
    </w:p>
    <w:p>
      <w:pPr>
        <w:ind w:firstLine="421"/>
        <w:jc w:val="both"/>
      </w:pPr>
      <w:r>
        <w:rPr>
          <w:b/>
          <w:sz w:val="21"/>
        </w:rPr>
        <w:t>20.信息网络安全管理：</w:t>
      </w:r>
      <w:r>
        <w:rPr>
          <w:sz w:val="21"/>
        </w:rPr>
        <w:t>中标人应建立信息安全管理制度，做好信息安全管理工作，制定信息安全工作手册，明确物业服务工作过程中（含监督第三方单位）使用、操作采购人信息系统、内部网络、调取保存采购人信息系统数据或中标人开展物业服务使用自身信息化系统保存采购人相关数据等环节的责任和工作流程，确保采购人单位信息网络安全。</w:t>
      </w:r>
    </w:p>
    <w:p>
      <w:pPr>
        <w:ind w:firstLine="421"/>
        <w:jc w:val="both"/>
      </w:pPr>
      <w:r>
        <w:rPr>
          <w:b/>
          <w:sz w:val="21"/>
        </w:rPr>
        <w:t>21.禁止违法转包：</w:t>
      </w:r>
      <w:r>
        <w:rPr>
          <w:sz w:val="21"/>
        </w:rPr>
        <w:t>不得将本项目违法转包。需要将非主要内容分包的应征得采购人同意。</w:t>
      </w:r>
      <w:r>
        <w:rPr>
          <w:sz w:val="21"/>
        </w:rPr>
        <w:t>本项目费用中标价为合同最终价格，物业管理费中包括但不限于中标人在本合同管辖范围内所需配备的各项设备及物品物料、固定岗位人员工资社保福利，演出活动补充人员岗位费用、建筑物及设备设施维修保养费用、办公及业务费用、绿化养护费用、清洁卫生费用、税金及附加费等，管理服务期内不因中标人原因进行调整，中标人盈亏自负。</w:t>
      </w:r>
    </w:p>
    <w:p>
      <w:pPr>
        <w:ind w:firstLine="421"/>
        <w:jc w:val="both"/>
      </w:pPr>
      <w:r>
        <w:rPr>
          <w:b/>
          <w:sz w:val="21"/>
        </w:rPr>
        <w:t>22.做好交接工作：</w:t>
      </w:r>
      <w:r>
        <w:rPr>
          <w:sz w:val="21"/>
        </w:rPr>
        <w:t>合同服务期限到期或服务结束后，中标人应配合做好相关交接工作。</w:t>
      </w:r>
    </w:p>
    <w:p>
      <w:pPr>
        <w:ind w:firstLine="421"/>
        <w:jc w:val="both"/>
      </w:pPr>
      <w:r>
        <w:rPr>
          <w:b/>
          <w:sz w:val="21"/>
        </w:rPr>
        <w:t>23.积极接受考核：</w:t>
      </w:r>
      <w:r>
        <w:rPr>
          <w:sz w:val="21"/>
        </w:rPr>
        <w:t>中标人每月应对各部门员工进行业务培训及考核，并于每季度向采购人提交培训计划和考核结果。每年末前向采购人提交各部门下一年的培训计划。</w:t>
      </w:r>
      <w:r>
        <w:rPr>
          <w:sz w:val="21"/>
        </w:rPr>
        <w:t>中标人服务质量严格按本用户需求书要求执行，如出现不达标项目，采购人将按考评准则中所列的考评标准进行扣罚。</w:t>
      </w:r>
    </w:p>
    <w:p>
      <w:pPr>
        <w:ind w:firstLine="421"/>
        <w:jc w:val="both"/>
      </w:pPr>
      <w:r>
        <w:rPr>
          <w:b/>
          <w:sz w:val="21"/>
        </w:rPr>
        <w:t>24.物业服务过程中的各类数据建立台账：</w:t>
      </w:r>
      <w:r>
        <w:rPr>
          <w:sz w:val="21"/>
        </w:rPr>
        <w:t>中标人在提供物业服务产生的各类数据，包括但不限于每日清洁情况（每个地方清洁的次数）、每日安保巡查情况（巡查次数）、每日出入人次（安保统计）、</w:t>
      </w:r>
      <w:r>
        <w:rPr>
          <w:sz w:val="21"/>
        </w:rPr>
        <w:t>设备水电维修维护</w:t>
      </w:r>
      <w:r>
        <w:rPr>
          <w:sz w:val="21"/>
        </w:rPr>
        <w:t>情况等数据以及采购人要求收集物业服务过程的相关数据。以上数据定期整理汇编成册移交采购人保存（或使用信息化手段存档）。</w:t>
      </w:r>
    </w:p>
    <w:p>
      <w:pPr>
        <w:ind w:firstLine="420"/>
        <w:jc w:val="both"/>
      </w:pPr>
      <w:r>
        <w:rPr>
          <w:sz w:val="21"/>
        </w:rPr>
        <w:t>★</w:t>
      </w:r>
      <w:r>
        <w:rPr>
          <w:b/>
          <w:sz w:val="21"/>
        </w:rPr>
        <w:t>25.项目管理人员亲自值班：</w:t>
      </w:r>
      <w:r>
        <w:rPr>
          <w:sz w:val="21"/>
        </w:rPr>
        <w:t>采购人场地内举办的各类活动项目，中标人须安排项目经理或项目副经理担任物业服务值班领导，不得由其他岗位人员代替，以确保各类活动的安全顺利进行。</w:t>
      </w:r>
      <w:r>
        <w:rPr>
          <w:sz w:val="21"/>
          <w:u w:val="single"/>
        </w:rPr>
        <w:t>【响应方式：投标文件承诺响应，应优先在</w:t>
      </w:r>
      <w:r>
        <w:rPr>
          <w:sz w:val="21"/>
          <w:u w:val="single"/>
        </w:rPr>
        <w:t>“投标文件附加格式《“★”条款响应表》”中填写并作出响应，填表视为已承诺，作为评审依据。】</w:t>
      </w:r>
    </w:p>
    <w:p>
      <w:pPr>
        <w:ind w:firstLine="421"/>
        <w:jc w:val="both"/>
      </w:pPr>
      <w:r>
        <w:rPr>
          <w:b/>
          <w:sz w:val="21"/>
        </w:rPr>
        <w:t>26.物品外借相关规定：</w:t>
      </w:r>
      <w:r>
        <w:rPr>
          <w:sz w:val="21"/>
        </w:rPr>
        <w:t>中标人未经采购人允许，不得擅自将其管理的采购人设备、设施等物品转借或租赁他人。外借物品除要求对方签署借条外，还需经采购人签署物品放行条，并做好相关记录。</w:t>
      </w:r>
    </w:p>
    <w:p>
      <w:pPr>
        <w:ind w:firstLine="421"/>
        <w:jc w:val="both"/>
      </w:pPr>
      <w:r>
        <w:rPr>
          <w:b/>
          <w:sz w:val="21"/>
        </w:rPr>
        <w:t>27.主动定期向采购人提交总结报告及工作计划：</w:t>
      </w:r>
      <w:r>
        <w:rPr>
          <w:sz w:val="21"/>
        </w:rPr>
        <w:t>中标人需每</w:t>
      </w:r>
      <w:r>
        <w:rPr>
          <w:sz w:val="21"/>
        </w:rPr>
        <w:t>月</w:t>
      </w:r>
      <w:r>
        <w:rPr>
          <w:sz w:val="21"/>
        </w:rPr>
        <w:t>度</w:t>
      </w:r>
      <w:r>
        <w:rPr>
          <w:sz w:val="21"/>
        </w:rPr>
        <w:t>5日前向采购人</w:t>
      </w:r>
      <w:r>
        <w:rPr>
          <w:sz w:val="21"/>
        </w:rPr>
        <w:t>及市文化馆</w:t>
      </w:r>
      <w:r>
        <w:rPr>
          <w:sz w:val="21"/>
        </w:rPr>
        <w:t>提交上</w:t>
      </w:r>
      <w:r>
        <w:rPr>
          <w:sz w:val="21"/>
        </w:rPr>
        <w:t>月</w:t>
      </w:r>
      <w:r>
        <w:rPr>
          <w:sz w:val="21"/>
        </w:rPr>
        <w:t>度的相关总结报告和本月工作计划，包括但不限于物业管理工作报告和本</w:t>
      </w:r>
      <w:r>
        <w:rPr>
          <w:sz w:val="21"/>
        </w:rPr>
        <w:t>月</w:t>
      </w:r>
      <w:r>
        <w:rPr>
          <w:sz w:val="21"/>
        </w:rPr>
        <w:t>度的物业管理工作计划。</w:t>
      </w:r>
    </w:p>
    <w:p>
      <w:pPr>
        <w:ind w:firstLine="421"/>
        <w:jc w:val="both"/>
      </w:pPr>
      <w:r>
        <w:rPr>
          <w:b/>
          <w:sz w:val="21"/>
        </w:rPr>
        <w:t>28.鼓励投标人努力取得更多质量、服务体系认证，包括但不限于：</w:t>
      </w:r>
    </w:p>
    <w:p>
      <w:pPr>
        <w:ind w:firstLine="420"/>
        <w:jc w:val="both"/>
      </w:pPr>
      <w:r>
        <w:rPr>
          <w:sz w:val="21"/>
        </w:rPr>
        <w:t>质量管理体系认证；</w:t>
      </w:r>
    </w:p>
    <w:p>
      <w:pPr>
        <w:ind w:firstLine="420"/>
        <w:jc w:val="both"/>
      </w:pPr>
      <w:r>
        <w:rPr>
          <w:sz w:val="21"/>
        </w:rPr>
        <w:t>环境管理体系认证；</w:t>
      </w:r>
    </w:p>
    <w:p>
      <w:pPr>
        <w:ind w:firstLine="420"/>
        <w:jc w:val="both"/>
      </w:pPr>
      <w:r>
        <w:rPr>
          <w:sz w:val="21"/>
        </w:rPr>
        <w:t>职业健康安全管理体系认证；</w:t>
      </w:r>
    </w:p>
    <w:p>
      <w:pPr>
        <w:ind w:firstLine="420"/>
        <w:jc w:val="both"/>
      </w:pPr>
      <w:r>
        <w:rPr>
          <w:sz w:val="21"/>
        </w:rPr>
        <w:t>保安服务认证证书；</w:t>
      </w:r>
    </w:p>
    <w:p>
      <w:pPr>
        <w:ind w:firstLine="420"/>
        <w:jc w:val="both"/>
      </w:pPr>
      <w:r>
        <w:rPr>
          <w:sz w:val="21"/>
        </w:rPr>
        <w:t>生活垃圾分类服务能力认证证书；</w:t>
      </w:r>
    </w:p>
    <w:p>
      <w:pPr>
        <w:ind w:firstLine="420"/>
        <w:jc w:val="both"/>
      </w:pPr>
      <w:r>
        <w:rPr>
          <w:sz w:val="21"/>
        </w:rPr>
        <w:t>物业服务体系认证证书</w:t>
      </w:r>
      <w:r>
        <w:rPr>
          <w:sz w:val="21"/>
        </w:rPr>
        <w:t>；</w:t>
      </w:r>
    </w:p>
    <w:p>
      <w:pPr>
        <w:ind w:firstLine="420"/>
        <w:jc w:val="both"/>
      </w:pPr>
      <w:r>
        <w:rPr>
          <w:sz w:val="21"/>
        </w:rPr>
        <w:t>信息安全管理体系认证</w:t>
      </w:r>
      <w:r>
        <w:rPr>
          <w:sz w:val="21"/>
        </w:rPr>
        <w:t>。</w:t>
      </w:r>
    </w:p>
    <w:p>
      <w:pPr>
        <w:ind w:firstLine="360"/>
        <w:jc w:val="both"/>
      </w:pPr>
    </w:p>
    <w:p>
      <w:pPr>
        <w:ind w:firstLine="360"/>
        <w:jc w:val="both"/>
      </w:pPr>
    </w:p>
    <w:p>
      <w:pPr>
        <w:jc w:val="both"/>
      </w:pPr>
      <w:r>
        <w:rPr>
          <w:b/>
          <w:sz w:val="28"/>
        </w:rPr>
        <w:t>四、</w:t>
      </w:r>
      <w:r>
        <w:rPr>
          <w:b/>
          <w:sz w:val="28"/>
        </w:rPr>
        <w:t>人员配置及签订合同要求</w:t>
      </w:r>
    </w:p>
    <w:p>
      <w:pPr>
        <w:ind w:firstLine="420"/>
        <w:jc w:val="both"/>
      </w:pPr>
      <w:r>
        <w:rPr>
          <w:sz w:val="21"/>
        </w:rPr>
        <w:t>★</w:t>
      </w:r>
      <w:r>
        <w:rPr>
          <w:b/>
          <w:sz w:val="21"/>
        </w:rPr>
        <w:t>1.人员岗位及数量要求：</w:t>
      </w:r>
      <w:r>
        <w:rPr>
          <w:sz w:val="21"/>
        </w:rPr>
        <w:t>本项目所配备的专职服务人数不得少于</w:t>
      </w:r>
      <w:r>
        <w:rPr>
          <w:sz w:val="21"/>
        </w:rPr>
        <w:t>98人（含98人），其中项目经理1人，项目副经理1人，保安人员37人（含保安主管1人），保洁人员19人（含保洁主管1人），绿化人员4人（含绿化主管1人），</w:t>
      </w:r>
      <w:r>
        <w:rPr>
          <w:sz w:val="21"/>
        </w:rPr>
        <w:t>设备水电维修维护人员</w:t>
      </w:r>
      <w:r>
        <w:rPr>
          <w:sz w:val="21"/>
        </w:rPr>
        <w:t>20人（含维修养护主管1人，</w:t>
      </w:r>
      <w:r>
        <w:rPr>
          <w:sz w:val="21"/>
        </w:rPr>
        <w:t>总控室领班</w:t>
      </w:r>
      <w:r>
        <w:rPr>
          <w:sz w:val="21"/>
        </w:rPr>
        <w:t>1人</w:t>
      </w:r>
      <w:r>
        <w:rPr>
          <w:sz w:val="21"/>
        </w:rPr>
        <w:t>），剧场服务人员</w:t>
      </w:r>
      <w:r>
        <w:rPr>
          <w:sz w:val="21"/>
        </w:rPr>
        <w:t>16人（含剧场服务主管1人）。在上述98人中，有36人岗位属市文化艺术中心与市文化馆共用岗位（其中项目经理1人，保安部3人，保洁部3人，绿化部4人，</w:t>
      </w:r>
      <w:r>
        <w:rPr>
          <w:sz w:val="21"/>
        </w:rPr>
        <w:t>维修维护部</w:t>
      </w:r>
      <w:r>
        <w:rPr>
          <w:sz w:val="21"/>
        </w:rPr>
        <w:t>20人，剧场服务部5人），由市文化艺术中心负责实施监督管理及与市文化馆共同使用。具体详见各部门岗位配置表。</w:t>
      </w:r>
      <w:r>
        <w:rPr>
          <w:sz w:val="21"/>
          <w:u w:val="single"/>
        </w:rPr>
        <w:t>【响应方式：投标文件承诺响应，应优先在</w:t>
      </w:r>
      <w:r>
        <w:rPr>
          <w:sz w:val="21"/>
          <w:u w:val="single"/>
        </w:rPr>
        <w:t>“投标文件附加格式《“★”条款响应表》”中填写并作出响应，填表视为已承诺，作为评审依据。】</w:t>
      </w:r>
    </w:p>
    <w:p>
      <w:pPr>
        <w:ind w:firstLine="421"/>
        <w:jc w:val="both"/>
      </w:pPr>
      <w:r>
        <w:rPr>
          <w:b/>
          <w:sz w:val="21"/>
        </w:rPr>
        <w:t>★2.签订合同前提交资料要求：</w:t>
      </w:r>
      <w:r>
        <w:rPr>
          <w:sz w:val="21"/>
        </w:rPr>
        <w:t>中标人严格按采购要求设置岗位，且岗位人数不少于采购要求的人数，以确保各部门工作有效正常运作。签订合同前（中标通知书发出后</w:t>
      </w:r>
      <w:r>
        <w:rPr>
          <w:sz w:val="21"/>
        </w:rPr>
        <w:t>30天内），中标人须向采购人提交派驻服务人员相关资料</w:t>
      </w:r>
      <w:r>
        <w:rPr>
          <w:sz w:val="21"/>
        </w:rPr>
        <w:t>原件备查</w:t>
      </w:r>
      <w:r>
        <w:rPr>
          <w:sz w:val="21"/>
        </w:rPr>
        <w:t>（复印件留存），具体包括人员名单、劳动合同、人员安排表、人员社保证明（</w:t>
      </w:r>
      <w:r>
        <w:rPr>
          <w:sz w:val="21"/>
        </w:rPr>
        <w:t>2023年8月中标人为派驻服务人员购买的社保证明）、人员相关证书等资料，其中人员相关证书包括商务评分表中涉及人员的相关证书复印件（加盖公章）以及法律法规规定必须持证上岗的相关证书。未按要求提供以上相关资料的，将视为中标人放弃中标，采购人可以依据《中华人民共和国政府采购法实施条例》第四十九条的规定，按照评审报告推荐的中标候选人名单排序，确定下一候选人为中标人。下一供应商须按照以上要求提供有关资料，如未按要求提供资料，将视为中标人放弃中标，本项目将重新组织采购。合同签订后，从服务期开始之日起，如中标人实际上岗人数与采购人要求的日常岗位人数不符以及达不到岗位要求的，同一岗位</w:t>
      </w:r>
      <w:r>
        <w:rPr>
          <w:sz w:val="21"/>
        </w:rPr>
        <w:t>一个月内</w:t>
      </w:r>
      <w:r>
        <w:rPr>
          <w:sz w:val="21"/>
        </w:rPr>
        <w:t>发现</w:t>
      </w:r>
      <w:r>
        <w:rPr>
          <w:sz w:val="21"/>
        </w:rPr>
        <w:t>3次及以上缺岗情况视为严重缺岗，采购人有权按中标人投标文件所确定的工资标准在当月物业管理费中按照缺岗人数、部门及相应资格扣减相应工资额度。未经采购人同意，中标人投入采购人场地开展物业管理服务且满足岗位要求的实际上岗人数少于用户需求书要求总人数95%（不包含95%），视</w:t>
      </w:r>
      <w:r>
        <w:rPr>
          <w:sz w:val="21"/>
        </w:rPr>
        <w:t>为</w:t>
      </w:r>
      <w:r>
        <w:rPr>
          <w:sz w:val="21"/>
        </w:rPr>
        <w:t>中标人违约，采购人有权解除合同。</w:t>
      </w:r>
      <w:r>
        <w:rPr>
          <w:sz w:val="21"/>
          <w:u w:val="single"/>
        </w:rPr>
        <w:t>【响应方式：投标文件承诺响应，应优先在</w:t>
      </w:r>
      <w:r>
        <w:rPr>
          <w:sz w:val="21"/>
          <w:u w:val="single"/>
        </w:rPr>
        <w:t>“投标文件附加格式《“★”条款响应表》”中填写并作出响应，填表视为已承诺，作为评审依据。】</w:t>
      </w:r>
    </w:p>
    <w:p>
      <w:pPr>
        <w:jc w:val="both"/>
      </w:pPr>
    </w:p>
    <w:p>
      <w:pPr>
        <w:jc w:val="left"/>
      </w:pPr>
      <w:r>
        <w:rPr>
          <w:b/>
          <w:sz w:val="28"/>
        </w:rPr>
        <w:t>五、</w:t>
      </w:r>
      <w:r>
        <w:rPr>
          <w:b/>
          <w:sz w:val="28"/>
        </w:rPr>
        <w:t>项目管理人员要求</w:t>
      </w:r>
    </w:p>
    <w:p>
      <w:pPr>
        <w:ind w:firstLine="421"/>
        <w:jc w:val="both"/>
      </w:pPr>
      <w:r>
        <w:rPr>
          <w:b/>
          <w:sz w:val="21"/>
        </w:rPr>
        <w:t>1.项目经理</w:t>
      </w:r>
    </w:p>
    <w:p>
      <w:pPr>
        <w:ind w:firstLine="421"/>
        <w:jc w:val="both"/>
      </w:pPr>
      <w:r>
        <w:rPr>
          <w:b/>
          <w:sz w:val="21"/>
        </w:rPr>
        <w:t>1.1项目经理基本要求：</w:t>
      </w:r>
      <w:r>
        <w:rPr>
          <w:sz w:val="21"/>
        </w:rPr>
        <w:t>本科或以上学历，年龄</w:t>
      </w:r>
      <w:r>
        <w:rPr>
          <w:sz w:val="21"/>
        </w:rPr>
        <w:t>45岁或以下，身体健康，政历清楚，五官端正。</w:t>
      </w:r>
      <w:r>
        <w:rPr>
          <w:sz w:val="21"/>
        </w:rPr>
        <w:t>拥有较强的沟通协调、统筹规划及团队建设能力，善于激发下属员工的积极性及主观能动性，具有较好文字处理能力，熟悉常用办公软件使用。个人综合素质高，品行良好，热爱管理服务工作，追求创新、有奉献精神，通过公安机关政审，无不良行为记录</w:t>
      </w:r>
      <w:r>
        <w:rPr>
          <w:sz w:val="21"/>
        </w:rPr>
        <w:t>。</w:t>
      </w:r>
      <w:r>
        <w:rPr>
          <w:sz w:val="21"/>
        </w:rPr>
        <w:t>具有</w:t>
      </w:r>
      <w:r>
        <w:rPr>
          <w:sz w:val="21"/>
        </w:rPr>
        <w:t>10年或以上从事物业管理项目经理工作经验，熟悉物业管理相关法律、法规，持有政府相关职能部门颁发的一级注册消防工程师及注册安全工程师职业资格证书。</w:t>
      </w:r>
    </w:p>
    <w:p>
      <w:pPr>
        <w:ind w:firstLine="421"/>
        <w:jc w:val="both"/>
      </w:pPr>
      <w:r>
        <w:rPr>
          <w:b/>
          <w:sz w:val="21"/>
        </w:rPr>
        <w:t>1.2项目经理工作时间：</w:t>
      </w:r>
      <w:r>
        <w:rPr>
          <w:sz w:val="21"/>
        </w:rPr>
        <w:t>上午</w:t>
      </w:r>
      <w:r>
        <w:rPr>
          <w:sz w:val="21"/>
        </w:rPr>
        <w:t>8:</w:t>
      </w:r>
      <w:r>
        <w:rPr>
          <w:sz w:val="21"/>
        </w:rPr>
        <w:t>0</w:t>
      </w:r>
      <w:r>
        <w:rPr>
          <w:sz w:val="21"/>
        </w:rPr>
        <w:t>0至</w:t>
      </w:r>
      <w:r>
        <w:rPr>
          <w:sz w:val="21"/>
        </w:rPr>
        <w:t>12:00，下午14:00至18:00（特殊情况下在非工作时间接到采购人电话的，需要及时进行指挥或返回驻点地方值班</w:t>
      </w:r>
      <w:r>
        <w:rPr>
          <w:sz w:val="21"/>
        </w:rPr>
        <w:t>，采购人不承担任何加班费用</w:t>
      </w:r>
      <w:r>
        <w:rPr>
          <w:sz w:val="21"/>
        </w:rPr>
        <w:t>）。</w:t>
      </w:r>
    </w:p>
    <w:p>
      <w:pPr>
        <w:ind w:firstLine="421"/>
        <w:jc w:val="both"/>
      </w:pPr>
      <w:r>
        <w:rPr>
          <w:b/>
          <w:sz w:val="21"/>
        </w:rPr>
        <w:t>1.3项目经理工作内容：</w:t>
      </w:r>
    </w:p>
    <w:p>
      <w:pPr>
        <w:ind w:firstLine="421"/>
        <w:jc w:val="both"/>
      </w:pPr>
      <w:r>
        <w:rPr>
          <w:b/>
          <w:sz w:val="21"/>
        </w:rPr>
        <w:t>1.3.1</w:t>
      </w:r>
      <w:r>
        <w:rPr>
          <w:sz w:val="21"/>
        </w:rPr>
        <w:t>采购人作为中山市治安保卫重点单位、市消防安全重点单位及反恐重点单位，作为每年采购人绩效考核的重要指标，不能发生重大治安安全事故及重大消防安全事故。作为中山市窗口单位，不能发生因劳动纠纷或争议现象导致服务质量下降。项目经理</w:t>
      </w:r>
      <w:r>
        <w:rPr>
          <w:sz w:val="21"/>
        </w:rPr>
        <w:t>应具备良好的纪律素养，全面负责物业管理项目的各项工作，负责与采购人的协调沟通，</w:t>
      </w:r>
      <w:r>
        <w:rPr>
          <w:sz w:val="21"/>
        </w:rPr>
        <w:t>接受以及向下传达采购人的相关工作要求，并监督落实情况。</w:t>
      </w:r>
      <w:r>
        <w:rPr>
          <w:sz w:val="21"/>
        </w:rPr>
        <w:t>负责本物业管理项目人员管理，包括人员招聘与配置、培训</w:t>
      </w:r>
      <w:r>
        <w:rPr>
          <w:sz w:val="21"/>
        </w:rPr>
        <w:t>、薪酬福利管理、劳动关系管理等工作；担任物业管理范围内的消防安全管理人、负责安全保卫及消防安全管理等工作。</w:t>
      </w:r>
    </w:p>
    <w:p>
      <w:pPr>
        <w:ind w:firstLine="421"/>
        <w:jc w:val="both"/>
      </w:pPr>
      <w:r>
        <w:rPr>
          <w:b/>
          <w:sz w:val="21"/>
        </w:rPr>
        <w:t>1.3.2</w:t>
      </w:r>
      <w:r>
        <w:rPr>
          <w:sz w:val="21"/>
        </w:rPr>
        <w:t>中标人</w:t>
      </w:r>
      <w:r>
        <w:rPr>
          <w:sz w:val="21"/>
        </w:rPr>
        <w:t>项目经理担任</w:t>
      </w:r>
      <w:r>
        <w:rPr>
          <w:sz w:val="21"/>
        </w:rPr>
        <w:t>采购人</w:t>
      </w:r>
      <w:r>
        <w:rPr>
          <w:sz w:val="21"/>
        </w:rPr>
        <w:t>物业管理范围内的消防安全管理人，物业管理范围内的消防安全管理工作由</w:t>
      </w:r>
      <w:r>
        <w:rPr>
          <w:sz w:val="21"/>
        </w:rPr>
        <w:t>中标人</w:t>
      </w:r>
      <w:r>
        <w:rPr>
          <w:sz w:val="21"/>
        </w:rPr>
        <w:t>负责，要求每周联合</w:t>
      </w:r>
      <w:r>
        <w:rPr>
          <w:sz w:val="21"/>
        </w:rPr>
        <w:t>中标人</w:t>
      </w:r>
      <w:r>
        <w:rPr>
          <w:sz w:val="21"/>
        </w:rPr>
        <w:t>的各部门负责人进行一次消防例检，每月牵头组织建筑物内的各单位负责人进行一次消防安全大检查，并编制消防安全检查报告提交</w:t>
      </w:r>
      <w:r>
        <w:rPr>
          <w:sz w:val="21"/>
        </w:rPr>
        <w:t>采购人</w:t>
      </w:r>
      <w:r>
        <w:rPr>
          <w:sz w:val="21"/>
        </w:rPr>
        <w:t>。另外对检查中发现的消防安全隐患问题，需在</w:t>
      </w:r>
      <w:r>
        <w:rPr>
          <w:sz w:val="21"/>
        </w:rPr>
        <w:t>3天内以书面形式向相关单位反映及要求其限期整改，并全程跟踪整改结果以书面形式向</w:t>
      </w:r>
      <w:r>
        <w:rPr>
          <w:sz w:val="21"/>
        </w:rPr>
        <w:t>采购人</w:t>
      </w:r>
      <w:r>
        <w:rPr>
          <w:sz w:val="21"/>
        </w:rPr>
        <w:t>汇报。按照有关法律法规要求，每日做好消防巡查信息的汇总上报。</w:t>
      </w:r>
    </w:p>
    <w:p>
      <w:pPr>
        <w:ind w:firstLine="421"/>
        <w:jc w:val="both"/>
      </w:pPr>
      <w:r>
        <w:rPr>
          <w:b/>
          <w:sz w:val="21"/>
        </w:rPr>
        <w:t>2.项目副经理</w:t>
      </w:r>
    </w:p>
    <w:p>
      <w:pPr>
        <w:ind w:firstLine="421"/>
        <w:jc w:val="both"/>
      </w:pPr>
      <w:r>
        <w:rPr>
          <w:b/>
          <w:sz w:val="21"/>
        </w:rPr>
        <w:t>2.1项目副经理基本要求：</w:t>
      </w:r>
      <w:r>
        <w:rPr>
          <w:sz w:val="21"/>
        </w:rPr>
        <w:t>本科或以上学历，年龄</w:t>
      </w:r>
      <w:r>
        <w:rPr>
          <w:sz w:val="21"/>
        </w:rPr>
        <w:t>45岁或以下，身体健康，政历清楚，五官端正。拥有较强的沟通协调、统筹规划及团队建设能力，善于激发下属员工的积极性及主观能动性，具有较好文字处理能力，熟悉常用办公软件使用。个人综合素质高，品行良好，热爱管理服务工作，追求创新、有奉献精神，通过公安机关政审，无不良行为记录。具有5年或以上从事物业管理工作经验。持有人力资源和社会保障部门颁发的中级经济专业技术资格-人力资源管理证书、保安员职业资格证书三级（高级）或以上证书、</w:t>
      </w:r>
      <w:r>
        <w:rPr>
          <w:sz w:val="21"/>
        </w:rPr>
        <w:t>特种设备安全管理和作业人员证、</w:t>
      </w:r>
      <w:r>
        <w:rPr>
          <w:sz w:val="21"/>
        </w:rPr>
        <w:t>消防设施操作员四级</w:t>
      </w:r>
      <w:r>
        <w:rPr>
          <w:sz w:val="21"/>
        </w:rPr>
        <w:t>/中级</w:t>
      </w:r>
      <w:r>
        <w:rPr>
          <w:sz w:val="21"/>
        </w:rPr>
        <w:t>工</w:t>
      </w:r>
      <w:r>
        <w:rPr>
          <w:sz w:val="21"/>
        </w:rPr>
        <w:t>或以上</w:t>
      </w:r>
      <w:r>
        <w:rPr>
          <w:sz w:val="21"/>
        </w:rPr>
        <w:t>证书</w:t>
      </w:r>
      <w:r>
        <w:rPr>
          <w:sz w:val="21"/>
        </w:rPr>
        <w:t>，持有政府相关职能部门颁发的社会工作者职业资格证书</w:t>
      </w:r>
      <w:r>
        <w:rPr>
          <w:sz w:val="21"/>
        </w:rPr>
        <w:t>。</w:t>
      </w:r>
      <w:r>
        <w:rPr>
          <w:sz w:val="21"/>
        </w:rPr>
        <w:t>要求有一定的应急能力，具有应急救援员等级证书。</w:t>
      </w:r>
    </w:p>
    <w:p>
      <w:pPr>
        <w:ind w:firstLine="420"/>
        <w:jc w:val="both"/>
      </w:pPr>
      <w:r>
        <w:rPr>
          <w:b/>
          <w:sz w:val="21"/>
        </w:rPr>
        <w:t>2.2项目副经理工作时间：</w:t>
      </w:r>
      <w:r>
        <w:rPr>
          <w:sz w:val="21"/>
        </w:rPr>
        <w:t>上午</w:t>
      </w:r>
      <w:r>
        <w:rPr>
          <w:sz w:val="21"/>
        </w:rPr>
        <w:t>8:</w:t>
      </w:r>
      <w:r>
        <w:rPr>
          <w:sz w:val="21"/>
        </w:rPr>
        <w:t>0</w:t>
      </w:r>
      <w:r>
        <w:rPr>
          <w:sz w:val="21"/>
        </w:rPr>
        <w:t>0至</w:t>
      </w:r>
      <w:r>
        <w:rPr>
          <w:sz w:val="21"/>
        </w:rPr>
        <w:t>12:00，下午14:00至18:00</w:t>
      </w:r>
      <w:r>
        <w:rPr>
          <w:sz w:val="21"/>
        </w:rPr>
        <w:t>（特殊情况下在非工作时间接到采购人电话的，需要及时进行指挥或返回驻点地方值班</w:t>
      </w:r>
      <w:r>
        <w:rPr>
          <w:sz w:val="21"/>
        </w:rPr>
        <w:t>，采购人不承担任何加班费用</w:t>
      </w:r>
      <w:r>
        <w:rPr>
          <w:sz w:val="21"/>
        </w:rPr>
        <w:t>）。</w:t>
      </w:r>
    </w:p>
    <w:p>
      <w:pPr>
        <w:ind w:firstLine="421"/>
        <w:jc w:val="both"/>
      </w:pPr>
      <w:r>
        <w:rPr>
          <w:b/>
          <w:sz w:val="21"/>
        </w:rPr>
        <w:t>2.3项目副经理工作</w:t>
      </w:r>
      <w:r>
        <w:rPr>
          <w:b/>
          <w:sz w:val="21"/>
        </w:rPr>
        <w:t>内容</w:t>
      </w:r>
      <w:r>
        <w:rPr>
          <w:b/>
          <w:sz w:val="21"/>
        </w:rPr>
        <w:t>：</w:t>
      </w:r>
      <w:r>
        <w:rPr>
          <w:sz w:val="21"/>
        </w:rPr>
        <w:t>采购人作为中山市治安保卫重点单位、市消防安全重点单位及反恐重点单位，作为每年采购人绩效考核的重要指标，不能发生重大治安安全事故及重大消防安</w:t>
      </w:r>
      <w:r>
        <w:rPr>
          <w:sz w:val="21"/>
        </w:rPr>
        <w:t>全事故，发生重大安全</w:t>
      </w:r>
      <w:r>
        <w:rPr>
          <w:sz w:val="21"/>
        </w:rPr>
        <w:t>事件</w:t>
      </w:r>
      <w:r>
        <w:rPr>
          <w:sz w:val="21"/>
        </w:rPr>
        <w:t>时要第一时间组织应急救援，减少人员伤亡和经济损失。作为中山市窗口单位，不能发生因劳动纠纷或争议现象导致服务质量下降。项目副经理应具备良好的纪律素养，具备协调处理员工申诉和劳动争议、促进劳资沟通的能力。协助项目经理开展日常管理工作，负责物业管理人员的合同管理。分管安全保卫工作，确保中山</w:t>
      </w:r>
      <w:r>
        <w:rPr>
          <w:sz w:val="21"/>
        </w:rPr>
        <w:t>市文化艺术中心作为市治安保卫重点单位、消防安全重点单位及反恐重点单位的人财物安全，无安全事故发生，确保活动顺利开展。</w:t>
      </w:r>
    </w:p>
    <w:p>
      <w:pPr>
        <w:ind w:firstLine="421"/>
        <w:jc w:val="both"/>
      </w:pPr>
      <w:r>
        <w:rPr>
          <w:b/>
          <w:sz w:val="21"/>
        </w:rPr>
        <w:t>3.项目经理及项目副经理配合工作要求</w:t>
      </w:r>
    </w:p>
    <w:p>
      <w:pPr>
        <w:ind w:firstLine="421"/>
        <w:jc w:val="both"/>
      </w:pPr>
      <w:r>
        <w:rPr>
          <w:b/>
          <w:sz w:val="21"/>
        </w:rPr>
        <w:t>3.1日常无活动期间：</w:t>
      </w:r>
      <w:r>
        <w:rPr>
          <w:sz w:val="21"/>
        </w:rPr>
        <w:t>项目经理及项目副经理除休息外（不得两人同时休息），需同时在岗。</w:t>
      </w:r>
    </w:p>
    <w:p>
      <w:pPr>
        <w:ind w:firstLine="421"/>
        <w:jc w:val="both"/>
      </w:pPr>
      <w:r>
        <w:rPr>
          <w:b/>
          <w:sz w:val="21"/>
        </w:rPr>
        <w:t>3.2活动期间：</w:t>
      </w:r>
      <w:r>
        <w:rPr>
          <w:sz w:val="21"/>
        </w:rPr>
        <w:t>大剧场举行活动、大小剧场同时举行活动、大小剧场及露天文化广场同时举行活动时，项目经理及副经理需同时在岗，其他举行活动期间，最少需</w:t>
      </w:r>
      <w:r>
        <w:rPr>
          <w:sz w:val="21"/>
        </w:rPr>
        <w:t>1人在岗。</w:t>
      </w:r>
    </w:p>
    <w:p>
      <w:pPr>
        <w:jc w:val="both"/>
      </w:pPr>
    </w:p>
    <w:p>
      <w:pPr>
        <w:jc w:val="left"/>
      </w:pPr>
      <w:r>
        <w:rPr>
          <w:b/>
          <w:sz w:val="28"/>
        </w:rPr>
        <w:t>六、</w:t>
      </w:r>
      <w:r>
        <w:rPr>
          <w:b/>
          <w:sz w:val="28"/>
        </w:rPr>
        <w:t>项目具体要求</w:t>
      </w:r>
    </w:p>
    <w:p>
      <w:pPr>
        <w:ind w:firstLine="421"/>
      </w:pPr>
      <w:r>
        <w:rPr>
          <w:b/>
          <w:sz w:val="21"/>
        </w:rPr>
        <w:t>（一）安保服务</w:t>
      </w:r>
    </w:p>
    <w:p>
      <w:pPr>
        <w:ind w:firstLine="421"/>
      </w:pPr>
      <w:r>
        <w:rPr>
          <w:b/>
          <w:sz w:val="21"/>
        </w:rPr>
        <w:t>1.保安人员要求（</w:t>
      </w:r>
      <w:r>
        <w:rPr>
          <w:b/>
          <w:sz w:val="21"/>
        </w:rPr>
        <w:t>保安人员</w:t>
      </w:r>
      <w:r>
        <w:rPr>
          <w:b/>
          <w:sz w:val="21"/>
        </w:rPr>
        <w:t>37人，含保安主管1人）</w:t>
      </w:r>
    </w:p>
    <w:p>
      <w:pPr>
        <w:ind w:firstLine="420"/>
      </w:pPr>
      <w:r>
        <w:rPr>
          <w:sz w:val="21"/>
        </w:rPr>
        <w:t>1.1保安主管要求：保安主管身高170cm或以上，本科或以上学历，年龄45岁或以下，身体健康，政历清楚，五官端正。有5年或以上从事物业管理安全保卫工作经验，具备政府相关职能部门颁发的</w:t>
      </w:r>
      <w:r>
        <w:rPr>
          <w:sz w:val="21"/>
        </w:rPr>
        <w:t>保安员职业资格证书（三级</w:t>
      </w:r>
      <w:r>
        <w:rPr>
          <w:sz w:val="21"/>
        </w:rPr>
        <w:t>/</w:t>
      </w:r>
      <w:r>
        <w:rPr>
          <w:sz w:val="21"/>
        </w:rPr>
        <w:t>高级工或以上证书）</w:t>
      </w:r>
      <w:r>
        <w:rPr>
          <w:sz w:val="21"/>
        </w:rPr>
        <w:t>、持有政府相关职能部门颁发的《建（构）筑物消防员证》或《消防设施操作员证》（国家职业资格四级</w:t>
      </w:r>
      <w:r>
        <w:rPr>
          <w:sz w:val="21"/>
        </w:rPr>
        <w:t>/中级</w:t>
      </w:r>
      <w:r>
        <w:rPr>
          <w:sz w:val="21"/>
        </w:rPr>
        <w:t>工</w:t>
      </w:r>
      <w:r>
        <w:rPr>
          <w:sz w:val="21"/>
        </w:rPr>
        <w:t>）或以上证书</w:t>
      </w:r>
      <w:r>
        <w:rPr>
          <w:sz w:val="30"/>
        </w:rPr>
        <w:t>。</w:t>
      </w:r>
    </w:p>
    <w:p>
      <w:pPr>
        <w:ind w:firstLine="420"/>
      </w:pPr>
      <w:r>
        <w:rPr>
          <w:sz w:val="21"/>
        </w:rPr>
        <w:t>1.2保安领班要求：身高170cm或以上，退伍军人优先，年龄45岁或以下，身体健康，政历清楚，五官端正。有从事物业管理安全保卫工作经验，有良好的敬业精神和较强的责任感。具备政府相关职能部门颁发的，</w:t>
      </w:r>
      <w:r>
        <w:rPr>
          <w:sz w:val="21"/>
        </w:rPr>
        <w:t>保安员职业资格证书（三级</w:t>
      </w:r>
      <w:r>
        <w:rPr>
          <w:sz w:val="21"/>
        </w:rPr>
        <w:t>/</w:t>
      </w:r>
      <w:r>
        <w:rPr>
          <w:sz w:val="21"/>
        </w:rPr>
        <w:t>高级工）</w:t>
      </w:r>
      <w:r>
        <w:rPr>
          <w:sz w:val="21"/>
        </w:rPr>
        <w:t>或以上证书。</w:t>
      </w:r>
    </w:p>
    <w:p>
      <w:pPr>
        <w:ind w:firstLine="420"/>
      </w:pPr>
      <w:r>
        <w:rPr>
          <w:sz w:val="21"/>
        </w:rPr>
        <w:t>1.3一般保安员要求：男性170cm或以上，女性160cm或以上，退伍军人优先，年龄50岁或以下。身体健康，政历清楚，五官端正。通过公安机关政审，无不良行为记录，为人诚恳，吃苦耐劳、细心负责，退伍军人优先。</w:t>
      </w:r>
    </w:p>
    <w:p>
      <w:pPr>
        <w:ind w:firstLine="420"/>
      </w:pPr>
      <w:r>
        <w:rPr>
          <w:sz w:val="21"/>
        </w:rPr>
        <w:t>★1.4中标后所提供的服务、派驻的保安员、自行招用保安员的备案等工作均符合《保安服务管理条例》及《公安机关实施保安服务管理条例办法》的相关要求。</w:t>
      </w:r>
      <w:r>
        <w:rPr>
          <w:sz w:val="21"/>
          <w:u w:val="single"/>
        </w:rPr>
        <w:t>【响应方式：投标文件承诺响应，应优先在</w:t>
      </w:r>
      <w:r>
        <w:rPr>
          <w:sz w:val="21"/>
          <w:u w:val="single"/>
        </w:rPr>
        <w:t>“投标文件附加格式《“★”条款响应表》”中填写并作出响应，填表视为已承诺，作为评审依据。】</w:t>
      </w:r>
    </w:p>
    <w:p>
      <w:r>
        <w:rPr>
          <w:b/>
          <w:sz w:val="21"/>
        </w:rPr>
        <w:t>2.工作时间：</w:t>
      </w:r>
      <w:r>
        <w:rPr>
          <w:sz w:val="21"/>
        </w:rPr>
        <w:t>24小时制，轮三班。</w:t>
      </w:r>
    </w:p>
    <w:p>
      <w:pPr>
        <w:ind w:firstLine="420"/>
      </w:pPr>
      <w:r>
        <w:rPr>
          <w:b/>
          <w:sz w:val="21"/>
        </w:rPr>
        <w:t>★</w:t>
      </w:r>
      <w:r>
        <w:rPr>
          <w:b/>
          <w:sz w:val="21"/>
        </w:rPr>
        <w:t>3.人员岗位安排：</w:t>
      </w:r>
      <w:r>
        <w:rPr>
          <w:sz w:val="21"/>
        </w:rPr>
        <w:t>中标人安全保卫部岗位及人数安排不低于以下每个时期的岗位配置要求：</w:t>
      </w:r>
      <w:r>
        <w:rPr>
          <w:sz w:val="21"/>
        </w:rPr>
        <w:t>“3.1日常无活动期间安保岗位配置表”“3.2大剧场举行活动期间安保岗位配置表”“3.3小剧场举行活动期间安保岗位配置表”“3.4大、小剧场同时举行活动期间安保岗位配置表”“3.5露天文化广场举行活动期间安保岗位配置表”“3.6广场舞会期间安保岗位配置表”“3.7大、小剧场、露天文化广场同时举行活动期间安保岗位配置表”。另外，有大型或特殊活动时，则按采购人的实际要求合理配备具体上岗人员。</w:t>
      </w:r>
      <w:r>
        <w:rPr>
          <w:sz w:val="21"/>
          <w:u w:val="single"/>
        </w:rPr>
        <w:t>【响应方式：投标文件承诺响应，应优先在</w:t>
      </w:r>
      <w:r>
        <w:rPr>
          <w:sz w:val="21"/>
          <w:u w:val="single"/>
        </w:rPr>
        <w:t>“投标文件附加格式《“★”条款响应表》”中填写并作出响应，填表视为已承诺，作为评审依据。】</w:t>
      </w:r>
    </w:p>
    <w:p>
      <w:pPr>
        <w:jc w:val="both"/>
      </w:pPr>
      <w:r>
        <w:rPr>
          <w:b/>
          <w:sz w:val="21"/>
        </w:rPr>
        <w:t>3.1日常无活动期间安保岗位配置表：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254"/>
        <w:gridCol w:w="1096"/>
        <w:gridCol w:w="1096"/>
        <w:gridCol w:w="1096"/>
      </w:tblGrid>
      <w:tr>
        <w:tc>
          <w:tcPr>
            <w:tcW w:type="dxa" w:w="1254"/>
            <w:tcBorders>
              <w:top w:val="single" w:color="000000" w:sz="4"/>
              <w:left w:val="single" w:color="000000" w:sz="4"/>
              <w:bottom w:val="single" w:color="000000" w:sz="4"/>
              <w:right w:val="single" w:color="000000" w:sz="4"/>
            </w:tcBorders>
            <w:vAlign w:val="top"/>
          </w:tcPr>
          <w:p>
            <w:pPr>
              <w:jc w:val="center"/>
            </w:pPr>
            <w:r>
              <w:rPr>
                <w:b/>
                <w:sz w:val="18"/>
              </w:rPr>
              <w:t>值岗地点人员配置</w:t>
            </w:r>
          </w:p>
        </w:tc>
        <w:tc>
          <w:tcPr>
            <w:tcW w:type="dxa" w:w="1096"/>
            <w:tcBorders>
              <w:top w:val="single" w:color="000000" w:sz="4"/>
              <w:left w:val="single" w:color="000000" w:sz="4"/>
              <w:bottom w:val="single" w:color="000000" w:sz="4"/>
              <w:right w:val="single" w:color="000000" w:sz="4"/>
            </w:tcBorders>
            <w:vAlign w:val="top"/>
          </w:tcPr>
          <w:p>
            <w:pPr>
              <w:jc w:val="center"/>
            </w:pPr>
            <w:r>
              <w:rPr>
                <w:b/>
                <w:sz w:val="18"/>
              </w:rPr>
              <w:t>早班（</w:t>
            </w:r>
            <w:r>
              <w:rPr>
                <w:b/>
                <w:sz w:val="18"/>
              </w:rPr>
              <w:t>14人，含主管）</w:t>
            </w:r>
          </w:p>
        </w:tc>
        <w:tc>
          <w:tcPr>
            <w:tcW w:type="dxa" w:w="1096"/>
            <w:tcBorders>
              <w:top w:val="single" w:color="000000" w:sz="4"/>
              <w:left w:val="single" w:color="000000" w:sz="4"/>
              <w:bottom w:val="single" w:color="000000" w:sz="4"/>
              <w:right w:val="single" w:color="000000" w:sz="4"/>
            </w:tcBorders>
            <w:vAlign w:val="top"/>
          </w:tcPr>
          <w:p>
            <w:pPr>
              <w:jc w:val="center"/>
            </w:pPr>
            <w:r>
              <w:rPr>
                <w:b/>
                <w:sz w:val="18"/>
              </w:rPr>
              <w:t>中班（</w:t>
            </w:r>
            <w:r>
              <w:rPr>
                <w:b/>
                <w:sz w:val="18"/>
              </w:rPr>
              <w:t>13人）</w:t>
            </w:r>
          </w:p>
        </w:tc>
        <w:tc>
          <w:tcPr>
            <w:tcW w:type="dxa" w:w="1096"/>
            <w:tcBorders>
              <w:top w:val="single" w:color="000000" w:sz="4"/>
              <w:left w:val="single" w:color="000000" w:sz="4"/>
              <w:bottom w:val="single" w:color="000000" w:sz="4"/>
              <w:right w:val="single" w:color="000000" w:sz="4"/>
            </w:tcBorders>
            <w:vAlign w:val="top"/>
          </w:tcPr>
          <w:p>
            <w:pPr>
              <w:jc w:val="center"/>
            </w:pPr>
            <w:r>
              <w:rPr>
                <w:b/>
                <w:sz w:val="18"/>
              </w:rPr>
              <w:t>晚班（</w:t>
            </w:r>
            <w:r>
              <w:rPr>
                <w:b/>
                <w:sz w:val="18"/>
              </w:rPr>
              <w:t>10人）</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演艺大楼东门（其中</w:t>
            </w:r>
            <w:r>
              <w:rPr>
                <w:sz w:val="18"/>
              </w:rPr>
              <w:t>1人为领班）</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演艺大楼南门</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演艺大楼西二楼</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演艺大楼售票厅</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南停车场岗亭</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地下停库南岗亭</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地下停库北岗亭</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广场大屏幕</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西广场入口</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地下车库</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内部巡更（共用岗位）</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外部巡更</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96"/>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主管</w:t>
            </w:r>
          </w:p>
        </w:tc>
        <w:tc>
          <w:tcPr>
            <w:tcW w:type="dxa" w:w="3288"/>
            <w:gridSpan w:val="3"/>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254"/>
            <w:tcBorders>
              <w:top w:val="none" w:color="000000" w:sz="4"/>
              <w:left w:val="single" w:color="000000" w:sz="4"/>
              <w:bottom w:val="single" w:color="000000" w:sz="4"/>
              <w:right w:val="single" w:color="000000" w:sz="4"/>
            </w:tcBorders>
            <w:vAlign w:val="top"/>
          </w:tcPr>
          <w:p>
            <w:pPr>
              <w:jc w:val="center"/>
            </w:pPr>
            <w:r>
              <w:rPr>
                <w:sz w:val="18"/>
              </w:rPr>
              <w:t>合计（人）</w:t>
            </w:r>
          </w:p>
        </w:tc>
        <w:tc>
          <w:tcPr>
            <w:tcW w:type="dxa" w:w="3288"/>
            <w:gridSpan w:val="3"/>
            <w:tcBorders>
              <w:top w:val="none" w:color="000000" w:sz="4"/>
              <w:left w:val="single" w:color="000000" w:sz="4"/>
              <w:bottom w:val="single" w:color="000000" w:sz="4"/>
              <w:right w:val="single" w:color="000000" w:sz="4"/>
            </w:tcBorders>
            <w:vAlign w:val="top"/>
          </w:tcPr>
          <w:p>
            <w:pPr>
              <w:jc w:val="center"/>
            </w:pPr>
            <w:r>
              <w:rPr>
                <w:sz w:val="18"/>
              </w:rPr>
              <w:t>37</w:t>
            </w:r>
          </w:p>
        </w:tc>
      </w:tr>
    </w:tbl>
    <w:p>
      <w:pPr>
        <w:jc w:val="both"/>
      </w:pPr>
      <w:r>
        <w:rPr>
          <w:b/>
          <w:sz w:val="21"/>
        </w:rPr>
        <w:t>3.2大剧场举行活动期间安保岗位配置表：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284"/>
        <w:gridCol w:w="2284"/>
      </w:tblGrid>
      <w:tr>
        <w:tc>
          <w:tcPr>
            <w:tcW w:type="dxa" w:w="2284"/>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2284"/>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28人）</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文化广场入口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19号楼梯口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文化广场停车管理员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大屏幕后</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停车场出入口岗亭收费员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南停车场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地下停车场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单车棚</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外围冷却塔旁车辆入口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演艺楼东门岗</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南门</w:t>
            </w:r>
            <w:r>
              <w:rPr>
                <w:sz w:val="18"/>
              </w:rPr>
              <w:t>6号梯</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售票厅</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安检岗</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友梅厅贵宾停车指引</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北侧门</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剧场内机动巡逻岗位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剧场外围机动巡逻岗位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备注</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开演后，从停车场岗位</w:t>
            </w:r>
            <w:r>
              <w:rPr>
                <w:sz w:val="18"/>
              </w:rPr>
              <w:t>（即地下停车场、南停车场和</w:t>
            </w:r>
            <w:r>
              <w:rPr>
                <w:sz w:val="18"/>
              </w:rPr>
              <w:t>文化广场</w:t>
            </w:r>
            <w:r>
              <w:rPr>
                <w:sz w:val="18"/>
              </w:rPr>
              <w:t>）</w:t>
            </w:r>
            <w:r>
              <w:rPr>
                <w:sz w:val="18"/>
              </w:rPr>
              <w:t>调</w:t>
            </w:r>
            <w:r>
              <w:rPr>
                <w:sz w:val="18"/>
              </w:rPr>
              <w:t>3人到剧场内巡视，帮助维持场内秩序。演出结束前，安排3人支援岗亭停车场管理工作。</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共</w:t>
            </w:r>
            <w:r>
              <w:rPr>
                <w:sz w:val="18"/>
              </w:rPr>
              <w:t>28人</w:t>
            </w:r>
          </w:p>
        </w:tc>
      </w:tr>
    </w:tbl>
    <w:p>
      <w:pPr>
        <w:jc w:val="both"/>
      </w:pPr>
      <w:r>
        <w:rPr>
          <w:b/>
          <w:sz w:val="21"/>
        </w:rPr>
        <w:t>3.3小剧场举行活动期间安保岗位配置表：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275"/>
        <w:gridCol w:w="2275"/>
      </w:tblGrid>
      <w:tr>
        <w:tc>
          <w:tcPr>
            <w:tcW w:type="dxa" w:w="2275"/>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2275"/>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25人）</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文化广场入口</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大屏幕后</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停车场出入口岗亭</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南停车场</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地下停车场</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单车棚</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外围冷却塔旁车辆入口</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演艺楼东门岗</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南门</w:t>
            </w:r>
            <w:r>
              <w:rPr>
                <w:sz w:val="18"/>
              </w:rPr>
              <w:t>6号梯</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售票厅</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安检岗</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南侧门</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北侧门</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剧场内机动巡逻岗位</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剧场外围机动巡逻岗位</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备注</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开演后，从停车场岗位</w:t>
            </w:r>
            <w:r>
              <w:rPr>
                <w:sz w:val="18"/>
              </w:rPr>
              <w:t>（即地下停车场、南停车场和</w:t>
            </w:r>
            <w:r>
              <w:rPr>
                <w:sz w:val="18"/>
              </w:rPr>
              <w:t>文化广场</w:t>
            </w:r>
            <w:r>
              <w:rPr>
                <w:sz w:val="18"/>
              </w:rPr>
              <w:t>）</w:t>
            </w:r>
            <w:r>
              <w:rPr>
                <w:sz w:val="18"/>
              </w:rPr>
              <w:t>调</w:t>
            </w:r>
            <w:r>
              <w:rPr>
                <w:sz w:val="18"/>
              </w:rPr>
              <w:t>2人到剧场内巡视，帮助维持场内秩序。演出结束前安排3人支援岗亭停车场管理工作。</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共</w:t>
            </w:r>
            <w:r>
              <w:rPr>
                <w:sz w:val="18"/>
              </w:rPr>
              <w:t>25人</w:t>
            </w:r>
          </w:p>
        </w:tc>
      </w:tr>
    </w:tbl>
    <w:p>
      <w:pPr>
        <w:jc w:val="both"/>
      </w:pPr>
      <w:r>
        <w:rPr>
          <w:b/>
          <w:sz w:val="21"/>
        </w:rPr>
        <w:t>3.4大、小剧场同时举行活动期间安保岗位配置表：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284"/>
        <w:gridCol w:w="2284"/>
      </w:tblGrid>
      <w:tr>
        <w:tc>
          <w:tcPr>
            <w:tcW w:type="dxa" w:w="2284"/>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2284"/>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28人）</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文化广场入口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19号楼梯口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文化广场停车管理员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大屏幕后</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停车场出入口岗亭</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地下停车场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单车棚</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冷却塔</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演艺楼东门岗</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南门</w:t>
            </w:r>
            <w:r>
              <w:rPr>
                <w:sz w:val="18"/>
              </w:rPr>
              <w:t>6号梯</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售票厅</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安检岗</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友梅厅贵宾停车指引</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南侧门</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北侧门</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剧场内机动巡逻岗位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剧场外围机动巡逻岗位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备注</w:t>
            </w:r>
          </w:p>
        </w:tc>
        <w:tc>
          <w:tcPr>
            <w:tcW w:type="dxa" w:w="2284"/>
            <w:tcBorders>
              <w:top w:val="none" w:color="000000" w:sz="4"/>
              <w:left w:val="single" w:color="000000" w:sz="4"/>
              <w:bottom w:val="single" w:color="000000" w:sz="4"/>
              <w:right w:val="single" w:color="000000" w:sz="4"/>
            </w:tcBorders>
            <w:vAlign w:val="top"/>
          </w:tcPr>
          <w:p>
            <w:pPr>
              <w:ind w:firstLine="360"/>
              <w:jc w:val="both"/>
            </w:pPr>
            <w:r>
              <w:rPr>
                <w:sz w:val="18"/>
              </w:rPr>
              <w:t>若文化广场不作为停车场使用</w:t>
            </w:r>
            <w:r>
              <w:rPr>
                <w:sz w:val="18"/>
              </w:rPr>
              <w:t>, 将减去文化广场停车管理员3人，具体使用由采购人的活动方案规定。</w:t>
            </w:r>
          </w:p>
          <w:p>
            <w:pPr>
              <w:ind w:firstLine="360"/>
              <w:jc w:val="both"/>
            </w:pPr>
            <w:r>
              <w:rPr>
                <w:sz w:val="18"/>
              </w:rPr>
              <w:t>开演后，从停车场岗位（即地下停车场、南停车场和</w:t>
            </w:r>
            <w:r>
              <w:rPr>
                <w:sz w:val="18"/>
              </w:rPr>
              <w:t>文化广场</w:t>
            </w:r>
            <w:r>
              <w:rPr>
                <w:sz w:val="18"/>
              </w:rPr>
              <w:t>）、验票口（即安检岗）调</w:t>
            </w:r>
            <w:r>
              <w:rPr>
                <w:sz w:val="18"/>
              </w:rPr>
              <w:t>5人以上到剧场内巡视，帮助维持场内秩序。演出结束前安排3人支援岗亭停车场管理工作。</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共</w:t>
            </w:r>
            <w:r>
              <w:rPr>
                <w:sz w:val="18"/>
              </w:rPr>
              <w:t>28人</w:t>
            </w:r>
          </w:p>
        </w:tc>
      </w:tr>
    </w:tbl>
    <w:p>
      <w:pPr>
        <w:jc w:val="both"/>
      </w:pPr>
      <w:r>
        <w:rPr>
          <w:b/>
          <w:sz w:val="21"/>
        </w:rPr>
        <w:t>3.5</w:t>
      </w:r>
      <w:r>
        <w:rPr>
          <w:b/>
          <w:sz w:val="21"/>
        </w:rPr>
        <w:t>露天文化广场举行活动期间</w:t>
      </w:r>
      <w:r>
        <w:rPr>
          <w:b/>
          <w:sz w:val="21"/>
        </w:rPr>
        <w:t>安保岗位配置表</w:t>
      </w:r>
      <w:r>
        <w:rPr>
          <w:b/>
          <w:sz w:val="21"/>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275"/>
        <w:gridCol w:w="2275"/>
      </w:tblGrid>
      <w:tr>
        <w:tc>
          <w:tcPr>
            <w:tcW w:type="dxa" w:w="2275"/>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2275"/>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23人）</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文化广场入口</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文化广场</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6</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大屏幕后</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停车场出入口岗亭</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南停车场</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地下停车场</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友梅厅贵宾停车指引</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单车棚</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演艺楼东门岗</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南门</w:t>
            </w:r>
            <w:r>
              <w:rPr>
                <w:sz w:val="18"/>
              </w:rPr>
              <w:t>6号梯</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售票厅</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四杰大堂及</w:t>
            </w:r>
            <w:r>
              <w:rPr>
                <w:sz w:val="18"/>
              </w:rPr>
              <w:t>19号楼梯二层平台</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剧场内机动巡逻岗位</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文化广场及外围机动巡逻岗位</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75"/>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共</w:t>
            </w:r>
            <w:r>
              <w:rPr>
                <w:sz w:val="18"/>
              </w:rPr>
              <w:t>23人</w:t>
            </w:r>
          </w:p>
        </w:tc>
      </w:tr>
    </w:tbl>
    <w:p>
      <w:pPr>
        <w:jc w:val="both"/>
      </w:pPr>
      <w:r>
        <w:rPr>
          <w:b/>
          <w:sz w:val="21"/>
        </w:rPr>
        <w:t>3.6</w:t>
      </w:r>
      <w:r>
        <w:rPr>
          <w:b/>
          <w:sz w:val="21"/>
        </w:rPr>
        <w:t>广场舞会期间</w:t>
      </w:r>
      <w:r>
        <w:rPr>
          <w:b/>
          <w:sz w:val="21"/>
        </w:rPr>
        <w:t>安保岗位配置表</w:t>
      </w:r>
      <w:r>
        <w:rPr>
          <w:b/>
          <w:sz w:val="21"/>
        </w:rPr>
        <w:t>：</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284"/>
        <w:gridCol w:w="2284"/>
      </w:tblGrid>
      <w:tr>
        <w:tc>
          <w:tcPr>
            <w:tcW w:type="dxa" w:w="2284"/>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2284"/>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17人）</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文化广场入口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大屏幕后</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停车场出入口岗亭</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地下停车场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单车棚</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演艺楼东门岗</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南门</w:t>
            </w:r>
            <w:r>
              <w:rPr>
                <w:sz w:val="18"/>
              </w:rPr>
              <w:t>6号梯</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售票厅</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四杰大堂及</w:t>
            </w:r>
            <w:r>
              <w:rPr>
                <w:sz w:val="18"/>
              </w:rPr>
              <w:t>19号楼梯二层平台</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剧场内机动巡逻岗位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共</w:t>
            </w:r>
            <w:r>
              <w:rPr>
                <w:sz w:val="18"/>
              </w:rPr>
              <w:t>17人</w:t>
            </w:r>
          </w:p>
        </w:tc>
      </w:tr>
    </w:tbl>
    <w:p>
      <w:pPr>
        <w:jc w:val="both"/>
      </w:pPr>
      <w:r>
        <w:rPr>
          <w:b/>
          <w:sz w:val="21"/>
        </w:rPr>
        <w:t>3.7大、小剧场、露天文化广场同时举行活动期间安保岗位配置表：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284"/>
        <w:gridCol w:w="2284"/>
      </w:tblGrid>
      <w:tr>
        <w:tc>
          <w:tcPr>
            <w:tcW w:type="dxa" w:w="2284"/>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2284"/>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31人）</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文化广场入口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19号楼梯口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文化广场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6</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大屏幕后</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停车场出入口岗亭</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南停车场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地下停车场</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单车棚</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外围冷却塔旁车辆入口</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演艺楼东门岗</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南门</w:t>
            </w:r>
            <w:r>
              <w:rPr>
                <w:sz w:val="18"/>
              </w:rPr>
              <w:t>6号梯</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售票厅</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安检岗</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4</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友梅厅贵宾停车指引</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南侧门</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北侧门</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剧场内机动巡逻岗位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剧场外围机动巡逻岗位</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备注</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开演时，停车场岗位（即地下停车场、南停车场和</w:t>
            </w:r>
            <w:r>
              <w:rPr>
                <w:sz w:val="18"/>
              </w:rPr>
              <w:t>文化广场</w:t>
            </w:r>
            <w:r>
              <w:rPr>
                <w:sz w:val="18"/>
              </w:rPr>
              <w:t>）、验票口（即</w:t>
            </w:r>
            <w:r>
              <w:rPr>
                <w:sz w:val="18"/>
              </w:rPr>
              <w:t>安检岗</w:t>
            </w:r>
            <w:r>
              <w:rPr>
                <w:sz w:val="18"/>
              </w:rPr>
              <w:t>）抽调</w:t>
            </w:r>
            <w:r>
              <w:rPr>
                <w:sz w:val="18"/>
              </w:rPr>
              <w:t>5人以上到剧场内巡视，帮助维持场内秩序。演出结束前安排3人支援岗亭停车场管理工作。</w:t>
            </w:r>
          </w:p>
        </w:tc>
      </w:tr>
      <w:tr>
        <w:tc>
          <w:tcPr>
            <w:tcW w:type="dxa" w:w="228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共</w:t>
            </w:r>
            <w:r>
              <w:rPr>
                <w:sz w:val="18"/>
              </w:rPr>
              <w:t>31人</w:t>
            </w:r>
          </w:p>
        </w:tc>
      </w:tr>
    </w:tbl>
    <w:p>
      <w:pPr>
        <w:ind w:firstLine="420"/>
        <w:jc w:val="both"/>
      </w:pPr>
      <w:r>
        <w:rPr>
          <w:sz w:val="21"/>
        </w:rPr>
        <w:t>注：售票厅、四杰大堂、一层演艺区、艺术长廊、人定展厅、大剧场一层休息南区、大剧场一层休息北区或大剧场二楼休息平台等区域分别或同时举行活动时，应按区域大小及参加人数应在各区域配备</w:t>
      </w:r>
      <w:r>
        <w:rPr>
          <w:sz w:val="21"/>
        </w:rPr>
        <w:t>2-3名保安员维持现场秩序。</w:t>
      </w:r>
    </w:p>
    <w:p>
      <w:pPr>
        <w:ind w:firstLine="420"/>
      </w:pPr>
      <w:r>
        <w:rPr>
          <w:b/>
          <w:sz w:val="21"/>
        </w:rPr>
        <w:t>4.安保服务要求及质量标准：</w:t>
      </w:r>
    </w:p>
    <w:p>
      <w:pPr>
        <w:ind w:firstLine="420"/>
        <w:jc w:val="both"/>
      </w:pPr>
      <w:r>
        <w:rPr>
          <w:sz w:val="21"/>
        </w:rPr>
        <w:t>4</w:t>
      </w:r>
      <w:r>
        <w:rPr>
          <w:sz w:val="21"/>
        </w:rPr>
        <w:t>.1上岗时佩戴统一标志，穿着统一制服。器械</w:t>
      </w:r>
      <w:r>
        <w:rPr>
          <w:sz w:val="21"/>
        </w:rPr>
        <w:t>佩戴</w:t>
      </w:r>
      <w:r>
        <w:rPr>
          <w:sz w:val="21"/>
        </w:rPr>
        <w:t>规范，仪容仪表规范整齐；值班时站、坐姿挺直，不倚不靠；会讲普通话，使用服务用语；配备对讲装置和其他必备的防卫器械。</w:t>
      </w:r>
    </w:p>
    <w:p>
      <w:pPr>
        <w:ind w:firstLine="420"/>
        <w:jc w:val="both"/>
      </w:pPr>
      <w:r>
        <w:rPr>
          <w:sz w:val="21"/>
        </w:rPr>
        <w:t>4</w:t>
      </w:r>
      <w:r>
        <w:rPr>
          <w:sz w:val="21"/>
        </w:rPr>
        <w:t>.2管辖范围包括演艺大楼、露天文化广场、室外公共区域、停车场。</w:t>
      </w:r>
    </w:p>
    <w:p>
      <w:pPr>
        <w:ind w:firstLine="420"/>
        <w:jc w:val="both"/>
      </w:pPr>
      <w:r>
        <w:rPr>
          <w:sz w:val="21"/>
        </w:rPr>
        <w:t>4</w:t>
      </w:r>
      <w:r>
        <w:rPr>
          <w:sz w:val="21"/>
        </w:rPr>
        <w:t>.3中标人需制定保安员培训计划，每月进行安全保卫知识技能的岗位培训与考核，并将考核结果提交采购人，考核不合格的不能上岗。新入职的保安员进行为期7天的岗前培训，考核合格后方可上岗。保安员应掌握安全保卫基本技能，能正确使用多类消防、物防、技防器械和设备，熟悉、掌握多类刑事、治安案件和各类灾害事故的应急预案，定期进行实战演练；培训一支遵纪守法、思想素质高、业务能力强、工作责任心强的保安队伍，执行严格的纪律和岗位责任制，以确保采购人保卫工作的安全、有序。</w:t>
      </w:r>
    </w:p>
    <w:p>
      <w:pPr>
        <w:ind w:firstLine="420"/>
        <w:jc w:val="both"/>
      </w:pPr>
      <w:r>
        <w:rPr>
          <w:sz w:val="21"/>
        </w:rPr>
        <w:t>4</w:t>
      </w:r>
      <w:r>
        <w:rPr>
          <w:sz w:val="21"/>
        </w:rPr>
        <w:t>.4中标人保安部应根据各出入口的功能性质, 制定各出入口值勤岗位、值勤时间、岗位职责等管理规范。主要出入口安排保安人员24小时值班，对进入演艺大楼和培训大楼的人员或其所携带物品要登记，负责传呼被访部门和被访人，对非委托人</w:t>
      </w:r>
      <w:r>
        <w:rPr>
          <w:sz w:val="21"/>
        </w:rPr>
        <w:t>（</w:t>
      </w:r>
      <w:r>
        <w:rPr>
          <w:sz w:val="21"/>
        </w:rPr>
        <w:t>或非业主</w:t>
      </w:r>
      <w:r>
        <w:rPr>
          <w:sz w:val="21"/>
        </w:rPr>
        <w:t>）</w:t>
      </w:r>
      <w:r>
        <w:rPr>
          <w:sz w:val="21"/>
        </w:rPr>
        <w:t>带离演艺大楼或培训大楼的物品进行登记，记录要详细、清晰、准确。保安交接班要有详细记录。加强安全出口管理，确保日常工作或演出期间场内安全出口和消防通道、车道畅通无阻。</w:t>
      </w:r>
    </w:p>
    <w:p>
      <w:pPr>
        <w:ind w:firstLine="420"/>
        <w:jc w:val="both"/>
      </w:pPr>
      <w:r>
        <w:rPr>
          <w:sz w:val="21"/>
        </w:rPr>
        <w:t>4</w:t>
      </w:r>
      <w:r>
        <w:rPr>
          <w:sz w:val="21"/>
        </w:rPr>
        <w:t>.5每月对物业管理范围内的所有消防设备进行检查，发现问题汇总后附上整改措施与期限以书面形式汇报采购人。限期内跟踪并督促相关责任部门完成消防问题的整改。</w:t>
      </w:r>
    </w:p>
    <w:p>
      <w:pPr>
        <w:ind w:firstLine="420"/>
        <w:jc w:val="both"/>
      </w:pPr>
      <w:r>
        <w:rPr>
          <w:sz w:val="21"/>
        </w:rPr>
        <w:t>4</w:t>
      </w:r>
      <w:r>
        <w:rPr>
          <w:sz w:val="21"/>
        </w:rPr>
        <w:t>.6根据采购人场地的特点以及采购人活动要求，制定各场地的安全保卫管理制度，报采购人审核后按照管理制度开展场地安全保卫管理工作。包括但不限于场地设备设施保管、场内秩序及噪音管理、人员安全管理、人流管控制度、车辆管理、演出活动安全保卫工作方案、艺术品保护制度及其他安全和应急管理等制度。</w:t>
      </w:r>
    </w:p>
    <w:p>
      <w:pPr>
        <w:ind w:firstLine="420"/>
        <w:jc w:val="both"/>
      </w:pPr>
      <w:r>
        <w:rPr>
          <w:sz w:val="21"/>
        </w:rPr>
        <w:t>4</w:t>
      </w:r>
      <w:r>
        <w:rPr>
          <w:sz w:val="21"/>
        </w:rPr>
        <w:t>.7协助采购人做好接待、指引剧场服务工作，演出期间按照采购人及上级部门关于活动的要求开展安全检查，维持现场秩序。协助采购人做好所举办的各类政府活动的日常搬运、现场布置等工作。</w:t>
      </w:r>
    </w:p>
    <w:p>
      <w:pPr>
        <w:ind w:firstLine="420"/>
        <w:jc w:val="both"/>
      </w:pPr>
      <w:r>
        <w:rPr>
          <w:sz w:val="21"/>
        </w:rPr>
        <w:t>4</w:t>
      </w:r>
      <w:r>
        <w:rPr>
          <w:sz w:val="21"/>
        </w:rPr>
        <w:t>.8加强物防、技防与人防相结合，做好物业区域的安全保卫工作。制定保卫巡逻方案，配合智能安防系统对重点部位增加巡逻次数，制定3条以上巡逻路线，应每季度1次更换巡逻路线。巡逻按时打更</w:t>
      </w:r>
      <w:r>
        <w:rPr>
          <w:sz w:val="21"/>
        </w:rPr>
        <w:t>（</w:t>
      </w:r>
      <w:r>
        <w:rPr>
          <w:sz w:val="21"/>
        </w:rPr>
        <w:t>各巡逻点打更时间与要求时间相差不得超过</w:t>
      </w:r>
      <w:r>
        <w:rPr>
          <w:sz w:val="21"/>
        </w:rPr>
        <w:t>2分钟</w:t>
      </w:r>
      <w:r>
        <w:rPr>
          <w:sz w:val="21"/>
        </w:rPr>
        <w:t>）</w:t>
      </w:r>
      <w:r>
        <w:rPr>
          <w:sz w:val="21"/>
        </w:rPr>
        <w:t>，发现紧急问题时，立即报告求助，援助人员应</w:t>
      </w:r>
      <w:r>
        <w:rPr>
          <w:sz w:val="21"/>
        </w:rPr>
        <w:t>5分钟内到达现场。避免盗窃事件的发生。确保无重大治安安全事故发生。</w:t>
      </w:r>
    </w:p>
    <w:p>
      <w:pPr>
        <w:ind w:firstLine="420"/>
        <w:jc w:val="both"/>
      </w:pPr>
      <w:r>
        <w:rPr>
          <w:sz w:val="21"/>
        </w:rPr>
        <w:t>4</w:t>
      </w:r>
      <w:r>
        <w:rPr>
          <w:sz w:val="21"/>
        </w:rPr>
        <w:t>.9制定火灾、水灾、地震、恶劣天气、自然灾害、突发事件（如防止恐怖袭击，非法闯入，控制集体上访和抗议示威事件，突发治安事件，针对领导人、演员、艺术家的事件，重要活动保护、重要资料财物的保护和转移、停电、停水和通讯中断等）、防止恐怖袭击等应急预案，必要时启动应急预案报告采购人，协助保护现场，防止事态进一步恶化。每年组织演练不少于2次（含2次），具体时间、地点、内容需与采购人商榷。</w:t>
      </w:r>
    </w:p>
    <w:p>
      <w:pPr>
        <w:ind w:firstLine="420"/>
        <w:jc w:val="both"/>
      </w:pPr>
      <w:r>
        <w:rPr>
          <w:sz w:val="21"/>
        </w:rPr>
        <w:t>4</w:t>
      </w:r>
      <w:r>
        <w:rPr>
          <w:sz w:val="21"/>
        </w:rPr>
        <w:t>.10根据中心各停车场划分区域指引机动车和非机动车的有序停放。做好采购人区域内员工车辆的登记。经采购人委托以及相关程序许可后，按照经市发改部门确定的收费标准安排专人开展停车收费工作，每月定期与中心进行停车费用结算。指引车辆按标线行驶、按车位有序停放，加强停车场巡查，防止发生车辆被盗、剐蹭、撞人等交通事故。非演出期间，广场禁止所有车辆（含机动车及非机动车）行驶。活动期间，特别车流高峰期间做好交通疏导,避免堵塞交通。当发生事故立即报警并协助交警处理事故。</w:t>
      </w:r>
    </w:p>
    <w:p>
      <w:pPr>
        <w:ind w:firstLine="420"/>
        <w:jc w:val="both"/>
      </w:pPr>
      <w:r>
        <w:rPr>
          <w:sz w:val="21"/>
        </w:rPr>
        <w:t>4</w:t>
      </w:r>
      <w:r>
        <w:rPr>
          <w:sz w:val="21"/>
        </w:rPr>
        <w:t>.11中标人在管理采购人物业的过程中发生公众财物、物业财物失窃及人身受伤害的，如属中标人管理疏忽导致的，由中标人承担责任；如因采购人的原因造成的，由采购人负责。</w:t>
      </w:r>
    </w:p>
    <w:p>
      <w:pPr>
        <w:ind w:firstLine="420"/>
        <w:jc w:val="both"/>
      </w:pPr>
      <w:r>
        <w:rPr>
          <w:sz w:val="21"/>
        </w:rPr>
        <w:t>4</w:t>
      </w:r>
      <w:r>
        <w:rPr>
          <w:sz w:val="21"/>
        </w:rPr>
        <w:t>.12完成采购人提出的其它与安全保卫有关事项。</w:t>
      </w:r>
    </w:p>
    <w:p>
      <w:pPr>
        <w:ind w:firstLine="421"/>
      </w:pPr>
    </w:p>
    <w:p>
      <w:pPr>
        <w:ind w:firstLine="421"/>
      </w:pPr>
      <w:r>
        <w:rPr>
          <w:b/>
          <w:sz w:val="21"/>
        </w:rPr>
        <w:t>（二）保洁服务</w:t>
      </w:r>
    </w:p>
    <w:p>
      <w:pPr>
        <w:ind w:firstLine="421"/>
      </w:pPr>
      <w:r>
        <w:rPr>
          <w:b/>
          <w:sz w:val="21"/>
        </w:rPr>
        <w:t>1.保洁人员要求</w:t>
      </w:r>
      <w:r>
        <w:rPr>
          <w:sz w:val="21"/>
        </w:rPr>
        <w:t>（保洁人员</w:t>
      </w:r>
      <w:r>
        <w:rPr>
          <w:sz w:val="21"/>
        </w:rPr>
        <w:t>19人，含保洁主管1人）</w:t>
      </w:r>
    </w:p>
    <w:p>
      <w:pPr>
        <w:ind w:firstLine="420"/>
      </w:pPr>
      <w:r>
        <w:rPr>
          <w:sz w:val="21"/>
        </w:rPr>
        <w:t>1.1保洁主管要求：年龄45岁或以下，身体健康，政历清楚，五官端正。具备有害生物防制的相关知识，具备5年或以上的保洁工作经验，3年或以上的保洁工作管理经验，掌握各种清洁剂的功能及用途。持有《健康证》等证书。</w:t>
      </w:r>
    </w:p>
    <w:p>
      <w:pPr>
        <w:ind w:firstLine="420"/>
      </w:pPr>
      <w:r>
        <w:rPr>
          <w:sz w:val="21"/>
        </w:rPr>
        <w:t>1.2保洁主管工作：</w:t>
      </w:r>
      <w:r>
        <w:rPr>
          <w:sz w:val="21"/>
        </w:rPr>
        <w:t>采购人作为中山市重要文化艺术演出场所及中山市的窗口单位，</w:t>
      </w:r>
      <w:r>
        <w:rPr>
          <w:sz w:val="21"/>
        </w:rPr>
        <w:t>“灭四害”工作作为每年绩效考核重要指标，不能出现因有害生物导致的卫生问题，要求</w:t>
      </w:r>
      <w:r>
        <w:rPr>
          <w:sz w:val="21"/>
        </w:rPr>
        <w:t>保洁主管具备有害生物防治能力，制定</w:t>
      </w:r>
      <w:r>
        <w:rPr>
          <w:sz w:val="21"/>
        </w:rPr>
        <w:t>“灭四害”等有害生物治理工作方案及监督开展相关防治管理工作，并负责保洁部人员的管理、培训、考核监督。</w:t>
      </w:r>
    </w:p>
    <w:p>
      <w:pPr>
        <w:ind w:firstLine="420"/>
      </w:pPr>
      <w:r>
        <w:rPr>
          <w:sz w:val="21"/>
        </w:rPr>
        <w:t>1.3保洁部领班3名（大剧场及大堂、小剧场及附属区、室外及特殊清洁各1名），保洁部领班具备5年或以上的保洁工作经验，掌握各种清洁剂的功能及用途。持有《健康证》证书。</w:t>
      </w:r>
    </w:p>
    <w:p>
      <w:pPr>
        <w:ind w:firstLine="420"/>
      </w:pPr>
      <w:r>
        <w:rPr>
          <w:sz w:val="21"/>
        </w:rPr>
        <w:t>1.4一般保洁人员要求：为人诚恳，吃苦耐劳、细心负责，持有《健康证》。</w:t>
      </w:r>
    </w:p>
    <w:p>
      <w:pPr>
        <w:ind w:firstLine="420"/>
        <w:jc w:val="both"/>
      </w:pPr>
      <w:r>
        <w:rPr>
          <w:sz w:val="21"/>
        </w:rPr>
        <w:t>2.工作时间：</w:t>
      </w:r>
      <w:r>
        <w:rPr>
          <w:sz w:val="21"/>
        </w:rPr>
        <w:t>上午</w:t>
      </w:r>
      <w:r>
        <w:rPr>
          <w:sz w:val="21"/>
        </w:rPr>
        <w:t>7</w:t>
      </w:r>
      <w:r>
        <w:rPr>
          <w:sz w:val="21"/>
        </w:rPr>
        <w:t>:</w:t>
      </w:r>
      <w:r>
        <w:rPr>
          <w:sz w:val="21"/>
        </w:rPr>
        <w:t>0</w:t>
      </w:r>
      <w:r>
        <w:rPr>
          <w:sz w:val="21"/>
        </w:rPr>
        <w:t>0至</w:t>
      </w:r>
      <w:r>
        <w:rPr>
          <w:sz w:val="21"/>
        </w:rPr>
        <w:t>11:00，下午14:00至18:00（特殊情况下在非工作时间接到采购人电话或管理人员电话的，需要及时返回工作地方值班</w:t>
      </w:r>
      <w:r>
        <w:rPr>
          <w:sz w:val="21"/>
        </w:rPr>
        <w:t>，采购人不承担任何加班费用</w:t>
      </w:r>
      <w:r>
        <w:rPr>
          <w:sz w:val="21"/>
        </w:rPr>
        <w:t>）。</w:t>
      </w:r>
    </w:p>
    <w:p>
      <w:pPr>
        <w:ind w:firstLine="421"/>
      </w:pPr>
      <w:r>
        <w:rPr>
          <w:b/>
          <w:sz w:val="21"/>
        </w:rPr>
        <w:t>3.保洁人员配置安排：</w:t>
      </w:r>
    </w:p>
    <w:p>
      <w:pPr>
        <w:ind w:firstLine="420"/>
      </w:pPr>
      <w:r>
        <w:rPr>
          <w:sz w:val="21"/>
        </w:rPr>
        <w:t>★</w:t>
      </w:r>
      <w:r>
        <w:rPr>
          <w:sz w:val="21"/>
        </w:rPr>
        <w:t>3.1</w:t>
      </w:r>
      <w:r>
        <w:rPr>
          <w:sz w:val="21"/>
        </w:rPr>
        <w:t>中标人须承诺：保洁部日常岗位配置及人员数量不低于下面</w:t>
      </w:r>
      <w:r>
        <w:rPr>
          <w:sz w:val="21"/>
        </w:rPr>
        <w:t>“3.2保洁部日常岗位配置表”的要求。</w:t>
      </w:r>
      <w:r>
        <w:rPr>
          <w:sz w:val="21"/>
          <w:u w:val="single"/>
        </w:rPr>
        <w:t>【响应方式：投标文件承诺响应，应优先在</w:t>
      </w:r>
      <w:r>
        <w:rPr>
          <w:sz w:val="21"/>
          <w:u w:val="single"/>
        </w:rPr>
        <w:t>“投标文件附加格式《“★”条款响应表》”中填写并作出响应，填表视为已承诺，作为评审依据。】</w:t>
      </w:r>
    </w:p>
    <w:p>
      <w:pPr>
        <w:ind w:firstLine="421"/>
      </w:pPr>
      <w:r>
        <w:rPr>
          <w:b/>
          <w:sz w:val="21"/>
        </w:rPr>
        <w:t>3.2</w:t>
      </w:r>
      <w:r>
        <w:rPr>
          <w:b/>
          <w:sz w:val="21"/>
        </w:rPr>
        <w:t>保洁部日常岗位配置表：</w:t>
      </w:r>
    </w:p>
    <w:tbl>
      <w:tblPr>
        <w:tblW w:w="0" w:type="auto"/>
        <w:tblBorders>
          <w:top w:val="none" w:color="000000" w:sz="4"/>
          <w:left w:val="none" w:color="000000" w:sz="4"/>
          <w:bottom w:val="none" w:color="000000" w:sz="4"/>
          <w:right w:val="none" w:color="000000" w:sz="4"/>
          <w:insideH w:val="none"/>
          <w:insideV w:val="none"/>
        </w:tblBorders>
      </w:tblPr>
      <w:tblGrid>
        <w:gridCol w:w="614"/>
        <w:gridCol w:w="876"/>
        <w:gridCol w:w="876"/>
        <w:gridCol w:w="2309"/>
      </w:tblGrid>
      <w:tr>
        <w:tc>
          <w:tcPr>
            <w:tcW w:type="dxa" w:w="2366"/>
            <w:gridSpan w:val="3"/>
            <w:tcBorders>
              <w:top w:val="single" w:color="000000" w:sz="4"/>
              <w:left w:val="single" w:color="000000" w:sz="4"/>
              <w:bottom w:val="single" w:color="000000" w:sz="4"/>
              <w:right w:val="single" w:color="000000" w:sz="4"/>
            </w:tcBorders>
            <w:vAlign w:val="top"/>
          </w:tcPr>
          <w:p>
            <w:pPr>
              <w:jc w:val="center"/>
            </w:pPr>
            <w:r>
              <w:rPr>
                <w:b/>
                <w:sz w:val="18"/>
              </w:rPr>
              <w:t>值班地点</w:t>
            </w:r>
          </w:p>
        </w:tc>
        <w:tc>
          <w:tcPr>
            <w:tcW w:type="dxa" w:w="2309"/>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19人）</w:t>
            </w:r>
          </w:p>
        </w:tc>
      </w:tr>
      <w:tr>
        <w:tc>
          <w:tcPr>
            <w:tcW w:type="dxa" w:w="614"/>
            <w:vMerge w:val="restart"/>
            <w:tcBorders>
              <w:top w:val="none" w:color="000000" w:sz="4"/>
              <w:left w:val="single" w:color="000000" w:sz="4"/>
              <w:bottom w:val="single" w:color="000000" w:sz="4"/>
              <w:right w:val="single" w:color="000000" w:sz="4"/>
            </w:tcBorders>
            <w:vAlign w:val="top"/>
          </w:tcPr>
          <w:p>
            <w:pPr>
              <w:jc w:val="center"/>
            </w:pPr>
            <w:r>
              <w:rPr>
                <w:sz w:val="18"/>
              </w:rPr>
              <w:t>演艺大楼</w:t>
            </w:r>
          </w:p>
        </w:tc>
        <w:tc>
          <w:tcPr>
            <w:tcW w:type="dxa" w:w="1752"/>
            <w:gridSpan w:val="2"/>
            <w:tcBorders>
              <w:top w:val="none" w:color="000000" w:sz="4"/>
              <w:left w:val="single" w:color="000000" w:sz="4"/>
              <w:bottom w:val="single" w:color="000000" w:sz="4"/>
              <w:right w:val="single" w:color="000000" w:sz="4"/>
            </w:tcBorders>
            <w:vAlign w:val="top"/>
          </w:tcPr>
          <w:p>
            <w:pPr>
              <w:jc w:val="center"/>
            </w:pPr>
            <w:r>
              <w:rPr>
                <w:sz w:val="18"/>
              </w:rPr>
              <w:t>大剧场一至三层</w:t>
            </w:r>
          </w:p>
        </w:tc>
        <w:tc>
          <w:tcPr>
            <w:tcW w:type="dxa" w:w="2309"/>
            <w:tcBorders>
              <w:top w:val="single" w:color="000000" w:sz="4"/>
              <w:left w:val="single" w:color="000000" w:sz="4"/>
              <w:bottom w:val="single" w:color="000000" w:sz="4"/>
              <w:right w:val="single" w:color="000000" w:sz="4"/>
            </w:tcBorders>
            <w:vAlign w:val="top"/>
          </w:tcPr>
          <w:p>
            <w:pPr>
              <w:jc w:val="center"/>
            </w:pPr>
            <w:r>
              <w:rPr>
                <w:sz w:val="18"/>
              </w:rPr>
              <w:t>3</w:t>
            </w:r>
          </w:p>
        </w:tc>
      </w:tr>
      <w:tr>
        <w:tc>
          <w:tcPr>
            <w:tcW w:type="dxa" w:w="614"/>
            <w:vMerge/>
            <w:tcBorders>
              <w:top w:val="none" w:color="000000" w:sz="4"/>
              <w:left w:val="single" w:color="000000" w:sz="4"/>
              <w:bottom w:val="single" w:color="000000" w:sz="4"/>
              <w:right w:val="single" w:color="000000" w:sz="4"/>
            </w:tcBorders>
          </w:tcPr>
          <w:p/>
        </w:tc>
        <w:tc>
          <w:tcPr>
            <w:tcW w:type="dxa" w:w="1752"/>
            <w:gridSpan w:val="2"/>
            <w:tcBorders>
              <w:top w:val="none" w:color="000000" w:sz="4"/>
              <w:left w:val="single" w:color="000000" w:sz="4"/>
              <w:bottom w:val="single" w:color="000000" w:sz="4"/>
              <w:right w:val="single" w:color="000000" w:sz="4"/>
            </w:tcBorders>
            <w:vAlign w:val="top"/>
          </w:tcPr>
          <w:p>
            <w:pPr>
              <w:jc w:val="center"/>
            </w:pPr>
            <w:r>
              <w:rPr>
                <w:sz w:val="18"/>
              </w:rPr>
              <w:t>小剧场、大堂一层、大堂二层、大堂三四层、附属负一层至四层</w:t>
            </w:r>
          </w:p>
        </w:tc>
        <w:tc>
          <w:tcPr>
            <w:tcW w:type="dxa" w:w="2309"/>
            <w:tcBorders>
              <w:top w:val="none" w:color="000000" w:sz="4"/>
              <w:left w:val="single" w:color="000000" w:sz="4"/>
              <w:bottom w:val="single" w:color="000000" w:sz="4"/>
              <w:right w:val="single" w:color="000000" w:sz="4"/>
            </w:tcBorders>
            <w:vAlign w:val="top"/>
          </w:tcPr>
          <w:p>
            <w:pPr>
              <w:jc w:val="center"/>
            </w:pPr>
            <w:r>
              <w:rPr>
                <w:sz w:val="18"/>
              </w:rPr>
              <w:t>9</w:t>
            </w:r>
          </w:p>
        </w:tc>
      </w:tr>
      <w:tr>
        <w:tc>
          <w:tcPr>
            <w:tcW w:type="dxa" w:w="2366"/>
            <w:gridSpan w:val="3"/>
            <w:tcBorders>
              <w:top w:val="none" w:color="000000" w:sz="4"/>
              <w:left w:val="single" w:color="000000" w:sz="4"/>
              <w:bottom w:val="single" w:color="000000" w:sz="4"/>
              <w:right w:val="single" w:color="000000" w:sz="4"/>
            </w:tcBorders>
            <w:vAlign w:val="top"/>
          </w:tcPr>
          <w:p>
            <w:pPr>
              <w:jc w:val="center"/>
            </w:pPr>
            <w:r>
              <w:rPr>
                <w:sz w:val="18"/>
              </w:rPr>
              <w:t>外环境</w:t>
            </w:r>
          </w:p>
        </w:tc>
        <w:tc>
          <w:tcPr>
            <w:tcW w:type="dxa" w:w="2309"/>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366"/>
            <w:gridSpan w:val="3"/>
            <w:tcBorders>
              <w:top w:val="none" w:color="000000" w:sz="4"/>
              <w:left w:val="single" w:color="000000" w:sz="4"/>
              <w:bottom w:val="single" w:color="000000" w:sz="4"/>
              <w:right w:val="single" w:color="000000" w:sz="4"/>
            </w:tcBorders>
            <w:vAlign w:val="top"/>
          </w:tcPr>
          <w:p>
            <w:pPr>
              <w:jc w:val="center"/>
            </w:pPr>
            <w:r>
              <w:rPr>
                <w:sz w:val="18"/>
              </w:rPr>
              <w:t>地下车库（共用岗位）</w:t>
            </w:r>
          </w:p>
        </w:tc>
        <w:tc>
          <w:tcPr>
            <w:tcW w:type="dxa" w:w="2309"/>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66"/>
            <w:gridSpan w:val="3"/>
            <w:tcBorders>
              <w:top w:val="none" w:color="000000" w:sz="4"/>
              <w:left w:val="single" w:color="000000" w:sz="4"/>
              <w:bottom w:val="single" w:color="000000" w:sz="4"/>
              <w:right w:val="single" w:color="000000" w:sz="4"/>
            </w:tcBorders>
            <w:vAlign w:val="top"/>
          </w:tcPr>
          <w:p>
            <w:pPr>
              <w:jc w:val="center"/>
            </w:pPr>
            <w:r>
              <w:rPr>
                <w:sz w:val="18"/>
              </w:rPr>
              <w:t>特殊清洁（共用岗位）</w:t>
            </w:r>
          </w:p>
        </w:tc>
        <w:tc>
          <w:tcPr>
            <w:tcW w:type="dxa" w:w="2309"/>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66"/>
            <w:gridSpan w:val="3"/>
            <w:tcBorders>
              <w:top w:val="none" w:color="000000" w:sz="4"/>
              <w:left w:val="single" w:color="000000" w:sz="4"/>
              <w:bottom w:val="single" w:color="000000" w:sz="4"/>
              <w:right w:val="single" w:color="000000" w:sz="4"/>
            </w:tcBorders>
            <w:vAlign w:val="top"/>
          </w:tcPr>
          <w:p>
            <w:pPr>
              <w:jc w:val="center"/>
            </w:pPr>
            <w:r>
              <w:rPr>
                <w:sz w:val="18"/>
              </w:rPr>
              <w:t>主管</w:t>
            </w:r>
          </w:p>
        </w:tc>
        <w:tc>
          <w:tcPr>
            <w:tcW w:type="dxa" w:w="2309"/>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490"/>
            <w:gridSpan w:val="2"/>
            <w:tcBorders>
              <w:top w:val="none" w:color="000000" w:sz="4"/>
              <w:left w:val="single" w:color="000000" w:sz="4"/>
              <w:bottom w:val="single" w:color="000000" w:sz="4"/>
              <w:right w:val="single" w:color="000000" w:sz="4"/>
            </w:tcBorders>
            <w:vAlign w:val="top"/>
          </w:tcPr>
          <w:p>
            <w:pPr>
              <w:jc w:val="center"/>
            </w:pPr>
            <w:r>
              <w:rPr>
                <w:sz w:val="18"/>
              </w:rPr>
              <w:t>备注</w:t>
            </w:r>
          </w:p>
        </w:tc>
        <w:tc>
          <w:tcPr>
            <w:tcW w:type="dxa" w:w="3185"/>
            <w:gridSpan w:val="2"/>
            <w:tcBorders>
              <w:top w:val="none" w:color="000000" w:sz="4"/>
              <w:left w:val="single" w:color="000000" w:sz="4"/>
              <w:bottom w:val="single" w:color="000000" w:sz="4"/>
              <w:right w:val="single" w:color="000000" w:sz="4"/>
            </w:tcBorders>
            <w:vAlign w:val="top"/>
          </w:tcPr>
          <w:p>
            <w:pPr>
              <w:jc w:val="both"/>
            </w:pPr>
            <w:r>
              <w:rPr>
                <w:sz w:val="18"/>
              </w:rPr>
              <w:t>演艺大楼及附属区每天安排至少</w:t>
            </w:r>
            <w:r>
              <w:rPr>
                <w:sz w:val="18"/>
              </w:rPr>
              <w:t>12名保洁员当值；中心外围及车库每天安排至少4名保洁员当值。（包含保洁部主管1名和领班3名），特殊清洁根据清洁计划对中心水池、地面、墙面、贵宾厅地毯墙纸沙发等开展特殊清洁服务。</w:t>
            </w:r>
          </w:p>
        </w:tc>
      </w:tr>
      <w:tr>
        <w:tc>
          <w:tcPr>
            <w:tcW w:type="dxa" w:w="2366"/>
            <w:gridSpan w:val="3"/>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309"/>
            <w:tcBorders>
              <w:top w:val="none" w:color="000000" w:sz="4"/>
              <w:left w:val="single" w:color="000000" w:sz="4"/>
              <w:bottom w:val="single" w:color="000000" w:sz="4"/>
              <w:right w:val="single" w:color="000000" w:sz="4"/>
            </w:tcBorders>
            <w:vAlign w:val="top"/>
          </w:tcPr>
          <w:p>
            <w:pPr>
              <w:jc w:val="center"/>
            </w:pPr>
            <w:r>
              <w:rPr>
                <w:sz w:val="18"/>
              </w:rPr>
              <w:t>共</w:t>
            </w:r>
            <w:r>
              <w:rPr>
                <w:sz w:val="18"/>
              </w:rPr>
              <w:t>19人</w:t>
            </w:r>
          </w:p>
        </w:tc>
      </w:tr>
    </w:tbl>
    <w:p>
      <w:pPr>
        <w:ind w:firstLine="420"/>
        <w:jc w:val="both"/>
      </w:pPr>
      <w:r>
        <w:rPr>
          <w:sz w:val="21"/>
        </w:rPr>
        <w:t>★</w:t>
      </w:r>
      <w:r>
        <w:rPr>
          <w:sz w:val="21"/>
        </w:rPr>
        <w:t>3.3</w:t>
      </w:r>
      <w:r>
        <w:rPr>
          <w:sz w:val="21"/>
        </w:rPr>
        <w:t>中标人须承诺：保洁部活动期间的岗位配置及人员数量不低于</w:t>
      </w:r>
      <w:r>
        <w:rPr>
          <w:sz w:val="21"/>
        </w:rPr>
        <w:t>“</w:t>
      </w:r>
      <w:r>
        <w:rPr>
          <w:sz w:val="21"/>
        </w:rPr>
        <w:t>3.4大剧场举办活动期间保洁岗位配置表</w:t>
      </w:r>
      <w:r>
        <w:rPr>
          <w:sz w:val="21"/>
        </w:rPr>
        <w:t>”“</w:t>
      </w:r>
      <w:r>
        <w:rPr>
          <w:sz w:val="21"/>
        </w:rPr>
        <w:t>3.5小剧场举办活动期间保洁岗位配置表</w:t>
      </w:r>
      <w:r>
        <w:rPr>
          <w:sz w:val="21"/>
        </w:rPr>
        <w:t>”“</w:t>
      </w:r>
      <w:r>
        <w:rPr>
          <w:sz w:val="21"/>
        </w:rPr>
        <w:t>3.6文化广场举办活动期间保洁岗位配置表</w:t>
      </w:r>
      <w:r>
        <w:rPr>
          <w:sz w:val="21"/>
        </w:rPr>
        <w:t>”的要求。</w:t>
      </w:r>
      <w:r>
        <w:rPr>
          <w:sz w:val="21"/>
          <w:u w:val="single"/>
        </w:rPr>
        <w:t>【响应方式：投标文件承诺响应，应优先在</w:t>
      </w:r>
      <w:r>
        <w:rPr>
          <w:sz w:val="21"/>
          <w:u w:val="single"/>
        </w:rPr>
        <w:t>“投标文件附加格式《“★”条款响应表》”中填写并作出响应，填表视为已承诺，作为评审依据。】</w:t>
      </w:r>
    </w:p>
    <w:p>
      <w:pPr>
        <w:ind w:firstLine="421"/>
      </w:pPr>
      <w:r>
        <w:rPr>
          <w:b/>
          <w:sz w:val="21"/>
        </w:rPr>
        <w:t>3.4大剧场举办活动期间保洁岗位配置表：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69"/>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12人）</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一楼、二楼洗手间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每间各配</w:t>
            </w:r>
            <w:r>
              <w:rPr>
                <w:sz w:val="18"/>
              </w:rPr>
              <w:t>1人</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三楼洗手间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每两间配</w:t>
            </w:r>
            <w:r>
              <w:rPr>
                <w:sz w:val="18"/>
              </w:rPr>
              <w:t>1人</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二楼休息平台、四杰大堂、艺术长廊、各门口及通道</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6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一楼化妆间及洗手间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6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一楼售票厅及两旁的洗手间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6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二楼化妆间（机动）</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主管或领班</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3138"/>
            <w:gridSpan w:val="2"/>
            <w:tcBorders>
              <w:top w:val="none" w:color="000000" w:sz="4"/>
              <w:left w:val="single" w:color="000000" w:sz="4"/>
              <w:bottom w:val="single" w:color="000000" w:sz="4"/>
              <w:right w:val="single" w:color="000000" w:sz="4"/>
            </w:tcBorders>
            <w:vAlign w:val="top"/>
          </w:tcPr>
          <w:p>
            <w:pPr>
              <w:jc w:val="center"/>
            </w:pPr>
            <w:r>
              <w:rPr>
                <w:sz w:val="18"/>
              </w:rPr>
              <w:t>共</w:t>
            </w:r>
            <w:r>
              <w:rPr>
                <w:sz w:val="18"/>
              </w:rPr>
              <w:t>12人</w:t>
            </w:r>
          </w:p>
        </w:tc>
      </w:tr>
    </w:tbl>
    <w:p>
      <w:pPr>
        <w:ind w:firstLine="421"/>
      </w:pPr>
      <w:r>
        <w:rPr>
          <w:b/>
          <w:sz w:val="21"/>
        </w:rPr>
        <w:t>3.5小剧场举办活动期间保洁岗位配置表：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69"/>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6人）</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一楼化妆间及洗手间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6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售票厅两旁的洗手间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各配</w:t>
            </w:r>
            <w:r>
              <w:rPr>
                <w:sz w:val="18"/>
              </w:rPr>
              <w:t>1人</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二楼洗手间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6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四杰大堂、艺术长廊、各门口及通道</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含主管或领班</w:t>
            </w:r>
            <w:r>
              <w:rPr>
                <w:sz w:val="18"/>
              </w:rPr>
              <w:t>1人</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3138"/>
            <w:gridSpan w:val="2"/>
            <w:tcBorders>
              <w:top w:val="none" w:color="000000" w:sz="4"/>
              <w:left w:val="single" w:color="000000" w:sz="4"/>
              <w:bottom w:val="single" w:color="000000" w:sz="4"/>
              <w:right w:val="single" w:color="000000" w:sz="4"/>
            </w:tcBorders>
            <w:vAlign w:val="top"/>
          </w:tcPr>
          <w:p>
            <w:pPr>
              <w:jc w:val="center"/>
            </w:pPr>
            <w:r>
              <w:rPr>
                <w:sz w:val="18"/>
              </w:rPr>
              <w:t>共</w:t>
            </w:r>
            <w:r>
              <w:rPr>
                <w:sz w:val="18"/>
              </w:rPr>
              <w:t>6人</w:t>
            </w:r>
          </w:p>
        </w:tc>
      </w:tr>
    </w:tbl>
    <w:p>
      <w:pPr>
        <w:ind w:firstLine="421"/>
      </w:pPr>
      <w:r>
        <w:rPr>
          <w:b/>
          <w:sz w:val="21"/>
        </w:rPr>
        <w:t>3.6文化广场举办活动期间保洁岗位配置表：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69"/>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值岗地点</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w:t>
            </w:r>
            <w:r>
              <w:rPr>
                <w:b/>
                <w:sz w:val="18"/>
              </w:rPr>
              <w:t>6</w:t>
            </w:r>
            <w:r>
              <w:rPr>
                <w:b/>
                <w:sz w:val="18"/>
              </w:rPr>
              <w:t>人）</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19号楼梯两边的洗手间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各配</w:t>
            </w:r>
            <w:r>
              <w:rPr>
                <w:sz w:val="18"/>
              </w:rPr>
              <w:t>1人</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广场化妆间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6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广场</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含主管或领班</w:t>
            </w:r>
            <w:r>
              <w:rPr>
                <w:sz w:val="18"/>
              </w:rPr>
              <w:t>1人</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3138"/>
            <w:gridSpan w:val="2"/>
            <w:tcBorders>
              <w:top w:val="none" w:color="000000" w:sz="4"/>
              <w:left w:val="single" w:color="000000" w:sz="4"/>
              <w:bottom w:val="single" w:color="000000" w:sz="4"/>
              <w:right w:val="single" w:color="000000" w:sz="4"/>
            </w:tcBorders>
            <w:vAlign w:val="top"/>
          </w:tcPr>
          <w:p>
            <w:pPr>
              <w:jc w:val="center"/>
            </w:pPr>
            <w:r>
              <w:rPr>
                <w:sz w:val="18"/>
              </w:rPr>
              <w:t>共</w:t>
            </w:r>
            <w:r>
              <w:rPr>
                <w:sz w:val="18"/>
              </w:rPr>
              <w:t>6人</w:t>
            </w:r>
          </w:p>
        </w:tc>
      </w:tr>
    </w:tbl>
    <w:p>
      <w:pPr>
        <w:ind w:firstLine="420"/>
        <w:jc w:val="both"/>
      </w:pPr>
      <w:r>
        <w:rPr>
          <w:sz w:val="21"/>
        </w:rPr>
        <w:t>3.7以上各场地的活动若需启用演艺大楼的一层演艺区等处作为候场或工作人员用餐之所，则按区域及人员情况增派1-2人于该处当值。</w:t>
      </w:r>
    </w:p>
    <w:p>
      <w:pPr>
        <w:ind w:firstLine="420"/>
        <w:jc w:val="both"/>
      </w:pPr>
      <w:r>
        <w:rPr>
          <w:sz w:val="21"/>
        </w:rPr>
        <w:t>3.8有大型或特殊活动时，则按采购人的实际要求合理配备具体上岗人员。活动期间，保洁主管或领班在岗监督、巡查及协调相关工作，发现问题及时处理。有大型活动时，保洁部主管应提前做好清洁卫生工作的部署。</w:t>
      </w:r>
    </w:p>
    <w:p>
      <w:pPr>
        <w:ind w:firstLine="421"/>
      </w:pPr>
      <w:r>
        <w:rPr>
          <w:b/>
          <w:sz w:val="21"/>
        </w:rPr>
        <w:t>4.保洁服务要求及质量标准：</w:t>
      </w:r>
    </w:p>
    <w:p>
      <w:pPr>
        <w:ind w:firstLine="420"/>
        <w:jc w:val="both"/>
      </w:pPr>
      <w:r>
        <w:rPr>
          <w:sz w:val="21"/>
        </w:rPr>
        <w:t>4.1保洁服务工作的范围：包括演艺大楼、露天文化广场、停车场、所有公共场所等区域，具体为大剧场、小剧场、接待室、化妆间、办公区、会议室、艺术长廊、一层演艺区、各种设备用房、公共通道、卫生间、建筑物内外墙、各类培训用房、展览厅、景观水池等所有中标人负责管理的区域。区域内的玻璃幕墙、外墙、洗手间、门窗、桌椅、柜、灯具、电梯、地面、地板夹层、墙身、天花、天花夹层、下水道、化粪池、沙井、花圃等设施及配套附件需彻底清洁。另外，如有采购人有出租商铺，应包括采购人出租商铺的公共部分（不含室内经营场所）及商铺外墙。附属设施暂未出租期间，其室内的清洁工作也由中标人负责。</w:t>
      </w:r>
    </w:p>
    <w:p>
      <w:pPr>
        <w:ind w:firstLine="420"/>
        <w:jc w:val="both"/>
      </w:pPr>
      <w:r>
        <w:rPr>
          <w:sz w:val="21"/>
        </w:rPr>
        <w:t>4.2保洁服务需达到如下标准：</w:t>
      </w:r>
    </w:p>
    <w:p>
      <w:pPr>
        <w:ind w:firstLine="420"/>
        <w:jc w:val="both"/>
      </w:pPr>
      <w:r>
        <w:rPr>
          <w:sz w:val="21"/>
        </w:rPr>
        <w:t>（</w:t>
      </w:r>
      <w:r>
        <w:rPr>
          <w:sz w:val="21"/>
        </w:rPr>
        <w:t>1）针对管理场地实际，制定保洁管理工作制度。定期对保洁人员进行培训，并结合每次的培训内容对员工进行考核，并将考核结果提交采购人，考核不合格的不能上岗。新入职的保洁员需进行为期7天的岗前培训，考核合格后方可上岗。每天应有专职管理人员负责对各区域实行彻底检查，对卫生死角予以彻底清除，做到管理无盲点，卫生无死角。每位保洁员只能负责1个区域的保洁工作。</w:t>
      </w:r>
    </w:p>
    <w:p>
      <w:pPr>
        <w:ind w:firstLine="420"/>
        <w:jc w:val="both"/>
      </w:pPr>
      <w:r>
        <w:rPr>
          <w:sz w:val="21"/>
        </w:rPr>
        <w:t>（</w:t>
      </w:r>
      <w:r>
        <w:rPr>
          <w:sz w:val="21"/>
        </w:rPr>
        <w:t>2）按工作程序对范围内的场所进行日常定期清扫，按已制定的标准全天候、全方位保洁，对卫生间（尤其是室外卫生间）要做到定人定点定时管理、巡查、监督。</w:t>
      </w:r>
    </w:p>
    <w:p>
      <w:pPr>
        <w:ind w:firstLine="420"/>
        <w:jc w:val="both"/>
      </w:pPr>
      <w:r>
        <w:rPr>
          <w:sz w:val="21"/>
        </w:rPr>
        <w:t>（</w:t>
      </w:r>
      <w:r>
        <w:rPr>
          <w:sz w:val="21"/>
        </w:rPr>
        <w:t>3）保持建筑物内办公用房、设备用房、会议室及其他用房的干净，每天清洁1次，目视不能有灰尘，明亮整洁。每月对会议室、贵宾厅和VIP化妆间等处的地毯进行吸尘、防潮、杀菌处理一次。</w:t>
      </w:r>
    </w:p>
    <w:p>
      <w:pPr>
        <w:ind w:firstLine="420"/>
        <w:jc w:val="both"/>
      </w:pPr>
      <w:r>
        <w:rPr>
          <w:sz w:val="21"/>
        </w:rPr>
        <w:t>（</w:t>
      </w:r>
      <w:r>
        <w:rPr>
          <w:sz w:val="21"/>
        </w:rPr>
        <w:t>4）大剧场、小剧场、人定展厅、艺术长廊要保持整洁。有活动时，活动前1小时完成拖擦地板、舞台、抹好座位并做好消毒处理等工作；活动结束后应清洁、除尘。</w:t>
      </w:r>
    </w:p>
    <w:p>
      <w:pPr>
        <w:ind w:firstLine="420"/>
        <w:jc w:val="both"/>
      </w:pPr>
      <w:r>
        <w:rPr>
          <w:sz w:val="21"/>
        </w:rPr>
        <w:t>（</w:t>
      </w:r>
      <w:r>
        <w:rPr>
          <w:sz w:val="21"/>
        </w:rPr>
        <w:t>5）洗手间每天至少清洁4次，定期投放消毒药物，确保无异味，必要时使用空气清新净化剂。公共洗手间（包括19号楼梯两旁的男女洗手间、培训大楼一楼的公用洗手间）24小时开放，并在演出期间或商铺营业时间内安排保洁员当值。</w:t>
      </w:r>
    </w:p>
    <w:p>
      <w:pPr>
        <w:ind w:firstLine="420"/>
        <w:jc w:val="both"/>
      </w:pPr>
      <w:r>
        <w:rPr>
          <w:sz w:val="21"/>
        </w:rPr>
        <w:t>（</w:t>
      </w:r>
      <w:r>
        <w:rPr>
          <w:sz w:val="21"/>
        </w:rPr>
        <w:t>6）楼道、楼梯、走道、门厅、电梯、窗台栏杆扶手、宣传栏、标识牌等公共区域每天清洁1次，窗台玻璃每周清洁1次，门厅玻璃每天擦拭1次，保持洁净不能有水渍，目视无尘。天台、屋面每日清扫1次，无垃圾堆积，防止积水；建筑物内大堂、大剧场、小剧场、走道、公共场所地面等地面石材每月打蜡1次，保持干净有光泽，无垃圾、杂物堆放，无污迹等现象，保持地面材质原貌。地下车库每月清洗1次，广场地面、剧场入口处大理石等每季度养护1次。建筑物外墙、玻璃幕墙（内外）、铝板外墙每半年清洗一次，室内贴石材的墙身，每半年打磨保养一次。天花板、灯具、消防栓、指示牌、标识定期除尘和清洁，目视无尘无蜘蛛网。装饰画、雕塑、浮雕、艺术装饰品按艺术品清洁的要求定期清洁，表面和缝隙目视无尘，无污迹、手印。保证采购人的字画不变形和发霉。</w:t>
      </w:r>
    </w:p>
    <w:p>
      <w:pPr>
        <w:ind w:firstLine="420"/>
        <w:jc w:val="both"/>
      </w:pPr>
      <w:r>
        <w:rPr>
          <w:sz w:val="21"/>
        </w:rPr>
        <w:t>（</w:t>
      </w:r>
      <w:r>
        <w:rPr>
          <w:sz w:val="21"/>
        </w:rPr>
        <w:t>7）负责垃圾的收集、清运，按要求落实垃圾分类措施，地面滞留时间不超过40分钟。垃圾屋里的垃圾应当天清理，做到垃圾日产日清不留垃圾过夜，垃圾屋每天清洗1次。</w:t>
      </w:r>
    </w:p>
    <w:p>
      <w:pPr>
        <w:ind w:firstLine="420"/>
        <w:jc w:val="both"/>
      </w:pPr>
      <w:r>
        <w:rPr>
          <w:sz w:val="21"/>
        </w:rPr>
        <w:t>（</w:t>
      </w:r>
      <w:r>
        <w:rPr>
          <w:sz w:val="21"/>
        </w:rPr>
        <w:t>8）中标人每年开展杀灭蚊、蝇、鼠、蟑螂（灭四害）工作不少于15次，并做到无孳生源,符合市防疫条例。做好白蚁等虫害的预防消杀工作，要求每月对物业管辖范围进行全方位的检查、预防除灭工作。配合市相关部门的防疫要求做好有关工作。</w:t>
      </w:r>
    </w:p>
    <w:p>
      <w:pPr>
        <w:ind w:firstLine="420"/>
        <w:jc w:val="both"/>
      </w:pPr>
      <w:r>
        <w:rPr>
          <w:sz w:val="21"/>
        </w:rPr>
        <w:t>（</w:t>
      </w:r>
      <w:r>
        <w:rPr>
          <w:sz w:val="21"/>
        </w:rPr>
        <w:t>9）制定景观水池的水质维护方案，景观水池每月放水清洁一次，定期投放消毒剂对水体处理确保月内水体洁净，无污物沉积，无漂浮物，无异味，无青苔，无二次污染及蚊虫隐患等情况。制定景观水池的水质维护方案，并保证按期开展维护工作，以防止水质过早变坏。</w:t>
      </w:r>
    </w:p>
    <w:p>
      <w:pPr>
        <w:ind w:firstLine="420"/>
        <w:jc w:val="both"/>
      </w:pPr>
      <w:r>
        <w:rPr>
          <w:sz w:val="21"/>
        </w:rPr>
        <w:t>（</w:t>
      </w:r>
      <w:r>
        <w:rPr>
          <w:sz w:val="21"/>
        </w:rPr>
        <w:t>10）每天对各雨水明沟和暗沟进行清扫、清洁并切断水体污染源，每月检查沙井1次，及时清掏疏通；化粪池每月检查1次，防止堵塞，及时清掏疏通。</w:t>
      </w:r>
    </w:p>
    <w:p>
      <w:pPr>
        <w:ind w:firstLine="420"/>
        <w:jc w:val="both"/>
      </w:pPr>
      <w:r>
        <w:rPr>
          <w:sz w:val="21"/>
        </w:rPr>
        <w:t>（</w:t>
      </w:r>
      <w:r>
        <w:rPr>
          <w:sz w:val="21"/>
        </w:rPr>
        <w:t>11）中标人在清洁卫生工作中消耗的物料、工具等费用由中标人自行承担和负责。</w:t>
      </w:r>
    </w:p>
    <w:p>
      <w:pPr>
        <w:ind w:firstLine="420"/>
        <w:jc w:val="both"/>
      </w:pPr>
      <w:r>
        <w:rPr>
          <w:sz w:val="21"/>
        </w:rPr>
        <w:t>（</w:t>
      </w:r>
      <w:r>
        <w:rPr>
          <w:sz w:val="21"/>
        </w:rPr>
        <w:t>12）根据政府防疫要求做好清洁、消杀等工作。</w:t>
      </w:r>
    </w:p>
    <w:p>
      <w:pPr>
        <w:ind w:firstLine="420"/>
        <w:jc w:val="both"/>
      </w:pPr>
      <w:r>
        <w:rPr>
          <w:sz w:val="21"/>
        </w:rPr>
        <w:t>（</w:t>
      </w:r>
      <w:r>
        <w:rPr>
          <w:sz w:val="21"/>
        </w:rPr>
        <w:t>13）完成采购人提出的其它与清洁卫生有关的其他事项。</w:t>
      </w:r>
    </w:p>
    <w:p>
      <w:pPr>
        <w:ind w:firstLine="421"/>
      </w:pPr>
    </w:p>
    <w:p>
      <w:pPr>
        <w:ind w:firstLine="421"/>
      </w:pPr>
      <w:r>
        <w:rPr>
          <w:b/>
          <w:sz w:val="21"/>
        </w:rPr>
        <w:t>（三）绿化服务</w:t>
      </w:r>
    </w:p>
    <w:p>
      <w:pPr>
        <w:ind w:firstLine="421"/>
      </w:pPr>
      <w:r>
        <w:rPr>
          <w:b/>
          <w:sz w:val="21"/>
        </w:rPr>
        <w:t>1.绿化人员要求</w:t>
      </w:r>
      <w:r>
        <w:rPr>
          <w:sz w:val="21"/>
        </w:rPr>
        <w:t>（绿化人员</w:t>
      </w:r>
      <w:r>
        <w:rPr>
          <w:sz w:val="21"/>
        </w:rPr>
        <w:t>4人，含绿化主管1人）</w:t>
      </w:r>
    </w:p>
    <w:p>
      <w:pPr>
        <w:ind w:firstLine="420"/>
      </w:pPr>
      <w:r>
        <w:rPr>
          <w:sz w:val="21"/>
        </w:rPr>
        <w:t>1.1绿化主管要求：身体健康，政历清楚，五官端正。持有政府相关职能部门颁发的园林绿化相关助理工程师或以上职称证书，有10年或以上从事园林绿化经验，或具备园艺技术员资格。熟悉文化艺术中心各类植物养护方法，熟悉树木病害虫害防治。</w:t>
      </w:r>
    </w:p>
    <w:p>
      <w:pPr>
        <w:ind w:firstLine="420"/>
      </w:pPr>
      <w:r>
        <w:rPr>
          <w:sz w:val="21"/>
        </w:rPr>
        <w:t>1.2绿化主管工作内容：采购人作为中山市重要文化艺术演出场所及中山市的窗口单位，室外绿化的好坏直接影响采购人场馆对外形象的优劣。园林绿化工作十分重要，每年名贵树木成活率、一般树种成活率及草地绿化成活率作为采购人绩效考核的重要指标，不能出现成活率不达标的情况。所以，绿化主管需要具备林业有害生物的防治知识，制定绿化养护方案，做好病害虫害的防治及室内外绿化、花木的养护和管理工作，确保绿化及花木的成活率。</w:t>
      </w:r>
    </w:p>
    <w:p>
      <w:pPr>
        <w:ind w:firstLine="420"/>
      </w:pPr>
      <w:r>
        <w:rPr>
          <w:sz w:val="21"/>
        </w:rPr>
        <w:t>1.3绿化人员要求：年龄55岁或以下，政历清楚，身体健康，五官端正。有室内外绿化保养经验。</w:t>
      </w:r>
    </w:p>
    <w:p>
      <w:pPr>
        <w:ind w:firstLine="421"/>
      </w:pPr>
      <w:r>
        <w:rPr>
          <w:b/>
          <w:sz w:val="21"/>
        </w:rPr>
        <w:t>2.工作时间：</w:t>
      </w:r>
      <w:r>
        <w:rPr>
          <w:sz w:val="21"/>
        </w:rPr>
        <w:t>上午</w:t>
      </w:r>
      <w:r>
        <w:rPr>
          <w:sz w:val="21"/>
        </w:rPr>
        <w:t>8:</w:t>
      </w:r>
      <w:r>
        <w:rPr>
          <w:sz w:val="21"/>
        </w:rPr>
        <w:t>0</w:t>
      </w:r>
      <w:r>
        <w:rPr>
          <w:sz w:val="21"/>
        </w:rPr>
        <w:t>0至</w:t>
      </w:r>
      <w:r>
        <w:rPr>
          <w:sz w:val="21"/>
        </w:rPr>
        <w:t>12:00，下午14:00至18:00（特殊情况下在非工作时间接到采购人电话或管理人员电话的，需要及时返回工作地方值班，采购人不承担任何加班费用）。</w:t>
      </w:r>
    </w:p>
    <w:p>
      <w:r>
        <w:rPr>
          <w:b/>
          <w:sz w:val="21"/>
        </w:rPr>
        <w:t>3.绿化人员配置安排：</w:t>
      </w:r>
    </w:p>
    <w:p>
      <w:pPr>
        <w:ind w:firstLine="420"/>
      </w:pPr>
      <w:r>
        <w:rPr>
          <w:sz w:val="21"/>
        </w:rPr>
        <w:t>3.1绿化部岗位配置及人员数量不低于下面“3.2绿化部岗位配置表”的要求。</w:t>
      </w:r>
    </w:p>
    <w:p>
      <w:r>
        <w:rPr>
          <w:b/>
          <w:sz w:val="21"/>
        </w:rPr>
        <w:t>3.2绿化部岗位配置表</w:t>
      </w:r>
    </w:p>
    <w:tbl>
      <w:tblPr>
        <w:tblW w:w="0" w:type="auto"/>
        <w:tblBorders>
          <w:top w:val="none" w:color="000000" w:sz="4"/>
          <w:left w:val="none" w:color="000000" w:sz="4"/>
          <w:bottom w:val="none" w:color="000000" w:sz="4"/>
          <w:right w:val="none" w:color="000000" w:sz="4"/>
          <w:insideH w:val="none"/>
          <w:insideV w:val="none"/>
        </w:tblBorders>
      </w:tblPr>
      <w:tblGrid>
        <w:gridCol w:w="1528"/>
        <w:gridCol w:w="1536"/>
        <w:gridCol w:w="1528"/>
      </w:tblGrid>
      <w:tr>
        <w:tc>
          <w:tcPr>
            <w:tcW w:type="dxa" w:w="3064"/>
            <w:gridSpan w:val="2"/>
            <w:tcBorders>
              <w:top w:val="single" w:color="000000" w:sz="4"/>
              <w:left w:val="single" w:color="000000" w:sz="4"/>
              <w:bottom w:val="single" w:color="000000" w:sz="4"/>
              <w:right w:val="single" w:color="000000" w:sz="4"/>
            </w:tcBorders>
            <w:vAlign w:val="top"/>
          </w:tcPr>
          <w:p>
            <w:pPr>
              <w:jc w:val="center"/>
            </w:pPr>
            <w:r>
              <w:rPr>
                <w:b/>
                <w:sz w:val="18"/>
              </w:rPr>
              <w:t>值班地点</w:t>
            </w:r>
          </w:p>
        </w:tc>
        <w:tc>
          <w:tcPr>
            <w:tcW w:type="dxa" w:w="1528"/>
            <w:tcBorders>
              <w:top w:val="single" w:color="000000" w:sz="4"/>
              <w:left w:val="single" w:color="000000" w:sz="4"/>
              <w:bottom w:val="single" w:color="000000" w:sz="4"/>
              <w:right w:val="single" w:color="000000" w:sz="4"/>
            </w:tcBorders>
            <w:vAlign w:val="top"/>
          </w:tcPr>
          <w:p>
            <w:pPr>
              <w:jc w:val="center"/>
            </w:pPr>
            <w:r>
              <w:rPr>
                <w:b/>
                <w:sz w:val="18"/>
              </w:rPr>
              <w:t>人数（人）</w:t>
            </w:r>
          </w:p>
        </w:tc>
      </w:tr>
      <w:tr>
        <w:tc>
          <w:tcPr>
            <w:tcW w:type="dxa" w:w="3064"/>
            <w:gridSpan w:val="2"/>
            <w:tcBorders>
              <w:top w:val="none" w:color="000000" w:sz="4"/>
              <w:left w:val="single" w:color="000000" w:sz="4"/>
              <w:bottom w:val="single" w:color="000000" w:sz="4"/>
              <w:right w:val="single" w:color="000000" w:sz="4"/>
            </w:tcBorders>
            <w:vAlign w:val="top"/>
          </w:tcPr>
          <w:p>
            <w:pPr>
              <w:jc w:val="center"/>
            </w:pPr>
            <w:r>
              <w:rPr>
                <w:sz w:val="18"/>
              </w:rPr>
              <w:t>演艺大楼、培训大楼室内绿化及室外绿化（共用岗位）</w:t>
            </w:r>
          </w:p>
        </w:tc>
        <w:tc>
          <w:tcPr>
            <w:tcW w:type="dxa" w:w="1528"/>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3064"/>
            <w:gridSpan w:val="2"/>
            <w:tcBorders>
              <w:top w:val="none" w:color="000000" w:sz="4"/>
              <w:left w:val="single" w:color="000000" w:sz="4"/>
              <w:bottom w:val="single" w:color="000000" w:sz="4"/>
              <w:right w:val="single" w:color="000000" w:sz="4"/>
            </w:tcBorders>
            <w:vAlign w:val="top"/>
          </w:tcPr>
          <w:p>
            <w:pPr>
              <w:jc w:val="center"/>
            </w:pPr>
            <w:r>
              <w:rPr>
                <w:sz w:val="18"/>
              </w:rPr>
              <w:t>绿化部主管（共用岗位）</w:t>
            </w:r>
          </w:p>
        </w:tc>
        <w:tc>
          <w:tcPr>
            <w:tcW w:type="dxa" w:w="1528"/>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528"/>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3064"/>
            <w:gridSpan w:val="2"/>
            <w:tcBorders>
              <w:top w:val="none" w:color="000000" w:sz="4"/>
              <w:left w:val="single" w:color="000000" w:sz="4"/>
              <w:bottom w:val="single" w:color="000000" w:sz="4"/>
              <w:right w:val="single" w:color="000000" w:sz="4"/>
            </w:tcBorders>
            <w:vAlign w:val="top"/>
          </w:tcPr>
          <w:p>
            <w:pPr>
              <w:jc w:val="center"/>
            </w:pPr>
            <w:r>
              <w:rPr>
                <w:sz w:val="18"/>
              </w:rPr>
              <w:t>共</w:t>
            </w:r>
            <w:r>
              <w:rPr>
                <w:sz w:val="18"/>
              </w:rPr>
              <w:t>4人</w:t>
            </w:r>
          </w:p>
        </w:tc>
      </w:tr>
    </w:tbl>
    <w:p>
      <w:pPr>
        <w:ind w:firstLine="420"/>
      </w:pPr>
      <w:r>
        <w:rPr>
          <w:b/>
          <w:sz w:val="21"/>
        </w:rPr>
        <w:t>4.绿化服务要求及质量标准：</w:t>
      </w:r>
    </w:p>
    <w:p>
      <w:pPr>
        <w:ind w:firstLine="420"/>
      </w:pPr>
      <w:r>
        <w:rPr>
          <w:sz w:val="21"/>
        </w:rPr>
        <w:t>4.1管护人员在岗在位，统一着装，工具、物品、垃圾处理符合规定。</w:t>
      </w:r>
    </w:p>
    <w:p>
      <w:pPr>
        <w:ind w:firstLine="420"/>
      </w:pPr>
      <w:r>
        <w:rPr>
          <w:sz w:val="21"/>
        </w:rPr>
        <w:t>★4.2负责采购人区域范围内的外环境公共绿化、花木等保育、养护和管理工作，其中包括修剪、施肥、浇水、整形造型、补缺</w:t>
      </w:r>
      <w:r>
        <w:rPr>
          <w:sz w:val="21"/>
        </w:rPr>
        <w:t>、病虫防治、除杂草等日常维护等工作，养护措施符合规定和技术标准，确保绿地内无杂草、树木，草坪修剪及时，保持园林绿化景观良好。负责制作和完善中心的树木标识，要求对名贵、大型树木要归类建</w:t>
      </w:r>
      <w:r>
        <w:rPr>
          <w:sz w:val="21"/>
        </w:rPr>
        <w:t>立档案资料进行养护管理。每月测算</w:t>
      </w:r>
      <w:r>
        <w:rPr>
          <w:sz w:val="21"/>
        </w:rPr>
        <w:t>1次成活率和保存率的变化情况并报告采购人，中标人必须确保名贵树木成活率100%，一般树种成活率98%以上，草地绿化成活率95%以上。</w:t>
      </w:r>
      <w:r>
        <w:rPr>
          <w:sz w:val="21"/>
          <w:u w:val="single"/>
        </w:rPr>
        <w:t>【响应方式：投标文件承诺响应，应优先在</w:t>
      </w:r>
      <w:r>
        <w:rPr>
          <w:sz w:val="21"/>
          <w:u w:val="single"/>
        </w:rPr>
        <w:t>“投标文件附加格式《“★”条款响应表》”中填写并作出响应，填表视为已承诺，作为评审依据。】</w:t>
      </w:r>
    </w:p>
    <w:p>
      <w:pPr>
        <w:ind w:firstLine="420"/>
      </w:pPr>
      <w:r>
        <w:rPr>
          <w:sz w:val="21"/>
        </w:rPr>
        <w:t>4.3演艺大楼及培训大楼的室内花木、盆景等绿化摆设由中标人负责提供，主要区域为演艺大楼大堂、售票厅、各贵宾接待厅、一层演艺区、洗手间、办公室、会议室、接待室、化妆间及办公区域通道、展览厅、培训大楼前台、办公区、过道、洗手间及展厅等等等，要求每月更换一次，以确保环境优美。</w:t>
      </w:r>
    </w:p>
    <w:p>
      <w:pPr>
        <w:ind w:firstLine="420"/>
      </w:pPr>
      <w:r>
        <w:rPr>
          <w:sz w:val="21"/>
        </w:rPr>
        <w:t>4.4因大型活动、会议、接待的需要，在本需求书要求之外所临时摆设花木装饰的，花木品种数量由采购人采购，中标人负责摆设和养护。常规的室内绿化植物的提供和摆设由中标人负责。中标人负责重大节日（如春节、国庆节）期间场馆内外的花木购置、摆设和养护工作，并负责建筑物、广场、公用绿地节日喜庆气氛的布置工作。</w:t>
      </w:r>
    </w:p>
    <w:p>
      <w:pPr>
        <w:ind w:firstLine="420"/>
      </w:pPr>
      <w:r>
        <w:rPr>
          <w:sz w:val="21"/>
        </w:rPr>
        <w:t>4.5派人巡视所养护的园林草地，防止绿化及设施的人为破坏。对损坏及缺失的绿化及时补种，补种植物需与原种植物品种、高度、品相保持一致，如无法保持一致时经请示采购人同意后，方可更换补种植物。</w:t>
      </w:r>
    </w:p>
    <w:p>
      <w:pPr>
        <w:ind w:firstLine="420"/>
      </w:pPr>
      <w:r>
        <w:rPr>
          <w:sz w:val="21"/>
        </w:rPr>
        <w:t>4.6中标人应安排足够的、有资深经验的园艺师每季度对采购人的外环境绿化、花木等进行保育、养护和管理，如由于中标人没有妥善养护而导致树木出现枯死或虫害影响树木整体外观等情况，中标人负责恢复或承担相应的赔偿责任。</w:t>
      </w:r>
    </w:p>
    <w:p>
      <w:pPr>
        <w:ind w:firstLine="420"/>
      </w:pPr>
      <w:r>
        <w:rPr>
          <w:sz w:val="21"/>
        </w:rPr>
        <w:t>4.7中标人负责制定特殊天气状况下的工作措施，暴风、暴雨后不论昼夜立即有充足的人员、工具现场巡查并处理情况。干旱性天气要及时抗旱，寒冷天气做好防寒工作。在自然灾害到达前有预告的情况下，由于中标人事前未尽防范措施及安排，致使采购人受损失，采购人可视情节追究中标人的责任。</w:t>
      </w:r>
    </w:p>
    <w:p>
      <w:pPr>
        <w:ind w:firstLine="420"/>
      </w:pPr>
      <w:r>
        <w:rPr>
          <w:sz w:val="21"/>
        </w:rPr>
        <w:t>4.8中标人养护园林绿化所使用的车辆、农药或进行高空作业等，把安全措施落实到位。由此引起的中标人人员及第三方人员的伤害由中标人负责赔偿。</w:t>
      </w:r>
    </w:p>
    <w:p>
      <w:pPr>
        <w:ind w:firstLine="420"/>
      </w:pPr>
      <w:r>
        <w:rPr>
          <w:sz w:val="21"/>
        </w:rPr>
        <w:t>4.9完成采购人提出的其它与园林绿化有关的其他事项。</w:t>
      </w:r>
    </w:p>
    <w:p>
      <w:pPr>
        <w:ind w:firstLine="421"/>
      </w:pPr>
    </w:p>
    <w:p>
      <w:pPr>
        <w:ind w:firstLine="421"/>
      </w:pPr>
      <w:r>
        <w:rPr>
          <w:b/>
          <w:sz w:val="21"/>
        </w:rPr>
        <w:t>（四）设备水电维修维护（维修养护）</w:t>
      </w:r>
    </w:p>
    <w:p>
      <w:pPr>
        <w:ind w:firstLine="421"/>
      </w:pPr>
      <w:r>
        <w:rPr>
          <w:b/>
          <w:sz w:val="21"/>
        </w:rPr>
        <w:t>1.设备水电维修维护人员要求（设备水电维修维护人员</w:t>
      </w:r>
      <w:r>
        <w:rPr>
          <w:b/>
          <w:sz w:val="21"/>
        </w:rPr>
        <w:t>20</w:t>
      </w:r>
      <w:r>
        <w:rPr>
          <w:b/>
          <w:sz w:val="21"/>
        </w:rPr>
        <w:t>人，含维修养护主管</w:t>
      </w:r>
      <w:r>
        <w:rPr>
          <w:b/>
          <w:sz w:val="21"/>
        </w:rPr>
        <w:t>1人，总控室领班1人）</w:t>
      </w:r>
    </w:p>
    <w:p>
      <w:pPr>
        <w:ind w:firstLine="421"/>
      </w:pPr>
      <w:r>
        <w:rPr>
          <w:b/>
          <w:sz w:val="21"/>
        </w:rPr>
        <w:t>1.1维修养护主管要求：</w:t>
      </w:r>
      <w:r>
        <w:rPr>
          <w:sz w:val="21"/>
        </w:rPr>
        <w:t>大专或以上学历，身体健康，政历清楚，五官端正。熟练掌握电脑操作、能分析竣工图纸，有</w:t>
      </w:r>
      <w:r>
        <w:rPr>
          <w:sz w:val="21"/>
        </w:rPr>
        <w:t>3年或以上房屋及机电设备、管道维修等经验。具备日常设备设施的操作、故障排查、设备水电维修维护等能力。采购人区域范围内任何机电设备、管道出现故障的都将对采购人日常运作造成巨大的影响，因此要求维修养护主管具备较强的机电设备、管道维修处理能力，应持有政府相关职能部门颁发的电力系统及自动化专业相关助理工程师或以上职称证书。</w:t>
      </w:r>
    </w:p>
    <w:p>
      <w:pPr>
        <w:ind w:firstLine="420"/>
      </w:pPr>
      <w:r>
        <w:rPr>
          <w:sz w:val="21"/>
        </w:rPr>
        <w:t>1.2</w:t>
      </w:r>
      <w:r>
        <w:rPr>
          <w:sz w:val="21"/>
        </w:rPr>
        <w:t>维修养护主管工作内容：</w:t>
      </w:r>
    </w:p>
    <w:p>
      <w:pPr>
        <w:ind w:firstLine="420"/>
      </w:pPr>
      <w:r>
        <w:rPr>
          <w:sz w:val="21"/>
        </w:rPr>
        <w:t>1.2.1采购人作为中山市窗口单位，是政府和机关单位举办重要活动的首选场所，每年举办各类演出及活动约230场，为确保各项演出活动的正常顺利进行，采购人对演出活动期间的供电系统及各项设备设施系统的正常运作有很高要求。中标人维修维护部门主管必须具备供电系统及各项自动化系统的操作、养护、维修等方面经验和知识，保证采购人设施、设备使用完好率达98%以上，设施、设备急修及时率达100%的目标。</w:t>
      </w:r>
    </w:p>
    <w:p>
      <w:pPr>
        <w:ind w:firstLine="420"/>
      </w:pPr>
      <w:r>
        <w:rPr>
          <w:sz w:val="21"/>
        </w:rPr>
        <w:t>1.2.2维修养护主管应具备日常设备设施的操作、故障排查、设备水电维修维护等能力。负责统筹物业管理项目中的房屋、机电设备、管道、供配电等设备设施的养护及维修，协助采购人做好消防设施及智能监控系统的管理工作，并负责设备水电维修维护人员的培训及日常管理工作。确保采购人每年消防设施完好率、设施、设备日常使用完好率及供电设备故障率等重要绩效指标达标。</w:t>
      </w:r>
    </w:p>
    <w:p>
      <w:pPr>
        <w:ind w:firstLine="420"/>
      </w:pPr>
      <w:r>
        <w:rPr>
          <w:sz w:val="21"/>
        </w:rPr>
        <w:t>1.</w:t>
      </w:r>
      <w:r>
        <w:rPr>
          <w:sz w:val="21"/>
        </w:rPr>
        <w:t>3</w:t>
      </w:r>
      <w:r>
        <w:rPr>
          <w:sz w:val="21"/>
        </w:rPr>
        <w:t>设备水电维修维护人员要求：</w:t>
      </w:r>
      <w:r>
        <w:rPr>
          <w:sz w:val="21"/>
        </w:rPr>
        <w:t>各项设施、设备维修管理或操作人员通过公安机关政审，无不良行为记录。为人诚恳，吃苦耐劳、细心负责，具备</w:t>
      </w:r>
      <w:r>
        <w:rPr>
          <w:sz w:val="21"/>
        </w:rPr>
        <w:t>2年或以上工作经验，熟悉掌握应聘岗位的操作技能。没有违法记录，持有效的《特种作业操作证（低压电工作业）》和进行岗前培训合格后方可上岗。并要求每季度至少培训、考核一次，并送采购人审核备案。</w:t>
      </w:r>
    </w:p>
    <w:p>
      <w:pPr>
        <w:ind w:firstLine="420"/>
      </w:pPr>
      <w:r>
        <w:rPr>
          <w:sz w:val="21"/>
        </w:rPr>
        <w:t>1.</w:t>
      </w:r>
      <w:r>
        <w:rPr>
          <w:sz w:val="21"/>
        </w:rPr>
        <w:t>4</w:t>
      </w:r>
      <w:r>
        <w:rPr>
          <w:sz w:val="21"/>
        </w:rPr>
        <w:t>高低压配电房值班人员</w:t>
      </w:r>
      <w:r>
        <w:rPr>
          <w:sz w:val="21"/>
        </w:rPr>
        <w:t>要求：要求身体健康，政历清楚，五官端正。每班不少于</w:t>
      </w:r>
      <w:r>
        <w:rPr>
          <w:sz w:val="21"/>
        </w:rPr>
        <w:t>2名持有效的《特种作业操作证（高压电工作业）》和1名持有效的《特种作业操作证（制冷与空调作业）》上岗。</w:t>
      </w:r>
    </w:p>
    <w:p>
      <w:pPr>
        <w:ind w:firstLine="420"/>
      </w:pPr>
      <w:r>
        <w:rPr>
          <w:sz w:val="21"/>
        </w:rPr>
        <w:t>1.</w:t>
      </w:r>
      <w:r>
        <w:rPr>
          <w:sz w:val="21"/>
        </w:rPr>
        <w:t>5</w:t>
      </w:r>
      <w:r>
        <w:rPr>
          <w:sz w:val="21"/>
        </w:rPr>
        <w:t>总控室领班要求：身体健康，政历清楚，五官端正。熟悉电子信息、信号处理、计算机软硬件技术及智能化系统强弱电维修能力；熟悉智能化系统各子系统的工作原理，有</w:t>
      </w:r>
      <w:r>
        <w:rPr>
          <w:sz w:val="21"/>
        </w:rPr>
        <w:t>3年或以上的智能化系统的维修经验，熟悉消防自动报警系统。需持有政府相关职能部门颁发的《特种作业操作证》（电工作业，含低压或高压电工作业），《特种作业操作证》（高处作业），持有特种设备安全管理和作业人员证》或相关证书，持有政府相关职能部门颁发的《建（构）筑物消防员证》或《消防设施操作员证》。</w:t>
      </w:r>
    </w:p>
    <w:p>
      <w:pPr>
        <w:ind w:firstLine="420"/>
      </w:pPr>
      <w:r>
        <w:rPr>
          <w:sz w:val="21"/>
        </w:rPr>
        <w:t>1.</w:t>
      </w:r>
      <w:r>
        <w:rPr>
          <w:sz w:val="21"/>
        </w:rPr>
        <w:t>6</w:t>
      </w:r>
      <w:r>
        <w:rPr>
          <w:sz w:val="21"/>
        </w:rPr>
        <w:t>总控室领班工作内容：负责消防设施、消防控制室（具备联动控制功能）的设备监控、操作及设备水电维修维护，并协助维修养护主管做好消防设施的管理工作。</w:t>
      </w:r>
    </w:p>
    <w:p>
      <w:pPr>
        <w:ind w:firstLine="420"/>
      </w:pPr>
      <w:r>
        <w:rPr>
          <w:sz w:val="21"/>
        </w:rPr>
        <w:t>1.7总控室监控员要求：总控室监控人员持有《消防设施操作员》（或旧证《建（构）筑物消防员》，需符合GB25506标准的相关规定。</w:t>
      </w:r>
    </w:p>
    <w:p>
      <w:pPr>
        <w:ind w:firstLine="421"/>
      </w:pPr>
      <w:r>
        <w:rPr>
          <w:b/>
          <w:sz w:val="21"/>
        </w:rPr>
        <w:t>2.工作时间：</w:t>
      </w:r>
      <w:r>
        <w:rPr>
          <w:sz w:val="21"/>
        </w:rPr>
        <w:t>24小时制，轮三班</w:t>
      </w:r>
      <w:r>
        <w:rPr>
          <w:sz w:val="30"/>
        </w:rPr>
        <w:t>。</w:t>
      </w:r>
    </w:p>
    <w:p>
      <w:pPr>
        <w:ind w:firstLine="420"/>
        <w:jc w:val="both"/>
      </w:pPr>
      <w:r>
        <w:rPr>
          <w:b/>
          <w:sz w:val="21"/>
        </w:rPr>
        <w:t>3.</w:t>
      </w:r>
      <w:r>
        <w:rPr>
          <w:b/>
          <w:sz w:val="21"/>
        </w:rPr>
        <w:t>维修维护人员</w:t>
      </w:r>
      <w:r>
        <w:rPr>
          <w:b/>
          <w:sz w:val="21"/>
        </w:rPr>
        <w:t>配置安排：</w:t>
      </w:r>
    </w:p>
    <w:p>
      <w:pPr>
        <w:ind w:firstLine="420"/>
        <w:jc w:val="both"/>
      </w:pPr>
      <w:r>
        <w:rPr>
          <w:sz w:val="21"/>
        </w:rPr>
        <w:t>★3.1</w:t>
      </w:r>
      <w:r>
        <w:rPr>
          <w:sz w:val="21"/>
        </w:rPr>
        <w:t>维修维护部</w:t>
      </w:r>
      <w:r>
        <w:rPr>
          <w:sz w:val="21"/>
        </w:rPr>
        <w:t>岗位配置及人员数量不低于</w:t>
      </w:r>
      <w:r>
        <w:rPr>
          <w:sz w:val="21"/>
        </w:rPr>
        <w:t>“3.2日常配电值班工作、</w:t>
      </w:r>
      <w:r>
        <w:rPr>
          <w:sz w:val="21"/>
        </w:rPr>
        <w:t>设备水电维修维护</w:t>
      </w:r>
      <w:r>
        <w:rPr>
          <w:sz w:val="21"/>
        </w:rPr>
        <w:t>部人员配置</w:t>
      </w:r>
      <w:r>
        <w:rPr>
          <w:sz w:val="21"/>
        </w:rPr>
        <w:t>”“3.3演艺大楼出租场地全部使用时</w:t>
      </w:r>
      <w:r>
        <w:rPr>
          <w:sz w:val="21"/>
        </w:rPr>
        <w:t>维修维护人员</w:t>
      </w:r>
      <w:r>
        <w:rPr>
          <w:sz w:val="21"/>
        </w:rPr>
        <w:t>配置</w:t>
      </w:r>
      <w:r>
        <w:rPr>
          <w:sz w:val="21"/>
        </w:rPr>
        <w:t>”“3.4大、小剧场同时使用时</w:t>
      </w:r>
      <w:r>
        <w:rPr>
          <w:sz w:val="21"/>
        </w:rPr>
        <w:t>维修维护人员</w:t>
      </w:r>
      <w:r>
        <w:rPr>
          <w:sz w:val="21"/>
        </w:rPr>
        <w:t>配置表</w:t>
      </w:r>
      <w:r>
        <w:rPr>
          <w:sz w:val="21"/>
        </w:rPr>
        <w:t>”“3.5大剧场使用时</w:t>
      </w:r>
      <w:r>
        <w:rPr>
          <w:sz w:val="21"/>
        </w:rPr>
        <w:t>维修维护人员</w:t>
      </w:r>
      <w:r>
        <w:rPr>
          <w:sz w:val="21"/>
        </w:rPr>
        <w:t>配置表</w:t>
      </w:r>
      <w:r>
        <w:rPr>
          <w:sz w:val="21"/>
        </w:rPr>
        <w:t>”“3.6小剧场使用时</w:t>
      </w:r>
      <w:r>
        <w:rPr>
          <w:sz w:val="21"/>
        </w:rPr>
        <w:t>维修维护人员</w:t>
      </w:r>
      <w:r>
        <w:rPr>
          <w:sz w:val="21"/>
        </w:rPr>
        <w:t>配置表</w:t>
      </w:r>
      <w:r>
        <w:rPr>
          <w:sz w:val="21"/>
        </w:rPr>
        <w:t>”“3.7广场演出时</w:t>
      </w:r>
      <w:r>
        <w:rPr>
          <w:sz w:val="21"/>
        </w:rPr>
        <w:t>维修维护人员</w:t>
      </w:r>
      <w:r>
        <w:rPr>
          <w:sz w:val="21"/>
        </w:rPr>
        <w:t>配置表</w:t>
      </w:r>
      <w:r>
        <w:rPr>
          <w:sz w:val="21"/>
        </w:rPr>
        <w:t>”的要求。另外，如</w:t>
      </w:r>
      <w:r>
        <w:rPr>
          <w:sz w:val="21"/>
        </w:rPr>
        <w:t>有大型或特殊活动时，则按采购人的实际要求合理配备具体上岗人员。</w:t>
      </w:r>
      <w:r>
        <w:rPr>
          <w:sz w:val="21"/>
          <w:u w:val="single"/>
        </w:rPr>
        <w:t>【响应方式：投标文件承诺响应，应优先在</w:t>
      </w:r>
      <w:r>
        <w:rPr>
          <w:sz w:val="21"/>
          <w:u w:val="single"/>
        </w:rPr>
        <w:t>“投标文件附加格式《“★”条款响应表》”中填写并作出响应，填表视为已承诺，作为评审依据。】</w:t>
      </w:r>
    </w:p>
    <w:p>
      <w:pPr>
        <w:ind w:firstLine="421"/>
        <w:jc w:val="both"/>
      </w:pPr>
      <w:r>
        <w:rPr>
          <w:b/>
          <w:sz w:val="21"/>
        </w:rPr>
        <w:t>3.2日常配电值班工作、</w:t>
      </w:r>
      <w:r>
        <w:rPr>
          <w:b/>
          <w:sz w:val="21"/>
        </w:rPr>
        <w:t>设备水电维修维护</w:t>
      </w:r>
      <w:r>
        <w:rPr>
          <w:b/>
          <w:sz w:val="21"/>
        </w:rPr>
        <w:t>部人员配置表：</w:t>
      </w:r>
    </w:p>
    <w:tbl>
      <w:tblPr>
        <w:tblW w:w="0" w:type="auto"/>
        <w:tblBorders>
          <w:top w:val="none" w:color="000000" w:sz="4"/>
          <w:left w:val="none" w:color="000000" w:sz="4"/>
          <w:bottom w:val="none" w:color="000000" w:sz="4"/>
          <w:right w:val="none" w:color="000000" w:sz="4"/>
          <w:insideH w:val="none"/>
          <w:insideV w:val="none"/>
        </w:tblBorders>
      </w:tblPr>
      <w:tblGrid>
        <w:gridCol w:w="1910"/>
        <w:gridCol w:w="897"/>
        <w:gridCol w:w="863"/>
        <w:gridCol w:w="955"/>
      </w:tblGrid>
      <w:tr>
        <w:tc>
          <w:tcPr>
            <w:tcW w:type="dxa" w:w="1910"/>
            <w:tcBorders>
              <w:top w:val="single" w:color="000000" w:sz="4"/>
              <w:left w:val="single" w:color="000000" w:sz="4"/>
              <w:bottom w:val="single" w:color="000000" w:sz="4"/>
              <w:right w:val="single" w:color="000000" w:sz="4"/>
            </w:tcBorders>
            <w:vAlign w:val="top"/>
          </w:tcPr>
          <w:p>
            <w:pPr>
              <w:jc w:val="center"/>
            </w:pPr>
            <w:r>
              <w:rPr>
                <w:b/>
                <w:sz w:val="18"/>
              </w:rPr>
              <w:t>值岗地点人员配置</w:t>
            </w:r>
          </w:p>
        </w:tc>
        <w:tc>
          <w:tcPr>
            <w:tcW w:type="dxa" w:w="897"/>
            <w:tcBorders>
              <w:top w:val="single" w:color="000000" w:sz="4"/>
              <w:left w:val="single" w:color="000000" w:sz="4"/>
              <w:bottom w:val="single" w:color="000000" w:sz="4"/>
              <w:right w:val="single" w:color="000000" w:sz="4"/>
            </w:tcBorders>
            <w:vAlign w:val="top"/>
          </w:tcPr>
          <w:p>
            <w:pPr>
              <w:jc w:val="center"/>
            </w:pPr>
            <w:r>
              <w:rPr>
                <w:b/>
                <w:sz w:val="18"/>
              </w:rPr>
              <w:t>早班（</w:t>
            </w:r>
            <w:r>
              <w:rPr>
                <w:b/>
                <w:sz w:val="18"/>
              </w:rPr>
              <w:t>8人，含主管）</w:t>
            </w:r>
          </w:p>
        </w:tc>
        <w:tc>
          <w:tcPr>
            <w:tcW w:type="dxa" w:w="863"/>
            <w:tcBorders>
              <w:top w:val="single" w:color="000000" w:sz="4"/>
              <w:left w:val="single" w:color="000000" w:sz="4"/>
              <w:bottom w:val="single" w:color="000000" w:sz="4"/>
              <w:right w:val="single" w:color="000000" w:sz="4"/>
            </w:tcBorders>
            <w:vAlign w:val="top"/>
          </w:tcPr>
          <w:p>
            <w:pPr>
              <w:jc w:val="center"/>
            </w:pPr>
            <w:r>
              <w:rPr>
                <w:b/>
                <w:sz w:val="18"/>
              </w:rPr>
              <w:t>中班（</w:t>
            </w:r>
            <w:r>
              <w:rPr>
                <w:b/>
                <w:sz w:val="18"/>
              </w:rPr>
              <w:t>7人）</w:t>
            </w:r>
          </w:p>
        </w:tc>
        <w:tc>
          <w:tcPr>
            <w:tcW w:type="dxa" w:w="955"/>
            <w:tcBorders>
              <w:top w:val="single" w:color="000000" w:sz="4"/>
              <w:left w:val="single" w:color="000000" w:sz="4"/>
              <w:bottom w:val="single" w:color="000000" w:sz="4"/>
              <w:right w:val="single" w:color="000000" w:sz="4"/>
            </w:tcBorders>
            <w:vAlign w:val="top"/>
          </w:tcPr>
          <w:p>
            <w:pPr>
              <w:jc w:val="center"/>
            </w:pPr>
            <w:r>
              <w:rPr>
                <w:b/>
                <w:sz w:val="18"/>
              </w:rPr>
              <w:t>晚班（</w:t>
            </w:r>
            <w:r>
              <w:rPr>
                <w:b/>
                <w:sz w:val="18"/>
              </w:rPr>
              <w:t>5人）</w:t>
            </w:r>
          </w:p>
        </w:tc>
      </w:tr>
      <w:tr>
        <w:tc>
          <w:tcPr>
            <w:tcW w:type="dxa" w:w="1910"/>
            <w:tcBorders>
              <w:top w:val="none" w:color="000000" w:sz="4"/>
              <w:left w:val="single" w:color="000000" w:sz="4"/>
              <w:bottom w:val="single" w:color="000000" w:sz="4"/>
              <w:right w:val="single" w:color="000000" w:sz="4"/>
            </w:tcBorders>
            <w:vAlign w:val="top"/>
          </w:tcPr>
          <w:p>
            <w:pPr>
              <w:jc w:val="center"/>
            </w:pPr>
            <w:r>
              <w:rPr>
                <w:sz w:val="18"/>
              </w:rPr>
              <w:t>大楼内设备巡查（共用岗位）</w:t>
            </w:r>
          </w:p>
        </w:tc>
        <w:tc>
          <w:tcPr>
            <w:tcW w:type="dxa" w:w="89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6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95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910"/>
            <w:tcBorders>
              <w:top w:val="none" w:color="000000" w:sz="4"/>
              <w:left w:val="single" w:color="000000" w:sz="4"/>
              <w:bottom w:val="single" w:color="000000" w:sz="4"/>
              <w:right w:val="single" w:color="000000" w:sz="4"/>
            </w:tcBorders>
            <w:vAlign w:val="top"/>
          </w:tcPr>
          <w:p>
            <w:pPr>
              <w:jc w:val="center"/>
            </w:pPr>
            <w:r>
              <w:rPr>
                <w:sz w:val="18"/>
              </w:rPr>
              <w:t>外环境设备巡查（共用岗位）</w:t>
            </w:r>
          </w:p>
        </w:tc>
        <w:tc>
          <w:tcPr>
            <w:tcW w:type="dxa" w:w="89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6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955"/>
            <w:tcBorders>
              <w:top w:val="none" w:color="000000" w:sz="4"/>
              <w:left w:val="single" w:color="000000" w:sz="4"/>
              <w:bottom w:val="single" w:color="000000" w:sz="4"/>
              <w:right w:val="single" w:color="000000" w:sz="4"/>
            </w:tcBorders>
            <w:vAlign w:val="top"/>
          </w:tcPr>
          <w:p>
            <w:pPr>
              <w:jc w:val="center"/>
            </w:pPr>
            <w:r>
              <w:rPr>
                <w:sz w:val="18"/>
              </w:rPr>
              <w:t>/</w:t>
            </w:r>
          </w:p>
        </w:tc>
      </w:tr>
      <w:tr>
        <w:tc>
          <w:tcPr>
            <w:tcW w:type="dxa" w:w="1910"/>
            <w:tcBorders>
              <w:top w:val="none" w:color="000000" w:sz="4"/>
              <w:left w:val="single" w:color="000000" w:sz="4"/>
              <w:bottom w:val="single" w:color="000000" w:sz="4"/>
              <w:right w:val="single" w:color="000000" w:sz="4"/>
            </w:tcBorders>
            <w:vAlign w:val="top"/>
          </w:tcPr>
          <w:p>
            <w:pPr>
              <w:jc w:val="center"/>
            </w:pPr>
            <w:r>
              <w:rPr>
                <w:sz w:val="18"/>
              </w:rPr>
              <w:t>维修工（共用岗位）</w:t>
            </w:r>
          </w:p>
        </w:tc>
        <w:tc>
          <w:tcPr>
            <w:tcW w:type="dxa" w:w="89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6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955"/>
            <w:tcBorders>
              <w:top w:val="none" w:color="000000" w:sz="4"/>
              <w:left w:val="single" w:color="000000" w:sz="4"/>
              <w:bottom w:val="single" w:color="000000" w:sz="4"/>
              <w:right w:val="single" w:color="000000" w:sz="4"/>
            </w:tcBorders>
            <w:vAlign w:val="top"/>
          </w:tcPr>
          <w:p>
            <w:pPr>
              <w:jc w:val="center"/>
            </w:pPr>
            <w:r>
              <w:rPr>
                <w:sz w:val="18"/>
              </w:rPr>
              <w:t>/</w:t>
            </w:r>
          </w:p>
        </w:tc>
      </w:tr>
      <w:tr>
        <w:tc>
          <w:tcPr>
            <w:tcW w:type="dxa" w:w="1910"/>
            <w:tcBorders>
              <w:top w:val="none" w:color="000000" w:sz="4"/>
              <w:left w:val="single" w:color="000000" w:sz="4"/>
              <w:bottom w:val="single" w:color="000000" w:sz="4"/>
              <w:right w:val="single" w:color="000000" w:sz="4"/>
            </w:tcBorders>
            <w:vAlign w:val="top"/>
          </w:tcPr>
          <w:p>
            <w:pPr>
              <w:jc w:val="center"/>
            </w:pPr>
            <w:r>
              <w:rPr>
                <w:sz w:val="18"/>
              </w:rPr>
              <w:t>电房值班（共用岗位）</w:t>
            </w:r>
          </w:p>
        </w:tc>
        <w:tc>
          <w:tcPr>
            <w:tcW w:type="dxa" w:w="89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6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95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1910"/>
            <w:tcBorders>
              <w:top w:val="none" w:color="000000" w:sz="4"/>
              <w:left w:val="single" w:color="000000" w:sz="4"/>
              <w:bottom w:val="single" w:color="000000" w:sz="4"/>
              <w:right w:val="single" w:color="000000" w:sz="4"/>
            </w:tcBorders>
            <w:vAlign w:val="top"/>
          </w:tcPr>
          <w:p>
            <w:pPr>
              <w:jc w:val="center"/>
            </w:pPr>
            <w:r>
              <w:rPr>
                <w:sz w:val="18"/>
              </w:rPr>
              <w:t>总控室（消防控制室）值班</w:t>
            </w:r>
          </w:p>
          <w:p>
            <w:pPr>
              <w:jc w:val="center"/>
            </w:pPr>
            <w:r>
              <w:rPr>
                <w:sz w:val="18"/>
              </w:rPr>
              <w:t>（共用岗位）</w:t>
            </w:r>
          </w:p>
        </w:tc>
        <w:tc>
          <w:tcPr>
            <w:tcW w:type="dxa" w:w="89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6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95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1910"/>
            <w:tcBorders>
              <w:top w:val="none" w:color="000000" w:sz="4"/>
              <w:left w:val="single" w:color="000000" w:sz="4"/>
              <w:bottom w:val="single" w:color="000000" w:sz="4"/>
              <w:right w:val="single" w:color="000000" w:sz="4"/>
            </w:tcBorders>
            <w:vAlign w:val="top"/>
          </w:tcPr>
          <w:p>
            <w:pPr>
              <w:jc w:val="center"/>
            </w:pPr>
            <w:r>
              <w:rPr>
                <w:sz w:val="18"/>
              </w:rPr>
              <w:t>主管（共用岗位）</w:t>
            </w:r>
          </w:p>
        </w:tc>
        <w:tc>
          <w:tcPr>
            <w:tcW w:type="dxa" w:w="2715"/>
            <w:gridSpan w:val="3"/>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1910"/>
            <w:tcBorders>
              <w:top w:val="none" w:color="000000" w:sz="4"/>
              <w:left w:val="single" w:color="000000" w:sz="4"/>
              <w:bottom w:val="single" w:color="000000" w:sz="4"/>
              <w:right w:val="single" w:color="000000" w:sz="4"/>
            </w:tcBorders>
            <w:vAlign w:val="top"/>
          </w:tcPr>
          <w:p>
            <w:pPr>
              <w:jc w:val="center"/>
            </w:pPr>
            <w:r>
              <w:rPr>
                <w:sz w:val="18"/>
              </w:rPr>
              <w:t>合计（人）</w:t>
            </w:r>
          </w:p>
        </w:tc>
        <w:tc>
          <w:tcPr>
            <w:tcW w:type="dxa" w:w="2715"/>
            <w:gridSpan w:val="3"/>
            <w:tcBorders>
              <w:top w:val="none" w:color="000000" w:sz="4"/>
              <w:left w:val="single" w:color="000000" w:sz="4"/>
              <w:bottom w:val="single" w:color="000000" w:sz="4"/>
              <w:right w:val="single" w:color="000000" w:sz="4"/>
            </w:tcBorders>
            <w:vAlign w:val="top"/>
          </w:tcPr>
          <w:p>
            <w:pPr>
              <w:jc w:val="center"/>
            </w:pPr>
            <w:r>
              <w:rPr>
                <w:sz w:val="18"/>
              </w:rPr>
              <w:t>20</w:t>
            </w:r>
          </w:p>
        </w:tc>
      </w:tr>
    </w:tbl>
    <w:p>
      <w:pPr>
        <w:ind w:firstLine="421"/>
        <w:jc w:val="both"/>
      </w:pPr>
      <w:r>
        <w:rPr>
          <w:b/>
          <w:sz w:val="21"/>
        </w:rPr>
        <w:t>3.3演艺大楼出租场地全部使用时</w:t>
      </w:r>
      <w:r>
        <w:rPr>
          <w:b/>
          <w:sz w:val="21"/>
        </w:rPr>
        <w:t>维修维护人员</w:t>
      </w:r>
      <w:r>
        <w:rPr>
          <w:b/>
          <w:sz w:val="21"/>
        </w:rPr>
        <w:t>配置表</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342"/>
        <w:gridCol w:w="2267"/>
      </w:tblGrid>
      <w:tr>
        <w:tc>
          <w:tcPr>
            <w:tcW w:type="dxa" w:w="2342"/>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2267"/>
            <w:tcBorders>
              <w:top w:val="single" w:color="000000" w:sz="4"/>
              <w:left w:val="single" w:color="000000" w:sz="4"/>
              <w:bottom w:val="single" w:color="000000" w:sz="4"/>
              <w:right w:val="single" w:color="000000" w:sz="4"/>
            </w:tcBorders>
            <w:vAlign w:val="top"/>
          </w:tcPr>
          <w:p>
            <w:pPr>
              <w:jc w:val="center"/>
            </w:pPr>
            <w:r>
              <w:rPr>
                <w:b/>
                <w:sz w:val="18"/>
              </w:rPr>
              <w:t>人数（人）</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设备水电维修维护</w:t>
            </w:r>
            <w:r>
              <w:rPr>
                <w:sz w:val="18"/>
              </w:rPr>
              <w:t>部主管</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领班</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总配电房高压操作人员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低压配电操作人员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总控室监控员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中央空调系统操作人员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电梯安全管理人员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二楼大堂照明控制人员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测量温度人员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外环境设备操作人员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维修人员</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342"/>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67"/>
            <w:tcBorders>
              <w:top w:val="none" w:color="000000" w:sz="4"/>
              <w:left w:val="single" w:color="000000" w:sz="4"/>
              <w:bottom w:val="single" w:color="000000" w:sz="4"/>
              <w:right w:val="single" w:color="000000" w:sz="4"/>
            </w:tcBorders>
            <w:vAlign w:val="top"/>
          </w:tcPr>
          <w:p>
            <w:pPr>
              <w:jc w:val="center"/>
            </w:pPr>
            <w:r>
              <w:rPr>
                <w:sz w:val="18"/>
              </w:rPr>
              <w:t>共</w:t>
            </w:r>
            <w:r>
              <w:rPr>
                <w:sz w:val="18"/>
              </w:rPr>
              <w:t>19人</w:t>
            </w:r>
          </w:p>
        </w:tc>
      </w:tr>
    </w:tbl>
    <w:p>
      <w:pPr>
        <w:ind w:firstLine="421"/>
        <w:jc w:val="both"/>
      </w:pPr>
      <w:r>
        <w:rPr>
          <w:b/>
          <w:sz w:val="21"/>
        </w:rPr>
        <w:t>3.4大、小剧场同时使用时</w:t>
      </w:r>
      <w:r>
        <w:rPr>
          <w:b/>
          <w:sz w:val="21"/>
        </w:rPr>
        <w:t>维修维护人员</w:t>
      </w:r>
      <w:r>
        <w:rPr>
          <w:b/>
          <w:sz w:val="21"/>
        </w:rPr>
        <w:t>配置表</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358"/>
        <w:gridCol w:w="2275"/>
      </w:tblGrid>
      <w:tr>
        <w:tc>
          <w:tcPr>
            <w:tcW w:type="dxa" w:w="2358"/>
            <w:tcBorders>
              <w:top w:val="single" w:color="000000" w:sz="4"/>
              <w:left w:val="single" w:color="000000" w:sz="4"/>
              <w:bottom w:val="single" w:color="000000" w:sz="4"/>
              <w:right w:val="single" w:color="000000" w:sz="4"/>
            </w:tcBorders>
            <w:vAlign w:val="top"/>
          </w:tcPr>
          <w:p>
            <w:pPr>
              <w:jc w:val="center"/>
            </w:pPr>
            <w:r>
              <w:rPr>
                <w:sz w:val="18"/>
              </w:rPr>
              <w:t>岗位名称</w:t>
            </w:r>
          </w:p>
        </w:tc>
        <w:tc>
          <w:tcPr>
            <w:tcW w:type="dxa" w:w="2275"/>
            <w:tcBorders>
              <w:top w:val="single" w:color="000000" w:sz="4"/>
              <w:left w:val="single" w:color="000000" w:sz="4"/>
              <w:bottom w:val="single" w:color="000000" w:sz="4"/>
              <w:right w:val="single" w:color="000000" w:sz="4"/>
            </w:tcBorders>
            <w:vAlign w:val="top"/>
          </w:tcPr>
          <w:p>
            <w:pPr>
              <w:jc w:val="center"/>
            </w:pPr>
            <w:r>
              <w:rPr>
                <w:sz w:val="18"/>
              </w:rPr>
              <w:t>人数（人）</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设备水电维修维护</w:t>
            </w:r>
            <w:r>
              <w:rPr>
                <w:sz w:val="18"/>
              </w:rPr>
              <w:t>部主管</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领班</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总配电房高压操作人员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低压配电操作人员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总控室监控员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中央空调系统操作人员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电梯安全管理人员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二楼大堂照明控制人员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测量温度人员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外环境设备操作人员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维修人员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共</w:t>
            </w:r>
            <w:r>
              <w:rPr>
                <w:sz w:val="18"/>
              </w:rPr>
              <w:t>18人</w:t>
            </w:r>
          </w:p>
        </w:tc>
      </w:tr>
    </w:tbl>
    <w:p>
      <w:pPr>
        <w:ind w:firstLine="421"/>
        <w:jc w:val="both"/>
      </w:pPr>
      <w:r>
        <w:rPr>
          <w:b/>
          <w:sz w:val="21"/>
        </w:rPr>
        <w:t>3.5大剧场使用时</w:t>
      </w:r>
      <w:r>
        <w:rPr>
          <w:b/>
          <w:sz w:val="21"/>
        </w:rPr>
        <w:t>维修维护人员</w:t>
      </w:r>
      <w:r>
        <w:rPr>
          <w:b/>
          <w:sz w:val="21"/>
        </w:rPr>
        <w:t>配置表</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358"/>
        <w:gridCol w:w="2275"/>
      </w:tblGrid>
      <w:tr>
        <w:tc>
          <w:tcPr>
            <w:tcW w:type="dxa" w:w="2358"/>
            <w:tcBorders>
              <w:top w:val="single" w:color="000000" w:sz="4"/>
              <w:left w:val="single" w:color="000000" w:sz="4"/>
              <w:bottom w:val="single" w:color="000000" w:sz="4"/>
              <w:right w:val="single" w:color="000000" w:sz="4"/>
            </w:tcBorders>
            <w:vAlign w:val="top"/>
          </w:tcPr>
          <w:p>
            <w:pPr>
              <w:jc w:val="center"/>
            </w:pPr>
            <w:r>
              <w:rPr>
                <w:sz w:val="18"/>
              </w:rPr>
              <w:t>岗位名称</w:t>
            </w:r>
          </w:p>
        </w:tc>
        <w:tc>
          <w:tcPr>
            <w:tcW w:type="dxa" w:w="2275"/>
            <w:tcBorders>
              <w:top w:val="single" w:color="000000" w:sz="4"/>
              <w:left w:val="single" w:color="000000" w:sz="4"/>
              <w:bottom w:val="single" w:color="000000" w:sz="4"/>
              <w:right w:val="single" w:color="000000" w:sz="4"/>
            </w:tcBorders>
            <w:vAlign w:val="top"/>
          </w:tcPr>
          <w:p>
            <w:pPr>
              <w:jc w:val="center"/>
            </w:pPr>
            <w:r>
              <w:rPr>
                <w:sz w:val="18"/>
              </w:rPr>
              <w:t>人数（人）</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设备水电维修维护</w:t>
            </w:r>
            <w:r>
              <w:rPr>
                <w:sz w:val="18"/>
              </w:rPr>
              <w:t>部主管</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领班</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总配电房高压操作人员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低压配电操作人员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总控室监控员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中央空调系统操作人员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3</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电梯安全管理人员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二楼大堂照明控制人员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测量温度人员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外环境设备操作人员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维修人员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共</w:t>
            </w:r>
            <w:r>
              <w:rPr>
                <w:sz w:val="18"/>
              </w:rPr>
              <w:t>17人</w:t>
            </w:r>
          </w:p>
        </w:tc>
      </w:tr>
    </w:tbl>
    <w:p>
      <w:pPr>
        <w:ind w:firstLine="421"/>
        <w:jc w:val="both"/>
      </w:pPr>
      <w:r>
        <w:rPr>
          <w:b/>
          <w:sz w:val="21"/>
        </w:rPr>
        <w:t>3.6小剧场使用时</w:t>
      </w:r>
      <w:r>
        <w:rPr>
          <w:b/>
          <w:sz w:val="21"/>
        </w:rPr>
        <w:t>维修维护人员</w:t>
      </w:r>
      <w:r>
        <w:rPr>
          <w:b/>
          <w:sz w:val="21"/>
        </w:rPr>
        <w:t>配置表</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358"/>
        <w:gridCol w:w="2275"/>
      </w:tblGrid>
      <w:tr>
        <w:tc>
          <w:tcPr>
            <w:tcW w:type="dxa" w:w="2358"/>
            <w:tcBorders>
              <w:top w:val="single" w:color="000000" w:sz="4"/>
              <w:left w:val="single" w:color="000000" w:sz="4"/>
              <w:bottom w:val="single" w:color="000000" w:sz="4"/>
              <w:right w:val="single" w:color="000000" w:sz="4"/>
            </w:tcBorders>
            <w:vAlign w:val="top"/>
          </w:tcPr>
          <w:p>
            <w:pPr>
              <w:jc w:val="center"/>
            </w:pPr>
            <w:r>
              <w:rPr>
                <w:sz w:val="18"/>
              </w:rPr>
              <w:t>岗位名称</w:t>
            </w:r>
          </w:p>
        </w:tc>
        <w:tc>
          <w:tcPr>
            <w:tcW w:type="dxa" w:w="2275"/>
            <w:tcBorders>
              <w:top w:val="single" w:color="000000" w:sz="4"/>
              <w:left w:val="single" w:color="000000" w:sz="4"/>
              <w:bottom w:val="single" w:color="000000" w:sz="4"/>
              <w:right w:val="single" w:color="000000" w:sz="4"/>
            </w:tcBorders>
            <w:vAlign w:val="top"/>
          </w:tcPr>
          <w:p>
            <w:pPr>
              <w:jc w:val="center"/>
            </w:pPr>
            <w:r>
              <w:rPr>
                <w:sz w:val="18"/>
              </w:rPr>
              <w:t>人数（人）</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设备水电维修维护</w:t>
            </w:r>
            <w:r>
              <w:rPr>
                <w:sz w:val="18"/>
              </w:rPr>
              <w:t>部领班</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总配电房高压操作人员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低压配电操作人员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总控室监控员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中央空调系统操作人员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电梯安全管理人员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二楼大堂照明控制人员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测量温度人员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外环境设备操作人员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维修人员</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75"/>
            <w:tcBorders>
              <w:top w:val="none" w:color="000000" w:sz="4"/>
              <w:left w:val="single" w:color="000000" w:sz="4"/>
              <w:bottom w:val="single" w:color="000000" w:sz="4"/>
              <w:right w:val="single" w:color="000000" w:sz="4"/>
            </w:tcBorders>
            <w:vAlign w:val="top"/>
          </w:tcPr>
          <w:p>
            <w:pPr>
              <w:jc w:val="center"/>
            </w:pPr>
            <w:r>
              <w:rPr>
                <w:sz w:val="18"/>
              </w:rPr>
              <w:t>共</w:t>
            </w:r>
            <w:r>
              <w:rPr>
                <w:sz w:val="18"/>
              </w:rPr>
              <w:t>16人</w:t>
            </w:r>
          </w:p>
        </w:tc>
      </w:tr>
    </w:tbl>
    <w:p>
      <w:pPr>
        <w:ind w:firstLine="421"/>
        <w:jc w:val="both"/>
      </w:pPr>
      <w:r>
        <w:rPr>
          <w:b/>
          <w:sz w:val="21"/>
        </w:rPr>
        <w:t>3.7广场演出时</w:t>
      </w:r>
      <w:r>
        <w:rPr>
          <w:b/>
          <w:sz w:val="21"/>
        </w:rPr>
        <w:t>维修维护人员</w:t>
      </w:r>
      <w:r>
        <w:rPr>
          <w:b/>
          <w:sz w:val="21"/>
        </w:rPr>
        <w:t>配置表</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358"/>
        <w:gridCol w:w="2284"/>
      </w:tblGrid>
      <w:tr>
        <w:tc>
          <w:tcPr>
            <w:tcW w:type="dxa" w:w="2358"/>
            <w:tcBorders>
              <w:top w:val="single" w:color="000000" w:sz="4"/>
              <w:left w:val="single" w:color="000000" w:sz="4"/>
              <w:bottom w:val="single" w:color="000000" w:sz="4"/>
              <w:right w:val="single" w:color="000000" w:sz="4"/>
            </w:tcBorders>
            <w:vAlign w:val="top"/>
          </w:tcPr>
          <w:p>
            <w:pPr>
              <w:jc w:val="center"/>
            </w:pPr>
            <w:r>
              <w:rPr>
                <w:sz w:val="18"/>
              </w:rPr>
              <w:t>岗位名称</w:t>
            </w:r>
          </w:p>
        </w:tc>
        <w:tc>
          <w:tcPr>
            <w:tcW w:type="dxa" w:w="2284"/>
            <w:tcBorders>
              <w:top w:val="single" w:color="000000" w:sz="4"/>
              <w:left w:val="single" w:color="000000" w:sz="4"/>
              <w:bottom w:val="single" w:color="000000" w:sz="4"/>
              <w:right w:val="single" w:color="000000" w:sz="4"/>
            </w:tcBorders>
            <w:vAlign w:val="top"/>
          </w:tcPr>
          <w:p>
            <w:pPr>
              <w:jc w:val="center"/>
            </w:pPr>
            <w:r>
              <w:rPr>
                <w:sz w:val="18"/>
              </w:rPr>
              <w:t>人数（人）</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设备水电维修维护</w:t>
            </w:r>
            <w:r>
              <w:rPr>
                <w:sz w:val="18"/>
              </w:rPr>
              <w:t>部领班</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总配电房高压操作人员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低压配电操作人员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总控室监控员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外环境设备操作人员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露天舞台配电房内操作人员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1</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维修人员</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2</w:t>
            </w:r>
          </w:p>
        </w:tc>
      </w:tr>
      <w:tr>
        <w:tc>
          <w:tcPr>
            <w:tcW w:type="dxa" w:w="2358"/>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284"/>
            <w:tcBorders>
              <w:top w:val="none" w:color="000000" w:sz="4"/>
              <w:left w:val="single" w:color="000000" w:sz="4"/>
              <w:bottom w:val="single" w:color="000000" w:sz="4"/>
              <w:right w:val="single" w:color="000000" w:sz="4"/>
            </w:tcBorders>
            <w:vAlign w:val="top"/>
          </w:tcPr>
          <w:p>
            <w:pPr>
              <w:jc w:val="center"/>
            </w:pPr>
            <w:r>
              <w:rPr>
                <w:sz w:val="18"/>
              </w:rPr>
              <w:t>共</w:t>
            </w:r>
            <w:r>
              <w:rPr>
                <w:sz w:val="18"/>
              </w:rPr>
              <w:t>11人</w:t>
            </w:r>
          </w:p>
        </w:tc>
      </w:tr>
    </w:tbl>
    <w:p>
      <w:pPr>
        <w:ind w:firstLine="420"/>
        <w:jc w:val="both"/>
      </w:pPr>
      <w:r>
        <w:rPr>
          <w:sz w:val="21"/>
        </w:rPr>
        <w:t>4.</w:t>
      </w:r>
      <w:r>
        <w:rPr>
          <w:sz w:val="21"/>
        </w:rPr>
        <w:t>设备水电维修维护</w:t>
      </w:r>
      <w:r>
        <w:rPr>
          <w:sz w:val="21"/>
        </w:rPr>
        <w:t>要求及质量标准：</w:t>
      </w:r>
    </w:p>
    <w:p>
      <w:pPr>
        <w:ind w:firstLine="420"/>
        <w:jc w:val="both"/>
      </w:pPr>
      <w:r>
        <w:rPr>
          <w:sz w:val="21"/>
        </w:rPr>
        <w:t>★</w:t>
      </w:r>
      <w:r>
        <w:rPr>
          <w:sz w:val="21"/>
        </w:rPr>
        <w:t>4.1中标人须承诺：负责管理区域内包括但不限于供配电系统、给排水系统、照明系统、景观水池、智能化系统（含18个子系统）、建筑物及其配套设备设施、装修附着物和装饰物等设备设施的养护、维修、更新及日常的操作使用和管理。负责电梯系统、中央空调系统及消防系统的日常使用操作管理。制定设施、设备运行、巡查、维修、保养等制度规范，配齐必要的维护保养工具，并对所有维护人员进行培训，经考核合格方可上岗。设备设施运行、巡查、维修、保养等记录须准确、完整，并按国家规定办理年检手续，保证其性能符合国家相关标准。设施、设备标识齐全、规范，责任人明确；操作维护人员严格执行设施设备操作规程及保养规范；保证采购人设施设备运行正常，保证设施、设备使用完好率达98%以上，设施、设备急修及时率达100%。</w:t>
      </w:r>
      <w:r>
        <w:rPr>
          <w:sz w:val="21"/>
          <w:u w:val="single"/>
        </w:rPr>
        <w:t>【响应方式：投标文件承诺响应，应优先在</w:t>
      </w:r>
      <w:r>
        <w:rPr>
          <w:sz w:val="21"/>
          <w:u w:val="single"/>
        </w:rPr>
        <w:t>“投标文件附加格式《“★”条款响应表》”中填写并作出响应，填表视为已承诺，作为评审依据。】</w:t>
      </w:r>
    </w:p>
    <w:p>
      <w:pPr>
        <w:ind w:firstLine="420"/>
        <w:jc w:val="both"/>
      </w:pPr>
      <w:r>
        <w:rPr>
          <w:sz w:val="21"/>
        </w:rPr>
        <w:t>4.2电梯、中央空调</w:t>
      </w:r>
      <w:r>
        <w:rPr>
          <w:sz w:val="21"/>
        </w:rPr>
        <w:t>（</w:t>
      </w:r>
      <w:r>
        <w:rPr>
          <w:sz w:val="21"/>
        </w:rPr>
        <w:t>含水处理</w:t>
      </w:r>
      <w:r>
        <w:rPr>
          <w:sz w:val="21"/>
        </w:rPr>
        <w:t>）</w:t>
      </w:r>
      <w:r>
        <w:rPr>
          <w:sz w:val="21"/>
        </w:rPr>
        <w:t>、消防三项</w:t>
      </w:r>
      <w:r>
        <w:rPr>
          <w:sz w:val="21"/>
        </w:rPr>
        <w:t>设施、设备，采购人已聘请专业公司进行</w:t>
      </w:r>
      <w:r>
        <w:rPr>
          <w:sz w:val="21"/>
        </w:rPr>
        <w:t>维修、养护。中标人要制定相关的管理措施，并指定专人做好与专业公司的协调工作，明确分工及责任，并落实监督管理工作。中标人对专业公司承包、保养的电梯、中央空调及消防设备，在日常使用过程中要制定使用运行制度，定责任人、定时开关设备，及时发现设备使用过程中的隐患并通知专业公司维修、保养，杜绝安全事故发生。</w:t>
      </w:r>
    </w:p>
    <w:p>
      <w:pPr>
        <w:ind w:firstLine="420"/>
        <w:jc w:val="both"/>
      </w:pPr>
      <w:r>
        <w:rPr>
          <w:sz w:val="21"/>
        </w:rPr>
        <w:t>4.3对建筑物进行日常管理和</w:t>
      </w:r>
      <w:r>
        <w:rPr>
          <w:sz w:val="21"/>
        </w:rPr>
        <w:t>设备水电维修维护</w:t>
      </w:r>
      <w:r>
        <w:rPr>
          <w:sz w:val="21"/>
        </w:rPr>
        <w:t>、巡查、保养，记录完整准确。每季度</w:t>
      </w:r>
      <w:r>
        <w:rPr>
          <w:sz w:val="21"/>
        </w:rPr>
        <w:t>1次对建筑物结构和涉及使用安全的部位进行检查、记录，并提交采购人审阅，发现损坏及时安排专项修理。</w:t>
      </w:r>
    </w:p>
    <w:p>
      <w:pPr>
        <w:ind w:firstLine="420"/>
        <w:jc w:val="both"/>
      </w:pPr>
      <w:r>
        <w:rPr>
          <w:sz w:val="21"/>
        </w:rPr>
        <w:t>4.4每周1次对建筑物门、窗、楼道安全门进行安全检查，保证门、窗开启灵活，无异常声响，门窗玻璃无破碎。每月1次对屋面排水沟、室内外排水管进行清扫、疏通，保障排水畅通；每月1次对建筑物天面进行检查，发现防水层有气臌、破碎，隔热层有断裂、缺损的，应及时做出专项维修计划，与采购人协商维修事宜。</w:t>
      </w:r>
    </w:p>
    <w:p>
      <w:pPr>
        <w:ind w:firstLine="420"/>
        <w:jc w:val="both"/>
      </w:pPr>
      <w:r>
        <w:rPr>
          <w:sz w:val="21"/>
        </w:rPr>
        <w:t>4.5每月1次进行检查，确保室内外墙体、天花表层无剥落、裂痕，玻璃幕墙、铝金属幕墙、大理石幕墙无松脱，地面砖、石平整不起壳、无缺损，墙面无明显污迹等，发现问题要及时处理。每周1次巡查室外喷水池、水泵及其他附属设施，保证其正常运行。节假日特别是重大节日前，应对景观设施、照明进行安全、功能检查，保证期间各项设施正常运行，并做好检查记录。</w:t>
      </w:r>
    </w:p>
    <w:p>
      <w:pPr>
        <w:ind w:firstLine="420"/>
        <w:jc w:val="both"/>
      </w:pPr>
      <w:r>
        <w:rPr>
          <w:sz w:val="21"/>
        </w:rPr>
        <w:t>4.6每月对中心平面图、路面及车位标线、指引牌等</w:t>
      </w:r>
      <w:r>
        <w:rPr>
          <w:sz w:val="21"/>
        </w:rPr>
        <w:t>标示</w:t>
      </w:r>
      <w:r>
        <w:rPr>
          <w:sz w:val="21"/>
        </w:rPr>
        <w:t>进行检查，依据损耗情况每年不少于</w:t>
      </w:r>
      <w:r>
        <w:rPr>
          <w:sz w:val="21"/>
        </w:rPr>
        <w:t>2次（含2次）进行翻新。每年至少1次对室外金属制、木制设备设施进行刷漆保养。每年至少1次对室内走廊、楼梯、过道等公共区域的墙面、天花进行检查粉刷，确保室内美观。</w:t>
      </w:r>
    </w:p>
    <w:p>
      <w:pPr>
        <w:ind w:firstLine="420"/>
        <w:jc w:val="both"/>
      </w:pPr>
      <w:r>
        <w:rPr>
          <w:sz w:val="21"/>
        </w:rPr>
        <w:t>4.7 每半年对中心天面、外围下水道进行疏通，确保排水畅通。每年对室外全部井盖进行一次维护，清理井道垃圾，确保井盖开启正常，无破损，井盖覆盖严实。</w:t>
      </w:r>
    </w:p>
    <w:p>
      <w:pPr>
        <w:ind w:firstLine="420"/>
        <w:jc w:val="both"/>
      </w:pPr>
      <w:r>
        <w:rPr>
          <w:sz w:val="21"/>
        </w:rPr>
        <w:t>4.8演艺大楼配压配电房配电柜、制冷机房电柜、消防房电柜、小剧场灯光机机房电柜、大剧场灯光机机房电柜、培训大楼低压配电房电柜、变压器等每年3月、9月进行停电全面检查保养。其他末端的配电柜：每个季度检查保养一次（3、6、9、12月），双电源每季度转换一次，漏电开关每季度试验一次。发电机组应有专人负责每周进行1次（3至6分钟）试运转，每月进行1次发电机组全面检查，每季度进行1次大保养并清洗滤烟水箱，确保供电正常。</w:t>
      </w:r>
    </w:p>
    <w:p>
      <w:pPr>
        <w:ind w:firstLine="420"/>
        <w:jc w:val="both"/>
      </w:pPr>
      <w:r>
        <w:rPr>
          <w:sz w:val="21"/>
        </w:rPr>
        <w:t>4.9保证电梯24小时安全运行，轿厢内按钮、灯具等配件保持完好、整洁。委托专业维修保养单位进行定期保养，每年进行安全检测并持有效的《安全使用许可证》，建筑物内全部电梯每年年审所产生的质量检测、发证等一切费用由中标人支付；电梯发生故障的，2小时内专业维修人员到现场维修。发生电梯困人或其他重大事件时，物业管理人员立即到现场做应急处理，专业人员在15分钟内赶到现场救助。</w:t>
      </w:r>
    </w:p>
    <w:p>
      <w:pPr>
        <w:ind w:firstLine="420"/>
        <w:jc w:val="both"/>
      </w:pPr>
      <w:r>
        <w:rPr>
          <w:sz w:val="21"/>
        </w:rPr>
        <w:t>4.10中标人</w:t>
      </w:r>
      <w:r>
        <w:rPr>
          <w:sz w:val="21"/>
        </w:rPr>
        <w:t>设备水电维修维护人员</w:t>
      </w:r>
      <w:r>
        <w:rPr>
          <w:sz w:val="21"/>
        </w:rPr>
        <w:t>要做到人人掌握消防知识，人人懂消防设备的基本操作，杜绝火灾事故。要做好巡视工作，防止消防设施被破坏现象的发生。消防泵每月启动</w:t>
      </w:r>
      <w:r>
        <w:rPr>
          <w:sz w:val="21"/>
        </w:rPr>
        <w:t>1次并作记录，每年保养1次，保证其运行正常；消防栓每月巡查1次，保持消防栓箱内各种配件完好；每月检查报警功能是否正常；按照消防部门要求对火灾探测器进行检测；每季检查1次消防龙头及水带、阀杆处加注润滑油并作1次放水检查；每月检查1次灭火器，临近失效立即更新或充压；保证消防通道畅通。</w:t>
      </w:r>
    </w:p>
    <w:p>
      <w:pPr>
        <w:ind w:firstLine="420"/>
        <w:jc w:val="both"/>
      </w:pPr>
      <w:r>
        <w:rPr>
          <w:sz w:val="21"/>
        </w:rPr>
        <w:t>4.11对总控室设备做好维护保养并记录，保证设备24小时运行正常。发现设备故障应即时通知采购人或设备供应商</w:t>
      </w:r>
      <w:r>
        <w:rPr>
          <w:sz w:val="21"/>
        </w:rPr>
        <w:t>（</w:t>
      </w:r>
      <w:r>
        <w:rPr>
          <w:sz w:val="21"/>
        </w:rPr>
        <w:t>或维修保养单位</w:t>
      </w:r>
      <w:r>
        <w:rPr>
          <w:sz w:val="21"/>
        </w:rPr>
        <w:t>）</w:t>
      </w:r>
      <w:r>
        <w:rPr>
          <w:sz w:val="21"/>
        </w:rPr>
        <w:t>进行维修并记录。总控室内值班人员不得少于</w:t>
      </w:r>
      <w:r>
        <w:rPr>
          <w:sz w:val="21"/>
        </w:rPr>
        <w:t>2人，未经交接不得擅离岗位。每次上下班、交接及发生的重大事项均做好记录，每月向采购人提供记录以供查验。</w:t>
      </w:r>
    </w:p>
    <w:p>
      <w:pPr>
        <w:ind w:firstLine="420"/>
        <w:jc w:val="both"/>
      </w:pPr>
      <w:r>
        <w:rPr>
          <w:sz w:val="21"/>
        </w:rPr>
        <w:t>4.12中标人应做好采购人建筑物智能化系统的维护保养工作。如发生智能化系统故障，应第一时间告知采购人相关负责人，并按照以下要求做好智能化系统的修复工作：</w:t>
      </w:r>
    </w:p>
    <w:p>
      <w:pPr>
        <w:ind w:firstLine="420"/>
        <w:jc w:val="both"/>
      </w:pPr>
      <w:r>
        <w:rPr>
          <w:sz w:val="21"/>
        </w:rPr>
        <w:t>4.12.1非演出期间出现的系统故障：中标人在系统故障出现的当天之内完成修复，未能当天修复的中标人需当天之内将未修复的情况原因书面报告采购人。</w:t>
      </w:r>
    </w:p>
    <w:p>
      <w:pPr>
        <w:ind w:firstLine="420"/>
        <w:jc w:val="both"/>
      </w:pPr>
      <w:r>
        <w:rPr>
          <w:sz w:val="21"/>
        </w:rPr>
        <w:t>4.12.2演出期间出现的系统故障：中标人在演出活动开始前完成修复；未能在演出活动开始前完成修复，中标人需准备后备的系统或设备，临时确保演出活动期间故障系统的正常使用，由此产生的费用由中标人负责。若系统不能正常使用也没有临时替代系统与设备，中标人需当天之内将未修复的情况原因书面报告采购人，采购人有权向中标人追究由此产生的经济损失责任。</w:t>
      </w:r>
    </w:p>
    <w:p>
      <w:pPr>
        <w:ind w:firstLine="420"/>
        <w:jc w:val="both"/>
      </w:pPr>
      <w:r>
        <w:rPr>
          <w:sz w:val="21"/>
        </w:rPr>
        <w:t>4.12.3因中标人原因致使中标人未能按照以上条款确定的时效完成系统修复或报告采购人，采购人将在每月月度考核评分中扣减相应分数。若一个月内出现2次以上（含2次）的违反以上条款的情况，采购人有权在当月物业管理费中扣减3%作为处罚。</w:t>
      </w:r>
    </w:p>
    <w:p>
      <w:pPr>
        <w:ind w:firstLine="420"/>
        <w:jc w:val="both"/>
      </w:pPr>
      <w:r>
        <w:rPr>
          <w:sz w:val="21"/>
        </w:rPr>
        <w:t>4.12.4中标人若不具备智能化系统维修维护能力，中标人可自行聘请具备智能化系统维保相关专业技术资质的第三方维修保养公司进行维修保养工作。由此产生的费用按照本章节第4.13条款内容由中标人负责支付。采购人有权对中标人聘请的第三方专业维保公司的资质以及技术力量进行审查，如不符合采购人维保要求时，采购人有权要求中标人撤换。</w:t>
      </w:r>
    </w:p>
    <w:p>
      <w:pPr>
        <w:ind w:firstLine="420"/>
        <w:jc w:val="both"/>
      </w:pPr>
      <w:r>
        <w:rPr>
          <w:sz w:val="21"/>
        </w:rPr>
        <w:t>★</w:t>
      </w:r>
      <w:r>
        <w:rPr>
          <w:sz w:val="21"/>
        </w:rPr>
        <w:t>4.13中标人须承诺：在维修保养项目中属维修、保养更新或使用中消耗的设备设施及其配件（包含外租的商铺），以单件为单位，市场价在2000元（不含2000元）以下的零件和物品，由中标人负责采购及支付费用，更换设备设施前先由采购人进行确认和核价，因中标人日常管理已配备符合要求的人员（包括中标人聘请的第三方维保公司工作人员），因此所有属中标人维修项目不应产生人工费用。每月中标人负责更换设备设施及其配件的总费用为35000元，超出35000元的部分由采购人负责。中标人虚报单价、无故拖延或弄虚作假以次充优等影响维修进度质量的行为，经采购人核查情况属实，采购人有权自行或聘请第三方进行维修，产生费用在每月物业管理费内扣除。</w:t>
      </w:r>
      <w:r>
        <w:rPr>
          <w:sz w:val="21"/>
          <w:u w:val="single"/>
        </w:rPr>
        <w:t>【响应方式：投标文件承诺响应，应优先在</w:t>
      </w:r>
      <w:r>
        <w:rPr>
          <w:sz w:val="21"/>
          <w:u w:val="single"/>
        </w:rPr>
        <w:t>“投标文件附加格式《“★”条款响应表》”中填写并作出响应，填表视为已承诺，作为评审依据。】</w:t>
      </w:r>
    </w:p>
    <w:p>
      <w:pPr>
        <w:ind w:firstLine="420"/>
        <w:jc w:val="both"/>
      </w:pPr>
      <w:r>
        <w:rPr>
          <w:sz w:val="21"/>
        </w:rPr>
        <w:t>4.14未经采购人允许，中标人不得随意更改采购人设备、设施和更换照明灯具（包括变换位置）。损坏的设备设施和照明灯具，要求2天内完成修复工作，并即时上报采购人。购回的零件和物品为原设备设施生产厂家的原装正品，如因特殊情况暂不能按时完成维修工作或没法购回相同的零件、物品，需即时上报采购人，在征得采购人同意后方可延长修复期限或采用近似的配件替代。</w:t>
      </w:r>
    </w:p>
    <w:p>
      <w:pPr>
        <w:ind w:firstLine="420"/>
        <w:jc w:val="both"/>
      </w:pPr>
      <w:r>
        <w:rPr>
          <w:sz w:val="21"/>
        </w:rPr>
        <w:t>4.15对容易危及人身安全的设施设备有明显的警示标识和防范措施；对可能发生的各种突发设备故障有应急预案（特别是影响采购人正常运行的设施、设备）。</w:t>
      </w:r>
    </w:p>
    <w:p>
      <w:pPr>
        <w:ind w:firstLine="420"/>
        <w:jc w:val="both"/>
      </w:pPr>
      <w:r>
        <w:rPr>
          <w:sz w:val="21"/>
        </w:rPr>
        <w:t>4.16设备、设施非人为损坏但仍在保修期内，中标人负责跟踪和落实设备设施的正常使用；若存在安全隐患或影响正常使用的设备设施，除及时上报采购人外，如导致设施设备不能正常使用时，由中标人先行处理使其恢复安全正常使用，再追讨相关单位的费用。</w:t>
      </w:r>
    </w:p>
    <w:p>
      <w:pPr>
        <w:ind w:firstLine="420"/>
        <w:jc w:val="both"/>
      </w:pPr>
      <w:r>
        <w:rPr>
          <w:sz w:val="21"/>
        </w:rPr>
        <w:t>4.17由于中标人管理不善，导致采购人的建筑物、设备、设施、场地等出现损坏的，中标人当天上报采购人并在2天内修复原貌。如因第三方损坏的，允许中标人收取第三方一定的维修保证金，并要求2天内完成修复工作，同时将扣除所产生的维修费用后的剩余款项及时退还第三方。事后要求将相关资料（如购买材料发票复印件、中标人与第三方的签收原始字条或复印件等）上交采购人审核备案。若即时没法定价的，先由中标人支付修复所需费用。</w:t>
      </w:r>
    </w:p>
    <w:p>
      <w:pPr>
        <w:ind w:firstLine="420"/>
        <w:jc w:val="both"/>
      </w:pPr>
      <w:r>
        <w:rPr>
          <w:sz w:val="21"/>
        </w:rPr>
        <w:t>4.18中标人有意破坏采购人设备设施或销毁资料、记录的，不但要赔偿采购人恢复设备设施正常运行所需要的费用，还将追究其法律责任。如人为因素造成维修工作重复的，采购人根据实际损失追究中标人的责任。</w:t>
      </w:r>
    </w:p>
    <w:p>
      <w:pPr>
        <w:ind w:firstLine="420"/>
        <w:jc w:val="both"/>
      </w:pPr>
      <w:r>
        <w:rPr>
          <w:sz w:val="21"/>
        </w:rPr>
        <w:t>4.19中标人负责辖区内商铺的相关安全、卫生、合理使用中心设备设施管理；专人负责商铺用电用水的抄表工作；安排</w:t>
      </w:r>
      <w:r>
        <w:rPr>
          <w:sz w:val="21"/>
        </w:rPr>
        <w:t>维修维护部</w:t>
      </w:r>
      <w:r>
        <w:rPr>
          <w:sz w:val="21"/>
        </w:rPr>
        <w:t>主管以上人员每天对商铺的用电、用水、用燃气、用冷、明火作业进行巡查；对装修期间的商铺，每天不少于两次的安全巡查工作；发现问题及时处理、制止和上报采购人；负责对装修或重新装修商铺开张前的工商许可证、消防合格证复印件的收取后呈交采购人工作。</w:t>
      </w:r>
    </w:p>
    <w:p>
      <w:pPr>
        <w:ind w:firstLine="420"/>
        <w:jc w:val="both"/>
      </w:pPr>
      <w:r>
        <w:rPr>
          <w:sz w:val="21"/>
        </w:rPr>
        <w:t>4.20中标人应加强国家法定假期和采购人举办重大活动前的安全检查，并要求提交各类设备设施的检查报告给采购人审核备案。</w:t>
      </w:r>
    </w:p>
    <w:p>
      <w:pPr>
        <w:ind w:firstLine="420"/>
        <w:jc w:val="both"/>
      </w:pPr>
      <w:r>
        <w:rPr>
          <w:sz w:val="21"/>
        </w:rPr>
        <w:t>4.21采购人要求中标人的</w:t>
      </w:r>
      <w:r>
        <w:rPr>
          <w:sz w:val="21"/>
        </w:rPr>
        <w:t>设备水电维修维护</w:t>
      </w:r>
      <w:r>
        <w:rPr>
          <w:sz w:val="21"/>
        </w:rPr>
        <w:t>人员每年年底提交下年工作计划；每月月底组织全体人员总结当月工作情况；发生重大问题后除了及时处理纠正外，还应及时组织全体人员总结并吸取教训，次日应将相关内容用文字形式上交采购人。</w:t>
      </w:r>
    </w:p>
    <w:p>
      <w:pPr>
        <w:ind w:firstLine="420"/>
        <w:jc w:val="both"/>
      </w:pPr>
      <w:r>
        <w:rPr>
          <w:sz w:val="21"/>
        </w:rPr>
        <w:t>4.22完成采购人提出的其它与</w:t>
      </w:r>
      <w:r>
        <w:rPr>
          <w:sz w:val="21"/>
        </w:rPr>
        <w:t>设备水电维修维护</w:t>
      </w:r>
      <w:r>
        <w:rPr>
          <w:sz w:val="21"/>
        </w:rPr>
        <w:t>有关的其他事项。</w:t>
      </w:r>
    </w:p>
    <w:p>
      <w:pPr>
        <w:ind w:firstLine="420"/>
        <w:jc w:val="both"/>
      </w:pPr>
      <w:r>
        <w:rPr>
          <w:sz w:val="21"/>
        </w:rPr>
        <w:t>★4.23采购人大堂净高达到12米以上，中标人须配备登高设备方便大堂天花空调、灯具、监控等设备进行日常检修。</w:t>
      </w:r>
      <w:r>
        <w:rPr>
          <w:sz w:val="21"/>
          <w:u w:val="single"/>
        </w:rPr>
        <w:t>【响应方式：投标文件承诺响应，应优先在</w:t>
      </w:r>
      <w:r>
        <w:rPr>
          <w:sz w:val="21"/>
          <w:u w:val="single"/>
        </w:rPr>
        <w:t>“投标文件附加格式《“★”条款响应表》”中填写并作出响应，填表视为已承诺，作为评审依据。】</w:t>
      </w:r>
    </w:p>
    <w:p>
      <w:pPr>
        <w:ind w:firstLine="420"/>
      </w:pPr>
    </w:p>
    <w:p>
      <w:pPr>
        <w:ind w:firstLine="421"/>
      </w:pPr>
      <w:r>
        <w:rPr>
          <w:b/>
          <w:sz w:val="21"/>
        </w:rPr>
        <w:t>（五）剧场服务</w:t>
      </w:r>
    </w:p>
    <w:p>
      <w:pPr>
        <w:ind w:firstLine="421"/>
      </w:pPr>
      <w:r>
        <w:rPr>
          <w:b/>
          <w:sz w:val="21"/>
        </w:rPr>
        <w:t>1.剧场人员要求</w:t>
      </w:r>
      <w:r>
        <w:rPr>
          <w:sz w:val="21"/>
        </w:rPr>
        <w:t>（剧场人员</w:t>
      </w:r>
      <w:r>
        <w:rPr>
          <w:sz w:val="21"/>
        </w:rPr>
        <w:t>16人，含剧场主管1人）</w:t>
      </w:r>
    </w:p>
    <w:p>
      <w:pPr>
        <w:ind w:firstLine="420"/>
      </w:pPr>
      <w:r>
        <w:rPr>
          <w:sz w:val="21"/>
        </w:rPr>
        <w:t>1.1剧场主管要求：有较强的组织、统筹能力及外语能力，5年以上剧场服务或商务接待工作经验，具有大学英语四级或以上资格证（大学英语四级425分或以上），能熟练进行英语的接待服务。要求普通话标准，具有普通话等级证书。年龄在45岁或以下，身高160cm或以上，身体健康，政历清楚，形象气质佳。事业心、责任感强，具奉献精神，熟悉接待礼仪和服务技巧。持《健康证》。</w:t>
      </w:r>
    </w:p>
    <w:p>
      <w:pPr>
        <w:ind w:firstLine="420"/>
      </w:pPr>
      <w:r>
        <w:rPr>
          <w:sz w:val="21"/>
        </w:rPr>
        <w:t>★1.2签订合同前，中标人须向采购人提供剧场服务主管的大学英语四级或以上资格证（大学英语四级425分或以上）、普通话等级证书资料进行备案。未能提供上述证书资料，或提供的证书资料与所配备人员不符，或未配备人员的，将视为中标人放弃中标，采购人可以依据《中华人民共和国政府采购法实施条例》第四十九条的规定，按照评审报告推荐的中标候选人名单排序，确定下一候选人为中标人。依此类推，至达到要求。</w:t>
      </w:r>
      <w:r>
        <w:rPr>
          <w:sz w:val="21"/>
          <w:u w:val="single"/>
        </w:rPr>
        <w:t>【响应方式：投标文件承诺响应，应优先在</w:t>
      </w:r>
      <w:r>
        <w:rPr>
          <w:sz w:val="21"/>
          <w:u w:val="single"/>
        </w:rPr>
        <w:t>“投标文件附加格式《“★”条款响应表》”中填写并作出响应，填表视为已承诺，作为评审依据。】</w:t>
      </w:r>
    </w:p>
    <w:p>
      <w:pPr>
        <w:ind w:firstLine="420"/>
      </w:pPr>
      <w:r>
        <w:rPr>
          <w:sz w:val="21"/>
        </w:rPr>
        <w:t>1.3剧场领班要求：年龄35岁或以下，身高160cm或以上，3年以上剧场服务或商务接待工作经验。具有大学英语四级或以上资格证（大学英语四级425分或以上），能熟练进行英语的接待服务，能熟悉进行日常英语会话，熟悉接待礼仪和服务技巧。身体健康，政历清楚，形象气质佳，工作敬业，责任心强，能吃苦耐劳。持《健康证》。</w:t>
      </w:r>
    </w:p>
    <w:p>
      <w:pPr>
        <w:ind w:firstLine="420"/>
      </w:pPr>
      <w:r>
        <w:rPr>
          <w:sz w:val="21"/>
        </w:rPr>
        <w:t>1.4售票员要求：30岁或以下，一年以上销售、服务或收银工作经验，具备较强沟通协调能力和理解能力，能熟悉进行日常英语会话，熟悉电脑操作，能熟练操作电脑办公系统，身体健康，政历清楚，形象气质佳，品德优良，事业心、责任感强，具奉献精神。持《健康证》。</w:t>
      </w:r>
    </w:p>
    <w:p>
      <w:pPr>
        <w:ind w:firstLine="420"/>
      </w:pPr>
      <w:r>
        <w:rPr>
          <w:sz w:val="21"/>
        </w:rPr>
        <w:t>1.5接待员要求：30岁或以下，身高160cm或以上，形象气质好，熟悉接待礼仪和服务技巧，身体健康，政历清楚，形象气质佳。持《健康证》。</w:t>
      </w:r>
    </w:p>
    <w:p>
      <w:pPr>
        <w:ind w:firstLine="420"/>
        <w:jc w:val="both"/>
      </w:pPr>
      <w:r>
        <w:rPr>
          <w:sz w:val="21"/>
        </w:rPr>
        <w:t>1.6贵宾接待员要求：30岁或以下，其中1名需具备大学英语四级</w:t>
      </w:r>
      <w:r>
        <w:rPr>
          <w:sz w:val="21"/>
        </w:rPr>
        <w:t>（</w:t>
      </w:r>
      <w:r>
        <w:rPr>
          <w:sz w:val="21"/>
        </w:rPr>
        <w:t>425分或以上</w:t>
      </w:r>
      <w:r>
        <w:rPr>
          <w:sz w:val="21"/>
        </w:rPr>
        <w:t>）</w:t>
      </w:r>
      <w:r>
        <w:rPr>
          <w:sz w:val="21"/>
        </w:rPr>
        <w:t>或以上，能熟练进行英语的接待服务，身高</w:t>
      </w:r>
      <w:r>
        <w:rPr>
          <w:sz w:val="21"/>
        </w:rPr>
        <w:t>160cm或以上，身体健康，政历清楚，形象气质佳，品德优良，事业心、责任感强，具奉献精神，熟悉接待礼仪和服务技巧。</w:t>
      </w:r>
      <w:r>
        <w:rPr>
          <w:sz w:val="21"/>
        </w:rPr>
        <w:t>持《健康证》。</w:t>
      </w:r>
    </w:p>
    <w:p>
      <w:pPr>
        <w:jc w:val="both"/>
      </w:pPr>
      <w:r>
        <w:rPr>
          <w:sz w:val="21"/>
        </w:rPr>
        <w:t>2.剧场人员配置安排：</w:t>
      </w:r>
    </w:p>
    <w:p>
      <w:pPr>
        <w:ind w:firstLine="420"/>
        <w:jc w:val="both"/>
      </w:pPr>
      <w:r>
        <w:rPr>
          <w:sz w:val="21"/>
        </w:rPr>
        <w:t>★</w:t>
      </w:r>
      <w:r>
        <w:rPr>
          <w:sz w:val="21"/>
        </w:rPr>
        <w:t>2.1</w:t>
      </w:r>
      <w:r>
        <w:rPr>
          <w:sz w:val="21"/>
        </w:rPr>
        <w:t>中标人须承诺：剧场服务部岗位配置及人数安排不低于下面</w:t>
      </w:r>
      <w:r>
        <w:rPr>
          <w:sz w:val="21"/>
        </w:rPr>
        <w:t>“</w:t>
      </w:r>
      <w:r>
        <w:rPr>
          <w:sz w:val="21"/>
        </w:rPr>
        <w:t>2.2</w:t>
      </w:r>
      <w:r>
        <w:rPr>
          <w:sz w:val="21"/>
        </w:rPr>
        <w:t>日常剧场服务人数安排表</w:t>
      </w:r>
      <w:r>
        <w:rPr>
          <w:sz w:val="21"/>
        </w:rPr>
        <w:t>”“</w:t>
      </w:r>
      <w:r>
        <w:rPr>
          <w:sz w:val="21"/>
        </w:rPr>
        <w:t>2.3</w:t>
      </w:r>
      <w:r>
        <w:rPr>
          <w:sz w:val="21"/>
        </w:rPr>
        <w:t>大剧场活动岗位安排表</w:t>
      </w:r>
      <w:r>
        <w:rPr>
          <w:sz w:val="21"/>
        </w:rPr>
        <w:t>”“</w:t>
      </w:r>
      <w:r>
        <w:rPr>
          <w:sz w:val="21"/>
        </w:rPr>
        <w:t>2.4小剧场活动岗位安排表</w:t>
      </w:r>
      <w:r>
        <w:rPr>
          <w:sz w:val="21"/>
        </w:rPr>
        <w:t>”“</w:t>
      </w:r>
      <w:r>
        <w:rPr>
          <w:sz w:val="21"/>
        </w:rPr>
        <w:t>2.5文化广场活动岗位安排表</w:t>
      </w:r>
      <w:r>
        <w:rPr>
          <w:sz w:val="21"/>
        </w:rPr>
        <w:t>”“</w:t>
      </w:r>
      <w:r>
        <w:rPr>
          <w:sz w:val="21"/>
        </w:rPr>
        <w:t>2.6对外开放参观岗位安排表</w:t>
      </w:r>
      <w:r>
        <w:rPr>
          <w:sz w:val="21"/>
        </w:rPr>
        <w:t>”“</w:t>
      </w:r>
      <w:r>
        <w:rPr>
          <w:sz w:val="21"/>
        </w:rPr>
        <w:t>2.7团体参观岗位安排表</w:t>
      </w:r>
      <w:r>
        <w:rPr>
          <w:sz w:val="21"/>
        </w:rPr>
        <w:t>”“</w:t>
      </w:r>
      <w:r>
        <w:rPr>
          <w:sz w:val="21"/>
        </w:rPr>
        <w:t>2.8活动彩排期间的岗位安排表</w:t>
      </w:r>
      <w:r>
        <w:rPr>
          <w:sz w:val="21"/>
        </w:rPr>
        <w:t>”要求。</w:t>
      </w:r>
      <w:r>
        <w:rPr>
          <w:sz w:val="21"/>
          <w:u w:val="single"/>
        </w:rPr>
        <w:t>【响应方式：投标文件承诺响应，应优先在</w:t>
      </w:r>
      <w:r>
        <w:rPr>
          <w:sz w:val="21"/>
          <w:u w:val="single"/>
        </w:rPr>
        <w:t>“投标文件附加格式《“★”条款响应表》”中填写并作出响应，填表视为已承诺，作为评审依据。】</w:t>
      </w:r>
    </w:p>
    <w:p>
      <w:pPr>
        <w:jc w:val="both"/>
      </w:pPr>
      <w:r>
        <w:rPr>
          <w:b/>
          <w:sz w:val="21"/>
        </w:rPr>
        <w:t>2.2</w:t>
      </w:r>
      <w:r>
        <w:rPr>
          <w:b/>
          <w:sz w:val="21"/>
        </w:rPr>
        <w:t>日常剧场服务人数安排表：</w:t>
      </w:r>
    </w:p>
    <w:tbl>
      <w:tblPr>
        <w:tblW w:w="0" w:type="auto"/>
        <w:tblBorders>
          <w:top w:val="none" w:color="000000" w:sz="4"/>
          <w:left w:val="none" w:color="000000" w:sz="4"/>
          <w:bottom w:val="none" w:color="000000" w:sz="4"/>
          <w:right w:val="none" w:color="000000" w:sz="4"/>
          <w:insideH w:val="none"/>
          <w:insideV w:val="none"/>
        </w:tblBorders>
      </w:tblPr>
      <w:tblGrid>
        <w:gridCol w:w="1578"/>
        <w:gridCol w:w="1578"/>
        <w:gridCol w:w="1503"/>
      </w:tblGrid>
      <w:tr>
        <w:tc>
          <w:tcPr>
            <w:tcW w:type="dxa" w:w="1578"/>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1578"/>
            <w:tcBorders>
              <w:top w:val="single" w:color="000000" w:sz="4"/>
              <w:left w:val="single" w:color="000000" w:sz="4"/>
              <w:bottom w:val="single" w:color="000000" w:sz="4"/>
              <w:right w:val="single" w:color="000000" w:sz="4"/>
            </w:tcBorders>
            <w:vAlign w:val="top"/>
          </w:tcPr>
          <w:p>
            <w:pPr>
              <w:jc w:val="center"/>
            </w:pPr>
            <w:r>
              <w:rPr>
                <w:b/>
                <w:sz w:val="18"/>
              </w:rPr>
              <w:t>人数（人）</w:t>
            </w:r>
          </w:p>
        </w:tc>
        <w:tc>
          <w:tcPr>
            <w:tcW w:type="dxa" w:w="1503"/>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主管</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03"/>
            <w:tcBorders>
              <w:top w:val="none" w:color="000000" w:sz="4"/>
              <w:left w:val="single" w:color="000000" w:sz="4"/>
              <w:bottom w:val="single" w:color="000000" w:sz="4"/>
              <w:right w:val="single" w:color="000000" w:sz="4"/>
            </w:tcBorders>
            <w:vAlign w:val="top"/>
          </w:tcPr>
          <w:p>
            <w:pPr>
              <w:jc w:val="center"/>
            </w:pP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售票员</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503"/>
            <w:tcBorders>
              <w:top w:val="none" w:color="000000" w:sz="4"/>
              <w:left w:val="single" w:color="000000" w:sz="4"/>
              <w:bottom w:val="single" w:color="000000" w:sz="4"/>
              <w:right w:val="single" w:color="000000" w:sz="4"/>
            </w:tcBorders>
            <w:vAlign w:val="top"/>
          </w:tcPr>
          <w:p>
            <w:pPr>
              <w:jc w:val="center"/>
            </w:pPr>
            <w:r>
              <w:rPr>
                <w:sz w:val="18"/>
              </w:rPr>
              <w:t>1名领班，分2班，每班不少于2人</w:t>
            </w: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东门</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03"/>
            <w:tcBorders>
              <w:top w:val="none" w:color="000000" w:sz="4"/>
              <w:left w:val="single" w:color="000000" w:sz="4"/>
              <w:bottom w:val="single" w:color="000000" w:sz="4"/>
              <w:right w:val="single" w:color="000000" w:sz="4"/>
            </w:tcBorders>
            <w:vAlign w:val="top"/>
          </w:tcPr>
          <w:p>
            <w:pPr>
              <w:jc w:val="center"/>
            </w:pPr>
            <w:r>
              <w:rPr>
                <w:sz w:val="18"/>
              </w:rPr>
              <w:t>附属区前台</w:t>
            </w: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四杰大堂</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03"/>
            <w:tcBorders>
              <w:top w:val="none" w:color="000000" w:sz="4"/>
              <w:left w:val="single" w:color="000000" w:sz="4"/>
              <w:bottom w:val="single" w:color="000000" w:sz="4"/>
              <w:right w:val="single" w:color="000000" w:sz="4"/>
            </w:tcBorders>
            <w:vAlign w:val="top"/>
          </w:tcPr>
          <w:p>
            <w:pPr>
              <w:jc w:val="center"/>
            </w:pPr>
            <w:r>
              <w:rPr>
                <w:sz w:val="18"/>
              </w:rPr>
              <w:t>对外开放指引</w:t>
            </w: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剧场服务管理</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503"/>
            <w:tcBorders>
              <w:top w:val="none" w:color="000000" w:sz="4"/>
              <w:left w:val="single" w:color="000000" w:sz="4"/>
              <w:bottom w:val="single" w:color="000000" w:sz="4"/>
              <w:right w:val="single" w:color="000000" w:sz="4"/>
            </w:tcBorders>
            <w:vAlign w:val="top"/>
          </w:tcPr>
          <w:p>
            <w:pPr>
              <w:jc w:val="center"/>
            </w:pPr>
            <w:r>
              <w:rPr>
                <w:sz w:val="18"/>
              </w:rPr>
              <w:t>剧场服务</w:t>
            </w: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讲解员（共用岗位）</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03"/>
            <w:tcBorders>
              <w:top w:val="none" w:color="000000" w:sz="4"/>
              <w:left w:val="single" w:color="000000" w:sz="4"/>
              <w:bottom w:val="single" w:color="000000" w:sz="4"/>
              <w:right w:val="single" w:color="000000" w:sz="4"/>
            </w:tcBorders>
            <w:vAlign w:val="top"/>
          </w:tcPr>
          <w:p>
            <w:pPr>
              <w:jc w:val="center"/>
            </w:pPr>
            <w:r>
              <w:rPr>
                <w:sz w:val="18"/>
              </w:rPr>
              <w:t>对外开放讲解</w:t>
            </w: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会务及贵宾接待（共用岗位）</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503"/>
            <w:tcBorders>
              <w:top w:val="none" w:color="000000" w:sz="4"/>
              <w:left w:val="single" w:color="000000" w:sz="4"/>
              <w:bottom w:val="single" w:color="000000" w:sz="4"/>
              <w:right w:val="single" w:color="000000" w:sz="4"/>
            </w:tcBorders>
            <w:vAlign w:val="top"/>
          </w:tcPr>
          <w:p>
            <w:pPr>
              <w:jc w:val="center"/>
            </w:pPr>
            <w:r>
              <w:rPr>
                <w:sz w:val="18"/>
              </w:rPr>
              <w:t>会务及贵宾接待</w:t>
            </w:r>
          </w:p>
        </w:tc>
      </w:tr>
      <w:tr>
        <w:tc>
          <w:tcPr>
            <w:tcW w:type="dxa" w:w="1578"/>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578"/>
            <w:tcBorders>
              <w:top w:val="none" w:color="000000" w:sz="4"/>
              <w:left w:val="single" w:color="000000" w:sz="4"/>
              <w:bottom w:val="single" w:color="000000" w:sz="4"/>
              <w:right w:val="single" w:color="000000" w:sz="4"/>
            </w:tcBorders>
            <w:vAlign w:val="top"/>
          </w:tcPr>
          <w:p>
            <w:pPr>
              <w:jc w:val="center"/>
            </w:pPr>
            <w:r>
              <w:rPr>
                <w:sz w:val="18"/>
              </w:rPr>
              <w:t>共</w:t>
            </w:r>
            <w:r>
              <w:rPr>
                <w:sz w:val="18"/>
              </w:rPr>
              <w:t>16人</w:t>
            </w:r>
          </w:p>
        </w:tc>
        <w:tc>
          <w:tcPr>
            <w:tcW w:type="dxa" w:w="1503"/>
            <w:tcBorders>
              <w:top w:val="none" w:color="000000" w:sz="4"/>
              <w:left w:val="single" w:color="000000" w:sz="4"/>
              <w:bottom w:val="single" w:color="000000" w:sz="4"/>
              <w:right w:val="single" w:color="000000" w:sz="4"/>
            </w:tcBorders>
            <w:vAlign w:val="top"/>
          </w:tcPr>
          <w:p>
            <w:pPr>
              <w:jc w:val="center"/>
            </w:pPr>
          </w:p>
        </w:tc>
      </w:tr>
    </w:tbl>
    <w:p>
      <w:pPr>
        <w:jc w:val="both"/>
      </w:pPr>
      <w:r>
        <w:rPr>
          <w:b/>
          <w:sz w:val="21"/>
        </w:rPr>
        <w:t>2.3</w:t>
      </w:r>
      <w:r>
        <w:rPr>
          <w:b/>
          <w:sz w:val="21"/>
        </w:rPr>
        <w:t>大剧场活动岗位安排表：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19"/>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人数（人）</w:t>
            </w:r>
          </w:p>
        </w:tc>
        <w:tc>
          <w:tcPr>
            <w:tcW w:type="dxa" w:w="1519"/>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1、4号门</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519"/>
            <w:tcBorders>
              <w:top w:val="none" w:color="000000" w:sz="4"/>
              <w:left w:val="single" w:color="000000" w:sz="4"/>
              <w:bottom w:val="single" w:color="000000" w:sz="4"/>
              <w:right w:val="single" w:color="000000" w:sz="4"/>
            </w:tcBorders>
            <w:vAlign w:val="top"/>
          </w:tcPr>
          <w:p>
            <w:pPr>
              <w:jc w:val="center"/>
            </w:pPr>
            <w:r>
              <w:rPr>
                <w:sz w:val="18"/>
              </w:rPr>
              <w:t>含门内外指引、带位</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2、3号门</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519"/>
            <w:tcBorders>
              <w:top w:val="none" w:color="000000" w:sz="4"/>
              <w:left w:val="single" w:color="000000" w:sz="4"/>
              <w:bottom w:val="single" w:color="000000" w:sz="4"/>
              <w:right w:val="single" w:color="000000" w:sz="4"/>
            </w:tcBorders>
            <w:vAlign w:val="top"/>
          </w:tcPr>
          <w:p>
            <w:pPr>
              <w:jc w:val="center"/>
            </w:pPr>
            <w:r>
              <w:rPr>
                <w:sz w:val="18"/>
              </w:rPr>
              <w:t>含门内外指引、带位</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南门</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地下车库指引</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售票厅指引</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艺坛四杰大堂指引</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18号楼梯口</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艺术长廊</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二楼</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三楼</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验票员</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上下台口</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上下场口</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化妆间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贵宾厅</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观众满意度调查</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共</w:t>
            </w:r>
            <w:r>
              <w:rPr>
                <w:sz w:val="18"/>
              </w:rPr>
              <w:t>43人</w:t>
            </w:r>
          </w:p>
        </w:tc>
        <w:tc>
          <w:tcPr>
            <w:tcW w:type="dxa" w:w="1519"/>
            <w:tcBorders>
              <w:top w:val="none" w:color="000000" w:sz="4"/>
              <w:left w:val="single" w:color="000000" w:sz="4"/>
              <w:bottom w:val="single" w:color="000000" w:sz="4"/>
              <w:right w:val="single" w:color="000000" w:sz="4"/>
            </w:tcBorders>
            <w:vAlign w:val="top"/>
          </w:tcPr>
          <w:p>
            <w:pPr>
              <w:jc w:val="center"/>
            </w:pPr>
          </w:p>
        </w:tc>
      </w:tr>
    </w:tbl>
    <w:p>
      <w:pPr>
        <w:jc w:val="both"/>
      </w:pPr>
      <w:r>
        <w:rPr>
          <w:b/>
          <w:sz w:val="21"/>
        </w:rPr>
        <w:t>2.4小剧场活动岗位安排表：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19"/>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人数（人）</w:t>
            </w:r>
          </w:p>
        </w:tc>
        <w:tc>
          <w:tcPr>
            <w:tcW w:type="dxa" w:w="1519"/>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1、2、3、4号门</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519"/>
            <w:tcBorders>
              <w:top w:val="none" w:color="000000" w:sz="4"/>
              <w:left w:val="single" w:color="000000" w:sz="4"/>
              <w:bottom w:val="single" w:color="000000" w:sz="4"/>
              <w:right w:val="single" w:color="000000" w:sz="4"/>
            </w:tcBorders>
            <w:vAlign w:val="top"/>
          </w:tcPr>
          <w:p>
            <w:pPr>
              <w:jc w:val="center"/>
            </w:pPr>
            <w:r>
              <w:rPr>
                <w:sz w:val="18"/>
              </w:rPr>
              <w:t>含门内外指引、带位</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南门</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艺术长廊</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售票厅指引</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艺坛四杰大堂指引</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地下车库指引</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贵宾厅</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验票员</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上下场口</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化妆间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观众满意度调查</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共</w:t>
            </w:r>
            <w:r>
              <w:rPr>
                <w:sz w:val="18"/>
              </w:rPr>
              <w:t>26人</w:t>
            </w:r>
          </w:p>
        </w:tc>
        <w:tc>
          <w:tcPr>
            <w:tcW w:type="dxa" w:w="1519"/>
            <w:tcBorders>
              <w:top w:val="none" w:color="000000" w:sz="4"/>
              <w:left w:val="single" w:color="000000" w:sz="4"/>
              <w:bottom w:val="single" w:color="000000" w:sz="4"/>
              <w:right w:val="single" w:color="000000" w:sz="4"/>
            </w:tcBorders>
            <w:vAlign w:val="top"/>
          </w:tcPr>
          <w:p>
            <w:pPr>
              <w:jc w:val="center"/>
            </w:pPr>
          </w:p>
        </w:tc>
      </w:tr>
    </w:tbl>
    <w:p>
      <w:pPr>
        <w:jc w:val="both"/>
      </w:pPr>
      <w:r>
        <w:rPr>
          <w:b/>
          <w:sz w:val="21"/>
        </w:rPr>
        <w:t>2.5文化广场活动岗位安排表：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19"/>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人数（人）</w:t>
            </w:r>
          </w:p>
        </w:tc>
        <w:tc>
          <w:tcPr>
            <w:tcW w:type="dxa" w:w="1519"/>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化妆间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售卖饮品</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机动人员</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19"/>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共</w:t>
            </w:r>
            <w:r>
              <w:rPr>
                <w:sz w:val="18"/>
              </w:rPr>
              <w:t>4人</w:t>
            </w:r>
          </w:p>
        </w:tc>
        <w:tc>
          <w:tcPr>
            <w:tcW w:type="dxa" w:w="1519"/>
            <w:tcBorders>
              <w:top w:val="none" w:color="000000" w:sz="4"/>
              <w:left w:val="single" w:color="000000" w:sz="4"/>
              <w:bottom w:val="single" w:color="000000" w:sz="4"/>
              <w:right w:val="single" w:color="000000" w:sz="4"/>
            </w:tcBorders>
            <w:vAlign w:val="top"/>
          </w:tcPr>
          <w:p>
            <w:pPr>
              <w:jc w:val="center"/>
            </w:pPr>
          </w:p>
        </w:tc>
      </w:tr>
    </w:tbl>
    <w:p>
      <w:pPr>
        <w:jc w:val="both"/>
      </w:pPr>
      <w:r>
        <w:rPr>
          <w:b/>
          <w:sz w:val="21"/>
        </w:rPr>
        <w:t>2.6对外开放参观岗位安排表：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28"/>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人数（人）</w:t>
            </w:r>
          </w:p>
        </w:tc>
        <w:tc>
          <w:tcPr>
            <w:tcW w:type="dxa" w:w="1528"/>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四杰大堂</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名人长廊</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金菊盛会</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人定展厅</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讲解员</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共</w:t>
            </w:r>
            <w:r>
              <w:rPr>
                <w:sz w:val="18"/>
              </w:rPr>
              <w:t>6人</w:t>
            </w:r>
          </w:p>
        </w:tc>
        <w:tc>
          <w:tcPr>
            <w:tcW w:type="dxa" w:w="1528"/>
            <w:tcBorders>
              <w:top w:val="none" w:color="000000" w:sz="4"/>
              <w:left w:val="single" w:color="000000" w:sz="4"/>
              <w:bottom w:val="single" w:color="000000" w:sz="4"/>
              <w:right w:val="single" w:color="000000" w:sz="4"/>
            </w:tcBorders>
            <w:vAlign w:val="top"/>
          </w:tcPr>
          <w:p>
            <w:pPr>
              <w:jc w:val="center"/>
            </w:pPr>
          </w:p>
        </w:tc>
      </w:tr>
    </w:tbl>
    <w:p>
      <w:pPr>
        <w:jc w:val="both"/>
      </w:pPr>
      <w:r>
        <w:rPr>
          <w:b/>
          <w:sz w:val="21"/>
        </w:rPr>
        <w:t>2.7团体参观岗位安排表：讲解员2名，每10名贵宾配1名接待员。</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28"/>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人数（人）</w:t>
            </w:r>
          </w:p>
        </w:tc>
        <w:tc>
          <w:tcPr>
            <w:tcW w:type="dxa" w:w="1528"/>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讲解员</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接待员</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w:t>
            </w:r>
          </w:p>
        </w:tc>
        <w:tc>
          <w:tcPr>
            <w:tcW w:type="dxa" w:w="1528"/>
            <w:tcBorders>
              <w:top w:val="none" w:color="000000" w:sz="4"/>
              <w:left w:val="single" w:color="000000" w:sz="4"/>
              <w:bottom w:val="single" w:color="000000" w:sz="4"/>
              <w:right w:val="single" w:color="000000" w:sz="4"/>
            </w:tcBorders>
            <w:vAlign w:val="top"/>
          </w:tcPr>
          <w:p>
            <w:pPr>
              <w:jc w:val="center"/>
            </w:pPr>
            <w:r>
              <w:rPr>
                <w:sz w:val="18"/>
              </w:rPr>
              <w:t>每</w:t>
            </w:r>
            <w:r>
              <w:rPr>
                <w:sz w:val="18"/>
              </w:rPr>
              <w:t>10名贵宾配1名接待员</w:t>
            </w:r>
          </w:p>
        </w:tc>
      </w:tr>
    </w:tbl>
    <w:p>
      <w:pPr>
        <w:jc w:val="both"/>
      </w:pPr>
      <w:r>
        <w:rPr>
          <w:b/>
          <w:sz w:val="21"/>
        </w:rPr>
        <w:t>2.8活动彩排期间的岗位安排表：</w:t>
      </w:r>
    </w:p>
    <w:tbl>
      <w:tblPr>
        <w:tblW w:w="0" w:type="auto"/>
        <w:tblBorders>
          <w:top w:val="none" w:color="000000" w:sz="4"/>
          <w:left w:val="none" w:color="000000" w:sz="4"/>
          <w:bottom w:val="none" w:color="000000" w:sz="4"/>
          <w:right w:val="none" w:color="000000" w:sz="4"/>
          <w:insideH w:val="none"/>
          <w:insideV w:val="none"/>
        </w:tblBorders>
      </w:tblPr>
      <w:tblGrid>
        <w:gridCol w:w="1569"/>
        <w:gridCol w:w="1569"/>
        <w:gridCol w:w="1528"/>
      </w:tblGrid>
      <w:tr>
        <w:tc>
          <w:tcPr>
            <w:tcW w:type="dxa" w:w="1569"/>
            <w:tcBorders>
              <w:top w:val="single" w:color="000000" w:sz="4"/>
              <w:left w:val="single" w:color="000000" w:sz="4"/>
              <w:bottom w:val="single" w:color="000000" w:sz="4"/>
              <w:right w:val="single" w:color="000000" w:sz="4"/>
            </w:tcBorders>
            <w:vAlign w:val="top"/>
          </w:tcPr>
          <w:p>
            <w:pPr>
              <w:jc w:val="center"/>
            </w:pPr>
            <w:r>
              <w:rPr>
                <w:b/>
                <w:sz w:val="18"/>
              </w:rPr>
              <w:t>岗位名称</w:t>
            </w:r>
          </w:p>
        </w:tc>
        <w:tc>
          <w:tcPr>
            <w:tcW w:type="dxa" w:w="1569"/>
            <w:tcBorders>
              <w:top w:val="single" w:color="000000" w:sz="4"/>
              <w:left w:val="single" w:color="000000" w:sz="4"/>
              <w:bottom w:val="single" w:color="000000" w:sz="4"/>
              <w:right w:val="single" w:color="000000" w:sz="4"/>
            </w:tcBorders>
            <w:vAlign w:val="top"/>
          </w:tcPr>
          <w:p>
            <w:pPr>
              <w:jc w:val="center"/>
            </w:pPr>
            <w:r>
              <w:rPr>
                <w:b/>
                <w:sz w:val="18"/>
              </w:rPr>
              <w:t>人数（人）</w:t>
            </w:r>
          </w:p>
        </w:tc>
        <w:tc>
          <w:tcPr>
            <w:tcW w:type="dxa" w:w="1528"/>
            <w:tcBorders>
              <w:top w:val="single" w:color="000000" w:sz="4"/>
              <w:left w:val="single" w:color="000000" w:sz="4"/>
              <w:bottom w:val="single" w:color="000000" w:sz="4"/>
              <w:right w:val="single" w:color="000000" w:sz="4"/>
            </w:tcBorders>
            <w:vAlign w:val="top"/>
          </w:tcPr>
          <w:p>
            <w:pPr>
              <w:jc w:val="center"/>
            </w:pPr>
            <w:r>
              <w:rPr>
                <w:b/>
                <w:sz w:val="18"/>
              </w:rPr>
              <w:t>备注</w:t>
            </w: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上下场口</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化妆间</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观众席</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28"/>
            <w:tcBorders>
              <w:top w:val="none" w:color="000000" w:sz="4"/>
              <w:left w:val="single" w:color="000000" w:sz="4"/>
              <w:bottom w:val="single" w:color="000000" w:sz="4"/>
              <w:right w:val="single" w:color="000000" w:sz="4"/>
            </w:tcBorders>
            <w:vAlign w:val="top"/>
          </w:tcPr>
          <w:p>
            <w:pPr>
              <w:jc w:val="center"/>
            </w:pPr>
          </w:p>
        </w:tc>
      </w:tr>
      <w:tr>
        <w:tc>
          <w:tcPr>
            <w:tcW w:type="dxa" w:w="1569"/>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569"/>
            <w:tcBorders>
              <w:top w:val="none" w:color="000000" w:sz="4"/>
              <w:left w:val="single" w:color="000000" w:sz="4"/>
              <w:bottom w:val="single" w:color="000000" w:sz="4"/>
              <w:right w:val="single" w:color="000000" w:sz="4"/>
            </w:tcBorders>
            <w:vAlign w:val="top"/>
          </w:tcPr>
          <w:p>
            <w:pPr>
              <w:jc w:val="center"/>
            </w:pPr>
            <w:r>
              <w:rPr>
                <w:sz w:val="18"/>
              </w:rPr>
              <w:t>共</w:t>
            </w:r>
            <w:r>
              <w:rPr>
                <w:sz w:val="18"/>
              </w:rPr>
              <w:t>5人</w:t>
            </w:r>
          </w:p>
        </w:tc>
        <w:tc>
          <w:tcPr>
            <w:tcW w:type="dxa" w:w="1528"/>
            <w:tcBorders>
              <w:top w:val="none" w:color="000000" w:sz="4"/>
              <w:left w:val="single" w:color="000000" w:sz="4"/>
              <w:bottom w:val="single" w:color="000000" w:sz="4"/>
              <w:right w:val="single" w:color="000000" w:sz="4"/>
            </w:tcBorders>
            <w:vAlign w:val="top"/>
          </w:tcPr>
          <w:p>
            <w:pPr>
              <w:jc w:val="center"/>
            </w:pPr>
          </w:p>
        </w:tc>
      </w:tr>
    </w:tbl>
    <w:p>
      <w:pPr>
        <w:ind w:firstLine="420"/>
        <w:jc w:val="both"/>
      </w:pPr>
      <w:r>
        <w:rPr>
          <w:sz w:val="21"/>
        </w:rPr>
        <w:t>★2.9四杰大堂、人定展厅、一层演艺区、休息区、售票厅、会议室等区域有活动期间，应根据区域大小及人员情况按采购人要求安排接待员值守。</w:t>
      </w:r>
      <w:r>
        <w:rPr>
          <w:sz w:val="21"/>
          <w:u w:val="single"/>
        </w:rPr>
        <w:t>【响应方式：投标文件承诺响应，应优先在</w:t>
      </w:r>
      <w:r>
        <w:rPr>
          <w:sz w:val="21"/>
          <w:u w:val="single"/>
        </w:rPr>
        <w:t>“投标文件附加格式《“★”条款响应表》”中填写并作出响应，填表视为已承诺，作为评审依据。】</w:t>
      </w:r>
    </w:p>
    <w:p>
      <w:pPr>
        <w:ind w:firstLine="420"/>
        <w:jc w:val="both"/>
      </w:pPr>
      <w:r>
        <w:rPr>
          <w:sz w:val="21"/>
        </w:rPr>
        <w:t>★2.10售票服务岗位安排：售票岗位共需5人，其中1人为领班，平日每班安排2人上岗，售票时间由9：00至21：00；演出期间安排4人上岗，售票时间延至演出结束。</w:t>
      </w:r>
      <w:r>
        <w:rPr>
          <w:sz w:val="21"/>
          <w:u w:val="single"/>
        </w:rPr>
        <w:t>【响应方式：投标文件承诺响应，应优先在</w:t>
      </w:r>
      <w:r>
        <w:rPr>
          <w:sz w:val="21"/>
          <w:u w:val="single"/>
        </w:rPr>
        <w:t>“投标文件附加格式《“★”条款响应表》”中填写并作出响应，填表视为已承诺，作为评审依据。】</w:t>
      </w:r>
    </w:p>
    <w:p>
      <w:pPr>
        <w:ind w:firstLine="420"/>
        <w:jc w:val="both"/>
      </w:pPr>
      <w:r>
        <w:rPr>
          <w:b/>
          <w:sz w:val="21"/>
        </w:rPr>
        <w:t>3</w:t>
      </w:r>
      <w:r>
        <w:rPr>
          <w:b/>
          <w:sz w:val="21"/>
        </w:rPr>
        <w:t>.</w:t>
      </w:r>
      <w:r>
        <w:rPr>
          <w:b/>
          <w:sz w:val="21"/>
        </w:rPr>
        <w:t>剧场</w:t>
      </w:r>
      <w:r>
        <w:rPr>
          <w:b/>
          <w:sz w:val="21"/>
        </w:rPr>
        <w:t>服务要求及质量标准：</w:t>
      </w:r>
    </w:p>
    <w:p>
      <w:pPr>
        <w:ind w:firstLine="420"/>
        <w:jc w:val="both"/>
      </w:pPr>
      <w:r>
        <w:rPr>
          <w:sz w:val="21"/>
        </w:rPr>
        <w:t>3.1</w:t>
      </w:r>
      <w:r>
        <w:rPr>
          <w:sz w:val="21"/>
        </w:rPr>
        <w:t>剧场管理人员需统一着装，仪表仪容整洁大方，佩带工作证。女员工上岗时化淡妆，盘起头发，不</w:t>
      </w:r>
      <w:r>
        <w:rPr>
          <w:sz w:val="21"/>
        </w:rPr>
        <w:t>佩戴</w:t>
      </w:r>
      <w:r>
        <w:rPr>
          <w:sz w:val="21"/>
        </w:rPr>
        <w:t>过多饰物。男员工不蓄长须长发，不留小胡子。使用服务用语及规范站姿、指示手势等。</w:t>
      </w:r>
    </w:p>
    <w:p>
      <w:pPr>
        <w:ind w:firstLine="420"/>
        <w:jc w:val="both"/>
      </w:pPr>
      <w:r>
        <w:rPr>
          <w:sz w:val="21"/>
        </w:rPr>
        <w:t>3.2负责采购人场馆举办的各项演出、会议、讲座等活动的带位、指引、售票、验票及场地布置等工作。负责采购人的参观接待工作，并提供优秀的讲解服务。制定员工培训制度，对新入职员工进行岗前培训，考核后方可上岗，同时要求每月对员工进行至少一次的业务培训及考核。</w:t>
      </w:r>
    </w:p>
    <w:p>
      <w:pPr>
        <w:ind w:firstLine="420"/>
        <w:jc w:val="both"/>
      </w:pPr>
      <w:r>
        <w:rPr>
          <w:sz w:val="21"/>
        </w:rPr>
        <w:t>3.3妥善保管采购人移交的各种物品，制定库房管理制度专人管理，设立物品台账，出入库记录。每月清点库房物资，并将库房物资清点记录报表上交采购人。</w:t>
      </w:r>
    </w:p>
    <w:p>
      <w:pPr>
        <w:ind w:firstLine="420"/>
        <w:jc w:val="both"/>
      </w:pPr>
      <w:r>
        <w:rPr>
          <w:sz w:val="21"/>
        </w:rPr>
        <w:t>3.4负责制定剧场管理制度，包括但不限于化妆间管理制度、观众入场管理制度、观演温馨提示、提供外国观众及演员接待指引服务等，做好观众入场的验票、指引等服务，耐心解答观众提出的问题，维持演出过程的观演秩序，确保场内无饮食及大声喧哗情况。演出结束后协助疏导观众离场，做好演出活动签售活动的秩序维护等工作，保证所有活动正常有序进行。</w:t>
      </w:r>
    </w:p>
    <w:p>
      <w:pPr>
        <w:ind w:firstLine="420"/>
        <w:jc w:val="both"/>
      </w:pPr>
      <w:r>
        <w:rPr>
          <w:sz w:val="21"/>
        </w:rPr>
        <w:t>3.5根据采购人演出活动方案，做好活动场所的场地布置工作。做好演出团体的服务工作，协助提供化妆间、剧场候场区及排练厅等区域的剧场管理服务，提前做好剧场、化妆间等区域的通风和抽湿工作。</w:t>
      </w:r>
    </w:p>
    <w:p>
      <w:pPr>
        <w:ind w:firstLine="420"/>
        <w:jc w:val="both"/>
      </w:pPr>
      <w:r>
        <w:rPr>
          <w:sz w:val="21"/>
        </w:rPr>
        <w:t>3.6做好演出活动的售票工作，售票厅实行轮班制，售票厅每班安排2人售票（演出期间增加至不少于4人），并负责售票、取票、编制报表、接听电话、解答咨询、意见收集、接收会员申请、活动登记等相关工作。协助采购人在举办大型活动期间派发宣传资料和派票工作。妥善保管和使用采购人提供的售票系统设备、密匙和空白、作废票胚。按照采购人财务要求上交门票款。演出结束后：收集、统计数据，在规定时间内完成相关演出销售报表，由项目经理负责报表的最后审核后在演出结束后下一工作日上午报采购人。</w:t>
      </w:r>
    </w:p>
    <w:p>
      <w:pPr>
        <w:ind w:firstLine="420"/>
        <w:jc w:val="both"/>
      </w:pPr>
      <w:r>
        <w:rPr>
          <w:sz w:val="21"/>
        </w:rPr>
        <w:t>3.7中标人负责演出活动期间的观众满意度调查工作，对入场观众发放及回收调查问卷。</w:t>
      </w:r>
    </w:p>
    <w:p>
      <w:pPr>
        <w:ind w:firstLine="420"/>
        <w:jc w:val="both"/>
      </w:pPr>
      <w:r>
        <w:rPr>
          <w:sz w:val="21"/>
        </w:rPr>
        <w:t>3.8中标人的接待人员，对上级领导、外来单位、新闻媒体及社会各界提出的建议、意见或投诉需认真记录，并反馈给采购人。</w:t>
      </w:r>
    </w:p>
    <w:p>
      <w:pPr>
        <w:ind w:firstLine="420"/>
        <w:jc w:val="both"/>
      </w:pPr>
      <w:r>
        <w:rPr>
          <w:sz w:val="21"/>
        </w:rPr>
        <w:t>3.9完成采购人提出的其它与剧场服务有关的事项。</w:t>
      </w:r>
    </w:p>
    <w:p>
      <w:pPr>
        <w:jc w:val="left"/>
      </w:pPr>
    </w:p>
    <w:p>
      <w:pPr>
        <w:ind w:firstLine="421"/>
        <w:jc w:val="both"/>
      </w:pPr>
      <w:r>
        <w:rPr>
          <w:b/>
          <w:sz w:val="21"/>
        </w:rPr>
        <w:t>（六）物业档案资料管理</w:t>
      </w:r>
    </w:p>
    <w:p>
      <w:pPr>
        <w:ind w:firstLine="420"/>
        <w:jc w:val="both"/>
      </w:pPr>
      <w:r>
        <w:rPr>
          <w:sz w:val="21"/>
        </w:rPr>
        <w:t>1.要建立物业管理相关记录及资料的收集、分类整理、归档管理制度，确保各项管理资料准确齐全。</w:t>
      </w:r>
    </w:p>
    <w:p>
      <w:pPr>
        <w:ind w:firstLine="420"/>
        <w:jc w:val="both"/>
      </w:pPr>
      <w:r>
        <w:rPr>
          <w:sz w:val="21"/>
        </w:rPr>
        <w:t>2.日常管理各项目，要建立交接班、项目故障与维修、设备保养等登记制度。</w:t>
      </w:r>
    </w:p>
    <w:p>
      <w:pPr>
        <w:ind w:firstLine="420"/>
        <w:jc w:val="both"/>
      </w:pPr>
      <w:r>
        <w:rPr>
          <w:sz w:val="21"/>
        </w:rPr>
        <w:t>3.提交给采购人的文件资料要如实反映实际情况，并经过严格审核，确认无误后按程序提交给采购人。</w:t>
      </w:r>
    </w:p>
    <w:p>
      <w:pPr>
        <w:ind w:firstLine="420"/>
        <w:jc w:val="both"/>
      </w:pPr>
      <w:r>
        <w:rPr>
          <w:sz w:val="21"/>
        </w:rPr>
        <w:t>4.物业员工因工作变动或因故离职时应将经办的文件材料向接办人员交接清楚，不得擅自带走或销毁。</w:t>
      </w:r>
    </w:p>
    <w:p>
      <w:pPr>
        <w:ind w:firstLine="420"/>
        <w:jc w:val="both"/>
      </w:pPr>
      <w:r>
        <w:rPr>
          <w:sz w:val="21"/>
        </w:rPr>
        <w:t>5.对采购人提供的所有文件及资料，应予以保密。未经同意，不得随意复印、转发至其他单位或个人，不得随意对文件资料的内容进行外泄。</w:t>
      </w:r>
    </w:p>
    <w:p>
      <w:pPr>
        <w:ind w:firstLine="420"/>
        <w:jc w:val="both"/>
      </w:pPr>
      <w:r>
        <w:rPr>
          <w:sz w:val="21"/>
        </w:rPr>
        <w:t>6.档管管理工作要遵循“八防”原则，即：防水、防火、防光、防尘、防虫、防霉、防潮、防盗等。</w:t>
      </w:r>
    </w:p>
    <w:p>
      <w:pPr>
        <w:ind w:firstLine="420"/>
        <w:jc w:val="both"/>
      </w:pPr>
      <w:r>
        <w:rPr>
          <w:sz w:val="21"/>
        </w:rPr>
        <w:t>7.制成档案的材料质量要好，耐久性好，档案的寿命要长。</w:t>
      </w:r>
    </w:p>
    <w:p>
      <w:pPr>
        <w:jc w:val="both"/>
      </w:pPr>
    </w:p>
    <w:p>
      <w:pPr>
        <w:jc w:val="both"/>
      </w:pPr>
      <w:r>
        <w:rPr>
          <w:b/>
          <w:sz w:val="28"/>
        </w:rPr>
        <w:t>七</w:t>
      </w:r>
      <w:r>
        <w:rPr>
          <w:b/>
          <w:sz w:val="28"/>
        </w:rPr>
        <w:t>、付款方式</w:t>
      </w:r>
    </w:p>
    <w:p>
      <w:pPr>
        <w:ind w:firstLine="420"/>
        <w:jc w:val="left"/>
      </w:pPr>
      <w:r>
        <w:rPr>
          <w:sz w:val="21"/>
        </w:rPr>
        <w:t>1.中标人与采购人应于中标通知书发出之日起30天内签订政府采购合同，并约定进场服务时间。招标文件、投标文件、中标通知书、考核办法应作为合同附件。</w:t>
      </w:r>
    </w:p>
    <w:p>
      <w:pPr>
        <w:ind w:firstLine="420"/>
        <w:jc w:val="left"/>
      </w:pPr>
      <w:r>
        <w:rPr>
          <w:sz w:val="21"/>
        </w:rPr>
        <w:t>2.采购人按月份考核服务情况。</w:t>
      </w:r>
    </w:p>
    <w:p>
      <w:pPr>
        <w:ind w:firstLine="420"/>
        <w:jc w:val="left"/>
      </w:pPr>
      <w:r>
        <w:rPr>
          <w:sz w:val="21"/>
        </w:rPr>
        <w:t>3.采购人以平均每月服务费用金额按月支付中标人服务费用（平均每月服务费用金额=合同金额÷服务期内月度数量）。</w:t>
      </w:r>
    </w:p>
    <w:p>
      <w:pPr>
        <w:ind w:firstLine="421"/>
        <w:jc w:val="left"/>
      </w:pPr>
      <w:r>
        <w:rPr>
          <w:b/>
          <w:sz w:val="21"/>
        </w:rPr>
        <w:t>4.费用支付流程：</w:t>
      </w:r>
      <w:r>
        <w:rPr>
          <w:sz w:val="21"/>
        </w:rPr>
        <w:t>采购人</w:t>
      </w:r>
      <w:r>
        <w:rPr>
          <w:sz w:val="21"/>
        </w:rPr>
        <w:t>在中标人</w:t>
      </w:r>
      <w:r>
        <w:rPr>
          <w:sz w:val="21"/>
        </w:rPr>
        <w:t>每月</w:t>
      </w:r>
      <w:r>
        <w:rPr>
          <w:sz w:val="21"/>
        </w:rPr>
        <w:t>结束后，于下月</w:t>
      </w:r>
      <w:r>
        <w:rPr>
          <w:sz w:val="21"/>
        </w:rPr>
        <w:t>10日前</w:t>
      </w:r>
      <w:r>
        <w:rPr>
          <w:sz w:val="21"/>
        </w:rPr>
        <w:t>对中标人的月度物业管理服务情况进行考评，结合考评情况（扣除考核罚款），中标人于每月</w:t>
      </w:r>
      <w:r>
        <w:rPr>
          <w:sz w:val="21"/>
        </w:rPr>
        <w:t>15号前（如遇国家法定节假日或不可抗力将顺延）将</w:t>
      </w:r>
      <w:r>
        <w:rPr>
          <w:sz w:val="21"/>
        </w:rPr>
        <w:t>考核月度的物业管理费</w:t>
      </w:r>
      <w:r>
        <w:rPr>
          <w:sz w:val="21"/>
        </w:rPr>
        <w:t>结算资料送达采购人，采购人确认</w:t>
      </w:r>
      <w:r>
        <w:rPr>
          <w:sz w:val="21"/>
        </w:rPr>
        <w:t>考核</w:t>
      </w:r>
      <w:r>
        <w:rPr>
          <w:sz w:val="21"/>
        </w:rPr>
        <w:t>月</w:t>
      </w:r>
      <w:r>
        <w:rPr>
          <w:sz w:val="21"/>
        </w:rPr>
        <w:t>度的物业管理费</w:t>
      </w:r>
      <w:r>
        <w:rPr>
          <w:sz w:val="21"/>
        </w:rPr>
        <w:t>实际结算金额</w:t>
      </w:r>
      <w:r>
        <w:rPr>
          <w:sz w:val="21"/>
        </w:rPr>
        <w:t>于每月</w:t>
      </w:r>
      <w:r>
        <w:rPr>
          <w:sz w:val="21"/>
        </w:rPr>
        <w:t>20日前</w:t>
      </w:r>
      <w:r>
        <w:rPr>
          <w:sz w:val="21"/>
        </w:rPr>
        <w:t>通过财政支付的相关手续办理支付</w:t>
      </w:r>
      <w:r>
        <w:rPr>
          <w:sz w:val="21"/>
        </w:rPr>
        <w:t>考核</w:t>
      </w:r>
      <w:r>
        <w:rPr>
          <w:sz w:val="21"/>
        </w:rPr>
        <w:t>月度物业管理费。</w:t>
      </w:r>
    </w:p>
    <w:p>
      <w:pPr>
        <w:ind w:firstLine="420"/>
        <w:jc w:val="left"/>
      </w:pPr>
      <w:r>
        <w:rPr>
          <w:sz w:val="21"/>
        </w:rPr>
        <w:t>注：上述所指的结算资料包括：（</w:t>
      </w:r>
      <w:r>
        <w:rPr>
          <w:sz w:val="21"/>
        </w:rPr>
        <w:t>1）月总结报告；（2）考核评分表；（3）整改相关通知书（如无整改问题，无需提供）；（4）采购人认为有必要提供的其他资料。</w:t>
      </w:r>
    </w:p>
    <w:p>
      <w:pPr>
        <w:ind w:firstLine="420"/>
        <w:jc w:val="left"/>
      </w:pPr>
    </w:p>
    <w:p>
      <w:pPr>
        <w:jc w:val="both"/>
      </w:pPr>
    </w:p>
    <w:p>
      <w:pPr>
        <w:jc w:val="both"/>
      </w:pPr>
      <w:r>
        <w:rPr>
          <w:b/>
          <w:sz w:val="28"/>
        </w:rPr>
        <w:t>八</w:t>
      </w:r>
      <w:r>
        <w:rPr>
          <w:b/>
          <w:sz w:val="28"/>
        </w:rPr>
        <w:t>、履约保证金</w:t>
      </w:r>
    </w:p>
    <w:p>
      <w:pPr>
        <w:ind w:firstLine="420"/>
        <w:jc w:val="both"/>
      </w:pPr>
      <w:r>
        <w:rPr>
          <w:sz w:val="21"/>
        </w:rPr>
        <w:t>本项目不收取履约保证金。</w:t>
      </w:r>
    </w:p>
    <w:p>
      <w:pPr>
        <w:jc w:val="both"/>
      </w:pPr>
    </w:p>
    <w:p>
      <w:pPr>
        <w:jc w:val="both"/>
      </w:pPr>
      <w:r>
        <w:rPr>
          <w:b/>
          <w:sz w:val="28"/>
        </w:rPr>
        <w:t>九、</w:t>
      </w:r>
      <w:r>
        <w:rPr>
          <w:b/>
          <w:sz w:val="28"/>
        </w:rPr>
        <w:t>考核办法</w:t>
      </w:r>
    </w:p>
    <w:p>
      <w:pPr>
        <w:ind w:firstLine="420"/>
        <w:jc w:val="both"/>
      </w:pPr>
      <w:r>
        <w:rPr>
          <w:sz w:val="21"/>
        </w:rPr>
        <w:t>1.采购人每月度采用动态考核和集中考评相结合的方式对中标人进行考核。集中考评由采购人按月份实施考评，采购人按照每月考评分数给予相应的当月物业管理费。具体考评细则详见</w:t>
      </w:r>
      <w:r>
        <w:rPr>
          <w:sz w:val="21"/>
        </w:rPr>
        <w:t>《物业管理服务质量月度考核评分表》</w:t>
      </w:r>
      <w:r>
        <w:rPr>
          <w:sz w:val="21"/>
        </w:rPr>
        <w:t>。月度考评分数满分为</w:t>
      </w:r>
      <w:r>
        <w:rPr>
          <w:sz w:val="21"/>
        </w:rPr>
        <w:t>100分，80分以上（含80分）为考核达标。每个考评项目不设扣分上限。具体情况如下：</w:t>
      </w:r>
    </w:p>
    <w:p>
      <w:pPr>
        <w:ind w:firstLine="420"/>
        <w:jc w:val="both"/>
      </w:pPr>
      <w:r>
        <w:rPr>
          <w:sz w:val="21"/>
        </w:rPr>
        <w:t>1.1当月考评分数在80分以上（含80分）为月度考评达标，采购人支付中标人当月物业管理费的100%；</w:t>
      </w:r>
    </w:p>
    <w:p>
      <w:pPr>
        <w:ind w:firstLine="420"/>
        <w:jc w:val="both"/>
      </w:pPr>
      <w:r>
        <w:rPr>
          <w:sz w:val="21"/>
        </w:rPr>
        <w:t>1.2在上月达标的情况之下，当月考评分数在70分至80分（含70分，不含80分），采购人支付当月100%的物业管理费，并给与中标人1个月的整改期限，如果中标人在下一月份的考核分数</w:t>
      </w:r>
      <w:r>
        <w:rPr>
          <w:sz w:val="21"/>
        </w:rPr>
        <w:t>仍</w:t>
      </w:r>
      <w:r>
        <w:rPr>
          <w:sz w:val="21"/>
        </w:rPr>
        <w:t>在</w:t>
      </w:r>
      <w:r>
        <w:rPr>
          <w:sz w:val="21"/>
        </w:rPr>
        <w:t>70分至80分（含70分，不含80分）的，采购人将扣减中标人当月物业管理费的2%</w:t>
      </w:r>
      <w:r>
        <w:rPr>
          <w:sz w:val="21"/>
        </w:rPr>
        <w:t>，</w:t>
      </w:r>
      <w:r>
        <w:rPr>
          <w:sz w:val="21"/>
        </w:rPr>
        <w:t>直至中标人整改到月度考核达标为止</w:t>
      </w:r>
      <w:r>
        <w:rPr>
          <w:sz w:val="21"/>
        </w:rPr>
        <w:t>。</w:t>
      </w:r>
      <w:r>
        <w:rPr>
          <w:sz w:val="21"/>
        </w:rPr>
        <w:t>如果中标人在下一月份的考核分数在</w:t>
      </w:r>
      <w:r>
        <w:rPr>
          <w:sz w:val="21"/>
        </w:rPr>
        <w:t>60分至70分（含60分，不含70分）</w:t>
      </w:r>
      <w:r>
        <w:rPr>
          <w:sz w:val="21"/>
        </w:rPr>
        <w:t>或其他档位分数的</w:t>
      </w:r>
      <w:r>
        <w:rPr>
          <w:sz w:val="21"/>
        </w:rPr>
        <w:t>，</w:t>
      </w:r>
      <w:r>
        <w:rPr>
          <w:sz w:val="21"/>
        </w:rPr>
        <w:t>则按相应档位的扣减比例及要求进行扣减</w:t>
      </w:r>
      <w:r>
        <w:rPr>
          <w:sz w:val="21"/>
        </w:rPr>
        <w:t>；</w:t>
      </w:r>
    </w:p>
    <w:p>
      <w:pPr>
        <w:ind w:firstLine="420"/>
        <w:jc w:val="both"/>
      </w:pPr>
      <w:r>
        <w:rPr>
          <w:sz w:val="21"/>
        </w:rPr>
        <w:t>1.3当月考评分数在60分至70分（含60分，不含70分），采购人扣减中标人当月物业管理费的3%；</w:t>
      </w:r>
    </w:p>
    <w:p>
      <w:pPr>
        <w:ind w:firstLine="420"/>
        <w:jc w:val="both"/>
      </w:pPr>
      <w:r>
        <w:rPr>
          <w:sz w:val="21"/>
        </w:rPr>
        <w:t>1.4当月考评分数低于60分（不含60分），采购人扣减中标人当月物业管理费的5%；如果中标人连续3个月考评分数低于60分（不含60分）则视为违约，采购人有权单方解除合同，如造成采购人经济损失的，中标人应给予采购人经济赔偿，并承担相应的法律责任。</w:t>
      </w:r>
    </w:p>
    <w:p>
      <w:pPr>
        <w:ind w:firstLine="420"/>
        <w:jc w:val="both"/>
      </w:pPr>
      <w:r>
        <w:rPr>
          <w:sz w:val="21"/>
        </w:rPr>
        <w:t>1.5相同项目扣分事项连续3个月没有整改的，第三个月起额外多扣减1%物业管理费。</w:t>
      </w:r>
    </w:p>
    <w:p>
      <w:pPr>
        <w:ind w:firstLine="420"/>
        <w:jc w:val="both"/>
      </w:pPr>
      <w:r>
        <w:rPr>
          <w:sz w:val="21"/>
        </w:rPr>
        <w:t>2.根据约定，中标人出现重大管理失误或严重违约、用户投诉多（一年内采购人或第三人向中标人提出有效投诉达12次以上），采购人有权单方解除合同，且采购人对中标人不作任何经济补偿。</w:t>
      </w:r>
    </w:p>
    <w:p>
      <w:pPr>
        <w:ind w:firstLine="420"/>
        <w:jc w:val="both"/>
      </w:pPr>
      <w:r>
        <w:rPr>
          <w:sz w:val="21"/>
        </w:rPr>
        <w:t>3.本采购需求其他扣减物业管理费的情况</w:t>
      </w:r>
    </w:p>
    <w:p>
      <w:pPr>
        <w:ind w:firstLine="420"/>
        <w:jc w:val="both"/>
      </w:pPr>
      <w:r>
        <w:rPr>
          <w:sz w:val="21"/>
        </w:rPr>
        <w:t>3.1 中标人重要专业技术岗位3个月内（含3个月）未按法律法规要求配备足够人员或人员不具备上岗资格的，采购人有权在当月扣发物业管理费，每缺1人扣减当月1%物业管理费。重要专业技术岗位超3个月（不含3个月）未按法律法规要求配备足够人员或人员不具备上岗资格的，每缺1人扣减当月2%物业管理费。</w:t>
      </w:r>
    </w:p>
    <w:p>
      <w:pPr>
        <w:ind w:firstLine="420"/>
        <w:jc w:val="both"/>
      </w:pPr>
      <w:r>
        <w:rPr>
          <w:sz w:val="21"/>
        </w:rPr>
        <w:t>3.2 建筑物、设备、设施、场地、物品、绿化（包括但不限于采购人原有或新增的设备、设施、物品、绿化等）等出现故障、损坏、遗失情况的，中标人应及时上报采购人并在3天内修复。举办活动期发生设备设施故障时维修人员到达现场时间不得超过15分钟。如因特殊情况中标人不能完成维修工作的，应及时上报采购人并得到采购人认可方为有效。否则，采购人有权在每月的物业管理费扣减因外请维修公司或人员进行修复所产生的费用。</w:t>
      </w:r>
    </w:p>
    <w:p>
      <w:pPr>
        <w:ind w:firstLine="420"/>
        <w:jc w:val="both"/>
      </w:pPr>
      <w:r>
        <w:rPr>
          <w:sz w:val="21"/>
        </w:rPr>
        <w:t>3.3中标人派驻采购人场馆开展物业管理服务的主管及以上的管理层工作人员或贵宾接待等重要岗位人员，要求保持稳定，无合理理由，不得随时或随意更换。物业管理期限内本需求内所述的每一个重要岗位不能超出3次的人员更换，一年内不能超过1次的人员更换。若违反此条规定时，采购人将在该年度最后一次支付物业管理费用时扣减每年物业管理总费用的1%。</w:t>
      </w:r>
    </w:p>
    <w:p>
      <w:pPr>
        <w:ind w:firstLine="420"/>
        <w:jc w:val="both"/>
      </w:pPr>
      <w:r>
        <w:rPr>
          <w:sz w:val="21"/>
        </w:rPr>
        <w:t>3.4中标人的项目经理、项目副经理、各部门及重要岗位负责人每天于采购人场地内驻场，并专职负责本中心的各项管理工作，不允许本条款上所述岗位人员同时负责其它物业管理项目的情况出现。若违反此条规定时，采购人将按中标人投标文件所确定的工资标准在当月度支付物业管理费用时扣减当月相关人员的工资额度。</w:t>
      </w:r>
    </w:p>
    <w:p>
      <w:pPr>
        <w:ind w:firstLine="420"/>
        <w:jc w:val="both"/>
      </w:pPr>
      <w:r>
        <w:rPr>
          <w:sz w:val="21"/>
        </w:rPr>
        <w:t>3.5中标人实际上岗人数与采购人要求的日常岗位人数不符以及达不到岗位要求的，同一岗位发现3次及以上缺岗情况视为严重缺岗，采购人有权按中标人投标文件所确定的工资标准在当月物业管理费中按照严重缺岗人数、部门及相应资格扣减的相应工资额度。</w:t>
      </w:r>
    </w:p>
    <w:p>
      <w:pPr>
        <w:ind w:firstLine="420"/>
        <w:jc w:val="both"/>
      </w:pPr>
      <w:r>
        <w:rPr>
          <w:sz w:val="21"/>
        </w:rPr>
        <w:t>3.6对消耗性物品支付产生分歧的，由采购人购买，产生的费用将由中标人支付。若中标人拒绝支付消耗性物品费用，采购人有权在支付中标人物业管理费中扣减相应消耗性物品费用，并在物业管理月度考评中扣减相应分数。</w:t>
      </w:r>
    </w:p>
    <w:p>
      <w:pPr>
        <w:ind w:firstLine="420"/>
        <w:jc w:val="both"/>
      </w:pPr>
      <w:r>
        <w:rPr>
          <w:sz w:val="21"/>
        </w:rPr>
        <w:t>3.7因中标人原因致使中标人未能按照</w:t>
      </w:r>
      <w:r>
        <w:rPr>
          <w:sz w:val="21"/>
        </w:rPr>
        <w:t>“</w:t>
      </w:r>
      <w:r>
        <w:rPr>
          <w:sz w:val="21"/>
        </w:rPr>
        <w:t>设备水电维修维护（维修养护）</w:t>
      </w:r>
      <w:r>
        <w:rPr>
          <w:sz w:val="21"/>
        </w:rPr>
        <w:t>”</w:t>
      </w:r>
      <w:r>
        <w:rPr>
          <w:sz w:val="21"/>
        </w:rPr>
        <w:t>第</w:t>
      </w:r>
      <w:r>
        <w:rPr>
          <w:sz w:val="21"/>
        </w:rPr>
        <w:t>4.12条款所</w:t>
      </w:r>
      <w:r>
        <w:rPr>
          <w:sz w:val="21"/>
        </w:rPr>
        <w:t>确定的时效完成系统修复或报告采购人，采购人将在每月月度考核评分中扣减相应分数。若一个月内出现</w:t>
      </w:r>
      <w:r>
        <w:rPr>
          <w:sz w:val="21"/>
        </w:rPr>
        <w:t>2次以上（含2次）的违反以上条款的情况，采购人有权在当月物业管理费中扣减3%作为处罚。</w:t>
      </w:r>
    </w:p>
    <w:p>
      <w:pPr>
        <w:ind w:firstLine="420"/>
        <w:jc w:val="both"/>
      </w:pPr>
      <w:r>
        <w:rPr>
          <w:sz w:val="21"/>
        </w:rPr>
        <w:t>4.考核表</w:t>
      </w:r>
    </w:p>
    <w:p>
      <w:pPr>
        <w:jc w:val="center"/>
      </w:pPr>
      <w:r>
        <w:rPr>
          <w:b/>
          <w:sz w:val="21"/>
        </w:rPr>
        <w:t>物业管理服务质量月度考核评分表（第一部分：综合服务质量）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07"/>
        <w:gridCol w:w="473"/>
        <w:gridCol w:w="481"/>
        <w:gridCol w:w="1154"/>
        <w:gridCol w:w="830"/>
        <w:gridCol w:w="1370"/>
      </w:tblGrid>
      <w:tr>
        <w:tc>
          <w:tcPr>
            <w:tcW w:type="dxa" w:w="207"/>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473"/>
            <w:tcBorders>
              <w:top w:val="single" w:color="000000" w:sz="4"/>
              <w:left w:val="single" w:color="000000" w:sz="4"/>
              <w:bottom w:val="single" w:color="000000" w:sz="4"/>
              <w:right w:val="single" w:color="000000" w:sz="4"/>
            </w:tcBorders>
            <w:vAlign w:val="top"/>
          </w:tcPr>
          <w:p>
            <w:pPr>
              <w:jc w:val="center"/>
            </w:pPr>
            <w:r>
              <w:rPr>
                <w:b/>
                <w:sz w:val="18"/>
              </w:rPr>
              <w:t>考评项目</w:t>
            </w:r>
          </w:p>
        </w:tc>
        <w:tc>
          <w:tcPr>
            <w:tcW w:type="dxa" w:w="481"/>
            <w:tcBorders>
              <w:top w:val="single" w:color="000000" w:sz="4"/>
              <w:left w:val="single" w:color="000000" w:sz="4"/>
              <w:bottom w:val="single" w:color="000000" w:sz="4"/>
              <w:right w:val="single" w:color="000000" w:sz="4"/>
            </w:tcBorders>
            <w:vAlign w:val="top"/>
          </w:tcPr>
          <w:p>
            <w:pPr>
              <w:jc w:val="center"/>
            </w:pPr>
            <w:r>
              <w:rPr>
                <w:b/>
                <w:sz w:val="18"/>
              </w:rPr>
              <w:t>质量指标</w:t>
            </w:r>
          </w:p>
        </w:tc>
        <w:tc>
          <w:tcPr>
            <w:tcW w:type="dxa" w:w="1154"/>
            <w:tcBorders>
              <w:top w:val="single" w:color="000000" w:sz="4"/>
              <w:left w:val="single" w:color="000000" w:sz="4"/>
              <w:bottom w:val="single" w:color="000000" w:sz="4"/>
              <w:right w:val="single" w:color="000000" w:sz="4"/>
            </w:tcBorders>
            <w:vAlign w:val="top"/>
          </w:tcPr>
          <w:p>
            <w:pPr>
              <w:jc w:val="center"/>
            </w:pPr>
            <w:r>
              <w:rPr>
                <w:b/>
                <w:sz w:val="18"/>
              </w:rPr>
              <w:t>实施细则</w:t>
            </w:r>
          </w:p>
        </w:tc>
        <w:tc>
          <w:tcPr>
            <w:tcW w:type="dxa" w:w="830"/>
            <w:tcBorders>
              <w:top w:val="single" w:color="000000" w:sz="4"/>
              <w:left w:val="single" w:color="000000" w:sz="4"/>
              <w:bottom w:val="single" w:color="000000" w:sz="4"/>
              <w:right w:val="single" w:color="000000" w:sz="4"/>
            </w:tcBorders>
            <w:vAlign w:val="top"/>
          </w:tcPr>
          <w:p>
            <w:pPr>
              <w:jc w:val="center"/>
            </w:pPr>
            <w:r>
              <w:rPr>
                <w:b/>
                <w:sz w:val="18"/>
              </w:rPr>
              <w:t>评分细则</w:t>
            </w:r>
          </w:p>
        </w:tc>
        <w:tc>
          <w:tcPr>
            <w:tcW w:type="dxa" w:w="1370"/>
            <w:tcBorders>
              <w:top w:val="single" w:color="000000" w:sz="4"/>
              <w:left w:val="single" w:color="000000" w:sz="4"/>
              <w:bottom w:val="single" w:color="000000" w:sz="4"/>
              <w:right w:val="single" w:color="000000" w:sz="4"/>
            </w:tcBorders>
            <w:vAlign w:val="top"/>
          </w:tcPr>
          <w:p>
            <w:pPr>
              <w:jc w:val="center"/>
            </w:pPr>
            <w:r>
              <w:rPr>
                <w:b/>
                <w:sz w:val="18"/>
              </w:rPr>
              <w:t>考核成绩</w:t>
            </w:r>
          </w:p>
        </w:tc>
      </w:tr>
      <w:tr>
        <w:tc>
          <w:tcPr>
            <w:tcW w:type="dxa" w:w="207"/>
            <w:vMerge w:val="restart"/>
            <w:tcBorders>
              <w:top w:val="none" w:color="000000" w:sz="4"/>
              <w:left w:val="single" w:color="000000" w:sz="4"/>
              <w:bottom w:val="single" w:color="000000" w:sz="4"/>
              <w:right w:val="single" w:color="000000" w:sz="4"/>
            </w:tcBorders>
            <w:vAlign w:val="top"/>
          </w:tcPr>
          <w:p>
            <w:pPr>
              <w:jc w:val="center"/>
            </w:pPr>
            <w:r>
              <w:rPr>
                <w:sz w:val="18"/>
              </w:rPr>
              <w:t>一</w:t>
            </w:r>
          </w:p>
        </w:tc>
        <w:tc>
          <w:tcPr>
            <w:tcW w:type="dxa" w:w="473"/>
            <w:vMerge w:val="restart"/>
            <w:tcBorders>
              <w:top w:val="none" w:color="000000" w:sz="4"/>
              <w:left w:val="single" w:color="000000" w:sz="4"/>
              <w:bottom w:val="single" w:color="000000" w:sz="4"/>
              <w:right w:val="single" w:color="000000" w:sz="4"/>
            </w:tcBorders>
            <w:vAlign w:val="top"/>
          </w:tcPr>
          <w:p>
            <w:pPr>
              <w:jc w:val="center"/>
            </w:pPr>
            <w:r>
              <w:rPr>
                <w:sz w:val="18"/>
              </w:rPr>
              <w:t>综</w:t>
            </w:r>
          </w:p>
          <w:p>
            <w:pPr>
              <w:jc w:val="center"/>
            </w:pPr>
            <w:r>
              <w:rPr>
                <w:sz w:val="18"/>
              </w:rPr>
              <w:t>合</w:t>
            </w:r>
          </w:p>
          <w:p>
            <w:pPr>
              <w:jc w:val="center"/>
            </w:pPr>
            <w:r>
              <w:rPr>
                <w:sz w:val="18"/>
              </w:rPr>
              <w:t>服</w:t>
            </w:r>
          </w:p>
          <w:p>
            <w:pPr>
              <w:jc w:val="center"/>
            </w:pPr>
            <w:r>
              <w:rPr>
                <w:sz w:val="18"/>
              </w:rPr>
              <w:t>务</w:t>
            </w:r>
          </w:p>
          <w:p>
            <w:pPr>
              <w:jc w:val="center"/>
            </w:pPr>
            <w:r>
              <w:rPr>
                <w:sz w:val="18"/>
              </w:rPr>
              <w:t>质</w:t>
            </w:r>
          </w:p>
          <w:p>
            <w:pPr>
              <w:jc w:val="center"/>
            </w:pPr>
            <w:r>
              <w:rPr>
                <w:sz w:val="18"/>
              </w:rPr>
              <w:t>量</w:t>
            </w:r>
          </w:p>
          <w:p>
            <w:pPr>
              <w:jc w:val="center"/>
            </w:pPr>
          </w:p>
        </w:tc>
        <w:tc>
          <w:tcPr>
            <w:tcW w:type="dxa" w:w="481"/>
            <w:vMerge w:val="restart"/>
            <w:tcBorders>
              <w:top w:val="none" w:color="000000" w:sz="4"/>
              <w:left w:val="single" w:color="000000" w:sz="4"/>
              <w:bottom w:val="single" w:color="000000" w:sz="4"/>
              <w:right w:val="single" w:color="000000" w:sz="4"/>
            </w:tcBorders>
            <w:vAlign w:val="top"/>
          </w:tcPr>
          <w:p>
            <w:pPr>
              <w:jc w:val="center"/>
            </w:pPr>
            <w:r>
              <w:rPr>
                <w:sz w:val="18"/>
              </w:rPr>
              <w:t>人员要求</w:t>
            </w:r>
            <w:r>
              <w:rPr>
                <w:sz w:val="18"/>
              </w:rPr>
              <w:t>100%符合用户需求</w:t>
            </w:r>
          </w:p>
          <w:p>
            <w:pPr>
              <w:jc w:val="center"/>
            </w:pPr>
          </w:p>
        </w:tc>
        <w:tc>
          <w:tcPr>
            <w:tcW w:type="dxa" w:w="1154"/>
            <w:tcBorders>
              <w:top w:val="none" w:color="000000" w:sz="4"/>
              <w:left w:val="single" w:color="000000" w:sz="4"/>
              <w:bottom w:val="single" w:color="000000" w:sz="4"/>
              <w:right w:val="single" w:color="000000" w:sz="4"/>
            </w:tcBorders>
            <w:vAlign w:val="top"/>
          </w:tcPr>
          <w:p>
            <w:pPr>
              <w:jc w:val="both"/>
            </w:pPr>
            <w:r>
              <w:rPr>
                <w:sz w:val="18"/>
              </w:rPr>
              <w:t>1、人员要求：</w:t>
            </w:r>
          </w:p>
          <w:p>
            <w:pPr>
              <w:jc w:val="both"/>
            </w:pPr>
            <w:r>
              <w:rPr>
                <w:sz w:val="18"/>
              </w:rPr>
              <w:t>日常与演出期间各部门人员数量、资格、学历及工作经验等符合《用户需求书》规定；</w:t>
            </w:r>
          </w:p>
        </w:tc>
        <w:tc>
          <w:tcPr>
            <w:tcW w:type="dxa" w:w="830"/>
            <w:tcBorders>
              <w:top w:val="none" w:color="000000" w:sz="4"/>
              <w:left w:val="single" w:color="000000" w:sz="4"/>
              <w:bottom w:val="single" w:color="000000" w:sz="4"/>
              <w:right w:val="single" w:color="000000" w:sz="4"/>
            </w:tcBorders>
            <w:vAlign w:val="top"/>
          </w:tcPr>
          <w:p>
            <w:pPr>
              <w:jc w:val="both"/>
            </w:pPr>
            <w:r>
              <w:rPr>
                <w:sz w:val="18"/>
              </w:rPr>
              <w:t>每发现一人次不符合要求扣</w:t>
            </w:r>
            <w:r>
              <w:rPr>
                <w:sz w:val="18"/>
              </w:rPr>
              <w:t>1分。</w:t>
            </w:r>
          </w:p>
        </w:tc>
        <w:tc>
          <w:tcPr>
            <w:tcW w:type="dxa" w:w="1370"/>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81"/>
            <w:vMerge/>
            <w:tcBorders>
              <w:top w:val="none" w:color="000000" w:sz="4"/>
              <w:left w:val="single" w:color="000000" w:sz="4"/>
              <w:bottom w:val="single" w:color="000000" w:sz="4"/>
              <w:right w:val="single" w:color="000000" w:sz="4"/>
            </w:tcBorders>
          </w:tcPr>
          <w:p/>
        </w:tc>
        <w:tc>
          <w:tcPr>
            <w:tcW w:type="dxa" w:w="1154"/>
            <w:tcBorders>
              <w:top w:val="none" w:color="000000" w:sz="4"/>
              <w:left w:val="single" w:color="000000" w:sz="4"/>
              <w:bottom w:val="single" w:color="000000" w:sz="4"/>
              <w:right w:val="single" w:color="000000" w:sz="4"/>
            </w:tcBorders>
            <w:vAlign w:val="top"/>
          </w:tcPr>
          <w:p>
            <w:pPr>
              <w:jc w:val="both"/>
            </w:pPr>
            <w:r>
              <w:rPr>
                <w:sz w:val="18"/>
              </w:rPr>
              <w:t>2、培训考核：·</w:t>
            </w:r>
          </w:p>
          <w:p>
            <w:pPr>
              <w:jc w:val="both"/>
            </w:pPr>
            <w:r>
              <w:rPr>
                <w:sz w:val="18"/>
              </w:rPr>
              <w:t>各部门人员按《用户需求书》的要求经培训并考核合格后上岗；</w:t>
            </w:r>
          </w:p>
        </w:tc>
        <w:tc>
          <w:tcPr>
            <w:tcW w:type="dxa" w:w="830"/>
            <w:tcBorders>
              <w:top w:val="none" w:color="000000" w:sz="4"/>
              <w:left w:val="single" w:color="000000" w:sz="4"/>
              <w:bottom w:val="single" w:color="000000" w:sz="4"/>
              <w:right w:val="single" w:color="000000" w:sz="4"/>
            </w:tcBorders>
            <w:vAlign w:val="top"/>
          </w:tcPr>
          <w:p>
            <w:pPr>
              <w:jc w:val="both"/>
            </w:pPr>
            <w:r>
              <w:rPr>
                <w:sz w:val="18"/>
              </w:rPr>
              <w:t>每发现一人次不符合要求扣</w:t>
            </w:r>
            <w:r>
              <w:rPr>
                <w:sz w:val="18"/>
              </w:rPr>
              <w:t>1分。</w:t>
            </w:r>
          </w:p>
        </w:tc>
        <w:tc>
          <w:tcPr>
            <w:tcW w:type="dxa" w:w="1370"/>
            <w:tcBorders>
              <w:top w:val="none" w:color="000000" w:sz="4"/>
              <w:left w:val="single" w:color="000000" w:sz="4"/>
              <w:bottom w:val="single" w:color="000000" w:sz="4"/>
              <w:right w:val="single" w:color="000000" w:sz="4"/>
            </w:tcBorders>
            <w:vAlign w:val="top"/>
          </w:tcPr>
          <w:p>
            <w:pPr>
              <w:jc w:val="both"/>
            </w:pPr>
          </w:p>
          <w:p>
            <w:pPr>
              <w:jc w:val="both"/>
            </w:pPr>
          </w:p>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81"/>
            <w:vMerge/>
            <w:tcBorders>
              <w:top w:val="none" w:color="000000" w:sz="4"/>
              <w:left w:val="single" w:color="000000" w:sz="4"/>
              <w:bottom w:val="single" w:color="000000" w:sz="4"/>
              <w:right w:val="single" w:color="000000" w:sz="4"/>
            </w:tcBorders>
          </w:tcPr>
          <w:p/>
        </w:tc>
        <w:tc>
          <w:tcPr>
            <w:tcW w:type="dxa" w:w="1154"/>
            <w:tcBorders>
              <w:top w:val="none" w:color="000000" w:sz="4"/>
              <w:left w:val="single" w:color="000000" w:sz="4"/>
              <w:bottom w:val="single" w:color="000000" w:sz="4"/>
              <w:right w:val="single" w:color="000000" w:sz="4"/>
            </w:tcBorders>
            <w:vAlign w:val="top"/>
          </w:tcPr>
          <w:p>
            <w:pPr>
              <w:jc w:val="both"/>
            </w:pPr>
            <w:r>
              <w:rPr>
                <w:sz w:val="18"/>
              </w:rPr>
              <w:t>3、人员稳定性</w:t>
            </w:r>
          </w:p>
          <w:p>
            <w:pPr>
              <w:jc w:val="both"/>
            </w:pPr>
            <w:r>
              <w:rPr>
                <w:sz w:val="18"/>
              </w:rPr>
              <w:t>1）中层以上人员或贵宾接待等重要岗位每年更换超过1人；</w:t>
            </w:r>
          </w:p>
          <w:p>
            <w:pPr>
              <w:jc w:val="both"/>
            </w:pPr>
            <w:r>
              <w:rPr>
                <w:sz w:val="18"/>
              </w:rPr>
              <w:t>2）普通员工当月更换超过5人；</w:t>
            </w:r>
          </w:p>
        </w:tc>
        <w:tc>
          <w:tcPr>
            <w:tcW w:type="dxa" w:w="830"/>
            <w:tcBorders>
              <w:top w:val="none" w:color="000000" w:sz="4"/>
              <w:left w:val="single" w:color="000000" w:sz="4"/>
              <w:bottom w:val="single" w:color="000000" w:sz="4"/>
              <w:right w:val="single" w:color="000000" w:sz="4"/>
            </w:tcBorders>
            <w:vAlign w:val="top"/>
          </w:tcPr>
          <w:p>
            <w:pPr>
              <w:jc w:val="both"/>
            </w:pPr>
            <w:r>
              <w:rPr>
                <w:sz w:val="18"/>
              </w:rPr>
              <w:t>1）中层以上人员或贵宾接待等重要岗位从第2人起每更换1人当月扣1分；</w:t>
            </w:r>
          </w:p>
          <w:p>
            <w:pPr>
              <w:jc w:val="both"/>
            </w:pPr>
            <w:r>
              <w:rPr>
                <w:sz w:val="18"/>
              </w:rPr>
              <w:t>2）普通员工从第6人起每更换1人扣1分。</w:t>
            </w:r>
          </w:p>
        </w:tc>
        <w:tc>
          <w:tcPr>
            <w:tcW w:type="dxa" w:w="1370"/>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81"/>
            <w:vMerge/>
            <w:tcBorders>
              <w:top w:val="none" w:color="000000" w:sz="4"/>
              <w:left w:val="single" w:color="000000" w:sz="4"/>
              <w:bottom w:val="single" w:color="000000" w:sz="4"/>
              <w:right w:val="single" w:color="000000" w:sz="4"/>
            </w:tcBorders>
          </w:tcPr>
          <w:p/>
        </w:tc>
        <w:tc>
          <w:tcPr>
            <w:tcW w:type="dxa" w:w="1154"/>
            <w:tcBorders>
              <w:top w:val="none" w:color="000000" w:sz="4"/>
              <w:left w:val="single" w:color="000000" w:sz="4"/>
              <w:bottom w:val="single" w:color="000000" w:sz="4"/>
              <w:right w:val="single" w:color="000000" w:sz="4"/>
            </w:tcBorders>
            <w:vAlign w:val="top"/>
          </w:tcPr>
          <w:p>
            <w:pPr>
              <w:jc w:val="both"/>
            </w:pPr>
            <w:r>
              <w:rPr>
                <w:sz w:val="18"/>
              </w:rPr>
              <w:t>4、人员考勤</w:t>
            </w:r>
          </w:p>
          <w:p>
            <w:pPr>
              <w:jc w:val="both"/>
            </w:pPr>
            <w:r>
              <w:rPr>
                <w:sz w:val="18"/>
              </w:rPr>
              <w:t>1）各部门负责人及经理助理</w:t>
            </w:r>
            <w:r>
              <w:rPr>
                <w:sz w:val="18"/>
              </w:rPr>
              <w:t>（如有）</w:t>
            </w:r>
            <w:r>
              <w:rPr>
                <w:sz w:val="18"/>
              </w:rPr>
              <w:t>以上人员离开中心</w:t>
            </w:r>
            <w:r>
              <w:rPr>
                <w:sz w:val="18"/>
              </w:rPr>
              <w:t>3小时以上须口头请示甲方，经批准后方可离开；</w:t>
            </w:r>
          </w:p>
          <w:p>
            <w:pPr>
              <w:jc w:val="both"/>
            </w:pPr>
            <w:r>
              <w:rPr>
                <w:sz w:val="18"/>
              </w:rPr>
              <w:t>2）特殊时期管理人员需安排全天候轮值处理突发事件；</w:t>
            </w:r>
          </w:p>
          <w:p>
            <w:pPr>
              <w:jc w:val="both"/>
            </w:pPr>
            <w:r>
              <w:rPr>
                <w:sz w:val="18"/>
              </w:rPr>
              <w:t>3）各部门负责人需保持通讯工具24小时开启；</w:t>
            </w:r>
          </w:p>
        </w:tc>
        <w:tc>
          <w:tcPr>
            <w:tcW w:type="dxa" w:w="830"/>
            <w:tcBorders>
              <w:top w:val="none" w:color="000000" w:sz="4"/>
              <w:left w:val="single" w:color="000000" w:sz="4"/>
              <w:bottom w:val="single" w:color="000000" w:sz="4"/>
              <w:right w:val="single" w:color="000000" w:sz="4"/>
            </w:tcBorders>
            <w:vAlign w:val="top"/>
          </w:tcPr>
          <w:p>
            <w:pPr>
              <w:jc w:val="both"/>
            </w:pPr>
            <w:r>
              <w:rPr>
                <w:sz w:val="18"/>
              </w:rPr>
              <w:t>每发现一人次不符合要求扣</w:t>
            </w:r>
            <w:r>
              <w:rPr>
                <w:sz w:val="18"/>
              </w:rPr>
              <w:t>1分。</w:t>
            </w:r>
          </w:p>
        </w:tc>
        <w:tc>
          <w:tcPr>
            <w:tcW w:type="dxa" w:w="1370"/>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81"/>
            <w:vMerge/>
            <w:tcBorders>
              <w:top w:val="none" w:color="000000" w:sz="4"/>
              <w:left w:val="single" w:color="000000" w:sz="4"/>
              <w:bottom w:val="single" w:color="000000" w:sz="4"/>
              <w:right w:val="single" w:color="000000" w:sz="4"/>
            </w:tcBorders>
          </w:tcPr>
          <w:p/>
        </w:tc>
        <w:tc>
          <w:tcPr>
            <w:tcW w:type="dxa" w:w="1154"/>
            <w:tcBorders>
              <w:top w:val="none" w:color="000000" w:sz="4"/>
              <w:left w:val="single" w:color="000000" w:sz="4"/>
              <w:bottom w:val="single" w:color="000000" w:sz="4"/>
              <w:right w:val="single" w:color="000000" w:sz="4"/>
            </w:tcBorders>
            <w:vAlign w:val="top"/>
          </w:tcPr>
          <w:p>
            <w:pPr>
              <w:jc w:val="both"/>
            </w:pPr>
            <w:r>
              <w:rPr>
                <w:sz w:val="18"/>
              </w:rPr>
              <w:t>5、仪容仪表要求：</w:t>
            </w:r>
          </w:p>
          <w:p>
            <w:pPr>
              <w:jc w:val="both"/>
            </w:pPr>
            <w:r>
              <w:rPr>
                <w:sz w:val="18"/>
              </w:rPr>
              <w:t>1）按照《</w:t>
            </w:r>
            <w:r>
              <w:rPr>
                <w:sz w:val="18"/>
              </w:rPr>
              <w:t>采购</w:t>
            </w:r>
            <w:r>
              <w:rPr>
                <w:sz w:val="18"/>
              </w:rPr>
              <w:t>需求》各部门人员按照分工种统一着装，佩戴工牌；</w:t>
            </w:r>
          </w:p>
          <w:p>
            <w:pPr>
              <w:jc w:val="both"/>
            </w:pPr>
            <w:r>
              <w:rPr>
                <w:sz w:val="18"/>
              </w:rPr>
              <w:t>2）值班时姿势端正、精神抖擞，举止文明礼貌，使用服务用语及服务手势；</w:t>
            </w:r>
          </w:p>
        </w:tc>
        <w:tc>
          <w:tcPr>
            <w:tcW w:type="dxa" w:w="830"/>
            <w:tcBorders>
              <w:top w:val="none" w:color="000000" w:sz="4"/>
              <w:left w:val="single" w:color="000000" w:sz="4"/>
              <w:bottom w:val="single" w:color="000000" w:sz="4"/>
              <w:right w:val="single" w:color="000000" w:sz="4"/>
            </w:tcBorders>
            <w:vAlign w:val="top"/>
          </w:tcPr>
          <w:p>
            <w:pPr>
              <w:jc w:val="both"/>
            </w:pPr>
            <w:r>
              <w:rPr>
                <w:sz w:val="18"/>
              </w:rPr>
              <w:t>每发现一人次不符合要求扣</w:t>
            </w:r>
            <w:r>
              <w:rPr>
                <w:sz w:val="18"/>
              </w:rPr>
              <w:t>1分。</w:t>
            </w:r>
          </w:p>
        </w:tc>
        <w:tc>
          <w:tcPr>
            <w:tcW w:type="dxa" w:w="1370"/>
            <w:tcBorders>
              <w:top w:val="none" w:color="000000" w:sz="4"/>
              <w:left w:val="single" w:color="000000" w:sz="4"/>
              <w:bottom w:val="single" w:color="000000" w:sz="4"/>
              <w:right w:val="single" w:color="000000" w:sz="4"/>
            </w:tcBorders>
            <w:vAlign w:val="bottom"/>
          </w:tcPr>
          <w:p>
            <w:pPr>
              <w:jc w:val="both"/>
            </w:pPr>
          </w:p>
          <w:p>
            <w:pPr>
              <w:jc w:val="both"/>
            </w:pPr>
          </w:p>
          <w:p>
            <w:pPr>
              <w:jc w:val="both"/>
            </w:pPr>
          </w:p>
          <w:p>
            <w:pPr>
              <w:jc w:val="both"/>
            </w:pPr>
          </w:p>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81"/>
            <w:tcBorders>
              <w:top w:val="none" w:color="000000" w:sz="4"/>
              <w:left w:val="single" w:color="000000" w:sz="4"/>
              <w:bottom w:val="single" w:color="000000" w:sz="4"/>
              <w:right w:val="single" w:color="000000" w:sz="4"/>
            </w:tcBorders>
            <w:vAlign w:val="top"/>
          </w:tcPr>
          <w:p>
            <w:pPr>
              <w:jc w:val="center"/>
            </w:pPr>
            <w:r>
              <w:rPr>
                <w:sz w:val="18"/>
              </w:rPr>
              <w:t>无投诉</w:t>
            </w:r>
          </w:p>
        </w:tc>
        <w:tc>
          <w:tcPr>
            <w:tcW w:type="dxa" w:w="1154"/>
            <w:tcBorders>
              <w:top w:val="none" w:color="000000" w:sz="4"/>
              <w:left w:val="single" w:color="000000" w:sz="4"/>
              <w:bottom w:val="single" w:color="000000" w:sz="4"/>
              <w:right w:val="single" w:color="000000" w:sz="4"/>
            </w:tcBorders>
            <w:vAlign w:val="top"/>
          </w:tcPr>
          <w:p>
            <w:pPr>
              <w:jc w:val="both"/>
            </w:pPr>
            <w:r>
              <w:rPr>
                <w:sz w:val="18"/>
              </w:rPr>
              <w:t>6、满意度及投诉：</w:t>
            </w:r>
          </w:p>
          <w:p>
            <w:pPr>
              <w:jc w:val="both"/>
            </w:pPr>
            <w:r>
              <w:rPr>
                <w:sz w:val="18"/>
              </w:rPr>
              <w:t>1、各部门管理工作不到位，导致甲方或业务单位、观众对服务项目有效投诉。投诉需同时具备投诉人全称、联系方式、投诉事由等三要素。</w:t>
            </w:r>
          </w:p>
          <w:p>
            <w:pPr>
              <w:jc w:val="both"/>
            </w:pPr>
            <w:r>
              <w:rPr>
                <w:sz w:val="18"/>
              </w:rPr>
              <w:t>2、当月顾客满意度低于95%（不含95%）</w:t>
            </w:r>
          </w:p>
        </w:tc>
        <w:tc>
          <w:tcPr>
            <w:tcW w:type="dxa" w:w="830"/>
            <w:tcBorders>
              <w:top w:val="none" w:color="000000" w:sz="4"/>
              <w:left w:val="single" w:color="000000" w:sz="4"/>
              <w:bottom w:val="single" w:color="000000" w:sz="4"/>
              <w:right w:val="single" w:color="000000" w:sz="4"/>
            </w:tcBorders>
            <w:vAlign w:val="top"/>
          </w:tcPr>
          <w:p>
            <w:pPr>
              <w:jc w:val="both"/>
            </w:pPr>
            <w:r>
              <w:rPr>
                <w:sz w:val="18"/>
              </w:rPr>
              <w:t>每次扣</w:t>
            </w:r>
            <w:r>
              <w:rPr>
                <w:sz w:val="18"/>
              </w:rPr>
              <w:t>1分。</w:t>
            </w:r>
          </w:p>
        </w:tc>
        <w:tc>
          <w:tcPr>
            <w:tcW w:type="dxa" w:w="1370"/>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81"/>
            <w:tcBorders>
              <w:top w:val="none" w:color="000000" w:sz="4"/>
              <w:left w:val="single" w:color="000000" w:sz="4"/>
              <w:bottom w:val="single" w:color="000000" w:sz="4"/>
              <w:right w:val="single" w:color="000000" w:sz="4"/>
            </w:tcBorders>
            <w:vAlign w:val="top"/>
          </w:tcPr>
          <w:p>
            <w:pPr>
              <w:jc w:val="center"/>
            </w:pPr>
            <w:r>
              <w:rPr>
                <w:sz w:val="18"/>
              </w:rPr>
              <w:t>工作受理及时，工作完成率</w:t>
            </w:r>
            <w:r>
              <w:rPr>
                <w:sz w:val="18"/>
              </w:rPr>
              <w:t>100%</w:t>
            </w:r>
          </w:p>
        </w:tc>
        <w:tc>
          <w:tcPr>
            <w:tcW w:type="dxa" w:w="1154"/>
            <w:tcBorders>
              <w:top w:val="none" w:color="000000" w:sz="4"/>
              <w:left w:val="single" w:color="000000" w:sz="4"/>
              <w:bottom w:val="single" w:color="000000" w:sz="4"/>
              <w:right w:val="single" w:color="000000" w:sz="4"/>
            </w:tcBorders>
            <w:vAlign w:val="top"/>
          </w:tcPr>
          <w:p>
            <w:pPr>
              <w:jc w:val="both"/>
            </w:pPr>
            <w:r>
              <w:rPr>
                <w:sz w:val="18"/>
              </w:rPr>
              <w:t>7、工作受理：</w:t>
            </w:r>
          </w:p>
          <w:p>
            <w:pPr>
              <w:jc w:val="both"/>
            </w:pPr>
            <w:r>
              <w:rPr>
                <w:sz w:val="18"/>
              </w:rPr>
              <w:t>1）无合理原因拒绝受理甲方合理工作要求；</w:t>
            </w:r>
          </w:p>
          <w:p>
            <w:pPr>
              <w:jc w:val="both"/>
            </w:pPr>
            <w:r>
              <w:rPr>
                <w:sz w:val="18"/>
              </w:rPr>
              <w:t>2）受理同一服务项目，超过2次以上未作处理；</w:t>
            </w:r>
          </w:p>
          <w:p>
            <w:pPr>
              <w:jc w:val="both"/>
            </w:pPr>
            <w:r>
              <w:rPr>
                <w:sz w:val="18"/>
              </w:rPr>
              <w:t>3）对受理的服务项目（服务范围内），不按规定时间处置，无故拖延，时间超过3天。</w:t>
            </w:r>
          </w:p>
        </w:tc>
        <w:tc>
          <w:tcPr>
            <w:tcW w:type="dxa" w:w="830"/>
            <w:tcBorders>
              <w:top w:val="none" w:color="000000" w:sz="4"/>
              <w:left w:val="single" w:color="000000" w:sz="4"/>
              <w:bottom w:val="single" w:color="000000" w:sz="4"/>
              <w:right w:val="single" w:color="000000" w:sz="4"/>
            </w:tcBorders>
            <w:vAlign w:val="top"/>
          </w:tcPr>
          <w:p>
            <w:pPr>
              <w:jc w:val="both"/>
            </w:pPr>
            <w:r>
              <w:rPr>
                <w:sz w:val="18"/>
              </w:rPr>
              <w:t>每发现一项不符合要求扣</w:t>
            </w:r>
            <w:r>
              <w:rPr>
                <w:sz w:val="18"/>
              </w:rPr>
              <w:t>1分。</w:t>
            </w:r>
          </w:p>
        </w:tc>
        <w:tc>
          <w:tcPr>
            <w:tcW w:type="dxa" w:w="1370"/>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81"/>
            <w:tcBorders>
              <w:top w:val="none" w:color="000000" w:sz="4"/>
              <w:left w:val="single" w:color="000000" w:sz="4"/>
              <w:bottom w:val="single" w:color="000000" w:sz="4"/>
              <w:right w:val="single" w:color="000000" w:sz="4"/>
            </w:tcBorders>
            <w:vAlign w:val="top"/>
          </w:tcPr>
          <w:p>
            <w:pPr>
              <w:jc w:val="center"/>
            </w:pPr>
            <w:r>
              <w:rPr>
                <w:sz w:val="18"/>
              </w:rPr>
              <w:t>突发事件处理、</w:t>
            </w:r>
          </w:p>
          <w:p>
            <w:pPr>
              <w:jc w:val="center"/>
            </w:pPr>
            <w:r>
              <w:rPr>
                <w:sz w:val="18"/>
              </w:rPr>
              <w:t>恐怖袭击事件处理</w:t>
            </w:r>
          </w:p>
        </w:tc>
        <w:tc>
          <w:tcPr>
            <w:tcW w:type="dxa" w:w="1154"/>
            <w:tcBorders>
              <w:top w:val="none" w:color="000000" w:sz="4"/>
              <w:left w:val="single" w:color="000000" w:sz="4"/>
              <w:bottom w:val="single" w:color="000000" w:sz="4"/>
              <w:right w:val="single" w:color="000000" w:sz="4"/>
            </w:tcBorders>
            <w:vAlign w:val="top"/>
          </w:tcPr>
          <w:p>
            <w:pPr>
              <w:jc w:val="both"/>
            </w:pPr>
            <w:r>
              <w:rPr>
                <w:sz w:val="18"/>
              </w:rPr>
              <w:t>8、突发事件、恐怖袭击：</w:t>
            </w:r>
          </w:p>
          <w:p>
            <w:pPr>
              <w:jc w:val="both"/>
            </w:pPr>
            <w:r>
              <w:rPr>
                <w:sz w:val="18"/>
              </w:rPr>
              <w:t>1）及时制定或更新各类突发事件、反恐应急预案；每半年组织甲方参与的突发事件、反恐演练各不少于1次。</w:t>
            </w:r>
          </w:p>
          <w:p>
            <w:pPr>
              <w:jc w:val="both"/>
            </w:pPr>
            <w:r>
              <w:rPr>
                <w:sz w:val="18"/>
              </w:rPr>
              <w:t>2）发生突发事件工作人员未能在5分钟内及时到位处理；发生恐怖袭击事件时保安人员未能在5分钟内及时报警到位处理</w:t>
            </w:r>
          </w:p>
          <w:p>
            <w:pPr>
              <w:jc w:val="both"/>
            </w:pPr>
            <w:r>
              <w:rPr>
                <w:sz w:val="18"/>
              </w:rPr>
              <w:t>3）发生突发事件（如秩序混乱、打架斗殴、上访事件等）、或者恐怖袭击事未能及时通报、并采取措施控制，影响中心正常运作；</w:t>
            </w:r>
          </w:p>
          <w:p>
            <w:pPr>
              <w:jc w:val="both"/>
            </w:pPr>
            <w:r>
              <w:rPr>
                <w:sz w:val="18"/>
              </w:rPr>
              <w:t>4）服务过程中与第三方发生肢体冲突。（正当防卫或解决恐怖袭击等突发事件除外）</w:t>
            </w:r>
          </w:p>
        </w:tc>
        <w:tc>
          <w:tcPr>
            <w:tcW w:type="dxa" w:w="830"/>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2分</w:t>
            </w:r>
          </w:p>
        </w:tc>
        <w:tc>
          <w:tcPr>
            <w:tcW w:type="dxa" w:w="1370"/>
            <w:tcBorders>
              <w:top w:val="none" w:color="000000" w:sz="4"/>
              <w:left w:val="single" w:color="000000" w:sz="4"/>
              <w:bottom w:val="single" w:color="000000" w:sz="4"/>
              <w:right w:val="single" w:color="000000" w:sz="4"/>
            </w:tcBorders>
            <w:vAlign w:val="top"/>
          </w:tcPr>
          <w:p>
            <w:pPr>
              <w:jc w:val="both"/>
            </w:pPr>
          </w:p>
        </w:tc>
      </w:tr>
    </w:tbl>
    <w:p>
      <w:pPr>
        <w:jc w:val="both"/>
      </w:pPr>
    </w:p>
    <w:p>
      <w:pPr>
        <w:jc w:val="center"/>
      </w:pPr>
      <w:r>
        <w:rPr>
          <w:b/>
          <w:sz w:val="21"/>
        </w:rPr>
        <w:t>物业管理服务质量月度考核评分表（第二部分：安全保卫服务管理）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07"/>
        <w:gridCol w:w="440"/>
        <w:gridCol w:w="440"/>
        <w:gridCol w:w="1470"/>
        <w:gridCol w:w="813"/>
        <w:gridCol w:w="1146"/>
      </w:tblGrid>
      <w:tr>
        <w:tc>
          <w:tcPr>
            <w:tcW w:type="dxa" w:w="207"/>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440"/>
            <w:tcBorders>
              <w:top w:val="single" w:color="000000" w:sz="4"/>
              <w:left w:val="single" w:color="000000" w:sz="4"/>
              <w:bottom w:val="single" w:color="000000" w:sz="4"/>
              <w:right w:val="single" w:color="000000" w:sz="4"/>
            </w:tcBorders>
            <w:vAlign w:val="top"/>
          </w:tcPr>
          <w:p>
            <w:pPr>
              <w:jc w:val="center"/>
            </w:pPr>
            <w:r>
              <w:rPr>
                <w:b/>
                <w:sz w:val="18"/>
              </w:rPr>
              <w:t>考评项目</w:t>
            </w:r>
          </w:p>
        </w:tc>
        <w:tc>
          <w:tcPr>
            <w:tcW w:type="dxa" w:w="440"/>
            <w:tcBorders>
              <w:top w:val="single" w:color="000000" w:sz="4"/>
              <w:left w:val="single" w:color="000000" w:sz="4"/>
              <w:bottom w:val="single" w:color="000000" w:sz="4"/>
              <w:right w:val="single" w:color="000000" w:sz="4"/>
            </w:tcBorders>
            <w:vAlign w:val="top"/>
          </w:tcPr>
          <w:p>
            <w:pPr>
              <w:jc w:val="center"/>
            </w:pPr>
            <w:r>
              <w:rPr>
                <w:b/>
                <w:sz w:val="18"/>
              </w:rPr>
              <w:t>质量指标</w:t>
            </w:r>
          </w:p>
        </w:tc>
        <w:tc>
          <w:tcPr>
            <w:tcW w:type="dxa" w:w="1470"/>
            <w:tcBorders>
              <w:top w:val="single" w:color="000000" w:sz="4"/>
              <w:left w:val="single" w:color="000000" w:sz="4"/>
              <w:bottom w:val="single" w:color="000000" w:sz="4"/>
              <w:right w:val="single" w:color="000000" w:sz="4"/>
            </w:tcBorders>
            <w:vAlign w:val="top"/>
          </w:tcPr>
          <w:p>
            <w:pPr>
              <w:jc w:val="center"/>
            </w:pPr>
            <w:r>
              <w:rPr>
                <w:b/>
                <w:sz w:val="18"/>
              </w:rPr>
              <w:t>实施细则</w:t>
            </w:r>
          </w:p>
        </w:tc>
        <w:tc>
          <w:tcPr>
            <w:tcW w:type="dxa" w:w="813"/>
            <w:tcBorders>
              <w:top w:val="single" w:color="000000" w:sz="4"/>
              <w:left w:val="single" w:color="000000" w:sz="4"/>
              <w:bottom w:val="single" w:color="000000" w:sz="4"/>
              <w:right w:val="single" w:color="000000" w:sz="4"/>
            </w:tcBorders>
            <w:vAlign w:val="top"/>
          </w:tcPr>
          <w:p>
            <w:pPr>
              <w:jc w:val="center"/>
            </w:pPr>
            <w:r>
              <w:rPr>
                <w:b/>
                <w:sz w:val="18"/>
              </w:rPr>
              <w:t>评分细则</w:t>
            </w:r>
          </w:p>
        </w:tc>
        <w:tc>
          <w:tcPr>
            <w:tcW w:type="dxa" w:w="1146"/>
            <w:tcBorders>
              <w:top w:val="single" w:color="000000" w:sz="4"/>
              <w:left w:val="single" w:color="000000" w:sz="4"/>
              <w:bottom w:val="single" w:color="000000" w:sz="4"/>
              <w:right w:val="single" w:color="000000" w:sz="4"/>
            </w:tcBorders>
            <w:vAlign w:val="top"/>
          </w:tcPr>
          <w:p>
            <w:pPr>
              <w:jc w:val="center"/>
            </w:pPr>
            <w:r>
              <w:rPr>
                <w:b/>
                <w:sz w:val="18"/>
              </w:rPr>
              <w:t>考核成绩</w:t>
            </w:r>
          </w:p>
        </w:tc>
      </w:tr>
      <w:tr>
        <w:tc>
          <w:tcPr>
            <w:tcW w:type="dxa" w:w="207"/>
            <w:vMerge w:val="restart"/>
            <w:tcBorders>
              <w:top w:val="none" w:color="000000" w:sz="4"/>
              <w:left w:val="single" w:color="000000" w:sz="4"/>
              <w:bottom w:val="single" w:color="000000" w:sz="4"/>
              <w:right w:val="single" w:color="000000" w:sz="4"/>
            </w:tcBorders>
            <w:vAlign w:val="top"/>
          </w:tcPr>
          <w:p>
            <w:pPr>
              <w:jc w:val="center"/>
            </w:pPr>
            <w:r>
              <w:rPr>
                <w:sz w:val="18"/>
              </w:rPr>
              <w:t>二</w:t>
            </w:r>
          </w:p>
        </w:tc>
        <w:tc>
          <w:tcPr>
            <w:tcW w:type="dxa" w:w="440"/>
            <w:vMerge w:val="restart"/>
            <w:tcBorders>
              <w:top w:val="none" w:color="000000" w:sz="4"/>
              <w:left w:val="single" w:color="000000" w:sz="4"/>
              <w:bottom w:val="single" w:color="000000" w:sz="4"/>
              <w:right w:val="single" w:color="000000" w:sz="4"/>
            </w:tcBorders>
            <w:vAlign w:val="top"/>
          </w:tcPr>
          <w:p>
            <w:pPr>
              <w:jc w:val="center"/>
            </w:pPr>
            <w:r>
              <w:rPr>
                <w:sz w:val="18"/>
              </w:rPr>
              <w:t>安</w:t>
            </w:r>
          </w:p>
          <w:p>
            <w:pPr>
              <w:jc w:val="center"/>
            </w:pPr>
            <w:r>
              <w:rPr>
                <w:sz w:val="18"/>
              </w:rPr>
              <w:t>全</w:t>
            </w:r>
          </w:p>
          <w:p>
            <w:pPr>
              <w:jc w:val="center"/>
            </w:pPr>
            <w:r>
              <w:rPr>
                <w:sz w:val="18"/>
              </w:rPr>
              <w:t>保</w:t>
            </w:r>
          </w:p>
          <w:p>
            <w:pPr>
              <w:jc w:val="center"/>
            </w:pPr>
            <w:r>
              <w:rPr>
                <w:sz w:val="18"/>
              </w:rPr>
              <w:t>卫</w:t>
            </w:r>
          </w:p>
          <w:p>
            <w:pPr>
              <w:jc w:val="center"/>
            </w:pPr>
            <w:r>
              <w:rPr>
                <w:sz w:val="18"/>
              </w:rPr>
              <w:t>服</w:t>
            </w:r>
          </w:p>
          <w:p>
            <w:pPr>
              <w:jc w:val="center"/>
            </w:pPr>
            <w:r>
              <w:rPr>
                <w:sz w:val="18"/>
              </w:rPr>
              <w:t>务</w:t>
            </w:r>
          </w:p>
          <w:p>
            <w:pPr>
              <w:jc w:val="center"/>
            </w:pPr>
            <w:r>
              <w:rPr>
                <w:sz w:val="18"/>
              </w:rPr>
              <w:t>管</w:t>
            </w:r>
          </w:p>
          <w:p>
            <w:pPr>
              <w:jc w:val="center"/>
            </w:pPr>
            <w:r>
              <w:rPr>
                <w:sz w:val="18"/>
              </w:rPr>
              <w:t>理</w:t>
            </w:r>
          </w:p>
          <w:p>
            <w:pPr>
              <w:jc w:val="center"/>
            </w:pPr>
          </w:p>
        </w:tc>
        <w:tc>
          <w:tcPr>
            <w:tcW w:type="dxa" w:w="440"/>
            <w:vMerge w:val="restart"/>
            <w:tcBorders>
              <w:top w:val="none" w:color="000000" w:sz="4"/>
              <w:left w:val="single" w:color="000000" w:sz="4"/>
              <w:bottom w:val="single" w:color="000000" w:sz="4"/>
              <w:right w:val="single" w:color="000000" w:sz="4"/>
            </w:tcBorders>
            <w:vAlign w:val="top"/>
          </w:tcPr>
          <w:p>
            <w:pPr>
              <w:jc w:val="both"/>
            </w:pPr>
            <w:r>
              <w:rPr>
                <w:sz w:val="18"/>
              </w:rPr>
              <w:t>值班人员工作要求</w:t>
            </w:r>
            <w:r>
              <w:rPr>
                <w:sz w:val="18"/>
              </w:rPr>
              <w:t>100%符合用户需求书要求</w:t>
            </w:r>
          </w:p>
        </w:tc>
        <w:tc>
          <w:tcPr>
            <w:tcW w:type="dxa" w:w="1470"/>
            <w:tcBorders>
              <w:top w:val="none" w:color="000000" w:sz="4"/>
              <w:left w:val="single" w:color="000000" w:sz="4"/>
              <w:bottom w:val="single" w:color="000000" w:sz="4"/>
              <w:right w:val="single" w:color="000000" w:sz="4"/>
            </w:tcBorders>
            <w:vAlign w:val="top"/>
          </w:tcPr>
          <w:p>
            <w:pPr>
              <w:jc w:val="both"/>
            </w:pPr>
            <w:r>
              <w:rPr>
                <w:sz w:val="18"/>
              </w:rPr>
              <w:t>1、人员物品进出登记：</w:t>
            </w:r>
          </w:p>
          <w:p>
            <w:pPr>
              <w:jc w:val="both"/>
            </w:pPr>
            <w:r>
              <w:rPr>
                <w:sz w:val="18"/>
              </w:rPr>
              <w:t>1）非中心工作人员出入大楼时必须登记；</w:t>
            </w:r>
          </w:p>
          <w:p>
            <w:pPr>
              <w:jc w:val="both"/>
            </w:pPr>
            <w:r>
              <w:rPr>
                <w:sz w:val="18"/>
              </w:rPr>
              <w:t>2）非中心工作人员将中心或个人物品带离中心时进行盘查、登记，凭放行条放行；</w:t>
            </w:r>
          </w:p>
          <w:p>
            <w:pPr>
              <w:jc w:val="both"/>
            </w:pPr>
            <w:r>
              <w:rPr>
                <w:sz w:val="18"/>
              </w:rPr>
              <w:t>3）登记内容准确、仔细的；不准确不及时传呼接待单位的。</w:t>
            </w:r>
          </w:p>
        </w:tc>
        <w:tc>
          <w:tcPr>
            <w:tcW w:type="dxa" w:w="813"/>
            <w:vMerge w:val="restart"/>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0.5分。</w:t>
            </w:r>
          </w:p>
        </w:tc>
        <w:tc>
          <w:tcPr>
            <w:tcW w:type="dxa" w:w="1146"/>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vAlign w:val="top"/>
          </w:tcPr>
          <w:p>
            <w:pPr>
              <w:jc w:val="both"/>
            </w:pPr>
            <w:r>
              <w:rPr>
                <w:sz w:val="18"/>
              </w:rPr>
              <w:t>2、值班要求：</w:t>
            </w:r>
          </w:p>
          <w:p>
            <w:pPr>
              <w:jc w:val="both"/>
            </w:pPr>
            <w:r>
              <w:rPr>
                <w:sz w:val="18"/>
              </w:rPr>
              <w:t>1）保安员不得消极怠工、值班时间内不得做与岗位无关的事情（突发事件处理、甲方临时工作要求除外）；</w:t>
            </w:r>
          </w:p>
          <w:p>
            <w:pPr>
              <w:jc w:val="both"/>
            </w:pPr>
            <w:r>
              <w:rPr>
                <w:sz w:val="18"/>
              </w:rPr>
              <w:t>2）做好甲方范围内财物的安全防范。当在管理区域内发生财物被盗、财物受损情况须及时追究第三方责任；</w:t>
            </w:r>
          </w:p>
          <w:p>
            <w:pPr>
              <w:jc w:val="both"/>
            </w:pPr>
            <w:r>
              <w:rPr>
                <w:sz w:val="18"/>
              </w:rPr>
              <w:t>3）违反甲方要求、未尽管理职责导致甲方形象受损或造成经济损失；</w:t>
            </w:r>
          </w:p>
        </w:tc>
        <w:tc>
          <w:tcPr>
            <w:tcW w:type="dxa" w:w="813"/>
            <w:vMerge/>
            <w:tcBorders>
              <w:top w:val="none" w:color="000000" w:sz="4"/>
              <w:left w:val="single" w:color="000000" w:sz="4"/>
              <w:bottom w:val="single" w:color="000000" w:sz="4"/>
              <w:right w:val="single" w:color="000000" w:sz="4"/>
            </w:tcBorders>
          </w:tcPr>
          <w:p/>
        </w:tc>
        <w:tc>
          <w:tcPr>
            <w:tcW w:type="dxa" w:w="1146"/>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vAlign w:val="top"/>
          </w:tcPr>
          <w:p>
            <w:pPr>
              <w:jc w:val="both"/>
            </w:pPr>
            <w:r>
              <w:rPr>
                <w:sz w:val="18"/>
              </w:rPr>
              <w:t>3、交接班要求：</w:t>
            </w:r>
          </w:p>
          <w:p>
            <w:pPr>
              <w:jc w:val="both"/>
            </w:pPr>
            <w:r>
              <w:rPr>
                <w:sz w:val="18"/>
              </w:rPr>
              <w:t>1）准时交接班，交接人员做好交接工作的；</w:t>
            </w:r>
          </w:p>
          <w:p>
            <w:pPr>
              <w:jc w:val="both"/>
            </w:pPr>
            <w:r>
              <w:rPr>
                <w:sz w:val="18"/>
              </w:rPr>
              <w:t>2）交接班记录字体清晰、端正、内容详细、无遗漏。</w:t>
            </w:r>
          </w:p>
        </w:tc>
        <w:tc>
          <w:tcPr>
            <w:tcW w:type="dxa" w:w="813"/>
            <w:vMerge/>
            <w:tcBorders>
              <w:top w:val="none" w:color="000000" w:sz="4"/>
              <w:left w:val="single" w:color="000000" w:sz="4"/>
              <w:bottom w:val="single" w:color="000000" w:sz="4"/>
              <w:right w:val="single" w:color="000000" w:sz="4"/>
            </w:tcBorders>
          </w:tcPr>
          <w:p/>
        </w:tc>
        <w:tc>
          <w:tcPr>
            <w:tcW w:type="dxa" w:w="1146"/>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440"/>
            <w:tcBorders>
              <w:top w:val="none" w:color="000000" w:sz="4"/>
              <w:left w:val="single" w:color="000000" w:sz="4"/>
              <w:bottom w:val="single" w:color="000000" w:sz="4"/>
              <w:right w:val="single" w:color="000000" w:sz="4"/>
            </w:tcBorders>
            <w:vAlign w:val="top"/>
          </w:tcPr>
          <w:p>
            <w:pPr>
              <w:jc w:val="both"/>
            </w:pPr>
            <w:r>
              <w:rPr>
                <w:sz w:val="18"/>
              </w:rPr>
              <w:t>消防管理工作符合中心用户需求</w:t>
            </w:r>
          </w:p>
        </w:tc>
        <w:tc>
          <w:tcPr>
            <w:tcW w:type="dxa" w:w="1470"/>
            <w:tcBorders>
              <w:top w:val="none" w:color="000000" w:sz="4"/>
              <w:left w:val="single" w:color="000000" w:sz="4"/>
              <w:bottom w:val="single" w:color="000000" w:sz="4"/>
              <w:right w:val="single" w:color="000000" w:sz="4"/>
            </w:tcBorders>
            <w:vAlign w:val="top"/>
          </w:tcPr>
          <w:p>
            <w:pPr>
              <w:jc w:val="both"/>
            </w:pPr>
            <w:r>
              <w:rPr>
                <w:sz w:val="18"/>
              </w:rPr>
              <w:t>3、消防工作要求：</w:t>
            </w:r>
          </w:p>
          <w:p>
            <w:pPr>
              <w:jc w:val="both"/>
            </w:pPr>
            <w:r>
              <w:rPr>
                <w:sz w:val="18"/>
              </w:rPr>
              <w:t>1）定期定时做好消防巡查、巡查记录完整、字迹清晰；</w:t>
            </w:r>
          </w:p>
          <w:p>
            <w:pPr>
              <w:jc w:val="both"/>
            </w:pPr>
            <w:r>
              <w:rPr>
                <w:sz w:val="18"/>
              </w:rPr>
              <w:t>2）中心区域发生火险、火警须及时通报处理；</w:t>
            </w:r>
          </w:p>
          <w:p>
            <w:pPr>
              <w:jc w:val="both"/>
            </w:pPr>
            <w:r>
              <w:rPr>
                <w:sz w:val="18"/>
              </w:rPr>
              <w:t>3）每年度物业管理公司组织自身工作人</w:t>
            </w:r>
            <w:r>
              <w:rPr>
                <w:sz w:val="18"/>
              </w:rPr>
              <w:t>员</w:t>
            </w:r>
            <w:r>
              <w:rPr>
                <w:sz w:val="18"/>
              </w:rPr>
              <w:t>消防演练不少于</w:t>
            </w:r>
            <w:r>
              <w:rPr>
                <w:sz w:val="18"/>
              </w:rPr>
              <w:t>2次；（每年6、12月分别进行考核）</w:t>
            </w:r>
          </w:p>
          <w:p>
            <w:pPr>
              <w:jc w:val="both"/>
            </w:pPr>
            <w:r>
              <w:rPr>
                <w:sz w:val="18"/>
              </w:rPr>
              <w:t>4）保安员能正确使用多类消防、物防、技防器械和设备；</w:t>
            </w:r>
          </w:p>
          <w:p>
            <w:pPr>
              <w:jc w:val="both"/>
            </w:pPr>
            <w:r>
              <w:rPr>
                <w:sz w:val="18"/>
              </w:rPr>
              <w:t>5）监督甲方范围限期内完成消防隐患整改；</w:t>
            </w:r>
          </w:p>
          <w:p>
            <w:pPr>
              <w:jc w:val="both"/>
            </w:pPr>
            <w:r>
              <w:rPr>
                <w:sz w:val="18"/>
              </w:rPr>
              <w:t>6）每月开展一次物业保安部消防操练。</w:t>
            </w:r>
          </w:p>
        </w:tc>
        <w:tc>
          <w:tcPr>
            <w:tcW w:type="dxa" w:w="813"/>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46"/>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440"/>
            <w:tcBorders>
              <w:top w:val="none" w:color="000000" w:sz="4"/>
              <w:left w:val="single" w:color="000000" w:sz="4"/>
              <w:bottom w:val="single" w:color="000000" w:sz="4"/>
              <w:right w:val="single" w:color="000000" w:sz="4"/>
            </w:tcBorders>
            <w:vAlign w:val="top"/>
          </w:tcPr>
          <w:p>
            <w:pPr>
              <w:jc w:val="both"/>
            </w:pPr>
            <w:r>
              <w:rPr>
                <w:sz w:val="18"/>
              </w:rPr>
              <w:t>巡更准确率</w:t>
            </w:r>
          </w:p>
          <w:p>
            <w:pPr>
              <w:jc w:val="both"/>
            </w:pPr>
            <w:r>
              <w:rPr>
                <w:sz w:val="18"/>
              </w:rPr>
              <w:t>99%以上</w:t>
            </w:r>
          </w:p>
        </w:tc>
        <w:tc>
          <w:tcPr>
            <w:tcW w:type="dxa" w:w="1470"/>
            <w:tcBorders>
              <w:top w:val="none" w:color="000000" w:sz="4"/>
              <w:left w:val="single" w:color="000000" w:sz="4"/>
              <w:bottom w:val="single" w:color="000000" w:sz="4"/>
              <w:right w:val="single" w:color="000000" w:sz="4"/>
            </w:tcBorders>
            <w:vAlign w:val="top"/>
          </w:tcPr>
          <w:p>
            <w:pPr>
              <w:jc w:val="both"/>
            </w:pPr>
            <w:r>
              <w:rPr>
                <w:sz w:val="18"/>
              </w:rPr>
              <w:t>5、巡逻要求：</w:t>
            </w:r>
          </w:p>
          <w:p>
            <w:pPr>
              <w:jc w:val="both"/>
            </w:pPr>
            <w:r>
              <w:rPr>
                <w:sz w:val="18"/>
              </w:rPr>
              <w:t>1）每季1次更换巡逻路线；制定的巡逻路线不少于3条；</w:t>
            </w:r>
          </w:p>
          <w:p>
            <w:pPr>
              <w:jc w:val="both"/>
            </w:pPr>
            <w:r>
              <w:rPr>
                <w:sz w:val="18"/>
              </w:rPr>
              <w:t>2）室内外巡逻打点准确率99%以上；</w:t>
            </w:r>
          </w:p>
        </w:tc>
        <w:tc>
          <w:tcPr>
            <w:tcW w:type="dxa" w:w="813"/>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46"/>
            <w:tcBorders>
              <w:top w:val="none" w:color="000000" w:sz="4"/>
              <w:left w:val="single" w:color="000000" w:sz="4"/>
              <w:bottom w:val="single" w:color="000000" w:sz="4"/>
              <w:right w:val="single" w:color="000000" w:sz="4"/>
            </w:tcBorders>
            <w:vAlign w:val="top"/>
          </w:tcPr>
          <w:p>
            <w:pPr>
              <w:jc w:val="both"/>
            </w:pPr>
            <w:r>
              <w:rPr>
                <w:sz w:val="18"/>
              </w:rPr>
              <w:t>外围缺乏巡查，</w:t>
            </w:r>
            <w:r>
              <w:rPr>
                <w:sz w:val="18"/>
              </w:rPr>
              <w:t>5月4日下午市民在东门水池内踩自行车，扣1分。</w:t>
            </w:r>
          </w:p>
        </w:tc>
      </w:tr>
      <w:tr>
        <w:tc>
          <w:tcPr>
            <w:tcW w:type="dxa" w:w="207"/>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440"/>
            <w:tcBorders>
              <w:top w:val="none" w:color="000000" w:sz="4"/>
              <w:left w:val="single" w:color="000000" w:sz="4"/>
              <w:bottom w:val="single" w:color="000000" w:sz="4"/>
              <w:right w:val="single" w:color="000000" w:sz="4"/>
            </w:tcBorders>
            <w:vAlign w:val="top"/>
          </w:tcPr>
          <w:p>
            <w:pPr>
              <w:jc w:val="both"/>
            </w:pPr>
            <w:r>
              <w:rPr>
                <w:sz w:val="18"/>
              </w:rPr>
              <w:t>车辆管理有序</w:t>
            </w:r>
          </w:p>
        </w:tc>
        <w:tc>
          <w:tcPr>
            <w:tcW w:type="dxa" w:w="1470"/>
            <w:tcBorders>
              <w:top w:val="none" w:color="000000" w:sz="4"/>
              <w:left w:val="single" w:color="000000" w:sz="4"/>
              <w:bottom w:val="single" w:color="000000" w:sz="4"/>
              <w:right w:val="single" w:color="000000" w:sz="4"/>
            </w:tcBorders>
            <w:vAlign w:val="top"/>
          </w:tcPr>
          <w:p>
            <w:pPr>
              <w:jc w:val="both"/>
            </w:pPr>
            <w:r>
              <w:rPr>
                <w:sz w:val="18"/>
              </w:rPr>
              <w:t>6、车辆管理：</w:t>
            </w:r>
          </w:p>
          <w:p>
            <w:pPr>
              <w:jc w:val="both"/>
            </w:pPr>
            <w:r>
              <w:rPr>
                <w:sz w:val="18"/>
              </w:rPr>
              <w:t>1）按照甲方要求做好停车场管理以及收费工作，无弄虚作假；</w:t>
            </w:r>
          </w:p>
          <w:p>
            <w:pPr>
              <w:jc w:val="both"/>
            </w:pPr>
            <w:r>
              <w:rPr>
                <w:sz w:val="18"/>
              </w:rPr>
              <w:t>2）停放车辆不得占用消防通道、堵塞出口等情况；</w:t>
            </w:r>
          </w:p>
          <w:p>
            <w:pPr>
              <w:jc w:val="both"/>
            </w:pPr>
            <w:r>
              <w:rPr>
                <w:sz w:val="18"/>
              </w:rPr>
              <w:t>3）疏导车辆防止停车场及各出入口堵塞；</w:t>
            </w:r>
          </w:p>
          <w:p>
            <w:pPr>
              <w:jc w:val="both"/>
            </w:pPr>
            <w:r>
              <w:rPr>
                <w:sz w:val="18"/>
              </w:rPr>
              <w:t>4）发生交通意外及时通知并协助交警部门处理；</w:t>
            </w:r>
          </w:p>
        </w:tc>
        <w:tc>
          <w:tcPr>
            <w:tcW w:type="dxa" w:w="813"/>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46"/>
            <w:tcBorders>
              <w:top w:val="none" w:color="000000" w:sz="4"/>
              <w:left w:val="single" w:color="000000" w:sz="4"/>
              <w:bottom w:val="single" w:color="000000" w:sz="4"/>
              <w:right w:val="single" w:color="000000" w:sz="4"/>
            </w:tcBorders>
            <w:vAlign w:val="top"/>
          </w:tcPr>
          <w:p>
            <w:pPr>
              <w:jc w:val="both"/>
            </w:pPr>
            <w:r>
              <w:rPr>
                <w:sz w:val="18"/>
              </w:rPr>
              <w:t>5月25日车辆乱停乱放压坏北岗亭草地。扣1分</w:t>
            </w:r>
          </w:p>
        </w:tc>
      </w:tr>
      <w:tr>
        <w:tc>
          <w:tcPr>
            <w:tcW w:type="dxa" w:w="207"/>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440"/>
            <w:vMerge w:val="restart"/>
            <w:tcBorders>
              <w:top w:val="none" w:color="000000" w:sz="4"/>
              <w:left w:val="single" w:color="000000" w:sz="4"/>
              <w:bottom w:val="single" w:color="000000" w:sz="4"/>
              <w:right w:val="single" w:color="000000" w:sz="4"/>
            </w:tcBorders>
            <w:vAlign w:val="top"/>
          </w:tcPr>
          <w:p>
            <w:pPr>
              <w:jc w:val="both"/>
            </w:pPr>
            <w:r>
              <w:rPr>
                <w:sz w:val="18"/>
              </w:rPr>
              <w:t>服从中心</w:t>
            </w:r>
          </w:p>
          <w:p>
            <w:pPr>
              <w:jc w:val="both"/>
            </w:pPr>
            <w:r>
              <w:rPr>
                <w:sz w:val="18"/>
              </w:rPr>
              <w:t>工作人员指令</w:t>
            </w:r>
          </w:p>
        </w:tc>
        <w:tc>
          <w:tcPr>
            <w:tcW w:type="dxa" w:w="1470"/>
            <w:tcBorders>
              <w:top w:val="none" w:color="000000" w:sz="4"/>
              <w:left w:val="single" w:color="000000" w:sz="4"/>
              <w:bottom w:val="single" w:color="000000" w:sz="4"/>
              <w:right w:val="single" w:color="000000" w:sz="4"/>
            </w:tcBorders>
            <w:vAlign w:val="top"/>
          </w:tcPr>
          <w:p>
            <w:pPr>
              <w:jc w:val="both"/>
            </w:pPr>
            <w:r>
              <w:rPr>
                <w:sz w:val="18"/>
              </w:rPr>
              <w:t>7、服从指令：</w:t>
            </w:r>
          </w:p>
          <w:p>
            <w:pPr>
              <w:jc w:val="both"/>
            </w:pPr>
            <w:r>
              <w:rPr>
                <w:sz w:val="18"/>
              </w:rPr>
              <w:t>1）保安员须服从上级领导或甲方临时紧急的、合理要求各项安全保卫工作；</w:t>
            </w:r>
          </w:p>
          <w:p>
            <w:pPr>
              <w:jc w:val="both"/>
            </w:pPr>
            <w:r>
              <w:rPr>
                <w:sz w:val="18"/>
              </w:rPr>
              <w:t>2）接到指令或接到甲方的要求时在5分钟内准确到达指定位置并开展工作；</w:t>
            </w:r>
          </w:p>
        </w:tc>
        <w:tc>
          <w:tcPr>
            <w:tcW w:type="dxa" w:w="813"/>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46"/>
            <w:tcBorders>
              <w:top w:val="none" w:color="000000" w:sz="4"/>
              <w:left w:val="single" w:color="000000" w:sz="4"/>
              <w:bottom w:val="single" w:color="000000" w:sz="4"/>
              <w:right w:val="single" w:color="000000" w:sz="4"/>
            </w:tcBorders>
            <w:vAlign w:val="top"/>
          </w:tcPr>
          <w:p>
            <w:pPr>
              <w:jc w:val="both"/>
            </w:pPr>
          </w:p>
        </w:tc>
      </w:tr>
      <w:tr>
        <w:tc>
          <w:tcPr>
            <w:tcW w:type="dxa" w:w="207"/>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44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vAlign w:val="top"/>
          </w:tcPr>
          <w:p>
            <w:pPr>
              <w:jc w:val="both"/>
            </w:pPr>
            <w:r>
              <w:rPr>
                <w:sz w:val="18"/>
              </w:rPr>
              <w:t>8、其他要求：</w:t>
            </w:r>
          </w:p>
          <w:p>
            <w:pPr>
              <w:jc w:val="both"/>
            </w:pPr>
            <w:r>
              <w:rPr>
                <w:sz w:val="18"/>
              </w:rPr>
              <w:t>未经甲方允许禁止以下行为：</w:t>
            </w:r>
          </w:p>
          <w:p>
            <w:pPr>
              <w:jc w:val="both"/>
            </w:pPr>
            <w:r>
              <w:rPr>
                <w:sz w:val="18"/>
              </w:rPr>
              <w:t>私自带外来人员进入本中心内部；</w:t>
            </w:r>
          </w:p>
          <w:p>
            <w:pPr>
              <w:jc w:val="both"/>
            </w:pPr>
            <w:r>
              <w:rPr>
                <w:sz w:val="18"/>
              </w:rPr>
              <w:t>2）将本中心物品借予他人、挪用本中心物品；</w:t>
            </w:r>
          </w:p>
          <w:p>
            <w:pPr>
              <w:jc w:val="both"/>
            </w:pPr>
            <w:r>
              <w:rPr>
                <w:sz w:val="18"/>
              </w:rPr>
              <w:t>3）擅自翻看本中心监控录像</w:t>
            </w:r>
          </w:p>
        </w:tc>
        <w:tc>
          <w:tcPr>
            <w:tcW w:type="dxa" w:w="813"/>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46"/>
            <w:tcBorders>
              <w:top w:val="none" w:color="000000" w:sz="4"/>
              <w:left w:val="single" w:color="000000" w:sz="4"/>
              <w:bottom w:val="single" w:color="000000" w:sz="4"/>
              <w:right w:val="single" w:color="000000" w:sz="4"/>
            </w:tcBorders>
            <w:vAlign w:val="top"/>
          </w:tcPr>
          <w:p>
            <w:pPr>
              <w:jc w:val="both"/>
            </w:pPr>
          </w:p>
        </w:tc>
      </w:tr>
    </w:tbl>
    <w:p>
      <w:pPr>
        <w:jc w:val="both"/>
      </w:pPr>
    </w:p>
    <w:p>
      <w:pPr>
        <w:jc w:val="center"/>
      </w:pPr>
      <w:r>
        <w:rPr>
          <w:b/>
          <w:sz w:val="21"/>
        </w:rPr>
        <w:t>物业管理服务质量月度考核评分表（第三部分：剧场服务管理）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40"/>
        <w:gridCol w:w="456"/>
        <w:gridCol w:w="465"/>
        <w:gridCol w:w="1096"/>
        <w:gridCol w:w="963"/>
        <w:gridCol w:w="1287"/>
      </w:tblGrid>
      <w:tr>
        <w:tc>
          <w:tcPr>
            <w:tcW w:type="dxa" w:w="240"/>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456"/>
            <w:tcBorders>
              <w:top w:val="single" w:color="000000" w:sz="4"/>
              <w:left w:val="single" w:color="000000" w:sz="4"/>
              <w:bottom w:val="single" w:color="000000" w:sz="4"/>
              <w:right w:val="single" w:color="000000" w:sz="4"/>
            </w:tcBorders>
            <w:vAlign w:val="top"/>
          </w:tcPr>
          <w:p>
            <w:pPr>
              <w:jc w:val="center"/>
            </w:pPr>
            <w:r>
              <w:rPr>
                <w:b/>
                <w:sz w:val="18"/>
              </w:rPr>
              <w:t>考评项目</w:t>
            </w:r>
          </w:p>
        </w:tc>
        <w:tc>
          <w:tcPr>
            <w:tcW w:type="dxa" w:w="465"/>
            <w:tcBorders>
              <w:top w:val="single" w:color="000000" w:sz="4"/>
              <w:left w:val="single" w:color="000000" w:sz="4"/>
              <w:bottom w:val="single" w:color="000000" w:sz="4"/>
              <w:right w:val="single" w:color="000000" w:sz="4"/>
            </w:tcBorders>
            <w:vAlign w:val="top"/>
          </w:tcPr>
          <w:p>
            <w:pPr>
              <w:jc w:val="center"/>
            </w:pPr>
            <w:r>
              <w:rPr>
                <w:b/>
                <w:sz w:val="18"/>
              </w:rPr>
              <w:t>质量指标</w:t>
            </w:r>
          </w:p>
        </w:tc>
        <w:tc>
          <w:tcPr>
            <w:tcW w:type="dxa" w:w="1096"/>
            <w:tcBorders>
              <w:top w:val="single" w:color="000000" w:sz="4"/>
              <w:left w:val="single" w:color="000000" w:sz="4"/>
              <w:bottom w:val="single" w:color="000000" w:sz="4"/>
              <w:right w:val="single" w:color="000000" w:sz="4"/>
            </w:tcBorders>
            <w:vAlign w:val="top"/>
          </w:tcPr>
          <w:p>
            <w:pPr>
              <w:jc w:val="center"/>
            </w:pPr>
            <w:r>
              <w:rPr>
                <w:b/>
                <w:sz w:val="18"/>
              </w:rPr>
              <w:t>实施细则</w:t>
            </w:r>
          </w:p>
        </w:tc>
        <w:tc>
          <w:tcPr>
            <w:tcW w:type="dxa" w:w="963"/>
            <w:tcBorders>
              <w:top w:val="single" w:color="000000" w:sz="4"/>
              <w:left w:val="single" w:color="000000" w:sz="4"/>
              <w:bottom w:val="single" w:color="000000" w:sz="4"/>
              <w:right w:val="single" w:color="000000" w:sz="4"/>
            </w:tcBorders>
            <w:vAlign w:val="top"/>
          </w:tcPr>
          <w:p>
            <w:pPr>
              <w:jc w:val="center"/>
            </w:pPr>
            <w:r>
              <w:rPr>
                <w:b/>
                <w:sz w:val="18"/>
              </w:rPr>
              <w:t>评分细则</w:t>
            </w:r>
          </w:p>
        </w:tc>
        <w:tc>
          <w:tcPr>
            <w:tcW w:type="dxa" w:w="1287"/>
            <w:tcBorders>
              <w:top w:val="single" w:color="000000" w:sz="4"/>
              <w:left w:val="single" w:color="000000" w:sz="4"/>
              <w:bottom w:val="single" w:color="000000" w:sz="4"/>
              <w:right w:val="single" w:color="000000" w:sz="4"/>
            </w:tcBorders>
            <w:vAlign w:val="top"/>
          </w:tcPr>
          <w:p>
            <w:pPr>
              <w:jc w:val="center"/>
            </w:pPr>
            <w:r>
              <w:rPr>
                <w:b/>
                <w:sz w:val="18"/>
              </w:rPr>
              <w:t>考核成绩</w:t>
            </w:r>
          </w:p>
        </w:tc>
      </w:tr>
      <w:tr>
        <w:tc>
          <w:tcPr>
            <w:tcW w:type="dxa" w:w="240"/>
            <w:vMerge w:val="restart"/>
            <w:tcBorders>
              <w:top w:val="none" w:color="000000" w:sz="4"/>
              <w:left w:val="single" w:color="000000" w:sz="4"/>
              <w:bottom w:val="single" w:color="000000" w:sz="4"/>
              <w:right w:val="single" w:color="000000" w:sz="4"/>
            </w:tcBorders>
            <w:vAlign w:val="top"/>
          </w:tcPr>
          <w:p>
            <w:pPr>
              <w:jc w:val="center"/>
            </w:pPr>
            <w:r>
              <w:rPr>
                <w:sz w:val="18"/>
              </w:rPr>
              <w:t>三</w:t>
            </w:r>
          </w:p>
        </w:tc>
        <w:tc>
          <w:tcPr>
            <w:tcW w:type="dxa" w:w="456"/>
            <w:vMerge w:val="restart"/>
            <w:tcBorders>
              <w:top w:val="none" w:color="000000" w:sz="4"/>
              <w:left w:val="single" w:color="000000" w:sz="4"/>
              <w:bottom w:val="single" w:color="000000" w:sz="4"/>
              <w:right w:val="single" w:color="000000" w:sz="4"/>
            </w:tcBorders>
            <w:vAlign w:val="top"/>
          </w:tcPr>
          <w:p>
            <w:pPr>
              <w:jc w:val="center"/>
            </w:pPr>
            <w:r>
              <w:rPr>
                <w:sz w:val="18"/>
              </w:rPr>
              <w:t>剧</w:t>
            </w:r>
          </w:p>
          <w:p>
            <w:pPr>
              <w:jc w:val="center"/>
            </w:pPr>
            <w:r>
              <w:rPr>
                <w:sz w:val="18"/>
              </w:rPr>
              <w:t>场</w:t>
            </w:r>
          </w:p>
          <w:p>
            <w:pPr>
              <w:jc w:val="center"/>
            </w:pPr>
            <w:r>
              <w:rPr>
                <w:sz w:val="18"/>
              </w:rPr>
              <w:t>服</w:t>
            </w:r>
          </w:p>
          <w:p>
            <w:pPr>
              <w:jc w:val="center"/>
            </w:pPr>
            <w:r>
              <w:rPr>
                <w:sz w:val="18"/>
              </w:rPr>
              <w:t>务</w:t>
            </w:r>
          </w:p>
          <w:p>
            <w:pPr>
              <w:jc w:val="center"/>
            </w:pPr>
            <w:r>
              <w:rPr>
                <w:sz w:val="18"/>
              </w:rPr>
              <w:t>管</w:t>
            </w:r>
          </w:p>
          <w:p>
            <w:pPr>
              <w:jc w:val="center"/>
            </w:pPr>
            <w:r>
              <w:rPr>
                <w:sz w:val="18"/>
              </w:rPr>
              <w:t>理</w:t>
            </w:r>
          </w:p>
          <w:p>
            <w:pPr>
              <w:jc w:val="center"/>
            </w:pPr>
          </w:p>
        </w:tc>
        <w:tc>
          <w:tcPr>
            <w:tcW w:type="dxa" w:w="465"/>
            <w:vMerge w:val="restart"/>
            <w:tcBorders>
              <w:top w:val="none" w:color="000000" w:sz="4"/>
              <w:left w:val="single" w:color="000000" w:sz="4"/>
              <w:bottom w:val="single" w:color="000000" w:sz="4"/>
              <w:right w:val="single" w:color="000000" w:sz="4"/>
            </w:tcBorders>
            <w:vAlign w:val="top"/>
          </w:tcPr>
          <w:p>
            <w:pPr>
              <w:jc w:val="center"/>
            </w:pPr>
            <w:r>
              <w:rPr>
                <w:sz w:val="18"/>
              </w:rPr>
              <w:t>接待员工作</w:t>
            </w:r>
            <w:r>
              <w:rPr>
                <w:sz w:val="18"/>
              </w:rPr>
              <w:t>100%符合用户需求。</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1、剧场管理要求：</w:t>
            </w:r>
          </w:p>
          <w:p>
            <w:pPr>
              <w:jc w:val="both"/>
            </w:pPr>
            <w:r>
              <w:rPr>
                <w:sz w:val="18"/>
              </w:rPr>
              <w:t>1）未按演出要求限高入场；</w:t>
            </w:r>
          </w:p>
          <w:p>
            <w:pPr>
              <w:jc w:val="both"/>
            </w:pPr>
            <w:r>
              <w:rPr>
                <w:sz w:val="18"/>
              </w:rPr>
              <w:t>2）未按演出要求执行幕间入场；</w:t>
            </w:r>
          </w:p>
          <w:p>
            <w:pPr>
              <w:jc w:val="both"/>
            </w:pPr>
            <w:r>
              <w:rPr>
                <w:sz w:val="18"/>
              </w:rPr>
              <w:t>3）未按演出要求提前做好各项准备；</w:t>
            </w:r>
          </w:p>
        </w:tc>
        <w:tc>
          <w:tcPr>
            <w:tcW w:type="dxa" w:w="963"/>
            <w:vMerge w:val="restart"/>
            <w:tcBorders>
              <w:top w:val="none" w:color="000000" w:sz="4"/>
              <w:left w:val="single" w:color="000000" w:sz="4"/>
              <w:bottom w:val="single" w:color="000000" w:sz="4"/>
              <w:right w:val="single" w:color="000000" w:sz="4"/>
            </w:tcBorders>
            <w:vAlign w:val="top"/>
          </w:tcPr>
          <w:p>
            <w:pPr>
              <w:jc w:val="both"/>
            </w:pPr>
            <w:r>
              <w:rPr>
                <w:sz w:val="18"/>
              </w:rPr>
              <w:t>发现一次不符合要求扣</w:t>
            </w:r>
            <w:r>
              <w:rPr>
                <w:sz w:val="18"/>
              </w:rPr>
              <w:t>0.5分。</w:t>
            </w:r>
          </w:p>
        </w:tc>
        <w:tc>
          <w:tcPr>
            <w:tcW w:type="dxa" w:w="1287"/>
            <w:tcBorders>
              <w:top w:val="none" w:color="000000" w:sz="4"/>
              <w:left w:val="single" w:color="000000" w:sz="4"/>
              <w:bottom w:val="single" w:color="000000" w:sz="4"/>
              <w:right w:val="single" w:color="000000" w:sz="4"/>
            </w:tcBorders>
            <w:vAlign w:val="top"/>
          </w:tcPr>
          <w:p>
            <w:pPr>
              <w:jc w:val="both"/>
            </w:pPr>
          </w:p>
        </w:tc>
      </w:tr>
      <w:tr>
        <w:tc>
          <w:tcPr>
            <w:tcW w:type="dxa" w:w="240"/>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65"/>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vAlign w:val="top"/>
          </w:tcPr>
          <w:p>
            <w:pPr>
              <w:jc w:val="both"/>
            </w:pPr>
            <w:r>
              <w:rPr>
                <w:sz w:val="18"/>
              </w:rPr>
              <w:t>2、剧场服务员应熟悉中心的建设情况、剧目内容和所有的艺术品资料等。做好对外开放接待讲服务工作。</w:t>
            </w:r>
          </w:p>
        </w:tc>
        <w:tc>
          <w:tcPr>
            <w:tcW w:type="dxa" w:w="963"/>
            <w:vMerge/>
            <w:tcBorders>
              <w:top w:val="none" w:color="000000" w:sz="4"/>
              <w:left w:val="single" w:color="000000" w:sz="4"/>
              <w:bottom w:val="single" w:color="000000" w:sz="4"/>
              <w:right w:val="single" w:color="000000" w:sz="4"/>
            </w:tcBorders>
          </w:tcPr>
          <w:p/>
        </w:tc>
        <w:tc>
          <w:tcPr>
            <w:tcW w:type="dxa" w:w="1287"/>
            <w:tcBorders>
              <w:top w:val="none" w:color="000000" w:sz="4"/>
              <w:left w:val="single" w:color="000000" w:sz="4"/>
              <w:bottom w:val="single" w:color="000000" w:sz="4"/>
              <w:right w:val="single" w:color="000000" w:sz="4"/>
            </w:tcBorders>
            <w:vAlign w:val="top"/>
          </w:tcPr>
          <w:p>
            <w:pPr>
              <w:jc w:val="both"/>
            </w:pPr>
          </w:p>
        </w:tc>
      </w:tr>
      <w:tr>
        <w:tc>
          <w:tcPr>
            <w:tcW w:type="dxa" w:w="240"/>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65"/>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vAlign w:val="top"/>
          </w:tcPr>
          <w:p>
            <w:pPr>
              <w:jc w:val="both"/>
            </w:pPr>
            <w:r>
              <w:rPr>
                <w:sz w:val="18"/>
              </w:rPr>
              <w:t>3、讲解接待要求：</w:t>
            </w:r>
          </w:p>
          <w:p>
            <w:pPr>
              <w:jc w:val="both"/>
            </w:pPr>
            <w:r>
              <w:rPr>
                <w:sz w:val="18"/>
              </w:rPr>
              <w:t>1）按时间要求，提前做好各项接待准备。</w:t>
            </w:r>
          </w:p>
          <w:p>
            <w:pPr>
              <w:jc w:val="both"/>
            </w:pPr>
            <w:r>
              <w:rPr>
                <w:sz w:val="18"/>
              </w:rPr>
              <w:t>2）热情有礼，使用标准普通话，接待用语要文明、规范。</w:t>
            </w:r>
          </w:p>
          <w:p>
            <w:pPr>
              <w:jc w:val="both"/>
            </w:pPr>
            <w:r>
              <w:rPr>
                <w:sz w:val="18"/>
              </w:rPr>
              <w:t>3）并提供优秀的讲解服务。</w:t>
            </w:r>
          </w:p>
          <w:p>
            <w:pPr>
              <w:jc w:val="both"/>
            </w:pPr>
            <w:r>
              <w:rPr>
                <w:sz w:val="18"/>
              </w:rPr>
              <w:t>4）如有外宾到访，接待人员应能用英语进行接待及讲解。</w:t>
            </w:r>
          </w:p>
        </w:tc>
        <w:tc>
          <w:tcPr>
            <w:tcW w:type="dxa" w:w="963"/>
            <w:vMerge/>
            <w:tcBorders>
              <w:top w:val="none" w:color="000000" w:sz="4"/>
              <w:left w:val="single" w:color="000000" w:sz="4"/>
              <w:bottom w:val="single" w:color="000000" w:sz="4"/>
              <w:right w:val="single" w:color="000000" w:sz="4"/>
            </w:tcBorders>
          </w:tcPr>
          <w:p/>
        </w:tc>
        <w:tc>
          <w:tcPr>
            <w:tcW w:type="dxa" w:w="1287"/>
            <w:tcBorders>
              <w:top w:val="none" w:color="000000" w:sz="4"/>
              <w:left w:val="single" w:color="000000" w:sz="4"/>
              <w:bottom w:val="single" w:color="000000" w:sz="4"/>
              <w:right w:val="single" w:color="000000" w:sz="4"/>
            </w:tcBorders>
            <w:vAlign w:val="top"/>
          </w:tcPr>
          <w:p>
            <w:pPr>
              <w:jc w:val="both"/>
            </w:pPr>
          </w:p>
        </w:tc>
      </w:tr>
      <w:tr>
        <w:tc>
          <w:tcPr>
            <w:tcW w:type="dxa" w:w="240"/>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vAlign w:val="top"/>
          </w:tcPr>
          <w:p>
            <w:pPr>
              <w:jc w:val="center"/>
            </w:pPr>
            <w:r>
              <w:rPr>
                <w:sz w:val="18"/>
              </w:rPr>
              <w:t>库房管理完善，账、物齐全</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4、库房管理要求：</w:t>
            </w:r>
          </w:p>
          <w:p>
            <w:pPr>
              <w:jc w:val="both"/>
            </w:pPr>
            <w:r>
              <w:rPr>
                <w:sz w:val="18"/>
              </w:rPr>
              <w:t>1）制定库房管理制度。</w:t>
            </w:r>
          </w:p>
          <w:p>
            <w:pPr>
              <w:jc w:val="both"/>
            </w:pPr>
            <w:r>
              <w:rPr>
                <w:sz w:val="18"/>
              </w:rPr>
              <w:t>2）专人管理，设两名库管员。</w:t>
            </w:r>
          </w:p>
          <w:p>
            <w:pPr>
              <w:jc w:val="both"/>
            </w:pPr>
            <w:r>
              <w:rPr>
                <w:sz w:val="18"/>
              </w:rPr>
              <w:t>3）设立库房物品台账，及时登记出入库物品情况，做到账物相符。</w:t>
            </w:r>
          </w:p>
          <w:p>
            <w:pPr>
              <w:jc w:val="both"/>
            </w:pPr>
            <w:r>
              <w:rPr>
                <w:sz w:val="18"/>
              </w:rPr>
              <w:t>4）每月按时上交数据无误的报表。</w:t>
            </w:r>
          </w:p>
        </w:tc>
        <w:tc>
          <w:tcPr>
            <w:tcW w:type="dxa" w:w="963"/>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287"/>
            <w:tcBorders>
              <w:top w:val="none" w:color="000000" w:sz="4"/>
              <w:left w:val="single" w:color="000000" w:sz="4"/>
              <w:bottom w:val="single" w:color="000000" w:sz="4"/>
              <w:right w:val="single" w:color="000000" w:sz="4"/>
            </w:tcBorders>
            <w:vAlign w:val="top"/>
          </w:tcPr>
          <w:p>
            <w:pPr>
              <w:jc w:val="both"/>
            </w:pPr>
          </w:p>
        </w:tc>
      </w:tr>
      <w:tr>
        <w:tc>
          <w:tcPr>
            <w:tcW w:type="dxa" w:w="240"/>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vAlign w:val="top"/>
          </w:tcPr>
          <w:p>
            <w:pPr>
              <w:jc w:val="center"/>
            </w:pPr>
            <w:r>
              <w:rPr>
                <w:sz w:val="18"/>
              </w:rPr>
              <w:t>报表零错误</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5、报表要求：</w:t>
            </w:r>
          </w:p>
          <w:p>
            <w:pPr>
              <w:jc w:val="both"/>
            </w:pPr>
            <w:r>
              <w:rPr>
                <w:sz w:val="18"/>
              </w:rPr>
              <w:t>甲方要求的各类报表要按时上报，数据准确无误；</w:t>
            </w:r>
          </w:p>
        </w:tc>
        <w:tc>
          <w:tcPr>
            <w:tcW w:type="dxa" w:w="963"/>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287"/>
            <w:tcBorders>
              <w:top w:val="none" w:color="000000" w:sz="4"/>
              <w:left w:val="single" w:color="000000" w:sz="4"/>
              <w:bottom w:val="single" w:color="000000" w:sz="4"/>
              <w:right w:val="single" w:color="000000" w:sz="4"/>
            </w:tcBorders>
            <w:vAlign w:val="top"/>
          </w:tcPr>
          <w:p>
            <w:pPr>
              <w:jc w:val="both"/>
            </w:pPr>
          </w:p>
        </w:tc>
      </w:tr>
    </w:tbl>
    <w:p>
      <w:pPr>
        <w:jc w:val="both"/>
      </w:pPr>
    </w:p>
    <w:p>
      <w:pPr>
        <w:jc w:val="center"/>
      </w:pPr>
      <w:r>
        <w:rPr>
          <w:b/>
          <w:sz w:val="21"/>
        </w:rPr>
        <w:t>物业管理服务质量月度考核评分表（第四部分：售票服务管理）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49"/>
        <w:gridCol w:w="456"/>
        <w:gridCol w:w="456"/>
        <w:gridCol w:w="1179"/>
        <w:gridCol w:w="996"/>
        <w:gridCol w:w="1212"/>
      </w:tblGrid>
      <w:tr>
        <w:tc>
          <w:tcPr>
            <w:tcW w:type="dxa" w:w="249"/>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456"/>
            <w:tcBorders>
              <w:top w:val="single" w:color="000000" w:sz="4"/>
              <w:left w:val="single" w:color="000000" w:sz="4"/>
              <w:bottom w:val="single" w:color="000000" w:sz="4"/>
              <w:right w:val="single" w:color="000000" w:sz="4"/>
            </w:tcBorders>
            <w:vAlign w:val="top"/>
          </w:tcPr>
          <w:p>
            <w:pPr>
              <w:jc w:val="center"/>
            </w:pPr>
            <w:r>
              <w:rPr>
                <w:b/>
                <w:sz w:val="18"/>
              </w:rPr>
              <w:t>考评项目</w:t>
            </w:r>
          </w:p>
        </w:tc>
        <w:tc>
          <w:tcPr>
            <w:tcW w:type="dxa" w:w="456"/>
            <w:tcBorders>
              <w:top w:val="single" w:color="000000" w:sz="4"/>
              <w:left w:val="single" w:color="000000" w:sz="4"/>
              <w:bottom w:val="single" w:color="000000" w:sz="4"/>
              <w:right w:val="single" w:color="000000" w:sz="4"/>
            </w:tcBorders>
            <w:vAlign w:val="top"/>
          </w:tcPr>
          <w:p>
            <w:pPr>
              <w:jc w:val="center"/>
            </w:pPr>
            <w:r>
              <w:rPr>
                <w:b/>
                <w:sz w:val="18"/>
              </w:rPr>
              <w:t>质量指标</w:t>
            </w:r>
          </w:p>
        </w:tc>
        <w:tc>
          <w:tcPr>
            <w:tcW w:type="dxa" w:w="1179"/>
            <w:tcBorders>
              <w:top w:val="single" w:color="000000" w:sz="4"/>
              <w:left w:val="single" w:color="000000" w:sz="4"/>
              <w:bottom w:val="single" w:color="000000" w:sz="4"/>
              <w:right w:val="single" w:color="000000" w:sz="4"/>
            </w:tcBorders>
            <w:vAlign w:val="top"/>
          </w:tcPr>
          <w:p>
            <w:pPr>
              <w:jc w:val="both"/>
            </w:pPr>
            <w:r>
              <w:rPr>
                <w:b/>
                <w:sz w:val="18"/>
              </w:rPr>
              <w:t>实施细则</w:t>
            </w:r>
          </w:p>
        </w:tc>
        <w:tc>
          <w:tcPr>
            <w:tcW w:type="dxa" w:w="996"/>
            <w:tcBorders>
              <w:top w:val="single" w:color="000000" w:sz="4"/>
              <w:left w:val="single" w:color="000000" w:sz="4"/>
              <w:bottom w:val="single" w:color="000000" w:sz="4"/>
              <w:right w:val="single" w:color="000000" w:sz="4"/>
            </w:tcBorders>
            <w:vAlign w:val="top"/>
          </w:tcPr>
          <w:p>
            <w:pPr>
              <w:jc w:val="both"/>
            </w:pPr>
            <w:r>
              <w:rPr>
                <w:b/>
                <w:sz w:val="18"/>
              </w:rPr>
              <w:t>评分细则</w:t>
            </w:r>
          </w:p>
        </w:tc>
        <w:tc>
          <w:tcPr>
            <w:tcW w:type="dxa" w:w="1212"/>
            <w:tcBorders>
              <w:top w:val="single" w:color="000000" w:sz="4"/>
              <w:left w:val="single" w:color="000000" w:sz="4"/>
              <w:bottom w:val="single" w:color="000000" w:sz="4"/>
              <w:right w:val="single" w:color="000000" w:sz="4"/>
            </w:tcBorders>
            <w:vAlign w:val="top"/>
          </w:tcPr>
          <w:p>
            <w:pPr>
              <w:jc w:val="both"/>
            </w:pPr>
            <w:r>
              <w:rPr>
                <w:b/>
                <w:sz w:val="18"/>
              </w:rPr>
              <w:t>考核成绩</w:t>
            </w:r>
          </w:p>
        </w:tc>
      </w:tr>
      <w:tr>
        <w:tc>
          <w:tcPr>
            <w:tcW w:type="dxa" w:w="249"/>
            <w:vMerge w:val="restart"/>
            <w:tcBorders>
              <w:top w:val="none" w:color="000000" w:sz="4"/>
              <w:left w:val="single" w:color="000000" w:sz="4"/>
              <w:bottom w:val="single" w:color="000000" w:sz="4"/>
              <w:right w:val="single" w:color="000000" w:sz="4"/>
            </w:tcBorders>
            <w:vAlign w:val="top"/>
          </w:tcPr>
          <w:p>
            <w:pPr>
              <w:jc w:val="center"/>
            </w:pPr>
            <w:r>
              <w:rPr>
                <w:sz w:val="18"/>
              </w:rPr>
              <w:t>四</w:t>
            </w:r>
          </w:p>
        </w:tc>
        <w:tc>
          <w:tcPr>
            <w:tcW w:type="dxa" w:w="456"/>
            <w:vMerge w:val="restart"/>
            <w:tcBorders>
              <w:top w:val="none" w:color="000000" w:sz="4"/>
              <w:left w:val="single" w:color="000000" w:sz="4"/>
              <w:bottom w:val="single" w:color="000000" w:sz="4"/>
              <w:right w:val="single" w:color="000000" w:sz="4"/>
            </w:tcBorders>
            <w:vAlign w:val="top"/>
          </w:tcPr>
          <w:p>
            <w:pPr>
              <w:jc w:val="center"/>
            </w:pPr>
            <w:r>
              <w:rPr>
                <w:sz w:val="18"/>
              </w:rPr>
              <w:t>售</w:t>
            </w:r>
          </w:p>
          <w:p>
            <w:pPr>
              <w:jc w:val="center"/>
            </w:pPr>
            <w:r>
              <w:rPr>
                <w:sz w:val="18"/>
              </w:rPr>
              <w:t>票</w:t>
            </w:r>
          </w:p>
          <w:p>
            <w:pPr>
              <w:jc w:val="center"/>
            </w:pPr>
            <w:r>
              <w:rPr>
                <w:sz w:val="18"/>
              </w:rPr>
              <w:t>服</w:t>
            </w:r>
          </w:p>
          <w:p>
            <w:pPr>
              <w:jc w:val="center"/>
            </w:pPr>
            <w:r>
              <w:rPr>
                <w:sz w:val="18"/>
              </w:rPr>
              <w:t>务</w:t>
            </w:r>
          </w:p>
          <w:p>
            <w:pPr>
              <w:jc w:val="center"/>
            </w:pPr>
            <w:r>
              <w:rPr>
                <w:sz w:val="18"/>
              </w:rPr>
              <w:t>管</w:t>
            </w:r>
          </w:p>
          <w:p>
            <w:pPr>
              <w:jc w:val="center"/>
            </w:pPr>
            <w:r>
              <w:rPr>
                <w:sz w:val="18"/>
              </w:rPr>
              <w:t>理</w:t>
            </w:r>
          </w:p>
        </w:tc>
        <w:tc>
          <w:tcPr>
            <w:tcW w:type="dxa" w:w="456"/>
            <w:vMerge w:val="restart"/>
            <w:tcBorders>
              <w:top w:val="none" w:color="000000" w:sz="4"/>
              <w:left w:val="single" w:color="000000" w:sz="4"/>
              <w:bottom w:val="single" w:color="000000" w:sz="4"/>
              <w:right w:val="single" w:color="000000" w:sz="4"/>
            </w:tcBorders>
            <w:vAlign w:val="top"/>
          </w:tcPr>
          <w:p>
            <w:pPr>
              <w:jc w:val="center"/>
            </w:pPr>
            <w:r>
              <w:rPr>
                <w:sz w:val="18"/>
              </w:rPr>
              <w:t>售票服务工作</w:t>
            </w:r>
            <w:r>
              <w:rPr>
                <w:sz w:val="18"/>
              </w:rPr>
              <w:t>100%符合</w:t>
            </w:r>
          </w:p>
          <w:p>
            <w:pPr>
              <w:jc w:val="center"/>
            </w:pPr>
            <w:r>
              <w:rPr>
                <w:sz w:val="18"/>
              </w:rPr>
              <w:t>用户需求</w:t>
            </w:r>
          </w:p>
          <w:p>
            <w:pPr>
              <w:jc w:val="center"/>
            </w:pPr>
          </w:p>
        </w:tc>
        <w:tc>
          <w:tcPr>
            <w:tcW w:type="dxa" w:w="1179"/>
            <w:tcBorders>
              <w:top w:val="none" w:color="000000" w:sz="4"/>
              <w:left w:val="single" w:color="000000" w:sz="4"/>
              <w:bottom w:val="single" w:color="000000" w:sz="4"/>
              <w:right w:val="single" w:color="000000" w:sz="4"/>
            </w:tcBorders>
            <w:vAlign w:val="top"/>
          </w:tcPr>
          <w:p>
            <w:pPr>
              <w:jc w:val="both"/>
            </w:pPr>
            <w:r>
              <w:rPr>
                <w:sz w:val="18"/>
              </w:rPr>
              <w:t>1、售票工作要求：</w:t>
            </w:r>
          </w:p>
          <w:p>
            <w:pPr>
              <w:jc w:val="both"/>
            </w:pPr>
            <w:r>
              <w:rPr>
                <w:sz w:val="18"/>
              </w:rPr>
              <w:t>1）售票服务员须熟悉业务流程及售票系统操作规程</w:t>
            </w:r>
          </w:p>
          <w:p>
            <w:pPr>
              <w:jc w:val="both"/>
            </w:pPr>
            <w:r>
              <w:rPr>
                <w:sz w:val="18"/>
              </w:rPr>
              <w:t>2）工作记录和交接工作要求清楚、准确；</w:t>
            </w:r>
          </w:p>
          <w:p>
            <w:pPr>
              <w:jc w:val="both"/>
            </w:pPr>
            <w:r>
              <w:rPr>
                <w:sz w:val="18"/>
              </w:rPr>
              <w:t>3）售票服务需要熟悉演出信息、优惠、座位划分、票价等情况，每月进行一次演出资料考核。</w:t>
            </w:r>
          </w:p>
          <w:p>
            <w:pPr>
              <w:jc w:val="both"/>
            </w:pPr>
            <w:r>
              <w:rPr>
                <w:sz w:val="18"/>
              </w:rPr>
              <w:t>4）做好公益活动门票发放工作。</w:t>
            </w:r>
          </w:p>
        </w:tc>
        <w:tc>
          <w:tcPr>
            <w:tcW w:type="dxa" w:w="996"/>
            <w:vMerge w:val="restart"/>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0.5分。</w:t>
            </w:r>
          </w:p>
          <w:p>
            <w:pPr>
              <w:jc w:val="both"/>
            </w:pPr>
          </w:p>
        </w:tc>
        <w:tc>
          <w:tcPr>
            <w:tcW w:type="dxa" w:w="1212"/>
            <w:tcBorders>
              <w:top w:val="none" w:color="000000" w:sz="4"/>
              <w:left w:val="single" w:color="000000" w:sz="4"/>
              <w:bottom w:val="single" w:color="000000" w:sz="4"/>
              <w:right w:val="single" w:color="000000" w:sz="4"/>
            </w:tcBorders>
            <w:vAlign w:val="top"/>
          </w:tcPr>
          <w:p>
            <w:pPr>
              <w:jc w:val="both"/>
            </w:pPr>
          </w:p>
        </w:tc>
      </w:tr>
      <w:tr>
        <w:tc>
          <w:tcPr>
            <w:tcW w:type="dxa" w:w="249"/>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vAlign w:val="top"/>
          </w:tcPr>
          <w:p>
            <w:pPr>
              <w:jc w:val="both"/>
            </w:pPr>
            <w:r>
              <w:rPr>
                <w:sz w:val="18"/>
              </w:rPr>
              <w:t>2、票据、票款及用品管理：</w:t>
            </w:r>
          </w:p>
          <w:p>
            <w:pPr>
              <w:jc w:val="both"/>
            </w:pPr>
            <w:r>
              <w:rPr>
                <w:sz w:val="18"/>
              </w:rPr>
              <w:t>1）售票服务员须妥善保管票据、款项和资料；</w:t>
            </w:r>
          </w:p>
          <w:p>
            <w:pPr>
              <w:jc w:val="both"/>
            </w:pPr>
            <w:r>
              <w:rPr>
                <w:sz w:val="18"/>
              </w:rPr>
              <w:t>2）设备、用品、空白票据必须正确使用，防止非正常损耗；</w:t>
            </w:r>
          </w:p>
          <w:p>
            <w:pPr>
              <w:jc w:val="both"/>
            </w:pPr>
            <w:r>
              <w:rPr>
                <w:sz w:val="18"/>
              </w:rPr>
              <w:t>3）票款及时向甲方上交，不得挪作它用；</w:t>
            </w:r>
          </w:p>
        </w:tc>
        <w:tc>
          <w:tcPr>
            <w:tcW w:type="dxa" w:w="996"/>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vAlign w:val="top"/>
          </w:tcPr>
          <w:p>
            <w:pPr>
              <w:jc w:val="both"/>
            </w:pPr>
          </w:p>
        </w:tc>
      </w:tr>
      <w:tr>
        <w:tc>
          <w:tcPr>
            <w:tcW w:type="dxa" w:w="249"/>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1179"/>
            <w:tcBorders>
              <w:top w:val="none" w:color="000000" w:sz="4"/>
              <w:left w:val="single" w:color="000000" w:sz="4"/>
              <w:bottom w:val="single" w:color="000000" w:sz="4"/>
              <w:right w:val="single" w:color="000000" w:sz="4"/>
            </w:tcBorders>
            <w:vAlign w:val="top"/>
          </w:tcPr>
          <w:p>
            <w:pPr>
              <w:jc w:val="both"/>
            </w:pPr>
            <w:r>
              <w:rPr>
                <w:sz w:val="18"/>
              </w:rPr>
              <w:t>3、其他要求：</w:t>
            </w:r>
          </w:p>
          <w:p>
            <w:pPr>
              <w:jc w:val="both"/>
            </w:pPr>
            <w:r>
              <w:rPr>
                <w:sz w:val="18"/>
              </w:rPr>
              <w:t>1）因人为失误造成售票系统记录信息与实际存在不一致；</w:t>
            </w:r>
          </w:p>
          <w:p>
            <w:pPr>
              <w:jc w:val="both"/>
            </w:pPr>
            <w:r>
              <w:rPr>
                <w:sz w:val="18"/>
              </w:rPr>
              <w:t>2）售票员工作疏忽，使甲方门票收入有所损失的。</w:t>
            </w:r>
          </w:p>
          <w:p>
            <w:pPr>
              <w:jc w:val="both"/>
            </w:pPr>
            <w:r>
              <w:rPr>
                <w:sz w:val="18"/>
              </w:rPr>
              <w:t>3）售票厅值班人数符合用户需求要求。</w:t>
            </w:r>
          </w:p>
        </w:tc>
        <w:tc>
          <w:tcPr>
            <w:tcW w:type="dxa" w:w="996"/>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vAlign w:val="top"/>
          </w:tcPr>
          <w:p>
            <w:pPr>
              <w:jc w:val="both"/>
            </w:pPr>
          </w:p>
        </w:tc>
      </w:tr>
    </w:tbl>
    <w:p>
      <w:pPr>
        <w:jc w:val="both"/>
      </w:pPr>
    </w:p>
    <w:p>
      <w:pPr>
        <w:jc w:val="center"/>
      </w:pPr>
      <w:r>
        <w:rPr>
          <w:b/>
          <w:sz w:val="21"/>
        </w:rPr>
        <w:t>物业管理服务质量月度考核评分表（第五部分：设备维护管理）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32"/>
        <w:gridCol w:w="456"/>
        <w:gridCol w:w="456"/>
        <w:gridCol w:w="1096"/>
        <w:gridCol w:w="955"/>
        <w:gridCol w:w="1328"/>
      </w:tblGrid>
      <w:tr>
        <w:tc>
          <w:tcPr>
            <w:tcW w:type="dxa" w:w="232"/>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456"/>
            <w:tcBorders>
              <w:top w:val="single" w:color="000000" w:sz="4"/>
              <w:left w:val="single" w:color="000000" w:sz="4"/>
              <w:bottom w:val="single" w:color="000000" w:sz="4"/>
              <w:right w:val="single" w:color="000000" w:sz="4"/>
            </w:tcBorders>
            <w:vAlign w:val="top"/>
          </w:tcPr>
          <w:p>
            <w:pPr>
              <w:jc w:val="center"/>
            </w:pPr>
            <w:r>
              <w:rPr>
                <w:sz w:val="18"/>
              </w:rPr>
              <w:t>考评项目</w:t>
            </w:r>
          </w:p>
        </w:tc>
        <w:tc>
          <w:tcPr>
            <w:tcW w:type="dxa" w:w="456"/>
            <w:tcBorders>
              <w:top w:val="single" w:color="000000" w:sz="4"/>
              <w:left w:val="single" w:color="000000" w:sz="4"/>
              <w:bottom w:val="single" w:color="000000" w:sz="4"/>
              <w:right w:val="single" w:color="000000" w:sz="4"/>
            </w:tcBorders>
            <w:vAlign w:val="top"/>
          </w:tcPr>
          <w:p>
            <w:pPr>
              <w:jc w:val="center"/>
            </w:pPr>
            <w:r>
              <w:rPr>
                <w:sz w:val="18"/>
              </w:rPr>
              <w:t>质量指标</w:t>
            </w:r>
          </w:p>
        </w:tc>
        <w:tc>
          <w:tcPr>
            <w:tcW w:type="dxa" w:w="1096"/>
            <w:tcBorders>
              <w:top w:val="single" w:color="000000" w:sz="4"/>
              <w:left w:val="single" w:color="000000" w:sz="4"/>
              <w:bottom w:val="single" w:color="000000" w:sz="4"/>
              <w:right w:val="single" w:color="000000" w:sz="4"/>
            </w:tcBorders>
            <w:vAlign w:val="top"/>
          </w:tcPr>
          <w:p>
            <w:pPr>
              <w:jc w:val="both"/>
            </w:pPr>
            <w:r>
              <w:rPr>
                <w:sz w:val="18"/>
              </w:rPr>
              <w:t>实施细则</w:t>
            </w:r>
          </w:p>
        </w:tc>
        <w:tc>
          <w:tcPr>
            <w:tcW w:type="dxa" w:w="955"/>
            <w:tcBorders>
              <w:top w:val="single" w:color="000000" w:sz="4"/>
              <w:left w:val="single" w:color="000000" w:sz="4"/>
              <w:bottom w:val="single" w:color="000000" w:sz="4"/>
              <w:right w:val="single" w:color="000000" w:sz="4"/>
            </w:tcBorders>
            <w:vAlign w:val="top"/>
          </w:tcPr>
          <w:p>
            <w:pPr>
              <w:jc w:val="both"/>
            </w:pPr>
            <w:r>
              <w:rPr>
                <w:sz w:val="18"/>
              </w:rPr>
              <w:t>评分细则</w:t>
            </w:r>
          </w:p>
        </w:tc>
        <w:tc>
          <w:tcPr>
            <w:tcW w:type="dxa" w:w="1328"/>
            <w:tcBorders>
              <w:top w:val="single" w:color="000000" w:sz="4"/>
              <w:left w:val="single" w:color="000000" w:sz="4"/>
              <w:bottom w:val="single" w:color="000000" w:sz="4"/>
              <w:right w:val="single" w:color="000000" w:sz="4"/>
            </w:tcBorders>
            <w:vAlign w:val="top"/>
          </w:tcPr>
          <w:p>
            <w:pPr>
              <w:jc w:val="both"/>
            </w:pPr>
            <w:r>
              <w:rPr>
                <w:sz w:val="18"/>
              </w:rPr>
              <w:t>考核成绩</w:t>
            </w:r>
          </w:p>
        </w:tc>
      </w:tr>
      <w:tr>
        <w:tc>
          <w:tcPr>
            <w:tcW w:type="dxa" w:w="232"/>
            <w:vMerge w:val="restart"/>
            <w:tcBorders>
              <w:top w:val="none" w:color="000000" w:sz="4"/>
              <w:left w:val="single" w:color="000000" w:sz="4"/>
              <w:bottom w:val="single" w:color="000000" w:sz="4"/>
              <w:right w:val="single" w:color="000000" w:sz="4"/>
            </w:tcBorders>
            <w:vAlign w:val="top"/>
          </w:tcPr>
          <w:p>
            <w:pPr>
              <w:jc w:val="center"/>
            </w:pPr>
            <w:r>
              <w:rPr>
                <w:sz w:val="18"/>
              </w:rPr>
              <w:t>五</w:t>
            </w:r>
          </w:p>
        </w:tc>
        <w:tc>
          <w:tcPr>
            <w:tcW w:type="dxa" w:w="456"/>
            <w:vMerge w:val="restart"/>
            <w:tcBorders>
              <w:top w:val="none" w:color="000000" w:sz="4"/>
              <w:left w:val="single" w:color="000000" w:sz="4"/>
              <w:bottom w:val="single" w:color="000000" w:sz="4"/>
              <w:right w:val="single" w:color="000000" w:sz="4"/>
            </w:tcBorders>
            <w:vAlign w:val="top"/>
          </w:tcPr>
          <w:p>
            <w:pPr>
              <w:jc w:val="center"/>
            </w:pPr>
            <w:r>
              <w:rPr>
                <w:sz w:val="18"/>
              </w:rPr>
              <w:t>设</w:t>
            </w:r>
          </w:p>
          <w:p>
            <w:pPr>
              <w:jc w:val="center"/>
            </w:pPr>
            <w:r>
              <w:rPr>
                <w:sz w:val="18"/>
              </w:rPr>
              <w:t>备</w:t>
            </w:r>
          </w:p>
          <w:p>
            <w:pPr>
              <w:jc w:val="center"/>
            </w:pPr>
            <w:r>
              <w:rPr>
                <w:sz w:val="18"/>
              </w:rPr>
              <w:t>维</w:t>
            </w:r>
          </w:p>
          <w:p>
            <w:pPr>
              <w:jc w:val="center"/>
            </w:pPr>
            <w:r>
              <w:rPr>
                <w:sz w:val="18"/>
              </w:rPr>
              <w:t>护</w:t>
            </w:r>
          </w:p>
          <w:p>
            <w:pPr>
              <w:jc w:val="center"/>
            </w:pPr>
            <w:r>
              <w:rPr>
                <w:sz w:val="18"/>
              </w:rPr>
              <w:t>管</w:t>
            </w:r>
          </w:p>
          <w:p>
            <w:pPr>
              <w:jc w:val="center"/>
            </w:pPr>
            <w:r>
              <w:rPr>
                <w:sz w:val="18"/>
              </w:rPr>
              <w:t>理</w:t>
            </w:r>
          </w:p>
        </w:tc>
        <w:tc>
          <w:tcPr>
            <w:tcW w:type="dxa" w:w="456"/>
            <w:vMerge w:val="restart"/>
            <w:tcBorders>
              <w:top w:val="none" w:color="000000" w:sz="4"/>
              <w:left w:val="single" w:color="000000" w:sz="4"/>
              <w:bottom w:val="single" w:color="000000" w:sz="4"/>
              <w:right w:val="single" w:color="000000" w:sz="4"/>
            </w:tcBorders>
            <w:vAlign w:val="top"/>
          </w:tcPr>
          <w:p>
            <w:pPr>
              <w:jc w:val="center"/>
            </w:pPr>
            <w:r>
              <w:rPr>
                <w:sz w:val="18"/>
              </w:rPr>
              <w:t>设备维护部门工作</w:t>
            </w:r>
            <w:r>
              <w:rPr>
                <w:sz w:val="18"/>
              </w:rPr>
              <w:t>100%符合用户需求</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1、操作人员要求：</w:t>
            </w:r>
          </w:p>
          <w:p>
            <w:pPr>
              <w:jc w:val="both"/>
            </w:pPr>
            <w:r>
              <w:rPr>
                <w:sz w:val="18"/>
              </w:rPr>
              <w:t>1）工作人员按照操作规程操作设备设施，防止人为损坏设备，或因操作不慎导致大面积停电（一个楼层）；</w:t>
            </w:r>
          </w:p>
          <w:p>
            <w:pPr>
              <w:jc w:val="both"/>
            </w:pPr>
            <w:r>
              <w:rPr>
                <w:sz w:val="18"/>
              </w:rPr>
              <w:t>2）造成设备损毁或人员伤亡等重大责任事故的；</w:t>
            </w:r>
          </w:p>
        </w:tc>
        <w:tc>
          <w:tcPr>
            <w:tcW w:type="dxa" w:w="955"/>
            <w:tcBorders>
              <w:top w:val="none" w:color="000000" w:sz="4"/>
              <w:left w:val="single" w:color="000000" w:sz="4"/>
              <w:bottom w:val="single" w:color="000000" w:sz="4"/>
              <w:right w:val="single" w:color="000000" w:sz="4"/>
            </w:tcBorders>
            <w:vAlign w:val="top"/>
          </w:tcPr>
          <w:p>
            <w:pPr>
              <w:jc w:val="both"/>
            </w:pPr>
            <w:r>
              <w:rPr>
                <w:sz w:val="18"/>
              </w:rPr>
              <w:t>造成大面积停电发生一宗扣</w:t>
            </w:r>
            <w:r>
              <w:rPr>
                <w:sz w:val="18"/>
              </w:rPr>
              <w:t>1分；</w:t>
            </w:r>
          </w:p>
          <w:p>
            <w:pPr>
              <w:jc w:val="both"/>
            </w:pPr>
            <w:r>
              <w:rPr>
                <w:sz w:val="18"/>
              </w:rPr>
              <w:t>重大责任事故发生一宗扣</w:t>
            </w:r>
            <w:r>
              <w:rPr>
                <w:sz w:val="18"/>
              </w:rPr>
              <w:t>4分；</w:t>
            </w:r>
          </w:p>
          <w:p>
            <w:pPr>
              <w:jc w:val="both"/>
            </w:pPr>
            <w:r>
              <w:rPr>
                <w:sz w:val="18"/>
              </w:rPr>
              <w:t>人为损坏设备每发现一宗扣一次</w:t>
            </w:r>
            <w:r>
              <w:rPr>
                <w:sz w:val="18"/>
              </w:rPr>
              <w:t>2分。</w:t>
            </w: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vAlign w:val="top"/>
          </w:tcPr>
          <w:p>
            <w:pPr>
              <w:jc w:val="both"/>
            </w:pPr>
            <w:r>
              <w:rPr>
                <w:sz w:val="18"/>
              </w:rPr>
              <w:t>2、制度要求：</w:t>
            </w:r>
          </w:p>
          <w:p>
            <w:pPr>
              <w:jc w:val="both"/>
            </w:pPr>
            <w:r>
              <w:rPr>
                <w:sz w:val="18"/>
              </w:rPr>
              <w:t>所有设备间、配电间、</w:t>
            </w:r>
            <w:r>
              <w:rPr>
                <w:sz w:val="18"/>
              </w:rPr>
              <w:t>维修维护部</w:t>
            </w:r>
            <w:r>
              <w:rPr>
                <w:sz w:val="18"/>
              </w:rPr>
              <w:t>必须有工作制度和工程人员岗位职责以及各项目工作规程和应急处理预案。</w:t>
            </w:r>
          </w:p>
        </w:tc>
        <w:tc>
          <w:tcPr>
            <w:tcW w:type="dxa" w:w="955"/>
            <w:tcBorders>
              <w:top w:val="none" w:color="000000" w:sz="4"/>
              <w:left w:val="single" w:color="000000" w:sz="4"/>
              <w:bottom w:val="single" w:color="000000" w:sz="4"/>
              <w:right w:val="single" w:color="000000" w:sz="4"/>
            </w:tcBorders>
            <w:vAlign w:val="top"/>
          </w:tcPr>
          <w:p>
            <w:pPr>
              <w:jc w:val="both"/>
            </w:pPr>
            <w:r>
              <w:rPr>
                <w:sz w:val="18"/>
              </w:rPr>
              <w:t>抽查</w:t>
            </w:r>
            <w:r>
              <w:rPr>
                <w:sz w:val="18"/>
              </w:rPr>
              <w:t>1-2个设备间，每缺一项扣0.5分。</w:t>
            </w: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vAlign w:val="top"/>
          </w:tcPr>
          <w:p>
            <w:pPr>
              <w:jc w:val="both"/>
            </w:pPr>
            <w:r>
              <w:rPr>
                <w:sz w:val="18"/>
              </w:rPr>
              <w:t>3、值班人员要求：</w:t>
            </w:r>
          </w:p>
          <w:p>
            <w:pPr>
              <w:jc w:val="both"/>
            </w:pPr>
            <w:r>
              <w:rPr>
                <w:sz w:val="18"/>
              </w:rPr>
              <w:t>1）落实重要设备值班制度，安排足够人员值守（参与抢修情况除外）；</w:t>
            </w:r>
          </w:p>
          <w:p>
            <w:pPr>
              <w:jc w:val="both"/>
            </w:pPr>
            <w:r>
              <w:rPr>
                <w:sz w:val="18"/>
              </w:rPr>
              <w:t>2）做好设备运行记录；</w:t>
            </w:r>
          </w:p>
          <w:p>
            <w:pPr>
              <w:jc w:val="both"/>
            </w:pPr>
            <w:r>
              <w:rPr>
                <w:sz w:val="18"/>
              </w:rPr>
              <w:t>3）按要求开启照明、景观水池、空调、电梯、给排水系统、发电机配电系统。</w:t>
            </w:r>
          </w:p>
          <w:p>
            <w:pPr>
              <w:jc w:val="both"/>
            </w:pPr>
            <w:r>
              <w:rPr>
                <w:sz w:val="18"/>
              </w:rPr>
              <w:t>4）值班人员不得玩忽职守，值班期间不得做与岗位无关的事。</w:t>
            </w:r>
          </w:p>
        </w:tc>
        <w:tc>
          <w:tcPr>
            <w:tcW w:type="dxa" w:w="955"/>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0.5分。</w:t>
            </w: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vMerge w:val="restart"/>
            <w:tcBorders>
              <w:top w:val="none" w:color="000000" w:sz="4"/>
              <w:left w:val="single" w:color="000000" w:sz="4"/>
              <w:bottom w:val="single" w:color="000000" w:sz="4"/>
              <w:right w:val="single" w:color="000000" w:sz="4"/>
            </w:tcBorders>
            <w:vAlign w:val="top"/>
          </w:tcPr>
          <w:p>
            <w:pPr>
              <w:jc w:val="center"/>
            </w:pPr>
            <w:r>
              <w:rPr>
                <w:sz w:val="18"/>
              </w:rPr>
              <w:t>维修保养质量、维修时效性</w:t>
            </w:r>
            <w:r>
              <w:rPr>
                <w:sz w:val="18"/>
              </w:rPr>
              <w:t>100%符合用户需求。</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4、设备设施维护保养：</w:t>
            </w:r>
          </w:p>
          <w:p>
            <w:pPr>
              <w:jc w:val="both"/>
            </w:pPr>
            <w:r>
              <w:rPr>
                <w:sz w:val="18"/>
              </w:rPr>
              <w:t>1）供配电、消防控制、弱电系统等项目按合同规定，必须实行定期维修、保养（施工方维保期除外）。</w:t>
            </w:r>
          </w:p>
          <w:p>
            <w:pPr>
              <w:jc w:val="both"/>
            </w:pPr>
            <w:r>
              <w:rPr>
                <w:sz w:val="18"/>
              </w:rPr>
              <w:t>2）维保工作做好记录。</w:t>
            </w:r>
          </w:p>
        </w:tc>
        <w:tc>
          <w:tcPr>
            <w:tcW w:type="dxa" w:w="955"/>
            <w:vMerge w:val="restart"/>
            <w:tcBorders>
              <w:top w:val="none" w:color="000000" w:sz="4"/>
              <w:left w:val="single" w:color="000000" w:sz="4"/>
              <w:bottom w:val="single" w:color="000000" w:sz="4"/>
              <w:right w:val="single" w:color="000000" w:sz="4"/>
            </w:tcBorders>
            <w:vAlign w:val="top"/>
          </w:tcPr>
          <w:p>
            <w:pPr>
              <w:jc w:val="both"/>
            </w:pPr>
            <w:r>
              <w:rPr>
                <w:sz w:val="18"/>
              </w:rPr>
              <w:t>1、维修、保养不符合要求，每发现一次扣0.5分；保养无记录</w:t>
            </w:r>
            <w:r>
              <w:rPr>
                <w:sz w:val="18"/>
              </w:rPr>
              <w:t>每次</w:t>
            </w:r>
            <w:r>
              <w:rPr>
                <w:sz w:val="18"/>
              </w:rPr>
              <w:t>扣</w:t>
            </w:r>
            <w:r>
              <w:rPr>
                <w:sz w:val="18"/>
              </w:rPr>
              <w:t>1分；年度保养无计划、无实施，每项扣2分。</w:t>
            </w:r>
          </w:p>
          <w:p>
            <w:pPr>
              <w:jc w:val="both"/>
            </w:pPr>
            <w:r>
              <w:rPr>
                <w:sz w:val="18"/>
              </w:rPr>
              <w:t>2、发现问题不及时报告，拖延维修，每次扣2分。</w:t>
            </w: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vAlign w:val="top"/>
          </w:tcPr>
          <w:p>
            <w:pPr>
              <w:jc w:val="both"/>
            </w:pPr>
            <w:r>
              <w:rPr>
                <w:sz w:val="18"/>
              </w:rPr>
              <w:t>5、维修、保养质量：</w:t>
            </w:r>
          </w:p>
          <w:p>
            <w:pPr>
              <w:jc w:val="both"/>
            </w:pPr>
            <w:r>
              <w:rPr>
                <w:sz w:val="18"/>
              </w:rPr>
              <w:t>1）因工程和设备质量出现问题，影响正常使用，而发现问题不及时或未报告的。</w:t>
            </w:r>
          </w:p>
          <w:p>
            <w:pPr>
              <w:jc w:val="both"/>
            </w:pPr>
            <w:r>
              <w:rPr>
                <w:sz w:val="18"/>
              </w:rPr>
              <w:t>2）因对设备保养不到位或保养失误，导致设备丧失功能和影响使用年限的；</w:t>
            </w:r>
          </w:p>
          <w:p>
            <w:pPr>
              <w:jc w:val="both"/>
            </w:pPr>
            <w:r>
              <w:rPr>
                <w:sz w:val="18"/>
              </w:rPr>
              <w:t>3）不能按质完成设备设施维修；</w:t>
            </w:r>
          </w:p>
        </w:tc>
        <w:tc>
          <w:tcPr>
            <w:tcW w:type="dxa" w:w="955"/>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vAlign w:val="top"/>
          </w:tcPr>
          <w:p>
            <w:pPr>
              <w:jc w:val="both"/>
            </w:pPr>
            <w:r>
              <w:rPr>
                <w:sz w:val="18"/>
              </w:rPr>
              <w:t>6、报修处理：</w:t>
            </w:r>
          </w:p>
          <w:p>
            <w:pPr>
              <w:jc w:val="both"/>
            </w:pPr>
            <w:r>
              <w:rPr>
                <w:sz w:val="18"/>
              </w:rPr>
              <w:t>1）处理报修及时，水、电等重要项目报修30分钟内到现场处置；</w:t>
            </w:r>
          </w:p>
          <w:p>
            <w:pPr>
              <w:jc w:val="both"/>
            </w:pPr>
            <w:r>
              <w:rPr>
                <w:sz w:val="18"/>
              </w:rPr>
              <w:t>2）特殊情况可向甲方申请延期维修；</w:t>
            </w:r>
          </w:p>
        </w:tc>
        <w:tc>
          <w:tcPr>
            <w:tcW w:type="dxa" w:w="955"/>
            <w:vMerge/>
            <w:tcBorders>
              <w:top w:val="none" w:color="000000" w:sz="4"/>
              <w:left w:val="single" w:color="000000" w:sz="4"/>
              <w:bottom w:val="single" w:color="000000" w:sz="4"/>
              <w:right w:val="single" w:color="000000" w:sz="4"/>
            </w:tcBorders>
          </w:tcP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18"/>
              </w:rPr>
              <w:t>外来单位监督管理</w:t>
            </w:r>
            <w:r>
              <w:rPr>
                <w:sz w:val="18"/>
              </w:rPr>
              <w:t>100%符合用户需求</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7、外来单位监督管理：</w:t>
            </w:r>
          </w:p>
          <w:p>
            <w:pPr>
              <w:jc w:val="both"/>
            </w:pPr>
            <w:r>
              <w:rPr>
                <w:sz w:val="18"/>
              </w:rPr>
              <w:t>1）跟进外来单位工作，明确外来单位工作内容，协助办好施工申请并提交甲方审核；</w:t>
            </w:r>
          </w:p>
          <w:p>
            <w:pPr>
              <w:jc w:val="both"/>
            </w:pPr>
            <w:r>
              <w:rPr>
                <w:sz w:val="18"/>
              </w:rPr>
              <w:t>2）做好安全管理，确保用电、用水、动火安全；</w:t>
            </w:r>
          </w:p>
          <w:p>
            <w:pPr>
              <w:jc w:val="both"/>
            </w:pPr>
            <w:r>
              <w:rPr>
                <w:sz w:val="18"/>
              </w:rPr>
              <w:t>3）完善管理记录，记录填写要求清晰、准确。</w:t>
            </w:r>
          </w:p>
          <w:p>
            <w:pPr>
              <w:jc w:val="both"/>
            </w:pPr>
            <w:r>
              <w:rPr>
                <w:sz w:val="18"/>
              </w:rPr>
              <w:t>4）监督施工施工，防止因施工影响中心的正常运作。</w:t>
            </w:r>
          </w:p>
        </w:tc>
        <w:tc>
          <w:tcPr>
            <w:tcW w:type="dxa" w:w="955"/>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0.5分。</w:t>
            </w: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18"/>
              </w:rPr>
              <w:t>设备使用</w:t>
            </w:r>
            <w:r>
              <w:rPr>
                <w:sz w:val="18"/>
              </w:rPr>
              <w:t>100%</w:t>
            </w:r>
          </w:p>
          <w:p>
            <w:pPr>
              <w:jc w:val="center"/>
            </w:pPr>
            <w:r>
              <w:rPr>
                <w:sz w:val="18"/>
              </w:rPr>
              <w:t>符合国家法律、法规及行业标准要求。</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按规定办理中心设备设施的年审工作。</w:t>
            </w:r>
          </w:p>
        </w:tc>
        <w:tc>
          <w:tcPr>
            <w:tcW w:type="dxa" w:w="955"/>
            <w:tcBorders>
              <w:top w:val="none" w:color="000000" w:sz="4"/>
              <w:left w:val="single" w:color="000000" w:sz="4"/>
              <w:bottom w:val="single" w:color="000000" w:sz="4"/>
              <w:right w:val="single" w:color="000000" w:sz="4"/>
            </w:tcBorders>
            <w:vAlign w:val="top"/>
          </w:tcPr>
          <w:p>
            <w:pPr>
              <w:jc w:val="both"/>
            </w:pPr>
            <w:r>
              <w:rPr>
                <w:sz w:val="18"/>
              </w:rPr>
              <w:t>一项设备无证或运行不符合国家标准扣</w:t>
            </w:r>
            <w:r>
              <w:rPr>
                <w:sz w:val="18"/>
              </w:rPr>
              <w:t>1分。</w:t>
            </w:r>
          </w:p>
        </w:tc>
        <w:tc>
          <w:tcPr>
            <w:tcW w:type="dxa" w:w="1328"/>
            <w:tcBorders>
              <w:top w:val="none" w:color="000000" w:sz="4"/>
              <w:left w:val="single" w:color="000000" w:sz="4"/>
              <w:bottom w:val="single" w:color="000000" w:sz="4"/>
              <w:right w:val="single" w:color="000000" w:sz="4"/>
            </w:tcBorders>
            <w:vAlign w:val="top"/>
          </w:tcPr>
          <w:p>
            <w:pPr>
              <w:jc w:val="both"/>
            </w:pPr>
          </w:p>
        </w:tc>
      </w:tr>
      <w:tr>
        <w:tc>
          <w:tcPr>
            <w:tcW w:type="dxa" w:w="232"/>
            <w:vMerge/>
            <w:tcBorders>
              <w:top w:val="none" w:color="000000" w:sz="4"/>
              <w:left w:val="single" w:color="000000" w:sz="4"/>
              <w:bottom w:val="single" w:color="000000" w:sz="4"/>
              <w:right w:val="single" w:color="000000" w:sz="4"/>
            </w:tcBorders>
          </w:tcPr>
          <w:p/>
        </w:tc>
        <w:tc>
          <w:tcPr>
            <w:tcW w:type="dxa" w:w="456"/>
            <w:vMerge/>
            <w:tcBorders>
              <w:top w:val="none" w:color="000000" w:sz="4"/>
              <w:left w:val="single" w:color="000000" w:sz="4"/>
              <w:bottom w:val="single" w:color="000000" w:sz="4"/>
              <w:right w:val="single" w:color="000000" w:sz="4"/>
            </w:tcBorders>
          </w:tcPr>
          <w:p/>
        </w:tc>
        <w:tc>
          <w:tcPr>
            <w:tcW w:type="dxa" w:w="456"/>
            <w:tcBorders>
              <w:top w:val="none" w:color="000000" w:sz="4"/>
              <w:left w:val="single" w:color="000000" w:sz="4"/>
              <w:bottom w:val="single" w:color="000000" w:sz="4"/>
              <w:right w:val="single" w:color="000000" w:sz="4"/>
            </w:tcBorders>
            <w:vAlign w:val="top"/>
          </w:tcPr>
          <w:p>
            <w:pPr>
              <w:jc w:val="center"/>
            </w:pPr>
            <w:r>
              <w:rPr>
                <w:sz w:val="18"/>
              </w:rPr>
              <w:t>工作零失误</w:t>
            </w:r>
          </w:p>
        </w:tc>
        <w:tc>
          <w:tcPr>
            <w:tcW w:type="dxa" w:w="1096"/>
            <w:tcBorders>
              <w:top w:val="none" w:color="000000" w:sz="4"/>
              <w:left w:val="single" w:color="000000" w:sz="4"/>
              <w:bottom w:val="single" w:color="000000" w:sz="4"/>
              <w:right w:val="single" w:color="000000" w:sz="4"/>
            </w:tcBorders>
            <w:vAlign w:val="top"/>
          </w:tcPr>
          <w:p>
            <w:pPr>
              <w:jc w:val="both"/>
            </w:pPr>
            <w:r>
              <w:rPr>
                <w:sz w:val="18"/>
              </w:rPr>
              <w:t>9、其他要求：</w:t>
            </w:r>
          </w:p>
          <w:p>
            <w:pPr>
              <w:jc w:val="both"/>
            </w:pPr>
            <w:r>
              <w:rPr>
                <w:sz w:val="18"/>
              </w:rPr>
              <w:t>办公区发生溢水现象和人为断电现象或其他严重影响办公环境的情况。</w:t>
            </w:r>
          </w:p>
        </w:tc>
        <w:tc>
          <w:tcPr>
            <w:tcW w:type="dxa" w:w="955"/>
            <w:tcBorders>
              <w:top w:val="none" w:color="000000" w:sz="4"/>
              <w:left w:val="single" w:color="000000" w:sz="4"/>
              <w:bottom w:val="single" w:color="000000" w:sz="4"/>
              <w:right w:val="single" w:color="000000" w:sz="4"/>
            </w:tcBorders>
            <w:vAlign w:val="top"/>
          </w:tcPr>
          <w:p>
            <w:pPr>
              <w:jc w:val="both"/>
            </w:pPr>
            <w:r>
              <w:rPr>
                <w:sz w:val="18"/>
              </w:rPr>
              <w:t>1）每发现一次扣1分；</w:t>
            </w:r>
          </w:p>
          <w:p>
            <w:pPr>
              <w:jc w:val="both"/>
            </w:pPr>
            <w:r>
              <w:rPr>
                <w:sz w:val="18"/>
              </w:rPr>
              <w:t>2）导致经济损失的一次扣2分。</w:t>
            </w:r>
          </w:p>
        </w:tc>
        <w:tc>
          <w:tcPr>
            <w:tcW w:type="dxa" w:w="1328"/>
            <w:tcBorders>
              <w:top w:val="none" w:color="000000" w:sz="4"/>
              <w:left w:val="single" w:color="000000" w:sz="4"/>
              <w:bottom w:val="single" w:color="000000" w:sz="4"/>
              <w:right w:val="single" w:color="000000" w:sz="4"/>
            </w:tcBorders>
            <w:vAlign w:val="top"/>
          </w:tcPr>
          <w:p>
            <w:pPr>
              <w:jc w:val="both"/>
            </w:pPr>
          </w:p>
        </w:tc>
      </w:tr>
    </w:tbl>
    <w:p>
      <w:pPr>
        <w:jc w:val="center"/>
      </w:pPr>
    </w:p>
    <w:p>
      <w:pPr>
        <w:jc w:val="center"/>
      </w:pPr>
      <w:r>
        <w:rPr>
          <w:b/>
          <w:sz w:val="21"/>
        </w:rPr>
        <w:t>物业管理服务质量月度考核评分表（第六部分：环境卫生管理）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49"/>
        <w:gridCol w:w="406"/>
        <w:gridCol w:w="415"/>
        <w:gridCol w:w="1312"/>
        <w:gridCol w:w="1021"/>
        <w:gridCol w:w="1129"/>
      </w:tblGrid>
      <w:tr>
        <w:tc>
          <w:tcPr>
            <w:tcW w:type="dxa" w:w="249"/>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406"/>
            <w:tcBorders>
              <w:top w:val="single" w:color="000000" w:sz="4"/>
              <w:left w:val="single" w:color="000000" w:sz="4"/>
              <w:bottom w:val="single" w:color="000000" w:sz="4"/>
              <w:right w:val="single" w:color="000000" w:sz="4"/>
            </w:tcBorders>
            <w:vAlign w:val="top"/>
          </w:tcPr>
          <w:p>
            <w:pPr>
              <w:jc w:val="center"/>
            </w:pPr>
            <w:r>
              <w:rPr>
                <w:b/>
                <w:sz w:val="18"/>
              </w:rPr>
              <w:t>考评项目</w:t>
            </w:r>
          </w:p>
        </w:tc>
        <w:tc>
          <w:tcPr>
            <w:tcW w:type="dxa" w:w="415"/>
            <w:tcBorders>
              <w:top w:val="single" w:color="000000" w:sz="4"/>
              <w:left w:val="single" w:color="000000" w:sz="4"/>
              <w:bottom w:val="single" w:color="000000" w:sz="4"/>
              <w:right w:val="single" w:color="000000" w:sz="4"/>
            </w:tcBorders>
            <w:vAlign w:val="top"/>
          </w:tcPr>
          <w:p>
            <w:pPr>
              <w:jc w:val="center"/>
            </w:pPr>
            <w:r>
              <w:rPr>
                <w:b/>
                <w:sz w:val="18"/>
              </w:rPr>
              <w:t>质量指标</w:t>
            </w:r>
          </w:p>
        </w:tc>
        <w:tc>
          <w:tcPr>
            <w:tcW w:type="dxa" w:w="1312"/>
            <w:tcBorders>
              <w:top w:val="single" w:color="000000" w:sz="4"/>
              <w:left w:val="single" w:color="000000" w:sz="4"/>
              <w:bottom w:val="single" w:color="000000" w:sz="4"/>
              <w:right w:val="single" w:color="000000" w:sz="4"/>
            </w:tcBorders>
            <w:vAlign w:val="top"/>
          </w:tcPr>
          <w:p>
            <w:pPr>
              <w:jc w:val="center"/>
            </w:pPr>
            <w:r>
              <w:rPr>
                <w:b/>
                <w:sz w:val="18"/>
              </w:rPr>
              <w:t>实施细则</w:t>
            </w:r>
          </w:p>
        </w:tc>
        <w:tc>
          <w:tcPr>
            <w:tcW w:type="dxa" w:w="1021"/>
            <w:tcBorders>
              <w:top w:val="single" w:color="000000" w:sz="4"/>
              <w:left w:val="single" w:color="000000" w:sz="4"/>
              <w:bottom w:val="single" w:color="000000" w:sz="4"/>
              <w:right w:val="single" w:color="000000" w:sz="4"/>
            </w:tcBorders>
            <w:vAlign w:val="top"/>
          </w:tcPr>
          <w:p>
            <w:pPr>
              <w:jc w:val="center"/>
            </w:pPr>
            <w:r>
              <w:rPr>
                <w:b/>
                <w:sz w:val="18"/>
              </w:rPr>
              <w:t>评分细则</w:t>
            </w:r>
          </w:p>
        </w:tc>
        <w:tc>
          <w:tcPr>
            <w:tcW w:type="dxa" w:w="1129"/>
            <w:tcBorders>
              <w:top w:val="single" w:color="000000" w:sz="4"/>
              <w:left w:val="single" w:color="000000" w:sz="4"/>
              <w:bottom w:val="single" w:color="000000" w:sz="4"/>
              <w:right w:val="single" w:color="000000" w:sz="4"/>
            </w:tcBorders>
            <w:vAlign w:val="top"/>
          </w:tcPr>
          <w:p>
            <w:pPr>
              <w:jc w:val="center"/>
            </w:pPr>
            <w:r>
              <w:rPr>
                <w:b/>
                <w:sz w:val="18"/>
              </w:rPr>
              <w:t>考核成绩</w:t>
            </w:r>
          </w:p>
        </w:tc>
      </w:tr>
      <w:tr>
        <w:tc>
          <w:tcPr>
            <w:tcW w:type="dxa" w:w="249"/>
            <w:vMerge w:val="restart"/>
            <w:tcBorders>
              <w:top w:val="none" w:color="000000" w:sz="4"/>
              <w:left w:val="single" w:color="000000" w:sz="4"/>
              <w:bottom w:val="single" w:color="000000" w:sz="4"/>
              <w:right w:val="single" w:color="000000" w:sz="4"/>
            </w:tcBorders>
            <w:vAlign w:val="top"/>
          </w:tcPr>
          <w:p>
            <w:pPr>
              <w:jc w:val="center"/>
            </w:pPr>
            <w:r>
              <w:rPr>
                <w:sz w:val="18"/>
              </w:rPr>
              <w:t>六</w:t>
            </w:r>
          </w:p>
        </w:tc>
        <w:tc>
          <w:tcPr>
            <w:tcW w:type="dxa" w:w="406"/>
            <w:vMerge w:val="restart"/>
            <w:tcBorders>
              <w:top w:val="none" w:color="000000" w:sz="4"/>
              <w:left w:val="single" w:color="000000" w:sz="4"/>
              <w:bottom w:val="single" w:color="000000" w:sz="4"/>
              <w:right w:val="single" w:color="000000" w:sz="4"/>
            </w:tcBorders>
            <w:vAlign w:val="top"/>
          </w:tcPr>
          <w:p>
            <w:pPr>
              <w:jc w:val="center"/>
            </w:pPr>
            <w:r>
              <w:rPr>
                <w:sz w:val="18"/>
              </w:rPr>
              <w:t>环</w:t>
            </w:r>
          </w:p>
          <w:p>
            <w:pPr>
              <w:jc w:val="center"/>
            </w:pPr>
            <w:r>
              <w:rPr>
                <w:sz w:val="18"/>
              </w:rPr>
              <w:t>境</w:t>
            </w:r>
          </w:p>
          <w:p>
            <w:pPr>
              <w:jc w:val="center"/>
            </w:pPr>
            <w:r>
              <w:rPr>
                <w:sz w:val="18"/>
              </w:rPr>
              <w:t>卫</w:t>
            </w:r>
          </w:p>
          <w:p>
            <w:pPr>
              <w:jc w:val="center"/>
            </w:pPr>
            <w:r>
              <w:rPr>
                <w:sz w:val="18"/>
              </w:rPr>
              <w:t>生</w:t>
            </w:r>
          </w:p>
          <w:p>
            <w:pPr>
              <w:jc w:val="center"/>
            </w:pPr>
            <w:r>
              <w:rPr>
                <w:sz w:val="18"/>
              </w:rPr>
              <w:t>管</w:t>
            </w:r>
          </w:p>
          <w:p>
            <w:pPr>
              <w:jc w:val="center"/>
            </w:pPr>
            <w:r>
              <w:rPr>
                <w:sz w:val="18"/>
              </w:rPr>
              <w:t>理</w:t>
            </w:r>
          </w:p>
          <w:p>
            <w:pPr>
              <w:jc w:val="center"/>
            </w:pPr>
          </w:p>
        </w:tc>
        <w:tc>
          <w:tcPr>
            <w:tcW w:type="dxa" w:w="415"/>
            <w:vMerge w:val="restart"/>
            <w:tcBorders>
              <w:top w:val="none" w:color="000000" w:sz="4"/>
              <w:left w:val="single" w:color="000000" w:sz="4"/>
              <w:bottom w:val="single" w:color="000000" w:sz="4"/>
              <w:right w:val="single" w:color="000000" w:sz="4"/>
            </w:tcBorders>
            <w:vAlign w:val="top"/>
          </w:tcPr>
          <w:p>
            <w:pPr>
              <w:jc w:val="center"/>
            </w:pPr>
            <w:r>
              <w:rPr>
                <w:sz w:val="18"/>
              </w:rPr>
              <w:t>保洁工作</w:t>
            </w:r>
            <w:r>
              <w:rPr>
                <w:sz w:val="18"/>
              </w:rPr>
              <w:t>100%符合用户需求，做好清洁卫生，保证环境优美。</w:t>
            </w:r>
          </w:p>
        </w:tc>
        <w:tc>
          <w:tcPr>
            <w:tcW w:type="dxa" w:w="1312"/>
            <w:tcBorders>
              <w:top w:val="none" w:color="000000" w:sz="4"/>
              <w:left w:val="single" w:color="000000" w:sz="4"/>
              <w:bottom w:val="single" w:color="000000" w:sz="4"/>
              <w:right w:val="single" w:color="000000" w:sz="4"/>
            </w:tcBorders>
            <w:vAlign w:val="top"/>
          </w:tcPr>
          <w:p>
            <w:pPr>
              <w:jc w:val="both"/>
            </w:pPr>
            <w:r>
              <w:rPr>
                <w:sz w:val="18"/>
              </w:rPr>
              <w:t>1、日常清洁要求：</w:t>
            </w:r>
          </w:p>
          <w:p>
            <w:pPr>
              <w:jc w:val="both"/>
            </w:pPr>
            <w:r>
              <w:rPr>
                <w:sz w:val="18"/>
              </w:rPr>
              <w:t>1）场馆内外所有区域无污渍、灰尘、垃圾、积水、异味；</w:t>
            </w:r>
          </w:p>
          <w:p>
            <w:pPr>
              <w:jc w:val="both"/>
            </w:pPr>
            <w:r>
              <w:rPr>
                <w:sz w:val="18"/>
              </w:rPr>
              <w:t>2）做好防滑、防潮等工作；</w:t>
            </w:r>
          </w:p>
          <w:p>
            <w:pPr>
              <w:jc w:val="both"/>
            </w:pPr>
            <w:r>
              <w:rPr>
                <w:sz w:val="18"/>
              </w:rPr>
              <w:t>3）各区域垃圾在规定时间内清理，按时组织垃圾清运。</w:t>
            </w:r>
          </w:p>
          <w:p>
            <w:pPr>
              <w:jc w:val="both"/>
            </w:pPr>
            <w:r>
              <w:rPr>
                <w:sz w:val="18"/>
              </w:rPr>
              <w:t>4）水沟、水池、沙井、管道等处无泥沙、垃圾沉淀和漂浮物；</w:t>
            </w:r>
          </w:p>
        </w:tc>
        <w:tc>
          <w:tcPr>
            <w:tcW w:type="dxa" w:w="1021"/>
            <w:vMerge w:val="restart"/>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0.5分。</w:t>
            </w:r>
          </w:p>
        </w:tc>
        <w:tc>
          <w:tcPr>
            <w:tcW w:type="dxa" w:w="1129"/>
            <w:tcBorders>
              <w:top w:val="none" w:color="000000" w:sz="4"/>
              <w:left w:val="single" w:color="000000" w:sz="4"/>
              <w:bottom w:val="single" w:color="000000" w:sz="4"/>
              <w:right w:val="single" w:color="000000" w:sz="4"/>
            </w:tcBorders>
            <w:vAlign w:val="top"/>
          </w:tcPr>
          <w:p>
            <w:pPr>
              <w:jc w:val="both"/>
            </w:pPr>
          </w:p>
        </w:tc>
      </w:tr>
      <w:tr>
        <w:tc>
          <w:tcPr>
            <w:tcW w:type="dxa" w:w="249"/>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18"/>
              </w:rPr>
              <w:t>2、演出期间清洁要求：</w:t>
            </w:r>
          </w:p>
          <w:p>
            <w:pPr>
              <w:jc w:val="both"/>
            </w:pPr>
            <w:r>
              <w:rPr>
                <w:sz w:val="18"/>
              </w:rPr>
              <w:t>1）演出活动前1小时，搞好相关场地的各项卫生工作；</w:t>
            </w:r>
          </w:p>
          <w:p>
            <w:pPr>
              <w:jc w:val="both"/>
            </w:pPr>
            <w:r>
              <w:rPr>
                <w:sz w:val="18"/>
              </w:rPr>
              <w:t>2）活动期间出现的卫生问题在10分钟内处理完毕；</w:t>
            </w:r>
          </w:p>
          <w:p>
            <w:pPr>
              <w:jc w:val="both"/>
            </w:pPr>
            <w:r>
              <w:rPr>
                <w:sz w:val="18"/>
              </w:rPr>
              <w:t>3）活动结束后2小时内清理活动场所存在的垃圾、污迹等。</w:t>
            </w:r>
          </w:p>
        </w:tc>
        <w:tc>
          <w:tcPr>
            <w:tcW w:type="dxa" w:w="1021"/>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vAlign w:val="top"/>
          </w:tcPr>
          <w:p>
            <w:pPr>
              <w:jc w:val="both"/>
            </w:pPr>
          </w:p>
        </w:tc>
      </w:tr>
      <w:tr>
        <w:tc>
          <w:tcPr>
            <w:tcW w:type="dxa" w:w="249"/>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vAlign w:val="top"/>
          </w:tcPr>
          <w:p>
            <w:pPr>
              <w:jc w:val="center"/>
            </w:pPr>
            <w:r>
              <w:rPr>
                <w:sz w:val="18"/>
              </w:rPr>
              <w:t>易耗品齐全</w:t>
            </w:r>
          </w:p>
          <w:p>
            <w:pPr>
              <w:jc w:val="center"/>
            </w:pPr>
            <w:r>
              <w:rPr>
                <w:sz w:val="18"/>
              </w:rPr>
              <w:t>补充及时</w:t>
            </w:r>
          </w:p>
        </w:tc>
        <w:tc>
          <w:tcPr>
            <w:tcW w:type="dxa" w:w="1312"/>
            <w:tcBorders>
              <w:top w:val="none" w:color="000000" w:sz="4"/>
              <w:left w:val="single" w:color="000000" w:sz="4"/>
              <w:bottom w:val="single" w:color="000000" w:sz="4"/>
              <w:right w:val="single" w:color="000000" w:sz="4"/>
            </w:tcBorders>
            <w:vAlign w:val="top"/>
          </w:tcPr>
          <w:p>
            <w:pPr>
              <w:jc w:val="both"/>
            </w:pPr>
            <w:r>
              <w:rPr>
                <w:sz w:val="18"/>
              </w:rPr>
              <w:t>3、用品要求：</w:t>
            </w:r>
          </w:p>
          <w:p>
            <w:pPr>
              <w:jc w:val="both"/>
            </w:pPr>
            <w:r>
              <w:rPr>
                <w:sz w:val="18"/>
              </w:rPr>
              <w:t>洗手间、贵宾厅、化妆间等配备合格的卫生产品，数量种类齐全；</w:t>
            </w:r>
          </w:p>
        </w:tc>
        <w:tc>
          <w:tcPr>
            <w:tcW w:type="dxa" w:w="1021"/>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29"/>
            <w:tcBorders>
              <w:top w:val="none" w:color="000000" w:sz="4"/>
              <w:left w:val="single" w:color="000000" w:sz="4"/>
              <w:bottom w:val="single" w:color="000000" w:sz="4"/>
              <w:right w:val="single" w:color="000000" w:sz="4"/>
            </w:tcBorders>
            <w:vAlign w:val="top"/>
          </w:tcPr>
          <w:p>
            <w:pPr>
              <w:jc w:val="both"/>
            </w:pPr>
          </w:p>
        </w:tc>
      </w:tr>
      <w:tr>
        <w:tc>
          <w:tcPr>
            <w:tcW w:type="dxa" w:w="249"/>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vAlign w:val="top"/>
          </w:tcPr>
          <w:p>
            <w:pPr>
              <w:jc w:val="center"/>
            </w:pPr>
            <w:r>
              <w:rPr>
                <w:sz w:val="18"/>
              </w:rPr>
              <w:t>按要求做好</w:t>
            </w:r>
          </w:p>
          <w:p>
            <w:pPr>
              <w:jc w:val="center"/>
            </w:pPr>
            <w:r>
              <w:rPr>
                <w:sz w:val="18"/>
              </w:rPr>
              <w:t>灭四害工作</w:t>
            </w:r>
          </w:p>
        </w:tc>
        <w:tc>
          <w:tcPr>
            <w:tcW w:type="dxa" w:w="1312"/>
            <w:tcBorders>
              <w:top w:val="none" w:color="000000" w:sz="4"/>
              <w:left w:val="single" w:color="000000" w:sz="4"/>
              <w:bottom w:val="single" w:color="000000" w:sz="4"/>
              <w:right w:val="single" w:color="000000" w:sz="4"/>
            </w:tcBorders>
            <w:vAlign w:val="top"/>
          </w:tcPr>
          <w:p>
            <w:pPr>
              <w:jc w:val="both"/>
            </w:pPr>
            <w:r>
              <w:rPr>
                <w:sz w:val="18"/>
              </w:rPr>
              <w:t>4、其他要求</w:t>
            </w:r>
          </w:p>
          <w:p>
            <w:pPr>
              <w:jc w:val="both"/>
            </w:pPr>
            <w:r>
              <w:rPr>
                <w:sz w:val="18"/>
              </w:rPr>
              <w:t>做好灭四害工作；有灭四害工作计划，按照计划开展灭四害工作。</w:t>
            </w:r>
          </w:p>
        </w:tc>
        <w:tc>
          <w:tcPr>
            <w:tcW w:type="dxa" w:w="1021"/>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29"/>
            <w:tcBorders>
              <w:top w:val="none" w:color="000000" w:sz="4"/>
              <w:left w:val="single" w:color="000000" w:sz="4"/>
              <w:bottom w:val="single" w:color="000000" w:sz="4"/>
              <w:right w:val="single" w:color="000000" w:sz="4"/>
            </w:tcBorders>
            <w:vAlign w:val="top"/>
          </w:tcPr>
          <w:p>
            <w:pPr>
              <w:jc w:val="both"/>
            </w:pPr>
          </w:p>
        </w:tc>
      </w:tr>
    </w:tbl>
    <w:p>
      <w:pPr>
        <w:jc w:val="center"/>
      </w:pPr>
    </w:p>
    <w:p>
      <w:pPr>
        <w:jc w:val="center"/>
      </w:pPr>
      <w:r>
        <w:rPr>
          <w:b/>
          <w:sz w:val="21"/>
        </w:rPr>
        <w:t>物业管理服务质量月度考核评分表（第七部分：绿化管理）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49"/>
        <w:gridCol w:w="406"/>
        <w:gridCol w:w="415"/>
        <w:gridCol w:w="1312"/>
        <w:gridCol w:w="1021"/>
        <w:gridCol w:w="1137"/>
      </w:tblGrid>
      <w:tr>
        <w:tc>
          <w:tcPr>
            <w:tcW w:type="dxa" w:w="249"/>
            <w:tcBorders>
              <w:top w:val="single" w:color="000000" w:sz="4"/>
              <w:left w:val="single" w:color="000000" w:sz="4"/>
              <w:bottom w:val="single" w:color="000000" w:sz="4"/>
              <w:right w:val="single" w:color="000000" w:sz="4"/>
            </w:tcBorders>
            <w:vAlign w:val="top"/>
          </w:tcPr>
          <w:p>
            <w:pPr>
              <w:jc w:val="center"/>
            </w:pPr>
            <w:r>
              <w:rPr>
                <w:b/>
                <w:sz w:val="15"/>
              </w:rPr>
              <w:t>序号</w:t>
            </w:r>
          </w:p>
        </w:tc>
        <w:tc>
          <w:tcPr>
            <w:tcW w:type="dxa" w:w="406"/>
            <w:tcBorders>
              <w:top w:val="single" w:color="000000" w:sz="4"/>
              <w:left w:val="single" w:color="000000" w:sz="4"/>
              <w:bottom w:val="single" w:color="000000" w:sz="4"/>
              <w:right w:val="single" w:color="000000" w:sz="4"/>
            </w:tcBorders>
            <w:vAlign w:val="top"/>
          </w:tcPr>
          <w:p>
            <w:pPr>
              <w:jc w:val="center"/>
            </w:pPr>
            <w:r>
              <w:rPr>
                <w:b/>
                <w:sz w:val="15"/>
              </w:rPr>
              <w:t>考评项目</w:t>
            </w:r>
          </w:p>
        </w:tc>
        <w:tc>
          <w:tcPr>
            <w:tcW w:type="dxa" w:w="415"/>
            <w:tcBorders>
              <w:top w:val="single" w:color="000000" w:sz="4"/>
              <w:left w:val="single" w:color="000000" w:sz="4"/>
              <w:bottom w:val="single" w:color="000000" w:sz="4"/>
              <w:right w:val="single" w:color="000000" w:sz="4"/>
            </w:tcBorders>
            <w:vAlign w:val="top"/>
          </w:tcPr>
          <w:p>
            <w:pPr>
              <w:jc w:val="center"/>
            </w:pPr>
            <w:r>
              <w:rPr>
                <w:b/>
                <w:sz w:val="15"/>
              </w:rPr>
              <w:t>质量指标</w:t>
            </w:r>
          </w:p>
        </w:tc>
        <w:tc>
          <w:tcPr>
            <w:tcW w:type="dxa" w:w="1312"/>
            <w:tcBorders>
              <w:top w:val="single" w:color="000000" w:sz="4"/>
              <w:left w:val="single" w:color="000000" w:sz="4"/>
              <w:bottom w:val="single" w:color="000000" w:sz="4"/>
              <w:right w:val="single" w:color="000000" w:sz="4"/>
            </w:tcBorders>
            <w:vAlign w:val="top"/>
          </w:tcPr>
          <w:p>
            <w:pPr>
              <w:jc w:val="center"/>
            </w:pPr>
            <w:r>
              <w:rPr>
                <w:b/>
                <w:sz w:val="15"/>
              </w:rPr>
              <w:t>实施细则</w:t>
            </w:r>
          </w:p>
        </w:tc>
        <w:tc>
          <w:tcPr>
            <w:tcW w:type="dxa" w:w="1021"/>
            <w:tcBorders>
              <w:top w:val="single" w:color="000000" w:sz="4"/>
              <w:left w:val="single" w:color="000000" w:sz="4"/>
              <w:bottom w:val="single" w:color="000000" w:sz="4"/>
              <w:right w:val="single" w:color="000000" w:sz="4"/>
            </w:tcBorders>
            <w:vAlign w:val="top"/>
          </w:tcPr>
          <w:p>
            <w:pPr>
              <w:jc w:val="center"/>
            </w:pPr>
            <w:r>
              <w:rPr>
                <w:b/>
                <w:sz w:val="15"/>
              </w:rPr>
              <w:t>评分细则</w:t>
            </w:r>
          </w:p>
        </w:tc>
        <w:tc>
          <w:tcPr>
            <w:tcW w:type="dxa" w:w="1137"/>
            <w:tcBorders>
              <w:top w:val="single" w:color="000000" w:sz="4"/>
              <w:left w:val="single" w:color="000000" w:sz="4"/>
              <w:bottom w:val="single" w:color="000000" w:sz="4"/>
              <w:right w:val="single" w:color="000000" w:sz="4"/>
            </w:tcBorders>
            <w:vAlign w:val="top"/>
          </w:tcPr>
          <w:p>
            <w:pPr>
              <w:jc w:val="center"/>
            </w:pPr>
            <w:r>
              <w:rPr>
                <w:b/>
                <w:sz w:val="15"/>
              </w:rPr>
              <w:t>考核成绩</w:t>
            </w:r>
          </w:p>
        </w:tc>
      </w:tr>
      <w:tr>
        <w:tc>
          <w:tcPr>
            <w:tcW w:type="dxa" w:w="249"/>
            <w:vMerge w:val="restart"/>
            <w:tcBorders>
              <w:top w:val="none" w:color="000000" w:sz="4"/>
              <w:left w:val="single" w:color="000000" w:sz="4"/>
              <w:bottom w:val="single" w:color="000000" w:sz="4"/>
              <w:right w:val="single" w:color="000000" w:sz="4"/>
            </w:tcBorders>
            <w:vAlign w:val="top"/>
          </w:tcPr>
          <w:p>
            <w:pPr>
              <w:jc w:val="center"/>
            </w:pPr>
            <w:r>
              <w:rPr>
                <w:sz w:val="18"/>
              </w:rPr>
              <w:t>七</w:t>
            </w:r>
          </w:p>
        </w:tc>
        <w:tc>
          <w:tcPr>
            <w:tcW w:type="dxa" w:w="406"/>
            <w:vMerge w:val="restart"/>
            <w:tcBorders>
              <w:top w:val="none" w:color="000000" w:sz="4"/>
              <w:left w:val="single" w:color="000000" w:sz="4"/>
              <w:bottom w:val="single" w:color="000000" w:sz="4"/>
              <w:right w:val="single" w:color="000000" w:sz="4"/>
            </w:tcBorders>
            <w:vAlign w:val="top"/>
          </w:tcPr>
          <w:p>
            <w:pPr>
              <w:jc w:val="center"/>
            </w:pPr>
            <w:r>
              <w:rPr>
                <w:sz w:val="18"/>
              </w:rPr>
              <w:t>绿</w:t>
            </w:r>
          </w:p>
          <w:p>
            <w:pPr>
              <w:jc w:val="center"/>
            </w:pPr>
            <w:r>
              <w:rPr>
                <w:sz w:val="18"/>
              </w:rPr>
              <w:t>化</w:t>
            </w:r>
          </w:p>
          <w:p>
            <w:pPr>
              <w:jc w:val="center"/>
            </w:pPr>
            <w:r>
              <w:rPr>
                <w:sz w:val="18"/>
              </w:rPr>
              <w:t>管</w:t>
            </w:r>
          </w:p>
          <w:p>
            <w:pPr>
              <w:jc w:val="center"/>
            </w:pPr>
            <w:r>
              <w:rPr>
                <w:sz w:val="18"/>
              </w:rPr>
              <w:t>理</w:t>
            </w:r>
          </w:p>
        </w:tc>
        <w:tc>
          <w:tcPr>
            <w:tcW w:type="dxa" w:w="415"/>
            <w:tcBorders>
              <w:top w:val="none" w:color="000000" w:sz="4"/>
              <w:left w:val="single" w:color="000000" w:sz="4"/>
              <w:bottom w:val="single" w:color="000000" w:sz="4"/>
              <w:right w:val="single" w:color="000000" w:sz="4"/>
            </w:tcBorders>
            <w:vAlign w:val="top"/>
          </w:tcPr>
          <w:p>
            <w:pPr>
              <w:jc w:val="both"/>
            </w:pPr>
            <w:r>
              <w:rPr>
                <w:sz w:val="18"/>
              </w:rPr>
              <w:t>树木修剪及时、美观，及时做好病虫害防治。</w:t>
            </w:r>
          </w:p>
        </w:tc>
        <w:tc>
          <w:tcPr>
            <w:tcW w:type="dxa" w:w="1312"/>
            <w:tcBorders>
              <w:top w:val="none" w:color="000000" w:sz="4"/>
              <w:left w:val="single" w:color="000000" w:sz="4"/>
              <w:bottom w:val="single" w:color="000000" w:sz="4"/>
              <w:right w:val="single" w:color="000000" w:sz="4"/>
            </w:tcBorders>
            <w:vAlign w:val="top"/>
          </w:tcPr>
          <w:p>
            <w:pPr>
              <w:jc w:val="both"/>
            </w:pPr>
            <w:r>
              <w:rPr>
                <w:sz w:val="18"/>
              </w:rPr>
              <w:t>1绿化管理要求：</w:t>
            </w:r>
          </w:p>
          <w:p>
            <w:pPr>
              <w:jc w:val="both"/>
            </w:pPr>
            <w:r>
              <w:rPr>
                <w:sz w:val="18"/>
              </w:rPr>
              <w:t>1）绿地内无杂草，树木、草坪修剪及时；</w:t>
            </w:r>
          </w:p>
          <w:p>
            <w:pPr>
              <w:jc w:val="both"/>
            </w:pPr>
            <w:r>
              <w:rPr>
                <w:sz w:val="18"/>
              </w:rPr>
              <w:t>2）对损坏及缺失的绿化及时补种，保持美观；</w:t>
            </w:r>
          </w:p>
          <w:p>
            <w:pPr>
              <w:jc w:val="both"/>
            </w:pPr>
            <w:r>
              <w:rPr>
                <w:sz w:val="18"/>
              </w:rPr>
              <w:t>3）并做好病虫害的防治工作；</w:t>
            </w:r>
          </w:p>
          <w:p>
            <w:pPr>
              <w:jc w:val="both"/>
            </w:pPr>
            <w:r>
              <w:rPr>
                <w:sz w:val="18"/>
              </w:rPr>
              <w:t>4）制定并落实做好各类自然灾害天气的预防措施。</w:t>
            </w:r>
          </w:p>
        </w:tc>
        <w:tc>
          <w:tcPr>
            <w:tcW w:type="dxa" w:w="1021"/>
            <w:tcBorders>
              <w:top w:val="none" w:color="000000" w:sz="4"/>
              <w:left w:val="single" w:color="000000" w:sz="4"/>
              <w:bottom w:val="single" w:color="000000" w:sz="4"/>
              <w:right w:val="single" w:color="000000" w:sz="4"/>
            </w:tcBorders>
            <w:vAlign w:val="top"/>
          </w:tcPr>
          <w:p>
            <w:pPr>
              <w:jc w:val="both"/>
            </w:pPr>
            <w:r>
              <w:rPr>
                <w:sz w:val="18"/>
              </w:rPr>
              <w:t>1）每发现一次不符合要求扣0.5分；</w:t>
            </w:r>
          </w:p>
          <w:p>
            <w:pPr>
              <w:jc w:val="both"/>
            </w:pPr>
            <w:r>
              <w:rPr>
                <w:sz w:val="18"/>
              </w:rPr>
              <w:t>2）不及时补种、修剪、做病虫害防治一项扣1分。</w:t>
            </w:r>
          </w:p>
        </w:tc>
        <w:tc>
          <w:tcPr>
            <w:tcW w:type="dxa" w:w="1137"/>
            <w:tcBorders>
              <w:top w:val="none" w:color="000000" w:sz="4"/>
              <w:left w:val="single" w:color="000000" w:sz="4"/>
              <w:bottom w:val="single" w:color="000000" w:sz="4"/>
              <w:right w:val="single" w:color="000000" w:sz="4"/>
            </w:tcBorders>
            <w:vAlign w:val="top"/>
          </w:tcPr>
          <w:p>
            <w:pPr>
              <w:jc w:val="both"/>
            </w:pPr>
          </w:p>
        </w:tc>
      </w:tr>
      <w:tr>
        <w:tc>
          <w:tcPr>
            <w:tcW w:type="dxa" w:w="249"/>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vAlign w:val="top"/>
          </w:tcPr>
          <w:p>
            <w:pPr>
              <w:jc w:val="both"/>
            </w:pPr>
            <w:r>
              <w:rPr>
                <w:sz w:val="18"/>
              </w:rPr>
              <w:t>名贵树木成活率</w:t>
            </w:r>
            <w:r>
              <w:rPr>
                <w:sz w:val="18"/>
              </w:rPr>
              <w:t>100%，一般树种成活率98%以上，草地绿化成活率95%以上，新（补）植苗木成活率95%以上；</w:t>
            </w:r>
          </w:p>
        </w:tc>
        <w:tc>
          <w:tcPr>
            <w:tcW w:type="dxa" w:w="1312"/>
            <w:tcBorders>
              <w:top w:val="none" w:color="000000" w:sz="4"/>
              <w:left w:val="single" w:color="000000" w:sz="4"/>
              <w:bottom w:val="single" w:color="000000" w:sz="4"/>
              <w:right w:val="single" w:color="000000" w:sz="4"/>
            </w:tcBorders>
            <w:vAlign w:val="top"/>
          </w:tcPr>
          <w:p>
            <w:pPr>
              <w:jc w:val="both"/>
            </w:pPr>
            <w:r>
              <w:rPr>
                <w:sz w:val="18"/>
              </w:rPr>
              <w:t>2、成活率：</w:t>
            </w:r>
          </w:p>
          <w:p>
            <w:pPr>
              <w:jc w:val="both"/>
            </w:pPr>
            <w:r>
              <w:rPr>
                <w:sz w:val="18"/>
              </w:rPr>
              <w:t>每月测算</w:t>
            </w:r>
            <w:r>
              <w:rPr>
                <w:sz w:val="18"/>
              </w:rPr>
              <w:t>1次成活率和保存率的变化情况并报告甲方</w:t>
            </w:r>
          </w:p>
        </w:tc>
        <w:tc>
          <w:tcPr>
            <w:tcW w:type="dxa" w:w="1021"/>
            <w:tcBorders>
              <w:top w:val="none" w:color="000000" w:sz="4"/>
              <w:left w:val="single" w:color="000000" w:sz="4"/>
              <w:bottom w:val="single" w:color="000000" w:sz="4"/>
              <w:right w:val="single" w:color="000000" w:sz="4"/>
            </w:tcBorders>
            <w:vAlign w:val="top"/>
          </w:tcPr>
          <w:p>
            <w:pPr>
              <w:jc w:val="both"/>
            </w:pPr>
            <w:r>
              <w:rPr>
                <w:sz w:val="18"/>
              </w:rPr>
              <w:t>每发现一项不符合要求扣</w:t>
            </w:r>
            <w:r>
              <w:rPr>
                <w:sz w:val="18"/>
              </w:rPr>
              <w:t>1分。</w:t>
            </w:r>
          </w:p>
        </w:tc>
        <w:tc>
          <w:tcPr>
            <w:tcW w:type="dxa" w:w="1137"/>
            <w:tcBorders>
              <w:top w:val="none" w:color="000000" w:sz="4"/>
              <w:left w:val="single" w:color="000000" w:sz="4"/>
              <w:bottom w:val="single" w:color="000000" w:sz="4"/>
              <w:right w:val="single" w:color="000000" w:sz="4"/>
            </w:tcBorders>
            <w:vAlign w:val="top"/>
          </w:tcPr>
          <w:p>
            <w:pPr>
              <w:jc w:val="both"/>
            </w:pPr>
          </w:p>
        </w:tc>
      </w:tr>
      <w:tr>
        <w:tc>
          <w:tcPr>
            <w:tcW w:type="dxa" w:w="249"/>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vAlign w:val="top"/>
          </w:tcPr>
          <w:p>
            <w:pPr>
              <w:jc w:val="both"/>
            </w:pPr>
            <w:r>
              <w:rPr>
                <w:sz w:val="18"/>
              </w:rPr>
              <w:t>定期更换</w:t>
            </w:r>
          </w:p>
          <w:p>
            <w:pPr>
              <w:jc w:val="both"/>
            </w:pPr>
            <w:r>
              <w:rPr>
                <w:sz w:val="18"/>
              </w:rPr>
              <w:t>室内盆栽绿化</w:t>
            </w:r>
          </w:p>
        </w:tc>
        <w:tc>
          <w:tcPr>
            <w:tcW w:type="dxa" w:w="1312"/>
            <w:tcBorders>
              <w:top w:val="none" w:color="000000" w:sz="4"/>
              <w:left w:val="single" w:color="000000" w:sz="4"/>
              <w:bottom w:val="single" w:color="000000" w:sz="4"/>
              <w:right w:val="single" w:color="000000" w:sz="4"/>
            </w:tcBorders>
            <w:vAlign w:val="top"/>
          </w:tcPr>
          <w:p>
            <w:pPr>
              <w:jc w:val="both"/>
            </w:pPr>
            <w:r>
              <w:rPr>
                <w:sz w:val="18"/>
              </w:rPr>
              <w:t>3、其他要求：</w:t>
            </w:r>
          </w:p>
          <w:p>
            <w:pPr>
              <w:jc w:val="both"/>
            </w:pPr>
            <w:r>
              <w:rPr>
                <w:sz w:val="18"/>
              </w:rPr>
              <w:t>室内绿化盆栽定期更换及维护，以确保环境优美；</w:t>
            </w:r>
          </w:p>
        </w:tc>
        <w:tc>
          <w:tcPr>
            <w:tcW w:type="dxa" w:w="1021"/>
            <w:tcBorders>
              <w:top w:val="none" w:color="000000" w:sz="4"/>
              <w:left w:val="single" w:color="000000" w:sz="4"/>
              <w:bottom w:val="single" w:color="000000" w:sz="4"/>
              <w:right w:val="single" w:color="000000" w:sz="4"/>
            </w:tcBorders>
            <w:vAlign w:val="top"/>
          </w:tcPr>
          <w:p>
            <w:pPr>
              <w:jc w:val="both"/>
            </w:pPr>
            <w:r>
              <w:rPr>
                <w:sz w:val="18"/>
              </w:rPr>
              <w:t>每发现一次不符合要求扣</w:t>
            </w:r>
            <w:r>
              <w:rPr>
                <w:sz w:val="18"/>
              </w:rPr>
              <w:t>1分。</w:t>
            </w:r>
          </w:p>
        </w:tc>
        <w:tc>
          <w:tcPr>
            <w:tcW w:type="dxa" w:w="1137"/>
            <w:tcBorders>
              <w:top w:val="none" w:color="000000" w:sz="4"/>
              <w:left w:val="single" w:color="000000" w:sz="4"/>
              <w:bottom w:val="single" w:color="000000" w:sz="4"/>
              <w:right w:val="single" w:color="000000" w:sz="4"/>
            </w:tcBorders>
            <w:vAlign w:val="top"/>
          </w:tcPr>
          <w:p>
            <w:pPr>
              <w:jc w:val="both"/>
            </w:pPr>
          </w:p>
        </w:tc>
      </w:tr>
    </w:tbl>
    <w:p>
      <w:pPr>
        <w:jc w:val="center"/>
      </w:pPr>
    </w:p>
    <w:p>
      <w:pPr>
        <w:jc w:val="center"/>
      </w:pPr>
      <w:r>
        <w:rPr>
          <w:b/>
          <w:sz w:val="21"/>
        </w:rPr>
        <w:t>物业管理服务质量月度考核评分表（第八部分：其他情况）</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49"/>
        <w:gridCol w:w="398"/>
        <w:gridCol w:w="415"/>
        <w:gridCol w:w="1295"/>
        <w:gridCol w:w="1005"/>
        <w:gridCol w:w="1204"/>
      </w:tblGrid>
      <w:tr>
        <w:tc>
          <w:tcPr>
            <w:tcW w:type="dxa" w:w="249"/>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398"/>
            <w:tcBorders>
              <w:top w:val="single" w:color="000000" w:sz="4"/>
              <w:left w:val="single" w:color="000000" w:sz="4"/>
              <w:bottom w:val="single" w:color="000000" w:sz="4"/>
              <w:right w:val="single" w:color="000000" w:sz="4"/>
            </w:tcBorders>
            <w:vAlign w:val="top"/>
          </w:tcPr>
          <w:p>
            <w:pPr>
              <w:jc w:val="center"/>
            </w:pPr>
            <w:r>
              <w:rPr>
                <w:b/>
                <w:sz w:val="18"/>
              </w:rPr>
              <w:t>考评项目</w:t>
            </w:r>
          </w:p>
        </w:tc>
        <w:tc>
          <w:tcPr>
            <w:tcW w:type="dxa" w:w="415"/>
            <w:tcBorders>
              <w:top w:val="single" w:color="000000" w:sz="4"/>
              <w:left w:val="single" w:color="000000" w:sz="4"/>
              <w:bottom w:val="single" w:color="000000" w:sz="4"/>
              <w:right w:val="single" w:color="000000" w:sz="4"/>
            </w:tcBorders>
            <w:vAlign w:val="top"/>
          </w:tcPr>
          <w:p>
            <w:pPr>
              <w:jc w:val="center"/>
            </w:pPr>
            <w:r>
              <w:rPr>
                <w:b/>
                <w:sz w:val="18"/>
              </w:rPr>
              <w:t>质量指标</w:t>
            </w:r>
          </w:p>
        </w:tc>
        <w:tc>
          <w:tcPr>
            <w:tcW w:type="dxa" w:w="1295"/>
            <w:tcBorders>
              <w:top w:val="single" w:color="000000" w:sz="4"/>
              <w:left w:val="single" w:color="000000" w:sz="4"/>
              <w:bottom w:val="single" w:color="000000" w:sz="4"/>
              <w:right w:val="single" w:color="000000" w:sz="4"/>
            </w:tcBorders>
            <w:vAlign w:val="top"/>
          </w:tcPr>
          <w:p>
            <w:pPr>
              <w:jc w:val="center"/>
            </w:pPr>
            <w:r>
              <w:rPr>
                <w:b/>
                <w:sz w:val="18"/>
              </w:rPr>
              <w:t>实施细则</w:t>
            </w:r>
          </w:p>
        </w:tc>
        <w:tc>
          <w:tcPr>
            <w:tcW w:type="dxa" w:w="1005"/>
            <w:tcBorders>
              <w:top w:val="single" w:color="000000" w:sz="4"/>
              <w:left w:val="single" w:color="000000" w:sz="4"/>
              <w:bottom w:val="single" w:color="000000" w:sz="4"/>
              <w:right w:val="single" w:color="000000" w:sz="4"/>
            </w:tcBorders>
            <w:vAlign w:val="top"/>
          </w:tcPr>
          <w:p>
            <w:pPr>
              <w:jc w:val="center"/>
            </w:pPr>
            <w:r>
              <w:rPr>
                <w:b/>
                <w:sz w:val="18"/>
              </w:rPr>
              <w:t>评分细则</w:t>
            </w:r>
          </w:p>
        </w:tc>
        <w:tc>
          <w:tcPr>
            <w:tcW w:type="dxa" w:w="1204"/>
            <w:tcBorders>
              <w:top w:val="single" w:color="000000" w:sz="4"/>
              <w:left w:val="single" w:color="000000" w:sz="4"/>
              <w:bottom w:val="single" w:color="000000" w:sz="4"/>
              <w:right w:val="single" w:color="000000" w:sz="4"/>
            </w:tcBorders>
            <w:vAlign w:val="top"/>
          </w:tcPr>
          <w:p>
            <w:pPr>
              <w:jc w:val="center"/>
            </w:pPr>
            <w:r>
              <w:rPr>
                <w:b/>
                <w:sz w:val="18"/>
              </w:rPr>
              <w:t>考核成绩</w:t>
            </w:r>
          </w:p>
        </w:tc>
      </w:tr>
      <w:tr>
        <w:tc>
          <w:tcPr>
            <w:tcW w:type="dxa" w:w="249"/>
            <w:tcBorders>
              <w:top w:val="none" w:color="000000" w:sz="4"/>
              <w:left w:val="single" w:color="000000" w:sz="4"/>
              <w:bottom w:val="single" w:color="000000" w:sz="4"/>
              <w:right w:val="single" w:color="000000" w:sz="4"/>
            </w:tcBorders>
            <w:vAlign w:val="top"/>
          </w:tcPr>
          <w:p>
            <w:pPr>
              <w:jc w:val="center"/>
            </w:pPr>
            <w:r>
              <w:rPr>
                <w:sz w:val="18"/>
              </w:rPr>
              <w:t>八</w:t>
            </w:r>
          </w:p>
        </w:tc>
        <w:tc>
          <w:tcPr>
            <w:tcW w:type="dxa" w:w="398"/>
            <w:tcBorders>
              <w:top w:val="none" w:color="000000" w:sz="4"/>
              <w:left w:val="single" w:color="000000" w:sz="4"/>
              <w:bottom w:val="single" w:color="000000" w:sz="4"/>
              <w:right w:val="single" w:color="000000" w:sz="4"/>
            </w:tcBorders>
            <w:vAlign w:val="top"/>
          </w:tcPr>
          <w:p>
            <w:pPr>
              <w:jc w:val="center"/>
            </w:pPr>
            <w:r>
              <w:rPr>
                <w:sz w:val="18"/>
              </w:rPr>
              <w:t>其</w:t>
            </w:r>
          </w:p>
          <w:p>
            <w:pPr>
              <w:jc w:val="center"/>
            </w:pPr>
            <w:r>
              <w:rPr>
                <w:sz w:val="18"/>
              </w:rPr>
              <w:t>他</w:t>
            </w:r>
          </w:p>
          <w:p>
            <w:pPr>
              <w:jc w:val="center"/>
            </w:pPr>
            <w:r>
              <w:rPr>
                <w:sz w:val="18"/>
              </w:rPr>
              <w:t>情</w:t>
            </w:r>
          </w:p>
          <w:p>
            <w:pPr>
              <w:jc w:val="center"/>
            </w:pPr>
            <w:r>
              <w:rPr>
                <w:sz w:val="18"/>
              </w:rPr>
              <w:t>况</w:t>
            </w:r>
          </w:p>
        </w:tc>
        <w:tc>
          <w:tcPr>
            <w:tcW w:type="dxa" w:w="415"/>
            <w:tcBorders>
              <w:top w:val="none" w:color="000000" w:sz="4"/>
              <w:left w:val="single" w:color="000000" w:sz="4"/>
              <w:bottom w:val="single" w:color="000000" w:sz="4"/>
              <w:right w:val="single" w:color="000000" w:sz="4"/>
            </w:tcBorders>
            <w:vAlign w:val="top"/>
          </w:tcPr>
          <w:p>
            <w:pPr>
              <w:jc w:val="center"/>
            </w:pPr>
            <w:r>
              <w:rPr>
                <w:sz w:val="18"/>
              </w:rPr>
              <w:t>合同、用户需求书或质量指标要求内的其他扣分情况</w:t>
            </w:r>
          </w:p>
        </w:tc>
        <w:tc>
          <w:tcPr>
            <w:tcW w:type="dxa" w:w="1295"/>
            <w:tcBorders>
              <w:top w:val="none" w:color="000000" w:sz="4"/>
              <w:left w:val="single" w:color="000000" w:sz="4"/>
              <w:bottom w:val="single" w:color="000000" w:sz="4"/>
              <w:right w:val="single" w:color="000000" w:sz="4"/>
            </w:tcBorders>
            <w:vAlign w:val="top"/>
          </w:tcPr>
          <w:p>
            <w:pPr>
              <w:jc w:val="both"/>
            </w:pPr>
            <w:r>
              <w:rPr>
                <w:sz w:val="18"/>
              </w:rPr>
              <w:t>除以上条款外的违反合同、用户需求书或质量指标要求的情况。</w:t>
            </w:r>
          </w:p>
        </w:tc>
        <w:tc>
          <w:tcPr>
            <w:tcW w:type="dxa" w:w="1005"/>
            <w:tcBorders>
              <w:top w:val="none" w:color="000000" w:sz="4"/>
              <w:left w:val="single" w:color="000000" w:sz="4"/>
              <w:bottom w:val="single" w:color="000000" w:sz="4"/>
              <w:right w:val="single" w:color="000000" w:sz="4"/>
            </w:tcBorders>
            <w:vAlign w:val="top"/>
          </w:tcPr>
          <w:p>
            <w:pPr>
              <w:jc w:val="both"/>
            </w:pPr>
            <w:r>
              <w:rPr>
                <w:sz w:val="18"/>
              </w:rPr>
              <w:t>每次扣</w:t>
            </w:r>
            <w:r>
              <w:rPr>
                <w:sz w:val="18"/>
              </w:rPr>
              <w:t>1分</w:t>
            </w:r>
          </w:p>
        </w:tc>
        <w:tc>
          <w:tcPr>
            <w:tcW w:type="dxa" w:w="1204"/>
            <w:tcBorders>
              <w:top w:val="none" w:color="000000" w:sz="4"/>
              <w:left w:val="single" w:color="000000" w:sz="4"/>
              <w:bottom w:val="single" w:color="000000" w:sz="4"/>
              <w:right w:val="single" w:color="000000" w:sz="4"/>
            </w:tcBorders>
            <w:vAlign w:val="top"/>
          </w:tcPr>
          <w:p>
            <w:pPr>
              <w:ind w:firstLine="360"/>
              <w:jc w:val="both"/>
            </w:pPr>
          </w:p>
        </w:tc>
      </w:tr>
    </w:tbl>
    <w:p>
      <w:r>
        <w:rPr>
          <w:b/>
          <w:sz w:val="28"/>
        </w:rPr>
        <w:t>十</w:t>
      </w:r>
      <w:r>
        <w:rPr>
          <w:b/>
          <w:sz w:val="28"/>
        </w:rPr>
        <w:t>、中小微企业质押融资</w:t>
      </w:r>
    </w:p>
    <w:p>
      <w:pPr>
        <w:ind w:firstLine="420"/>
        <w:jc w:val="both"/>
      </w:pPr>
      <w:r>
        <w:rPr>
          <w:sz w:val="21"/>
        </w:rPr>
        <w:t>1.</w:t>
      </w:r>
      <w:r>
        <w:rPr>
          <w:sz w:val="21"/>
        </w:rPr>
        <w:t>根据《中国人民银行中山市中心支行 中山市财政局 中山市经济和信息化局 中山市人民政府金融工作局关于印发</w:t>
      </w:r>
      <w:r>
        <w:rPr>
          <w:sz w:val="21"/>
        </w:rPr>
        <w:t>&lt;</w:t>
      </w:r>
      <w:r>
        <w:rPr>
          <w:sz w:val="21"/>
        </w:rPr>
        <w:t>中山市政府采购支持中小微企业质押融资的实施意见</w:t>
      </w:r>
      <w:r>
        <w:rPr>
          <w:sz w:val="21"/>
        </w:rPr>
        <w:t>&gt;</w:t>
      </w:r>
      <w:r>
        <w:rPr>
          <w:sz w:val="21"/>
        </w:rPr>
        <w:t>的通知》（中人银发【</w:t>
      </w:r>
      <w:r>
        <w:rPr>
          <w:sz w:val="21"/>
        </w:rPr>
        <w:t>2017</w:t>
      </w:r>
      <w:r>
        <w:rPr>
          <w:sz w:val="21"/>
        </w:rPr>
        <w:t>】</w:t>
      </w:r>
      <w:r>
        <w:rPr>
          <w:sz w:val="21"/>
        </w:rPr>
        <w:t>82</w:t>
      </w:r>
      <w:r>
        <w:rPr>
          <w:sz w:val="21"/>
        </w:rPr>
        <w:t>号）规定，凡通过政府采购法定程序取得我市政府采购合同的中小微企业，均可向辖内开展政府采购质押融资业务的银行机构申请办理融资业务。</w:t>
      </w:r>
    </w:p>
    <w:p>
      <w:pPr>
        <w:ind w:firstLine="420"/>
        <w:jc w:val="both"/>
      </w:pPr>
      <w:r>
        <w:rPr>
          <w:sz w:val="21"/>
        </w:rPr>
        <w:t>截至当前，辖内开展政府采购质押融资业务的银行机构报备的联系方式如下：</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431"/>
        <w:gridCol w:w="1337"/>
        <w:gridCol w:w="1187"/>
        <w:gridCol w:w="672"/>
        <w:gridCol w:w="1694"/>
      </w:tblGrid>
      <w:tr>
        <w:tc>
          <w:tcPr>
            <w:tcW w:type="dxa" w:w="431"/>
            <w:tcBorders>
              <w:top w:val="single" w:color="000000" w:sz="4"/>
              <w:left w:val="single" w:color="000000" w:sz="4"/>
              <w:bottom w:val="single" w:color="000000" w:sz="4"/>
              <w:right w:val="single" w:color="000000" w:sz="4"/>
            </w:tcBorders>
            <w:shd w:fill="FFFFFF"/>
            <w:vAlign w:val="top"/>
          </w:tcPr>
          <w:p>
            <w:pPr>
              <w:jc w:val="center"/>
            </w:pPr>
            <w:r>
              <w:rPr>
                <w:sz w:val="18"/>
              </w:rPr>
              <w:t>序号</w:t>
            </w:r>
          </w:p>
        </w:tc>
        <w:tc>
          <w:tcPr>
            <w:tcW w:type="dxa" w:w="1337"/>
            <w:tcBorders>
              <w:top w:val="single" w:color="000000" w:sz="4"/>
              <w:left w:val="none" w:color="000000" w:sz="4"/>
              <w:bottom w:val="single" w:color="000000" w:sz="4"/>
              <w:right w:val="single" w:color="000000" w:sz="4"/>
            </w:tcBorders>
            <w:shd w:fill="FFFFFF"/>
            <w:vAlign w:val="top"/>
          </w:tcPr>
          <w:p>
            <w:pPr>
              <w:jc w:val="center"/>
            </w:pPr>
            <w:r>
              <w:rPr>
                <w:sz w:val="18"/>
              </w:rPr>
              <w:t>银行机构</w:t>
            </w:r>
          </w:p>
        </w:tc>
        <w:tc>
          <w:tcPr>
            <w:tcW w:type="dxa" w:w="1187"/>
            <w:tcBorders>
              <w:top w:val="single" w:color="000000" w:sz="4"/>
              <w:left w:val="none" w:color="000000" w:sz="4"/>
              <w:bottom w:val="single" w:color="000000" w:sz="4"/>
              <w:right w:val="single" w:color="000000" w:sz="4"/>
            </w:tcBorders>
            <w:shd w:fill="FFFFFF"/>
            <w:vAlign w:val="top"/>
          </w:tcPr>
          <w:p>
            <w:pPr>
              <w:jc w:val="center"/>
            </w:pPr>
            <w:r>
              <w:rPr>
                <w:sz w:val="18"/>
              </w:rPr>
              <w:t>经办部门</w:t>
            </w:r>
          </w:p>
        </w:tc>
        <w:tc>
          <w:tcPr>
            <w:tcW w:type="dxa" w:w="672"/>
            <w:tcBorders>
              <w:top w:val="single" w:color="000000" w:sz="4"/>
              <w:left w:val="none" w:color="000000" w:sz="4"/>
              <w:bottom w:val="single" w:color="000000" w:sz="4"/>
              <w:right w:val="single" w:color="000000" w:sz="4"/>
            </w:tcBorders>
            <w:shd w:fill="FFFFFF"/>
            <w:vAlign w:val="top"/>
          </w:tcPr>
          <w:p>
            <w:pPr>
              <w:jc w:val="center"/>
            </w:pPr>
            <w:r>
              <w:rPr>
                <w:sz w:val="18"/>
              </w:rPr>
              <w:t>联系人</w:t>
            </w:r>
          </w:p>
        </w:tc>
        <w:tc>
          <w:tcPr>
            <w:tcW w:type="dxa" w:w="1694"/>
            <w:tcBorders>
              <w:top w:val="single" w:color="000000" w:sz="4"/>
              <w:left w:val="none" w:color="000000" w:sz="4"/>
              <w:bottom w:val="single" w:color="000000" w:sz="4"/>
              <w:right w:val="single" w:color="000000" w:sz="4"/>
            </w:tcBorders>
            <w:shd w:fill="FFFFFF"/>
            <w:vAlign w:val="top"/>
          </w:tcPr>
          <w:p>
            <w:pPr>
              <w:jc w:val="center"/>
            </w:pPr>
            <w:r>
              <w:rPr>
                <w:sz w:val="18"/>
              </w:rPr>
              <w:t>联系方式</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sz w:val="18"/>
              </w:rPr>
              <w:t>1</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sz w:val="18"/>
              </w:rPr>
              <w:t>中国农业发展银行中山市分行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客户业务部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邹可仕</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18802598981</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信贷与风险管理部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陈小龙</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15889891688</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sz w:val="18"/>
              </w:rPr>
              <w:t>2</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sz w:val="18"/>
              </w:rPr>
              <w:t>中国工商银行中山分行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陈炳菁</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18928108782</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杨培鹏</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15900085352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3</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中国农业银行中山分行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赖思韵</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22644682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4</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广发银行中山分行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林光宇</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88862643</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5</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中国邮政储蓄银行中山市分行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小企业金融部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黄嘉霖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13824720741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6</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中山农村商业银行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总行公司业务部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杜保森</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88884181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7</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平安银行中山分行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林晓冰</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13823931817</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8</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兴业银行中山分行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企业金融部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刘中芳</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0760-88368666-203172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9</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招商银行中山分行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公司金融事业部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唐庆颖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13924998608</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10</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中国光大银行中山分行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公司业务管理部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张梓颖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0760-88858067</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11</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广州银行中山分行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公司金融部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杨顺龙</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88776919</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sz w:val="18"/>
              </w:rPr>
              <w:t>12</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sz w:val="18"/>
              </w:rPr>
              <w:t>中信银行中山分行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陈廷忠</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15113386853</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余超贤</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15918291829</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sz w:val="18"/>
              </w:rPr>
              <w:t>13</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sz w:val="18"/>
              </w:rPr>
              <w:t>渤海银行中山分行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公司金融部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李建夏</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13631124024</w:t>
            </w:r>
            <w:r>
              <w:rPr>
                <w:sz w:val="18"/>
              </w:rPr>
              <w:t>、</w:t>
            </w:r>
            <w:r>
              <w:rPr>
                <w:sz w:val="18"/>
              </w:rPr>
              <w:t>0760-87911816</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分行营业部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徐艺</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13928142042</w:t>
            </w:r>
            <w:r>
              <w:rPr>
                <w:sz w:val="18"/>
              </w:rPr>
              <w:t>、</w:t>
            </w:r>
            <w:r>
              <w:rPr>
                <w:sz w:val="18"/>
              </w:rPr>
              <w:t>0760-87911808</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14</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华夏银行中山分行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营销管理部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叶怡</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28137855</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15</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东莞银行中山分行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赵荣耀</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13042854636/86939959</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16</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东亚银行（中国）有限公司中山支行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中山支行</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王涛</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89986282/18926998881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sz w:val="18"/>
              </w:rPr>
              <w:t>17</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sz w:val="18"/>
              </w:rPr>
              <w:t>浦发银行中山分行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sz w:val="18"/>
              </w:rPr>
              <w:t>交易银行部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sz w:val="18"/>
              </w:rPr>
              <w:t>付涛</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sz w:val="18"/>
              </w:rPr>
              <w:t>0760-89982303</w:t>
            </w:r>
          </w:p>
        </w:tc>
      </w:tr>
    </w:tbl>
    <w:p>
      <w:pPr>
        <w:ind w:firstLine="420"/>
        <w:jc w:val="both"/>
      </w:pPr>
      <w:r>
        <w:rPr>
          <w:sz w:val="21"/>
        </w:rPr>
        <w:t>2.</w:t>
      </w:r>
      <w:r>
        <w:rPr>
          <w:sz w:val="21"/>
        </w:rPr>
        <w:t>中小微企业有融资需求的，可通过应收账款融资服务平台（网址：</w:t>
      </w:r>
      <w:r>
        <w:rPr>
          <w:sz w:val="21"/>
        </w:rPr>
        <w:t>www.crcrfsp.com</w:t>
      </w:r>
      <w:r>
        <w:rPr>
          <w:sz w:val="21"/>
        </w:rPr>
        <w:t>）和中山市社会征信和金融服务一体化系统（网址：</w:t>
      </w:r>
      <w:r>
        <w:rPr>
          <w:sz w:val="21"/>
        </w:rPr>
        <w:t>www.zsythxt.zs.gov.cn</w:t>
      </w:r>
      <w:r>
        <w:rPr>
          <w:sz w:val="21"/>
        </w:rPr>
        <w:t>）向辖内特定或非特定银行机构咨询并提出融资申请。</w:t>
      </w:r>
    </w:p>
    <w:p>
      <w:pPr>
        <w:ind w:firstLine="420"/>
        <w:jc w:val="both"/>
      </w:pPr>
      <w:r>
        <w:rPr>
          <w:sz w:val="21"/>
        </w:rPr>
        <w:t>3.</w:t>
      </w:r>
      <w:r>
        <w:rPr>
          <w:sz w:val="21"/>
        </w:rPr>
        <w:t>采购人应当及时在应收账款融资服务平台（网址：</w:t>
      </w:r>
      <w:r>
        <w:rPr>
          <w:sz w:val="21"/>
        </w:rPr>
        <w:t>www.crcrfsp.com</w:t>
      </w:r>
      <w:r>
        <w:rPr>
          <w:sz w:val="21"/>
        </w:rPr>
        <w:t>）确认债权债务关系，支持中小微企业融资。</w:t>
      </w:r>
    </w:p>
    <w:p>
      <w:pPr>
        <w:ind w:firstLine="420"/>
        <w:jc w:val="both"/>
      </w:pPr>
      <w:r>
        <w:rPr>
          <w:sz w:val="21"/>
        </w:rPr>
        <w:t>4.</w:t>
      </w:r>
      <w:r>
        <w:rPr>
          <w:sz w:val="21"/>
        </w:rPr>
        <w:t>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w:t>
      </w:r>
    </w:p>
    <w:p>
      <w:pPr>
        <w:ind w:firstLine="420"/>
        <w:jc w:val="both"/>
      </w:pPr>
      <w:r>
        <w:rPr>
          <w:sz w:val="21"/>
        </w:rPr>
        <w:t>5.</w:t>
      </w:r>
      <w:r>
        <w:rPr>
          <w:sz w:val="21"/>
        </w:rPr>
        <w:t>财政部门根据《中华人民共和国政府采购法》等相关法规、规章规定，对参加政府采购活动的投标人的不良行为予以记录，并纳入中山市社会征信和金融服务一体化系统，供银行机构融资授信时审慎性参考。</w:t>
      </w:r>
    </w:p>
    <w:p/>
    <w:p>
      <w:pPr>
        <w:ind w:firstLine="480"/>
      </w:pPr>
    </w:p>
    <w:p/>
    <w:p>
      <w:r>
        <w:rPr/>
        <w:t>采购包1（物业管理服务包）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自服务合同约定进场服务之日起1年（含试用期3个月）。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1期：支付比例100%,详见第二章采购需求</w:t>
            </w:r>
          </w:p>
        </w:tc>
      </w:tr>
      <w:tr>
        <w:tc>
          <w:tcPr>
            <w:tcW w:type="dxa" w:w="4153"/>
          </w:tcPr>
          <w:p>
            <w:r>
              <w:rPr/>
              <w:t>验收要求</w:t>
            </w:r>
          </w:p>
        </w:tc>
        <w:tc>
          <w:tcPr>
            <w:tcW w:type="dxa" w:w="4153"/>
          </w:tcPr>
          <w:p/>
          <w:p/>
          <w:p/>
          <w:p>
            <w:r>
              <w:rPr/>
              <w:t>1期：详见第二章采购需求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中山市文化艺术中心2024年度物业管理服务采购项目</w:t>
            </w:r>
          </w:p>
        </w:tc>
        <w:tc>
          <w:tcPr>
            <w:tcW w:type="dxa" w:w="933"/>
          </w:tcPr>
          <w:p>
            <w:pPr>
              <w:jc w:val="left"/>
            </w:pPr>
            <w:r>
              <w:rPr/>
              <w:t>年</w:t>
            </w:r>
          </w:p>
        </w:tc>
        <w:tc>
          <w:tcPr>
            <w:tcW w:type="dxa" w:w="933"/>
          </w:tcPr>
          <w:p>
            <w:pPr>
              <w:jc w:val="right"/>
            </w:pPr>
            <w:r>
              <w:rPr/>
              <w:t>1.00</w:t>
            </w:r>
          </w:p>
        </w:tc>
        <w:tc>
          <w:tcPr>
            <w:tcW w:type="dxa" w:w="933"/>
          </w:tcPr>
          <w:p>
            <w:pPr>
              <w:jc w:val="right"/>
            </w:pPr>
            <w:r>
              <w:rPr/>
              <w:t>6,784,259.68</w:t>
            </w:r>
          </w:p>
        </w:tc>
        <w:tc>
          <w:tcPr>
            <w:tcW w:type="dxa" w:w="933"/>
          </w:tcPr>
          <w:p>
            <w:pPr>
              <w:jc w:val="right"/>
            </w:pPr>
            <w:r>
              <w:rPr/>
              <w:t>6,784,259.68</w:t>
            </w:r>
          </w:p>
        </w:tc>
        <w:tc>
          <w:tcPr>
            <w:tcW w:type="dxa" w:w="840"/>
          </w:tcPr>
          <w:p>
            <w:r>
              <w:rPr/>
              <w:t>物业管理</w:t>
            </w:r>
          </w:p>
        </w:tc>
        <w:tc>
          <w:tcPr>
            <w:tcW w:type="dxa" w:w="933"/>
          </w:tcPr>
          <w:p>
            <w:r>
              <w:rPr/>
              <w:t>详见附表一</w:t>
            </w:r>
          </w:p>
        </w:tc>
      </w:tr>
    </w:tbl>
    <w:p/>
    <w:p>
      <w:r>
        <w:rPr>
          <w:b/>
        </w:rPr>
        <w:t>附表</w:t>
      </w:r>
      <w:r>
        <w:rPr>
          <w:b/>
        </w:rPr>
        <w:t>一</w:t>
      </w:r>
      <w:r>
        <w:rPr>
          <w:b/>
        </w:rPr>
        <w:t>：</w:t>
      </w:r>
      <w:r>
        <w:rPr>
          <w:b/>
        </w:rPr>
        <w:t>中山市文化艺术中心2024年度物业管理服务采购项目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1.采购代理机构：本项目是指中山市政府采购中心，负责整个采购活动的组织，依法负责编制和发布招标文件，对招标文件拥有最终的解释权，不以任何身份出任评标委员会成员。</w:t>
      </w:r>
    </w:p>
    <w:p>
      <w:pPr>
        <w:ind w:firstLine="480"/>
      </w:pPr>
      <w:r>
        <w:rPr/>
        <w:t>2.采购人：本项目是指</w:t>
      </w:r>
      <w:r>
        <w:rPr/>
        <w:t>中山市文化艺术中心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根据实际情况填写。具体情况根据开标时现场采购机构人员设置为准。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中山市政府采购中心</w:t>
      </w:r>
      <w:r>
        <w:rPr/>
        <w:t>代收。具体操作要求详见</w:t>
      </w:r>
      <w:r>
        <w:rPr/>
        <w:t>中山市政府采购中心</w:t>
      </w:r>
      <w:r>
        <w:rPr/>
        <w:t>有关指引，递交事宜请自行咨询</w:t>
      </w:r>
      <w:r>
        <w:rPr/>
        <w:t>中山市政府采购中心</w:t>
      </w:r>
      <w:r>
        <w:rPr/>
        <w:t>；请各投标人在投标文件递交截止时间前按须知前附表规定的金额递交至</w:t>
      </w:r>
      <w:r>
        <w:rPr/>
        <w:t>中山市政府采购中心</w:t>
      </w:r>
      <w:r>
        <w:rPr/>
        <w:t>，到账情况以开标时</w:t>
      </w:r>
      <w:r>
        <w:rPr/>
        <w:t>中山市政府采购中心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刘小姐/李小姐</w:t>
      </w:r>
    </w:p>
    <w:p>
      <w:pPr>
        <w:ind w:firstLine="480"/>
      </w:pPr>
      <w:r>
        <w:rPr/>
        <w:t>电话：</w:t>
      </w:r>
      <w:r>
        <w:rPr/>
        <w:t>0760-89817062/0760-89817317</w:t>
      </w:r>
    </w:p>
    <w:p>
      <w:pPr>
        <w:ind w:firstLine="480"/>
      </w:pPr>
      <w:r>
        <w:rPr/>
        <w:t>传真：</w:t>
      </w:r>
      <w:r>
        <w:rPr/>
        <w:t>/</w:t>
      </w:r>
    </w:p>
    <w:p>
      <w:pPr>
        <w:ind w:firstLine="480"/>
      </w:pPr>
      <w:r>
        <w:rPr/>
        <w:t>邮箱：</w:t>
      </w:r>
      <w:r>
        <w:rPr/>
        <w:t>3529316724@qq.com</w:t>
      </w:r>
    </w:p>
    <w:p>
      <w:pPr>
        <w:ind w:firstLine="480"/>
      </w:pPr>
      <w:r>
        <w:rPr/>
        <w:t>地址：</w:t>
      </w:r>
      <w:r>
        <w:rPr/>
        <w:t>中山市博爱六路22号政务服务大厅二楼D区公共资源交易中心</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采购包1(物业管理服务包)：综合评分法,是指投标文件满足招标文件全部实质性要求，且按照评审因素的量化指标评审得分最高的投标人为中标候选人的评标方法。（最低报价不是中标的唯一依据。）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中山市政府采购中心</w:t>
      </w:r>
      <w:r>
        <w:rPr/>
        <w:t>统一对外发布。</w:t>
      </w:r>
    </w:p>
    <w:p>
      <w:pPr>
        <w:ind w:firstLine="480"/>
      </w:pPr>
      <w:r>
        <w:rPr/>
        <w:t>（2）对</w:t>
      </w:r>
      <w:r>
        <w:rPr/>
        <w:t>中山市政府采购中心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采购包1（物业管理服务包）：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采购包1（物业管理服务包）：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招标文件第六章“格式一”提供《投标函》，对应内容为《投标函》的第十条和第十一条）</w:t>
            </w:r>
          </w:p>
        </w:tc>
      </w:tr>
      <w:tr>
        <w:tc>
          <w:tcPr>
            <w:tcW w:type="dxa" w:w="890"/>
          </w:tcPr>
          <w:p>
            <w:r>
              <w:rPr/>
              <w:t>8</w:t>
            </w:r>
          </w:p>
        </w:tc>
        <w:tc>
          <w:tcPr>
            <w:tcW w:type="dxa" w:w="3178"/>
          </w:tcPr>
          <w:p>
            <w:r>
              <w:rPr/>
              <w:t>本采购包专门面向中小企业采购</w:t>
            </w:r>
          </w:p>
        </w:tc>
        <w:tc>
          <w:tcPr>
            <w:tcW w:type="dxa" w:w="4238"/>
          </w:tcPr>
          <w:p>
            <w:r>
              <w:rPr/>
              <w:t>本项目专门面向中小企业采购。供应商须符合本项目所属行业（物业管理）政策划分标准的中小企业。监狱企业、残疾人福利性单位视同小型、微型企业。注：中小企业声明函中行业应为填写“物业管理”或“（采购文件中明确的所属行业）”并按本招标文件第六章格式十一填写《中小企业声明函（工程、服务）》为判定标准，残疾人福利性单位以供应商填写的《残疾人福利性单位声明函》（格式见招标文件第六章）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采购包1（物业管理服务包）：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采购包1(物业管理服务包):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 (3.0分)</w:t>
            </w:r>
            <w:r>
              <w:rPr/>
              <w:t>，（等次分值选择：</w:t>
            </w:r>
            <w:r>
              <w:rPr/>
              <w:t>0.0;</w:t>
            </w:r>
            <w:r>
              <w:rPr/>
              <w:t>1.0;</w:t>
            </w:r>
            <w:r>
              <w:rPr/>
              <w:t>2.0;</w:t>
            </w:r>
            <w:r>
              <w:rPr/>
              <w:t>3.0;</w:t>
            </w:r>
            <w:r>
              <w:rPr/>
              <w:t>）</w:t>
            </w:r>
          </w:p>
        </w:tc>
        <w:tc>
          <w:tcPr>
            <w:tcW w:type="dxa" w:w="5076"/>
          </w:tcPr>
          <w:p>
            <w:pPr>
              <w:jc w:val="left"/>
            </w:pPr>
            <w:r>
              <w:rPr/>
              <w:t>评委对各投标人的总体服务模式及配套管理措施（对项目的熟悉程度、服务定位、管理目标、管理模式、质量保证）进行评审。 得3分：总体服务方案优于招标文件中“采购需求”的要求； 得2分：总体服务方案完全满足招标文件中“采购需求”的要求； 得1分：总体服务方案部分满足招标文件中“采购需求”的要求； 得0分：方案不满足要求或未提供相关资料。</w:t>
            </w:r>
          </w:p>
        </w:tc>
      </w:tr>
      <w:tr>
        <w:tc>
          <w:tcPr>
            <w:tcW w:type="dxa" w:w="922"/>
            <w:gridSpan w:val="2"/>
            <w:vMerge/>
          </w:tcPr>
          <w:p/>
        </w:tc>
        <w:tc>
          <w:tcPr>
            <w:tcW w:type="dxa" w:w="2307"/>
          </w:tcPr>
          <w:p>
            <w:pPr>
              <w:jc w:val="left"/>
            </w:pPr>
            <w:r>
              <w:rPr/>
              <w:t>安全保卫和交通服务方案 (4.0分)</w:t>
            </w:r>
            <w:r>
              <w:rPr/>
              <w:t>，（等次分值选择：</w:t>
            </w:r>
            <w:r>
              <w:rPr/>
              <w:t>0.0;</w:t>
            </w:r>
            <w:r>
              <w:rPr/>
              <w:t>1.0;</w:t>
            </w:r>
            <w:r>
              <w:rPr/>
              <w:t>3.0;</w:t>
            </w:r>
            <w:r>
              <w:rPr/>
              <w:t>4.0;</w:t>
            </w:r>
            <w:r>
              <w:rPr/>
              <w:t>）</w:t>
            </w:r>
          </w:p>
        </w:tc>
        <w:tc>
          <w:tcPr>
            <w:tcW w:type="dxa" w:w="5076"/>
          </w:tcPr>
          <w:p>
            <w:pPr>
              <w:jc w:val="left"/>
            </w:pPr>
            <w:r>
              <w:rPr/>
              <w:t>评委对各投标人提供的安全保卫和交通服务方案进行评审。 得4分：安全保卫和交通服务方案优于招标文件中“采购需求”的要求； 得3分：安全保卫和交通服务方案完全满足招标文件中“采购需求”的要求； 得1分：安全保卫和交通服务方案部分满足招标文件中“采购需求”的要求； 得0分：方案不满足要求或未提供相关资料。</w:t>
            </w:r>
          </w:p>
        </w:tc>
      </w:tr>
      <w:tr>
        <w:tc>
          <w:tcPr>
            <w:tcW w:type="dxa" w:w="922"/>
            <w:gridSpan w:val="2"/>
            <w:vMerge/>
          </w:tcPr>
          <w:p/>
        </w:tc>
        <w:tc>
          <w:tcPr>
            <w:tcW w:type="dxa" w:w="2307"/>
          </w:tcPr>
          <w:p>
            <w:pPr>
              <w:jc w:val="left"/>
            </w:pPr>
            <w:r>
              <w:rPr/>
              <w:t>消防安全管理方案 (4.0分)</w:t>
            </w:r>
            <w:r>
              <w:rPr/>
              <w:t>，（等次分值选择：</w:t>
            </w:r>
            <w:r>
              <w:rPr/>
              <w:t>0.0;</w:t>
            </w:r>
            <w:r>
              <w:rPr/>
              <w:t>1.0;</w:t>
            </w:r>
            <w:r>
              <w:rPr/>
              <w:t>3.0;</w:t>
            </w:r>
            <w:r>
              <w:rPr/>
              <w:t>4.0;</w:t>
            </w:r>
            <w:r>
              <w:rPr/>
              <w:t>）</w:t>
            </w:r>
          </w:p>
        </w:tc>
        <w:tc>
          <w:tcPr>
            <w:tcW w:type="dxa" w:w="5076"/>
          </w:tcPr>
          <w:p>
            <w:pPr>
              <w:jc w:val="left"/>
            </w:pPr>
            <w:r>
              <w:rPr/>
              <w:t>评委对各投标人提供的消防安全管理方案进行评审。 得4分：消防安全管理方案优于招标文件中“采购需求”的要求； 得3分：消防安全管理方案完全满足招标文件中“采购需求”的要求； 得1分：消防安全管理方案部分满足招标文件中“采购需求”的要求； 得0分：方案不满足要求或未提供相关资料。</w:t>
            </w:r>
          </w:p>
        </w:tc>
      </w:tr>
      <w:tr>
        <w:tc>
          <w:tcPr>
            <w:tcW w:type="dxa" w:w="922"/>
            <w:gridSpan w:val="2"/>
            <w:vMerge/>
          </w:tcPr>
          <w:p/>
        </w:tc>
        <w:tc>
          <w:tcPr>
            <w:tcW w:type="dxa" w:w="2307"/>
          </w:tcPr>
          <w:p>
            <w:pPr>
              <w:jc w:val="left"/>
            </w:pPr>
            <w:r>
              <w:rPr/>
              <w:t>保洁服务方案 (4.0分)</w:t>
            </w:r>
            <w:r>
              <w:rPr/>
              <w:t>，（等次分值选择：</w:t>
            </w:r>
            <w:r>
              <w:rPr/>
              <w:t>0.0;</w:t>
            </w:r>
            <w:r>
              <w:rPr/>
              <w:t>1.0;</w:t>
            </w:r>
            <w:r>
              <w:rPr/>
              <w:t>3.0;</w:t>
            </w:r>
            <w:r>
              <w:rPr/>
              <w:t>4.0;</w:t>
            </w:r>
            <w:r>
              <w:rPr/>
              <w:t>）</w:t>
            </w:r>
          </w:p>
        </w:tc>
        <w:tc>
          <w:tcPr>
            <w:tcW w:type="dxa" w:w="5076"/>
          </w:tcPr>
          <w:p>
            <w:pPr>
              <w:jc w:val="left"/>
            </w:pPr>
            <w:r>
              <w:rPr/>
              <w:t>评委对各投标人提供的保洁服务方案进行评审。 得4分：保洁服务方案优于招标文件中“采购需求”的要求； 得3分：保洁服务方案完全满足招标文件中“采购需求”的要求； 得1分：保洁服务方案部分满足招标文件中“采购需求”的要求； 得0分：方案不满足要求或未提供相关资料。</w:t>
            </w:r>
          </w:p>
        </w:tc>
      </w:tr>
      <w:tr>
        <w:tc>
          <w:tcPr>
            <w:tcW w:type="dxa" w:w="922"/>
            <w:gridSpan w:val="2"/>
            <w:vMerge/>
          </w:tcPr>
          <w:p/>
        </w:tc>
        <w:tc>
          <w:tcPr>
            <w:tcW w:type="dxa" w:w="2307"/>
          </w:tcPr>
          <w:p>
            <w:pPr>
              <w:jc w:val="left"/>
            </w:pPr>
            <w:r>
              <w:rPr/>
              <w:t>绿化服务方案 (4.0分)</w:t>
            </w:r>
            <w:r>
              <w:rPr/>
              <w:t>，（等次分值选择：</w:t>
            </w:r>
            <w:r>
              <w:rPr/>
              <w:t>0.0;</w:t>
            </w:r>
            <w:r>
              <w:rPr/>
              <w:t>1.0;</w:t>
            </w:r>
            <w:r>
              <w:rPr/>
              <w:t>3.0;</w:t>
            </w:r>
            <w:r>
              <w:rPr/>
              <w:t>4.0;</w:t>
            </w:r>
            <w:r>
              <w:rPr/>
              <w:t>）</w:t>
            </w:r>
          </w:p>
        </w:tc>
        <w:tc>
          <w:tcPr>
            <w:tcW w:type="dxa" w:w="5076"/>
          </w:tcPr>
          <w:p>
            <w:pPr>
              <w:jc w:val="left"/>
            </w:pPr>
            <w:r>
              <w:rPr/>
              <w:t>评委对各投标人提供的绿化服务方案进行评审。 得4分：绿化服务方案优于招标文件中“采购需求”的要求； 得3分：绿化服务方案完全满足招标文件中“采购需求”的要求； 得1分：绿化服务方案部分满足招标文件中“采购需求”的要求； 得0分：方案不满足要求或未提供相关资料。</w:t>
            </w:r>
          </w:p>
        </w:tc>
      </w:tr>
      <w:tr>
        <w:tc>
          <w:tcPr>
            <w:tcW w:type="dxa" w:w="922"/>
            <w:gridSpan w:val="2"/>
            <w:vMerge/>
          </w:tcPr>
          <w:p/>
        </w:tc>
        <w:tc>
          <w:tcPr>
            <w:tcW w:type="dxa" w:w="2307"/>
          </w:tcPr>
          <w:p>
            <w:pPr>
              <w:jc w:val="left"/>
            </w:pPr>
            <w:r>
              <w:rPr/>
              <w:t>设备水电维修维护服务方案 (4.0分)</w:t>
            </w:r>
            <w:r>
              <w:rPr/>
              <w:t>，（等次分值选择：</w:t>
            </w:r>
            <w:r>
              <w:rPr/>
              <w:t>0.0;</w:t>
            </w:r>
            <w:r>
              <w:rPr/>
              <w:t>1.0;</w:t>
            </w:r>
            <w:r>
              <w:rPr/>
              <w:t>3.0;</w:t>
            </w:r>
            <w:r>
              <w:rPr/>
              <w:t>4.0;</w:t>
            </w:r>
            <w:r>
              <w:rPr/>
              <w:t>）</w:t>
            </w:r>
          </w:p>
        </w:tc>
        <w:tc>
          <w:tcPr>
            <w:tcW w:type="dxa" w:w="5076"/>
          </w:tcPr>
          <w:p>
            <w:pPr>
              <w:jc w:val="left"/>
            </w:pPr>
            <w:r>
              <w:rPr/>
              <w:t>评委对各投标人的设备水电维修维护服务方案进行评审。 得4分：设备水电维修维护服务方案优于招标文件中“采购需求”的要求； 得3分：设备水电维修维护服务方案完全满足招标文件中“采购需求”的要求； 得1分：设备水电维修维护服务方案部分满足招标文件中“采购需求”的要求； 得0分：方案不满足要求或未提供相关资料。</w:t>
            </w:r>
          </w:p>
        </w:tc>
      </w:tr>
      <w:tr>
        <w:tc>
          <w:tcPr>
            <w:tcW w:type="dxa" w:w="922"/>
            <w:gridSpan w:val="2"/>
            <w:vMerge/>
          </w:tcPr>
          <w:p/>
        </w:tc>
        <w:tc>
          <w:tcPr>
            <w:tcW w:type="dxa" w:w="2307"/>
          </w:tcPr>
          <w:p>
            <w:pPr>
              <w:jc w:val="left"/>
            </w:pPr>
            <w:r>
              <w:rPr/>
              <w:t>剧场服务方案 (4.0分)</w:t>
            </w:r>
            <w:r>
              <w:rPr/>
              <w:t>，（等次分值选择：</w:t>
            </w:r>
            <w:r>
              <w:rPr/>
              <w:t>0.0;</w:t>
            </w:r>
            <w:r>
              <w:rPr/>
              <w:t>1.0;</w:t>
            </w:r>
            <w:r>
              <w:rPr/>
              <w:t>3.0;</w:t>
            </w:r>
            <w:r>
              <w:rPr/>
              <w:t>4.0;</w:t>
            </w:r>
            <w:r>
              <w:rPr/>
              <w:t>）</w:t>
            </w:r>
          </w:p>
        </w:tc>
        <w:tc>
          <w:tcPr>
            <w:tcW w:type="dxa" w:w="5076"/>
          </w:tcPr>
          <w:p>
            <w:pPr>
              <w:jc w:val="left"/>
            </w:pPr>
            <w:r>
              <w:rPr/>
              <w:t>评委对各投标人对本项目的剧场服务方案进行评审。 得4分：剧场服务方案优于招标文件中“采购需求”的要求； 得3分：剧场服务方案完全满足招标文件中“采购需求”的要求； 得1分：剧场服务方案部分满足招标文件中“采购需求”的要求； 得0分：方案不满足要求或未提供相关资料。</w:t>
            </w:r>
          </w:p>
        </w:tc>
      </w:tr>
      <w:tr>
        <w:tc>
          <w:tcPr>
            <w:tcW w:type="dxa" w:w="922"/>
            <w:gridSpan w:val="2"/>
            <w:vMerge/>
          </w:tcPr>
          <w:p/>
        </w:tc>
        <w:tc>
          <w:tcPr>
            <w:tcW w:type="dxa" w:w="2307"/>
          </w:tcPr>
          <w:p>
            <w:pPr>
              <w:jc w:val="left"/>
            </w:pPr>
            <w:r>
              <w:rPr/>
              <w:t>档案管理和会务服务方案 (3.0分)</w:t>
            </w:r>
            <w:r>
              <w:rPr/>
              <w:t>，（等次分值选择：</w:t>
            </w:r>
            <w:r>
              <w:rPr/>
              <w:t>0.0;</w:t>
            </w:r>
            <w:r>
              <w:rPr/>
              <w:t>1.0;</w:t>
            </w:r>
            <w:r>
              <w:rPr/>
              <w:t>2.0;</w:t>
            </w:r>
            <w:r>
              <w:rPr/>
              <w:t>3.0;</w:t>
            </w:r>
            <w:r>
              <w:rPr/>
              <w:t>）</w:t>
            </w:r>
          </w:p>
        </w:tc>
        <w:tc>
          <w:tcPr>
            <w:tcW w:type="dxa" w:w="5076"/>
          </w:tcPr>
          <w:p>
            <w:pPr>
              <w:jc w:val="left"/>
            </w:pPr>
            <w:r>
              <w:rPr/>
              <w:t>评委对各投标人对本项目的档案管理和会务服务方案进行评审。 得3分：档案管理和会务服务方案优于招标文件中“采购需求”的要求； 得2分：档案管理和会务服务方案完全满足招标文件中“采购需求”的要求； 得1分：档案管理和会务服务方案部分满足招标文件中“采购需求”的要求； 得0分：方案不满足要求或未提供相关资料。</w:t>
            </w:r>
          </w:p>
        </w:tc>
      </w:tr>
      <w:tr>
        <w:tc>
          <w:tcPr>
            <w:tcW w:type="dxa" w:w="922"/>
            <w:gridSpan w:val="2"/>
            <w:vMerge/>
          </w:tcPr>
          <w:p/>
        </w:tc>
        <w:tc>
          <w:tcPr>
            <w:tcW w:type="dxa" w:w="2307"/>
          </w:tcPr>
          <w:p>
            <w:pPr>
              <w:jc w:val="left"/>
            </w:pPr>
            <w:r>
              <w:rPr/>
              <w:t>应急预案 (3.0分)</w:t>
            </w:r>
            <w:r>
              <w:rPr/>
              <w:t>，（等次分值选择：</w:t>
            </w:r>
            <w:r>
              <w:rPr/>
              <w:t>0.0;</w:t>
            </w:r>
            <w:r>
              <w:rPr/>
              <w:t>1.0;</w:t>
            </w:r>
            <w:r>
              <w:rPr/>
              <w:t>2.0;</w:t>
            </w:r>
            <w:r>
              <w:rPr/>
              <w:t>3.0;</w:t>
            </w:r>
            <w:r>
              <w:rPr/>
              <w:t>）</w:t>
            </w:r>
          </w:p>
        </w:tc>
        <w:tc>
          <w:tcPr>
            <w:tcW w:type="dxa" w:w="5076"/>
          </w:tcPr>
          <w:p>
            <w:pPr>
              <w:jc w:val="left"/>
            </w:pPr>
            <w:r>
              <w:rPr/>
              <w:t>评委对各投标人提供的突发事件应急预案进行评审。 得3分：应急预案方案优于招标文件中“采购需求”的要求； 得2分：应急预案方案完全满足招标文件中“采购需求”的要求； 得1分：应急预案方案部分满足招标文件中“采购需求”的要求； 得0分：方案不满足要求或未提供相关资料。</w:t>
            </w:r>
          </w:p>
        </w:tc>
      </w:tr>
      <w:tr>
        <w:tc>
          <w:tcPr>
            <w:tcW w:type="dxa" w:w="922"/>
            <w:gridSpan w:val="2"/>
            <w:vMerge/>
          </w:tcPr>
          <w:p/>
        </w:tc>
        <w:tc>
          <w:tcPr>
            <w:tcW w:type="dxa" w:w="2307"/>
          </w:tcPr>
          <w:p>
            <w:pPr>
              <w:jc w:val="left"/>
            </w:pPr>
            <w:r>
              <w:rPr/>
              <w:t>企业管理情况 (2.0分)</w:t>
            </w:r>
            <w:r>
              <w:rPr/>
              <w:t>，（等次分值选择：</w:t>
            </w:r>
            <w:r>
              <w:rPr/>
              <w:t>0.0;</w:t>
            </w:r>
            <w:r>
              <w:rPr/>
              <w:t>1.0;</w:t>
            </w:r>
            <w:r>
              <w:rPr/>
              <w:t>1.5;</w:t>
            </w:r>
            <w:r>
              <w:rPr/>
              <w:t>2.0;</w:t>
            </w:r>
            <w:r>
              <w:rPr/>
              <w:t>）</w:t>
            </w:r>
          </w:p>
        </w:tc>
        <w:tc>
          <w:tcPr>
            <w:tcW w:type="dxa" w:w="5076"/>
          </w:tcPr>
          <w:p>
            <w:pPr>
              <w:jc w:val="left"/>
            </w:pPr>
            <w:r>
              <w:rPr/>
              <w:t>评委对各投标人提供的企业制度、人员管理、企业档案管理方案进行评审。 得2分：企业管理方案优于招标文件中“采购需求”的要求； 得1.5分：企业管理方案完全满足招标文件中“采购需求”的要求； 得1分：企业管理方案部分满足招标文件中“采购需求”的要求； 得0分：方案不满足要求或未提供相关资料。</w:t>
            </w:r>
          </w:p>
        </w:tc>
      </w:tr>
      <w:tr>
        <w:tc>
          <w:tcPr>
            <w:tcW w:type="dxa" w:w="922"/>
            <w:gridSpan w:val="2"/>
            <w:vMerge/>
          </w:tcPr>
          <w:p/>
        </w:tc>
        <w:tc>
          <w:tcPr>
            <w:tcW w:type="dxa" w:w="2307"/>
          </w:tcPr>
          <w:p>
            <w:pPr>
              <w:jc w:val="left"/>
            </w:pPr>
            <w:r>
              <w:rPr/>
              <w:t>信息化管理工具 (2.0分)</w:t>
            </w:r>
            <w:r>
              <w:rPr/>
              <w:t>，（等次分值选择：</w:t>
            </w:r>
            <w:r>
              <w:rPr/>
              <w:t>0.0;</w:t>
            </w:r>
            <w:r>
              <w:rPr/>
              <w:t>1.0;</w:t>
            </w:r>
            <w:r>
              <w:rPr/>
              <w:t>1.5;</w:t>
            </w:r>
            <w:r>
              <w:rPr/>
              <w:t>2.0;</w:t>
            </w:r>
            <w:r>
              <w:rPr/>
              <w:t>）</w:t>
            </w:r>
          </w:p>
        </w:tc>
        <w:tc>
          <w:tcPr>
            <w:tcW w:type="dxa" w:w="5076"/>
          </w:tcPr>
          <w:p>
            <w:pPr>
              <w:jc w:val="left"/>
            </w:pPr>
            <w:r>
              <w:rPr/>
              <w:t>评委对各投标人拟投入的物业或安防信息化管理平台或系统软件进行评审。方案中可提供国家版权局颁发的软件著作权登记证书或投标人开发、购买、租赁等材料证明文件。 得2分：信息化管理工具方案优于招标文件中“采购需求”的要求； 得1.5分：信息化管理工具方案完全满足招标文件中“采购需求”的要求； 得1分：信息化管理工具方案部分满足招标文件中“采购需求”的要求； 得0分：方案不满足要求或未提供相关资料。</w:t>
            </w:r>
          </w:p>
        </w:tc>
      </w:tr>
      <w:tr>
        <w:tc>
          <w:tcPr>
            <w:tcW w:type="dxa" w:w="922"/>
            <w:gridSpan w:val="2"/>
            <w:vMerge/>
          </w:tcPr>
          <w:p/>
        </w:tc>
        <w:tc>
          <w:tcPr>
            <w:tcW w:type="dxa" w:w="2307"/>
          </w:tcPr>
          <w:p>
            <w:pPr>
              <w:jc w:val="left"/>
            </w:pPr>
            <w:r>
              <w:rPr/>
              <w:t>员工工资、福利方案 (3.0分)</w:t>
            </w:r>
            <w:r>
              <w:rPr/>
              <w:t>，（等次分值选择：</w:t>
            </w:r>
            <w:r>
              <w:rPr/>
              <w:t>0.0;</w:t>
            </w:r>
            <w:r>
              <w:rPr/>
              <w:t>1.0;</w:t>
            </w:r>
            <w:r>
              <w:rPr/>
              <w:t>2.0;</w:t>
            </w:r>
            <w:r>
              <w:rPr/>
              <w:t>3.0;</w:t>
            </w:r>
            <w:r>
              <w:rPr/>
              <w:t>）</w:t>
            </w:r>
          </w:p>
        </w:tc>
        <w:tc>
          <w:tcPr>
            <w:tcW w:type="dxa" w:w="5076"/>
          </w:tcPr>
          <w:p>
            <w:pPr>
              <w:jc w:val="left"/>
            </w:pPr>
            <w:r>
              <w:rPr/>
              <w:t>评委对各投标人提供的员工工资、福利方案进行评审。 得3分：员工工资、福利方案优于招标文件中“采购需求”的要求； 得2分：员工工资、福利方案完全满足招标文件中“采购需求”的要求； 得1分：员工工资、福利方案部分满足招标文件中“采购需求”的要求； 得0分：方案不满足要求或未提供相关资料。</w:t>
            </w:r>
          </w:p>
        </w:tc>
      </w:tr>
      <w:tr>
        <w:tc>
          <w:tcPr>
            <w:tcW w:type="dxa" w:w="922"/>
            <w:gridSpan w:val="2"/>
            <w:vMerge w:val="restart"/>
          </w:tcPr>
          <w:p>
            <w:pPr>
              <w:jc w:val="center"/>
            </w:pPr>
            <w:r>
              <w:rPr/>
              <w:t>商务部分</w:t>
            </w:r>
          </w:p>
        </w:tc>
        <w:tc>
          <w:tcPr>
            <w:tcW w:type="dxa" w:w="2307"/>
          </w:tcPr>
          <w:p>
            <w:pPr>
              <w:jc w:val="left"/>
            </w:pPr>
            <w:r>
              <w:rPr/>
              <w:t>企业认证 (7.0分)</w:t>
            </w:r>
          </w:p>
        </w:tc>
        <w:tc>
          <w:tcPr>
            <w:tcW w:type="dxa" w:w="5076"/>
          </w:tcPr>
          <w:p>
            <w:pPr>
              <w:jc w:val="left"/>
            </w:pPr>
            <w:r>
              <w:rPr/>
              <w:t>评标委员会应根据投标人提供的以下证书进行评审： 1.投标人具有有效的质量管理体系认证，得1分。 2.投标人具有有效的环境管理体系认证，得1分。 3.投标人具有有效的职业健康安全管理体系认证，得1分。 4.投标人具有有效的保安服务认证证书，得1分。 5.投标人具有有效的生活垃圾分类服务能力认证证书，得1分。 6.投标人具有有效的物业服务体系认证证书，得1分。 7.投标人具有有效的信息安全管理体系认证证书，得1分。 注意事项： （1）投标文件中提供认证证书复印件。 （2）投标文件中提供以上认证在“全国认证认可信息公共服务平台”的查询截图（网址：http://cx.cnca.cn/），截图必须含有“证书编号”“证书状态”的内容，截图中的“证书状态”应处于“有效”状态。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业绩 (5.0分)</w:t>
            </w:r>
          </w:p>
        </w:tc>
        <w:tc>
          <w:tcPr>
            <w:tcW w:type="dxa" w:w="5076"/>
          </w:tcPr>
          <w:p>
            <w:pPr>
              <w:jc w:val="left"/>
            </w:pPr>
            <w:r>
              <w:rPr/>
              <w:t>评标委员会应根据投标人提供的业绩进行评审： 投标人2019年以来开展物业管理服务项目的业绩情况，每份业绩得1分，满分5分。 注意事项：投标文件中提供业绩合同复印件。业绩合同履行期限在2019年1月1日（含）之后结束的，均符合“2019年以来”的要求。未按以上要求提供的不得分。</w:t>
            </w:r>
          </w:p>
        </w:tc>
      </w:tr>
      <w:tr>
        <w:tc>
          <w:tcPr>
            <w:tcW w:type="dxa" w:w="922"/>
            <w:gridSpan w:val="2"/>
            <w:vMerge/>
          </w:tcPr>
          <w:p/>
        </w:tc>
        <w:tc>
          <w:tcPr>
            <w:tcW w:type="dxa" w:w="2307"/>
          </w:tcPr>
          <w:p>
            <w:pPr>
              <w:jc w:val="left"/>
            </w:pPr>
            <w:r>
              <w:rPr/>
              <w:t>项目经理评审 (8.0分)</w:t>
            </w:r>
          </w:p>
        </w:tc>
        <w:tc>
          <w:tcPr>
            <w:tcW w:type="dxa" w:w="5076"/>
          </w:tcPr>
          <w:p>
            <w:pPr>
              <w:jc w:val="left"/>
            </w:pPr>
            <w:r>
              <w:rPr/>
              <w:t>评标委员会对项目经理以下证书进行评审： 得分前提：拟投入项目经理为投标人员工。（提供投标人为项目经理购买的社保证明复印件，社保时间要求在2023年3月至8月中任意一个月） 证书一（满分2分）：持有本科或以上学历证书的得2分，持有专科或同等学历证书的得0.5分。（提供资料：学历证书复印件；学历在“中国高等教育学生信息网（学信网）（https://www.chsi.com.cn/）”的查询截图。） 证书二（满分3分）：持有政府相关职能部门颁发的一级注册消防工程师证，得3分。（提供资料：一级注册消防工程师证书复印件，该证书在“社会消防技术服务信息系统平台（https://shhxf.119.gov.cn/templet/search.jsp）”的查询截图，截图包含“级别”“注册有效期”“注册号”“聘用单位名称”的内容，“聘用单位”与投标人名称一致。） 证书三（满分3分）：持有政府相关职能部门颁发的注册安全工程师执业资格证书的得3分。（提供资料：注册安全工程师执业资格证书复印件；证书注册到投标人的相关证明材料。） 注意事项：如同时提供上述两类或以上证书，则所提供的证书必须为同一人持有，否则提供的证书均不得分。以上证书持有人为中标后拟投入本项目的项目经理。</w:t>
            </w:r>
          </w:p>
        </w:tc>
      </w:tr>
      <w:tr>
        <w:tc>
          <w:tcPr>
            <w:tcW w:type="dxa" w:w="922"/>
            <w:gridSpan w:val="2"/>
            <w:vMerge/>
          </w:tcPr>
          <w:p/>
        </w:tc>
        <w:tc>
          <w:tcPr>
            <w:tcW w:type="dxa" w:w="2307"/>
          </w:tcPr>
          <w:p>
            <w:pPr>
              <w:jc w:val="left"/>
            </w:pPr>
            <w:r>
              <w:rPr/>
              <w:t>项目副经理 (8.0分)</w:t>
            </w:r>
          </w:p>
        </w:tc>
        <w:tc>
          <w:tcPr>
            <w:tcW w:type="dxa" w:w="5076"/>
          </w:tcPr>
          <w:p>
            <w:pPr>
              <w:jc w:val="left"/>
            </w:pPr>
            <w:r>
              <w:rPr/>
              <w:t>评标委员会对项目副经理以下证书进行评审： 得分前提：拟投入项目副经理为投标人员工。（提供投标人为项目副经理购买的社保证明复印件，社保时间要求在2023年3月至8月中任意一个月） 证书一（满分1分）：持有本科或以上学历证书的得1分。持有专科或同等学历证书的得0.5分。（提供资料：学历证书复印件；学历在“中国高等教育学生信息网（学信网）（https://www.chsi.com.cn/）”的查询截图。） 证书二（满分1分）：持有政府相关职能部门颁发的社会工作者职业资格证书，的1分。（提供资料：证书复印件） 证书三（满分2分）：持有政府相关职能部门颁发的保安员职业资格证书（二级/技师或以上），得2分。保安员职业资格证书（三级/高级工或以下），得1分。（提供资料：证书复印件；证书在“全国人力资源和社会保障政务服务平台（http://www.12333.gov.cn/portal/service_catalog）”的查询截图，截图必须含有“证书编号”“职业（工种）名称”的内容。） 证书四（满分1分）：持有政府相关职能部门颁发的《消防设施操作员》（或《建（构）筑物消防员》）证书（四级/中级工或以上），得1分。（提供资料：证书复印件；证书在“全国人力资源和社会保障政务服务平台（http://www.12333.gov.cn/portal/service_catalog）”的查询截图，截图必须含有“证书编号”“ 职业（工种）名称”“技能等级”的内容。） 证书五（满分1分）：持有政府相关职能部门颁发的应急救援员证书，得1分。（提供资料：证书复印件；证书在“全国人力资源和社会保障政务服务平台（http://www.12333.gov.cn/portal/service_catalog）”的查询截图，截图必须含有“证书编号”“ 职业（工种）名称”的内容。） 证书六（满分1分）：持有政府相关职能部门颁发的《特种设备安全管理和作业人员证》（或《特种设备作业人员证》），得1分。（提供资料：证书复印件；证书在“全国特种设备公示信息查询平台（https://cnse.e-cqs.cn/info-pub/pub）”的查询截图，截图必须含有“有效日期”的内容。） 证书七（满分1分）：持有人力资源和社会保障部门部门颁发的中级经济专业技术资格-人力资源管理，得1分；初级经济专业技术资格-人力资源管理，得0.5分。（提供资料：证书复印件；证书在“全国专业技术人员职业资格证书查询验证系统（https://zs.cpta.com.cn/certMng/loginPage.jsp?src=2）”的查询截图.） 注意事项：如同时提供上述两类或以上证书，则所提供的证书必须为同一人持有，否则提供的证书均不得分。以上证书持有人为中标后拟投入本项目的项目副经理。</w:t>
            </w:r>
          </w:p>
        </w:tc>
      </w:tr>
      <w:tr>
        <w:tc>
          <w:tcPr>
            <w:tcW w:type="dxa" w:w="922"/>
            <w:gridSpan w:val="2"/>
            <w:vMerge/>
          </w:tcPr>
          <w:p/>
        </w:tc>
        <w:tc>
          <w:tcPr>
            <w:tcW w:type="dxa" w:w="2307"/>
          </w:tcPr>
          <w:p>
            <w:pPr>
              <w:jc w:val="left"/>
            </w:pPr>
            <w:r>
              <w:rPr/>
              <w:t>保安主管 (7.0分)</w:t>
            </w:r>
          </w:p>
        </w:tc>
        <w:tc>
          <w:tcPr>
            <w:tcW w:type="dxa" w:w="5076"/>
          </w:tcPr>
          <w:p>
            <w:pPr>
              <w:jc w:val="left"/>
            </w:pPr>
            <w:r>
              <w:rPr/>
              <w:t>评标委员会对保安主管以下证书进行评审： 得分前提：拟投入保安主管为投标人员工。（提供投标人为保安主管购买的社保证明复印件，社保时间要求在2023年3月至8月中任意一个月） 证书一（满分2分）：持有大专或以上学历证书的得2分。（提供资料：学历证书复印件；学历在“中国高等教育学生信息网（学信网）（https://www.chsi.com.cn/）”的查询截图。） 证书二（满分2分）：持有政府相关职能部门颁发的保安员职业资格证书（二级/技师级或以上），得2分。保安员职业资格证书（三级/高级工或以下），得1分。（提供资料：证书复印件；证书在“全国人力资源和社会保障政务服务平台（http://www.12333.gov.cn/portal/service_catalog）”的查询截图，截图必须含有“证书编号”“职业（工种）名称”的内容。） 证书三（满分2分）：持有政府相关职能部门颁发的《建（构）筑物消防员证》或《消防设施操作员证》中级（四级/中级工或以上），得2分。（提供资料：证书复印件；“全国人力资源和社会保障政务服务平台（http://www.12333.gov.cn/portal/service_catalog）”的查询截图，截图必须含有“证书编号”“ 职业（工种）名称”“技能等级”的内容。） 证书四（满分1分）：持有政府相关部门颁发的退伍军人或退役军人相关证书，得1分。（提供资料：证书复印件） 注意事项：如同时提供上述两类或以上证书，则所提供的证书必须为同一人持有，否则提供的证书均不得分。以上证书持有人为中标后拟投入本项目的保安主管。</w:t>
            </w:r>
          </w:p>
        </w:tc>
      </w:tr>
      <w:tr>
        <w:tc>
          <w:tcPr>
            <w:tcW w:type="dxa" w:w="922"/>
            <w:gridSpan w:val="2"/>
            <w:vMerge/>
          </w:tcPr>
          <w:p/>
        </w:tc>
        <w:tc>
          <w:tcPr>
            <w:tcW w:type="dxa" w:w="2307"/>
          </w:tcPr>
          <w:p>
            <w:pPr>
              <w:jc w:val="left"/>
            </w:pPr>
            <w:r>
              <w:rPr/>
              <w:t>绿化主管 (3.0分)</w:t>
            </w:r>
          </w:p>
        </w:tc>
        <w:tc>
          <w:tcPr>
            <w:tcW w:type="dxa" w:w="5076"/>
          </w:tcPr>
          <w:p>
            <w:pPr>
              <w:jc w:val="left"/>
            </w:pPr>
            <w:r>
              <w:rPr/>
              <w:t>评标委员会对绿化主管以下证书进行评审： 得分前提：拟投入绿化主管为投标人员工。（提供投标人为绿化主管购买的社保证明复印件，社保时间要求在2023年3月至8月中任意一个月） 证书一（满分3分）：持有政府相关职能部门颁发的园林绿化相关工程师（中级或以上）证书，得3分。持有政府相关职能部门颁发的园林绿化相关助理工程师（初级）证书，得1分。（提供资料：证书复印件） 注意事项：以上证书持有人为中标后拟投入本项目的绿化主管。</w:t>
            </w:r>
          </w:p>
        </w:tc>
      </w:tr>
      <w:tr>
        <w:tc>
          <w:tcPr>
            <w:tcW w:type="dxa" w:w="922"/>
            <w:gridSpan w:val="2"/>
            <w:vMerge/>
          </w:tcPr>
          <w:p/>
        </w:tc>
        <w:tc>
          <w:tcPr>
            <w:tcW w:type="dxa" w:w="2307"/>
          </w:tcPr>
          <w:p>
            <w:pPr>
              <w:jc w:val="left"/>
            </w:pPr>
            <w:r>
              <w:rPr/>
              <w:t>总控室领班 (5.0分)</w:t>
            </w:r>
          </w:p>
        </w:tc>
        <w:tc>
          <w:tcPr>
            <w:tcW w:type="dxa" w:w="5076"/>
          </w:tcPr>
          <w:p>
            <w:pPr>
              <w:jc w:val="left"/>
            </w:pPr>
            <w:r>
              <w:rPr/>
              <w:t>评标委员会对项目总控室领班以下证书进行评审： 得分前提：拟投入总控室领班为投标人员工。（提供投标人为总控室领班购买的社保证明复印件，社保时间要求在2023年3月至8月中任意一个月） 证书一（满分1分）：持有政府相关职能部门颁发的《特种作业操作证》（高处作业）的，得1分。（提供资料：证书复印件；证书在“特种作业操作证及安全生产知识和管理能力考核合格信息查询平台（https://cx.mem.gov.cn/）”的查询截图，截图必须含有“作业类别”“操作项目”“有效期结束时间”的内容。） 证书二（满分1分）：持有政府相关职能部门颁发的《建（构）筑物消防员证》或《消防设施操作员证》中级（四级/中级或以上），得1分。（提供资料：证书复印件；“全国人力资源和社会保障政务服务平台（http://www.12333.gov.cn/portal/service_catalog）”的查询截图，截图必须含有“证书编号”“ 职业（工种）名称”“技能等级”的内容。） 证书三（满分2分）：持有政府相关职能部门颁发的《特种作业操作证》（高压电工）得1分，《特种作业操作证》（低压电工）得1分，本项最高得2分。（提供资料：证书复印件；证书在“特种作业操作证及安全生产知识和管理能力考核合格信息查询平台（https://cx.mem.gov.cn/）”的查询截图，截图必须含有“作业类别”“操作项目”“有效期结束时间”的内容。） 证书四（满分1分）：持有政府相关职能部门颁发的《特种设备安全管理和作业人员证》（或《特种设备作业人员证》），得1分。（提供资料：证书复印件；证书在“全国特种设备公示信息查询平台（https://cnse.e-cqs.cn/info-pub/pub）”的查询截图，截图必须含有“有效日期”的内容。） 注意事项：如同时提供上述两类或以上证书，则所提供的证书必须为同一人持有，否则提供的证书均不得分。以上证书持有人为中标后拟投入本项目的总控室领班。</w:t>
            </w:r>
          </w:p>
        </w:tc>
      </w:tr>
      <w:tr>
        <w:tc>
          <w:tcPr>
            <w:tcW w:type="dxa" w:w="922"/>
            <w:gridSpan w:val="2"/>
            <w:vMerge/>
          </w:tcPr>
          <w:p/>
        </w:tc>
        <w:tc>
          <w:tcPr>
            <w:tcW w:type="dxa" w:w="2307"/>
          </w:tcPr>
          <w:p>
            <w:pPr>
              <w:jc w:val="left"/>
            </w:pPr>
            <w:r>
              <w:rPr/>
              <w:t>维修养护主管 (7.0分)</w:t>
            </w:r>
          </w:p>
        </w:tc>
        <w:tc>
          <w:tcPr>
            <w:tcW w:type="dxa" w:w="5076"/>
          </w:tcPr>
          <w:p>
            <w:pPr>
              <w:jc w:val="left"/>
            </w:pPr>
            <w:r>
              <w:rPr/>
              <w:t>评标委员会对项目维修养护主管以下证书进行评审： 得分前提：拟投入维修养护主管为投标人员工。（提供投标人为维修养护主管购买的社保证明复印件，社保时间要求在2023年3月至8月中任意一个月） 证书一（满分2分）：持有大专或以上学历证书的得2分。（提供资料：学历证书复印件；学历在“中国高等教育学生信息网（学信网）（https://www.chsi.com.cn/）”的查询截图） 证书二：（满分5分）：持有相关政府人社部门颁发的电力系统及自动化专业相关的工程师职称中级或以上证书的得5分，初级证书的得3分。（提供资料：证书复印件；证书在“全国人力资源和社会保障政务服务平台（http://www.12333.gov.cn/portal/service_catalog）”的查询截图，截图必须含有“证书编号”、“职称”的内容）。 注意事项：如同时提供上述两类或以上证书，则所提供的证书必须为同一人持有，否则提供的证书均不得分。以上证书持有人为中标后拟投入本项目的维修养护主管。</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1.中标人与采购人应于中标通知书发出之日起30天内签订政府采购合同，并约定进场服务时间。招标文件、投标文件、中标通知书、考核办法应作为合同附件。</w:t>
      </w:r>
      <w:r>
        <w:br/>
      </w:r>
      <w:r>
        <w:rPr>
          <w:color w:val="222222"/>
          <w:sz w:val="27"/>
        </w:rPr>
        <w:t xml:space="preserve">    2.采购人按月份考核服务情况。</w:t>
      </w:r>
      <w:r>
        <w:br/>
      </w:r>
      <w:r>
        <w:rPr>
          <w:color w:val="222222"/>
          <w:sz w:val="27"/>
        </w:rPr>
        <w:t xml:space="preserve">    3.采购人以平均每月服务费用金额按月支付中标人服务费用（平均每月服务费用金额=合同金额÷服务期内月度数量）。</w:t>
      </w:r>
      <w:r>
        <w:br/>
      </w:r>
      <w:r>
        <w:rPr>
          <w:color w:val="222222"/>
          <w:sz w:val="27"/>
        </w:rPr>
        <w:t xml:space="preserve">    4.费用支付流程：采购人在中标人每月结束后，于下月10日前对中标人的月度物业管理服务情况进行考评，结合考评情况（扣除考核罚款），中标人于每月15号前（如遇国家法定节假日或不可抗力将顺延）将考核月度的物业管理费结算资料送达采购人，采购人确认考核月度的物业管理费实际结算金额于每月20日前通过财政支付的相关手续办理支付考核月度物业管理费。</w:t>
      </w:r>
      <w:r>
        <w:br/>
      </w:r>
      <w:r>
        <w:rPr>
          <w:color w:val="222222"/>
          <w:sz w:val="27"/>
        </w:rPr>
        <w:t xml:space="preserve">    注：上述所指的结算资料包括：（1）月总结报告；（2）考核评分表；（3）整改相关通知书（如无整改问题，无需提供）；（4）采购人认为有必要提供的其他资料。</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1.乙方提供的服务不符合本合同规定的，甲方有权拒收，并且乙方须向甲方支付本合同总价</w:t>
      </w:r>
      <w:r>
        <w:rPr>
          <w:color w:val="222222"/>
          <w:sz w:val="27"/>
          <w:u w:val="single"/>
        </w:rPr>
        <w:t xml:space="preserve">  </w:t>
      </w:r>
      <w:r>
        <w:rPr>
          <w:color w:val="222222"/>
          <w:sz w:val="27"/>
        </w:rPr>
        <w:t>%的违约金。</w:t>
      </w:r>
    </w:p>
    <w:p>
      <w:pPr>
        <w:jc w:val="both"/>
      </w:pPr>
      <w:r>
        <w:rPr>
          <w:color w:val="222222"/>
          <w:sz w:val="27"/>
        </w:rPr>
        <w:t>　　2.乙方未能按本合同规定的交货时间提供服务，从逾期之日起每日按本合同总价</w:t>
      </w:r>
      <w:r>
        <w:rPr>
          <w:color w:val="222222"/>
          <w:sz w:val="27"/>
          <w:u w:val="single"/>
        </w:rPr>
        <w:t xml:space="preserve">  </w:t>
      </w:r>
      <w:r>
        <w:rPr>
          <w:color w:val="222222"/>
          <w:sz w:val="27"/>
        </w:rPr>
        <w:t>‰的数额向甲方支付违约金；逾期</w:t>
      </w:r>
      <w:r>
        <w:rPr>
          <w:color w:val="222222"/>
          <w:sz w:val="27"/>
          <w:u w:val="single"/>
        </w:rPr>
        <w:t xml:space="preserve">  </w:t>
      </w:r>
      <w:r>
        <w:rPr>
          <w:color w:val="222222"/>
          <w:sz w:val="27"/>
        </w:rPr>
        <w:t>个月以上的，甲方有权终止合同，由此造成的甲方经济损失由乙方承担。</w:t>
      </w:r>
    </w:p>
    <w:p>
      <w:pPr>
        <w:jc w:val="both"/>
      </w:pPr>
      <w:r>
        <w:rPr>
          <w:color w:val="222222"/>
          <w:sz w:val="27"/>
        </w:rPr>
        <w:t>　　3.甲方无正当理由拒收接受服务，到期拒付服务款项的，甲方向乙方偿付本合同总的</w:t>
      </w:r>
      <w:r>
        <w:rPr>
          <w:color w:val="222222"/>
          <w:sz w:val="27"/>
          <w:u w:val="single"/>
        </w:rPr>
        <w:t xml:space="preserve">  </w:t>
      </w:r>
      <w:r>
        <w:rPr>
          <w:color w:val="222222"/>
          <w:sz w:val="27"/>
        </w:rPr>
        <w:t>%的违约金。甲方逾期付款，则每日按本合同总价的</w:t>
      </w:r>
      <w:r>
        <w:rPr>
          <w:color w:val="222222"/>
          <w:sz w:val="27"/>
          <w:u w:val="single"/>
        </w:rPr>
        <w:t xml:space="preserve">  </w:t>
      </w:r>
      <w:r>
        <w:rPr>
          <w:color w:val="222222"/>
          <w:sz w:val="27"/>
        </w:rPr>
        <w:t>‰向乙方偿付违约金。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w:t>
      </w:r>
      <w:r>
        <w:rPr>
          <w:color w:val="222222"/>
          <w:sz w:val="27"/>
          <w:u w:val="single"/>
        </w:rPr>
        <w:t xml:space="preserve">  </w:t>
      </w:r>
      <w:r>
        <w:rPr>
          <w:color w:val="222222"/>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442000-2023-04064</w:t>
      </w:r>
    </w:p>
    <w:p>
      <w:pPr>
        <w:jc w:val="center"/>
      </w:pPr>
      <w:r>
        <w:rPr>
          <w:b/>
          <w:sz w:val="24"/>
        </w:rPr>
        <w:t>采购项目编号：</w:t>
      </w:r>
      <w:r>
        <w:rPr>
          <w:b/>
          <w:sz w:val="24"/>
        </w:rPr>
        <w:t>CGZX-CG202309034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中山市政府采购中心</w:t>
      </w:r>
    </w:p>
    <w:p>
      <w:pPr>
        <w:ind w:firstLine="480"/>
      </w:pPr>
      <w:r>
        <w:rPr/>
        <w:t>你方组织的</w:t>
      </w:r>
      <w:r>
        <w:rPr>
          <w:u w:val="single"/>
        </w:rPr>
        <w:t>“</w:t>
      </w:r>
      <w:r>
        <w:rPr>
          <w:u w:val="single"/>
        </w:rPr>
        <w:t>中山市文化艺术中心2024年度物业管理服务采购项目</w:t>
      </w:r>
      <w:r>
        <w:rPr>
          <w:u w:val="single"/>
        </w:rPr>
        <w:t>”</w:t>
      </w:r>
      <w:r>
        <w:rPr/>
        <w:t>项目的招标[采购项目编号为：</w:t>
      </w:r>
      <w:r>
        <w:rPr>
          <w:u w:val="single"/>
        </w:rPr>
        <w:t>CGZX-CG202309034</w:t>
      </w:r>
      <w:r>
        <w:rPr/>
        <w:t>]，我方愿参与投标。</w:t>
      </w:r>
    </w:p>
    <w:p>
      <w:pPr>
        <w:ind w:firstLine="480"/>
      </w:pPr>
      <w:r>
        <w:rPr/>
        <w:t>我方确认收到贵方提供的</w:t>
      </w:r>
      <w:r>
        <w:rPr>
          <w:u w:val="single"/>
        </w:rPr>
        <w:t>“</w:t>
      </w:r>
      <w:r>
        <w:rPr>
          <w:u w:val="single"/>
        </w:rPr>
        <w:t>中山市文化艺术中心2024年度物业管理服务采购项目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中山市文化艺术中心2024年度物业管理服务采购项目</w:t>
      </w:r>
      <w:r>
        <w:rPr/>
        <w:t>”项目采购[采购项目编号为</w:t>
      </w:r>
      <w:r>
        <w:rPr/>
        <w:t>CGZX-CG202309034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中山市文化艺术中心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中山市政府采购中心</w:t>
      </w:r>
    </w:p>
    <w:p>
      <w:pPr>
        <w:ind w:firstLine="480"/>
      </w:pPr>
      <w:r>
        <w:rPr/>
        <w:t>如果我方在贵采购代理机构组织的</w:t>
      </w:r>
      <w:r>
        <w:rPr/>
        <w:t>中山市文化艺术中心2024年度物业管理服务采购项目</w:t>
      </w:r>
      <w:r>
        <w:rPr/>
        <w:t>招标中获中标（采购项目编号：</w:t>
      </w:r>
      <w:r>
        <w:rPr/>
        <w:t>CGZX-CG202309034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中山市政府采购中心</w:t>
      </w:r>
    </w:p>
    <w:p>
      <w:pPr>
        <w:ind w:firstLine="480"/>
      </w:pPr>
      <w:r>
        <w:rPr/>
        <w:t>我单位已登记并准备参与“</w:t>
      </w:r>
      <w:r>
        <w:rPr/>
        <w:t>中山市文化艺术中心2024年度物业管理服务采购项目</w:t>
      </w:r>
      <w:r>
        <w:rPr/>
        <w:t>”项目（采购项目编号：</w:t>
      </w:r>
      <w:r>
        <w:rPr/>
        <w:t>CGZX-CG202309034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