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442000100-2023-00845</w:t>
      </w:r>
    </w:p>
    <w:p>
      <w:pPr>
        <w:jc w:val="center"/>
      </w:pPr>
      <w:r>
        <w:rPr>
          <w:b/>
          <w:sz w:val="24"/>
        </w:rPr>
        <w:t>采购项目编号：</w:t>
      </w:r>
      <w:r>
        <w:rPr>
          <w:b/>
          <w:sz w:val="24"/>
        </w:rPr>
        <w:t>0724-2331ZS744820</w:t>
      </w:r>
    </w:p>
    <w:p>
      <w:pPr>
        <w:jc w:val="center"/>
      </w:pPr>
      <w:r>
        <w:rPr>
          <w:b/>
          <w:sz w:val="24"/>
        </w:rPr>
        <w:t>项目名称：</w:t>
      </w:r>
      <w:r>
        <w:rPr>
          <w:b/>
          <w:sz w:val="24"/>
        </w:rPr>
        <w:t>中山市小榄人民医院钬激光治疗仪和激光光凝仪采购项目</w:t>
      </w:r>
    </w:p>
    <w:p>
      <w:pPr>
        <w:jc w:val="center"/>
      </w:pPr>
      <w:r>
        <w:rPr>
          <w:b/>
          <w:sz w:val="24"/>
        </w:rPr>
        <w:t>采购人：</w:t>
      </w:r>
      <w:r>
        <w:rPr>
          <w:b/>
          <w:sz w:val="24"/>
        </w:rPr>
        <w:t>中山市小榄人民医院</w:t>
      </w:r>
    </w:p>
    <w:p>
      <w:pPr>
        <w:jc w:val="center"/>
      </w:pPr>
      <w:r>
        <w:rPr>
          <w:b/>
          <w:sz w:val="24"/>
        </w:rPr>
        <w:t>采购代理机构：</w:t>
      </w:r>
      <w:r>
        <w:rPr>
          <w:b/>
          <w:sz w:val="24"/>
        </w:rPr>
        <w:t>国义招标股份有限公司</w:t>
      </w:r>
    </w:p>
    <w:p>
      <w:pPr>
        <w:ind w:firstLine="480"/>
      </w:pPr>
    </w:p>
    <w:p>
      <w:r>
        <w:rPr/>
        <w:t xml:space="preserve"> </w:t>
      </w:r>
    </w:p>
    <w:p/>
    <w:p>
      <w:pPr>
        <w:jc w:val="center"/>
      </w:pPr>
      <w:r>
        <w:rPr>
          <w:b/>
          <w:sz w:val="36"/>
        </w:rPr>
        <w:t>第一章投标邀请</w:t>
      </w:r>
    </w:p>
    <w:p>
      <w:pPr>
        <w:ind w:firstLine="480"/>
      </w:pPr>
      <w:r>
        <w:rPr/>
        <w:t>国义招标股份有限公司</w:t>
      </w:r>
      <w:r>
        <w:rPr/>
        <w:t>受</w:t>
      </w:r>
      <w:r>
        <w:rPr/>
        <w:t>中山市小榄人民医院</w:t>
      </w:r>
      <w:r>
        <w:rPr/>
        <w:t>的委托，采用</w:t>
      </w:r>
      <w:r>
        <w:rPr/>
        <w:t>公开招标</w:t>
      </w:r>
      <w:r>
        <w:rPr/>
        <w:t>方式组织采购</w:t>
      </w:r>
      <w:r>
        <w:rPr/>
        <w:t>中山市小榄人民医院钬激光治疗仪和激光光凝仪采购项目</w:t>
      </w:r>
      <w:r>
        <w:rPr/>
        <w:t>。欢迎符合资格条件的国内供应商参加投标。</w:t>
      </w:r>
    </w:p>
    <w:p>
      <w:r>
        <w:rPr>
          <w:b/>
          <w:sz w:val="28"/>
        </w:rPr>
        <w:t>一.项目概述</w:t>
      </w:r>
    </w:p>
    <w:p>
      <w:r>
        <w:rPr>
          <w:b/>
          <w:sz w:val="24"/>
        </w:rPr>
        <w:t>1.名称与编号</w:t>
      </w:r>
    </w:p>
    <w:p>
      <w:pPr>
        <w:ind w:firstLine="480"/>
      </w:pPr>
      <w:r>
        <w:rPr/>
        <w:t>项目名称：</w:t>
      </w:r>
      <w:r>
        <w:rPr/>
        <w:t>中山市小榄人民医院钬激光治疗仪和激光光凝仪采购项目</w:t>
      </w:r>
    </w:p>
    <w:p>
      <w:pPr>
        <w:ind w:firstLine="480"/>
      </w:pPr>
      <w:r>
        <w:rPr/>
        <w:t>采购计划编号：</w:t>
      </w:r>
      <w:r>
        <w:rPr/>
        <w:t>442000100-2023-00845</w:t>
      </w:r>
    </w:p>
    <w:p>
      <w:pPr>
        <w:ind w:firstLine="480"/>
      </w:pPr>
      <w:r>
        <w:rPr/>
        <w:t>采购项目编号：</w:t>
      </w:r>
      <w:r>
        <w:rPr/>
        <w:t>0724-2331ZS744820</w:t>
      </w:r>
    </w:p>
    <w:p>
      <w:pPr>
        <w:ind w:firstLine="480"/>
      </w:pPr>
      <w:r>
        <w:rPr/>
        <w:t>采购方式：</w:t>
      </w:r>
      <w:r>
        <w:rPr/>
        <w:t>公开招标</w:t>
      </w:r>
    </w:p>
    <w:p>
      <w:pPr>
        <w:ind w:firstLine="480"/>
      </w:pPr>
      <w:r>
        <w:rPr/>
        <w:t>预算金额：</w:t>
      </w:r>
      <w:r>
        <w:rPr/>
        <w:t>985,000.00</w:t>
      </w:r>
      <w:r>
        <w:rPr/>
        <w:t>元</w:t>
      </w:r>
    </w:p>
    <w:p>
      <w:r>
        <w:rPr>
          <w:b/>
          <w:sz w:val="24"/>
        </w:rPr>
        <w:t>2.项目内容及需求情况（采购项目技术规格、参数及要求）</w:t>
      </w:r>
    </w:p>
    <w:p>
      <w:pPr>
        <w:ind w:firstLine="480"/>
      </w:pPr>
    </w:p>
    <w:p/>
    <w:p>
      <w:r>
        <w:rPr/>
        <w:t>采购包1(钬激光治疗仪):</w:t>
      </w:r>
    </w:p>
    <w:p>
      <w:r>
        <w:rPr/>
        <w:t>采购包预算金额：485,000.00元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医用激光仪器及设备</w:t>
            </w:r>
          </w:p>
        </w:tc>
        <w:tc>
          <w:tcPr>
            <w:tcW w:type="dxa" w:w="2136"/>
          </w:tcPr>
          <w:p>
            <w:r>
              <w:rPr/>
              <w:t>钬激光治疗仪</w:t>
            </w:r>
          </w:p>
        </w:tc>
        <w:tc>
          <w:tcPr>
            <w:tcW w:type="dxa" w:w="1187"/>
          </w:tcPr>
          <w:p>
            <w:r>
              <w:rPr/>
              <w:t>1.00(台)</w:t>
            </w:r>
          </w:p>
        </w:tc>
        <w:tc>
          <w:tcPr>
            <w:tcW w:type="dxa" w:w="1187"/>
          </w:tcPr>
          <w:p>
            <w:r>
              <w:rPr/>
              <w:t>详见第二章</w:t>
            </w:r>
          </w:p>
        </w:tc>
        <w:tc>
          <w:tcPr>
            <w:tcW w:type="dxa" w:w="1187"/>
          </w:tcPr>
          <w:p>
            <w:r>
              <w:rPr/>
              <w:t>否</w:t>
            </w:r>
          </w:p>
        </w:tc>
      </w:tr>
    </w:tbl>
    <w:p/>
    <w:p>
      <w:r>
        <w:rPr/>
        <w:t>本采购包不接受联合体投标</w:t>
      </w:r>
    </w:p>
    <w:p/>
    <w:p>
      <w:r>
        <w:rPr/>
        <w:t>合同履行期限：自签订合同之日起，至双方履行完义务止。</w:t>
      </w:r>
    </w:p>
    <w:p/>
    <w:p>
      <w:r>
        <w:rPr/>
        <w:t>采购包2(激光光凝仪):</w:t>
      </w:r>
    </w:p>
    <w:p>
      <w:r>
        <w:rPr/>
        <w:t>采购包预算金额：500,000.00元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医用激光仪器及设备</w:t>
            </w:r>
          </w:p>
        </w:tc>
        <w:tc>
          <w:tcPr>
            <w:tcW w:type="dxa" w:w="2136"/>
          </w:tcPr>
          <w:p>
            <w:r>
              <w:rPr/>
              <w:t>激光光凝仪</w:t>
            </w:r>
          </w:p>
        </w:tc>
        <w:tc>
          <w:tcPr>
            <w:tcW w:type="dxa" w:w="1187"/>
          </w:tcPr>
          <w:p>
            <w:r>
              <w:rPr/>
              <w:t>1.00(台)</w:t>
            </w:r>
          </w:p>
        </w:tc>
        <w:tc>
          <w:tcPr>
            <w:tcW w:type="dxa" w:w="1187"/>
          </w:tcPr>
          <w:p>
            <w:r>
              <w:rPr/>
              <w:t>详见第二章</w:t>
            </w:r>
          </w:p>
        </w:tc>
        <w:tc>
          <w:tcPr>
            <w:tcW w:type="dxa" w:w="1187"/>
          </w:tcPr>
          <w:p>
            <w:r>
              <w:rPr/>
              <w:t>是</w:t>
            </w:r>
          </w:p>
        </w:tc>
      </w:tr>
    </w:tbl>
    <w:p/>
    <w:p>
      <w:r>
        <w:rPr/>
        <w:t>本采购包不接受联合体投标</w:t>
      </w:r>
    </w:p>
    <w:p/>
    <w:p>
      <w:r>
        <w:rPr/>
        <w:t>合同履行期限：自签订合同之日起，至双方履行完义务止。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时间前一年内任意一个月的依法缴纳税收证明材料（如依法免税，则须提供相应文件证明其依法免税；投标截止时间前一年内任意一个月的依法缴纳社会保险凭据（如依法不需要缴纳社保，则须提供相应文件证明其依法不需要缴纳）。</w:t>
      </w:r>
    </w:p>
    <w:p/>
    <w:p>
      <w:r>
        <w:rPr/>
        <w:t>3）具有良好的商业信誉和健全的财务会计制度：2020年至2022年度内任意一年的年度财务报表(新成立公司提供成立至今的月或季度财务报表复印件)或银行出具的资信证明。</w:t>
      </w:r>
    </w:p>
    <w:p/>
    <w:p>
      <w:r>
        <w:rPr/>
        <w:t>4）履行合同所必需的设备和专业技术能力：投标人在投标函中申明具备《中华人民共和国政府采购法》第二十二条规定的条件，则视为符合要求。</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采购包1（钬激光治疗仪）：</w:t>
      </w:r>
      <w:r>
        <w:rPr/>
        <w:t>本项目专门面向中小企业采购，投标时需严格按照采购文件提供的《中小企业声明函》模板填写，所属行业应符合采购文件中明确的本项目所属行业，否则将不通过资格审查，投标无效。</w:t>
      </w:r>
    </w:p>
    <w:p>
      <w:pPr>
        <w:jc w:val="left"/>
      </w:pPr>
    </w:p>
    <w:p>
      <w:r>
        <w:rPr/>
        <w:t>采购包2（激光光凝仪）：</w:t>
      </w:r>
      <w:r>
        <w:rPr/>
        <w:t>本采购包非专门面向中小企业采购项目</w:t>
      </w:r>
    </w:p>
    <w:p/>
    <w:p>
      <w:r>
        <w:rPr>
          <w:b/>
          <w:sz w:val="24"/>
        </w:rPr>
        <w:t>3.本项目特定的资格要求：</w:t>
      </w:r>
    </w:p>
    <w:p>
      <w:pPr>
        <w:ind w:firstLine="480"/>
      </w:pPr>
    </w:p>
    <w:p/>
    <w:p>
      <w:r>
        <w:rPr/>
        <w:t>采购包1（钬激光治疗仪）：</w:t>
      </w:r>
    </w:p>
    <w:p/>
    <w:p>
      <w:r>
        <w:rPr/>
        <w:t>1)供应商未被列入“信用中国”网站(www.creditchina.gov.cn)“失信被执行人或重大税收违法案件当事人名单（即税收违法黑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供应商应该符合《医疗器械监督管理条例》规定，如投标供应商为生产厂家，还应该符合《医疗器械生产质量管理规范》规定，如投标供应商为经销商还应符合《医疗器械经营质量管理规范》规定，并结合本项目特性提供有效的医疗器械产品注册/备案证明材料和投标供应商的经营许可/备案证明材料。</w:t>
      </w:r>
    </w:p>
    <w:p/>
    <w:p>
      <w:r>
        <w:rPr/>
        <w:t>4)领购本次采购文件。(具体方式详见本项目公告)</w:t>
      </w:r>
    </w:p>
    <w:p/>
    <w:p>
      <w:r>
        <w:rPr/>
        <w:t>5)本项目不接受联合体、中标供应商不得以任何方式转包本项目。</w:t>
      </w:r>
    </w:p>
    <w:p/>
    <w:p>
      <w:r>
        <w:rPr/>
        <w:t>采购包2（激光光凝仪）：</w:t>
      </w:r>
    </w:p>
    <w:p/>
    <w:p>
      <w:r>
        <w:rPr/>
        <w:t>1)供应商未被列入“信用中国”网站(www.creditchina.gov.cn)“失信被执行人或重大税收违法案件当事人名单（即税收违法黑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供应商应该符合《医疗器械监督管理条例》规定，如投标供应商为生产厂家，还应该符合《医疗器械生产质量管理规范》规定，如投标供应商为经销商还应符合《医疗器械经营质量管理规范》规定，并结合本项目特性提供有效的医疗器械产品注册/备案证明材料和投标供应商的经营许可/备案证明材料。</w:t>
      </w:r>
    </w:p>
    <w:p/>
    <w:p>
      <w:r>
        <w:rPr/>
        <w:t>4)领购本次采购文件。(具体方式详见本项目公告)</w:t>
      </w:r>
    </w:p>
    <w:p/>
    <w:p>
      <w:r>
        <w:rPr/>
        <w:t>5)本项目不接受联合体、中标供应商不得以任何方式转包本项目。</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中山市公共资源交易网（https://www.zsjypt.cn/）、国义招标股份有限公司（https://www.gmgitc.com）。</w:t>
      </w:r>
    </w:p>
    <w:p>
      <w:r>
        <w:rPr>
          <w:b/>
          <w:sz w:val="28"/>
        </w:rPr>
        <w:t>六.本项目联系方式：</w:t>
      </w:r>
    </w:p>
    <w:p>
      <w:r>
        <w:rPr>
          <w:b/>
          <w:sz w:val="24"/>
        </w:rPr>
        <w:t>1.采购人信息</w:t>
      </w:r>
    </w:p>
    <w:p>
      <w:pPr>
        <w:ind w:firstLine="480"/>
      </w:pPr>
      <w:r>
        <w:rPr/>
        <w:t>名称：</w:t>
      </w:r>
      <w:r>
        <w:rPr/>
        <w:t>中山市小榄人民医院</w:t>
      </w:r>
    </w:p>
    <w:p>
      <w:pPr>
        <w:ind w:firstLine="480"/>
      </w:pPr>
      <w:r>
        <w:rPr/>
        <w:t>地址：</w:t>
      </w:r>
      <w:r>
        <w:rPr/>
        <w:t>中山市小榄镇菊城大道中段65号</w:t>
      </w:r>
    </w:p>
    <w:p>
      <w:pPr>
        <w:ind w:firstLine="480"/>
      </w:pPr>
      <w:r>
        <w:rPr/>
        <w:t>联系方式：</w:t>
      </w:r>
      <w:r>
        <w:rPr/>
        <w:t>88662120-1616</w:t>
      </w:r>
    </w:p>
    <w:p>
      <w:r>
        <w:rPr>
          <w:b/>
          <w:sz w:val="24"/>
        </w:rPr>
        <w:t>2.采购代理机构信息</w:t>
      </w:r>
    </w:p>
    <w:p>
      <w:pPr>
        <w:ind w:firstLine="480"/>
      </w:pPr>
      <w:r>
        <w:rPr/>
        <w:t>名称：</w:t>
      </w:r>
      <w:r>
        <w:rPr/>
        <w:t>国义招标股份有限公司</w:t>
      </w:r>
    </w:p>
    <w:p>
      <w:pPr>
        <w:ind w:firstLine="480"/>
      </w:pPr>
      <w:r>
        <w:rPr/>
        <w:t>地址：</w:t>
      </w:r>
      <w:r>
        <w:rPr/>
        <w:t>广东省广州市越秀区东风东路726号16-18楼</w:t>
      </w:r>
    </w:p>
    <w:p>
      <w:pPr>
        <w:ind w:firstLine="480"/>
      </w:pPr>
      <w:r>
        <w:rPr/>
        <w:t>联系方式：</w:t>
      </w:r>
      <w:r>
        <w:rPr/>
        <w:t>0760-88798817/020-37860539（zs@ebidding.com）</w:t>
      </w:r>
    </w:p>
    <w:p>
      <w:r>
        <w:rPr>
          <w:b/>
          <w:sz w:val="24"/>
        </w:rPr>
        <w:t>3.项目联系方式</w:t>
      </w:r>
    </w:p>
    <w:p>
      <w:pPr>
        <w:ind w:firstLine="480"/>
      </w:pPr>
      <w:r>
        <w:rPr/>
        <w:t>项目联系人：</w:t>
      </w:r>
      <w:r>
        <w:rPr/>
        <w:t>郭惠琴/黄琼/李家荣</w:t>
      </w:r>
    </w:p>
    <w:p>
      <w:pPr>
        <w:ind w:firstLine="480"/>
      </w:pPr>
      <w:r>
        <w:rPr/>
        <w:t>电话：</w:t>
      </w:r>
      <w:r>
        <w:rPr/>
        <w:t>0760-88798817/020-37860539（zs@ebidding.com）</w:t>
      </w:r>
    </w:p>
    <w:p>
      <w:r>
        <w:rPr>
          <w:b/>
          <w:sz w:val="24"/>
        </w:rPr>
        <w:t>4.技术支持联系方式</w:t>
      </w:r>
    </w:p>
    <w:p>
      <w:pPr>
        <w:ind w:firstLine="480"/>
      </w:pPr>
      <w:r>
        <w:rPr/>
        <w:t>云平台联系方式：020-88696588</w:t>
      </w:r>
    </w:p>
    <w:p>
      <w:r>
        <w:rPr/>
        <w:t>采购代理机构：</w:t>
      </w:r>
      <w:r>
        <w:rPr/>
        <w:t>国义招标股份有限公司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1.</w:t>
      </w:r>
      <w:r>
        <w:rPr>
          <w:sz w:val="21"/>
        </w:rPr>
        <w:t>项目标的及采购限价</w:t>
      </w:r>
    </w:p>
    <w:p>
      <w:pPr>
        <w:jc w:val="both"/>
      </w:pPr>
    </w:p>
    <w:tbl>
      <w:tblPr>
        <w:tblW w:w="0" w:type="auto"/>
        <w:tblInd w:type="dxa" w:w="1410"/>
        <w:tblBorders>
          <w:top w:val="none" w:color="000000" w:sz="4"/>
          <w:left w:val="none" w:color="000000" w:sz="4"/>
          <w:bottom w:val="none" w:color="000000" w:sz="4"/>
          <w:right w:val="none" w:color="000000" w:sz="4"/>
          <w:insideH w:val="none"/>
          <w:insideV w:val="none"/>
        </w:tblBorders>
      </w:tblPr>
      <w:tblGrid>
        <w:gridCol w:w="1073"/>
        <w:gridCol w:w="2481"/>
        <w:gridCol w:w="1566"/>
        <w:gridCol w:w="3185"/>
      </w:tblGrid>
      <w:tr>
        <w:tc>
          <w:tcPr>
            <w:tcW w:type="dxa" w:w="1073"/>
            <w:tcBorders>
              <w:top w:val="single" w:color="000000" w:sz="4"/>
              <w:left w:val="single" w:color="000000" w:sz="4"/>
              <w:bottom w:val="single" w:color="000000" w:sz="4"/>
              <w:right w:val="single" w:color="000000" w:sz="4"/>
            </w:tcBorders>
            <w:vAlign w:val="top"/>
          </w:tcPr>
          <w:p>
            <w:pPr>
              <w:jc w:val="center"/>
            </w:pPr>
            <w:r>
              <w:rPr>
                <w:b/>
                <w:sz w:val="21"/>
              </w:rPr>
              <w:t>包号</w:t>
            </w:r>
          </w:p>
        </w:tc>
        <w:tc>
          <w:tcPr>
            <w:tcW w:type="dxa" w:w="2481"/>
            <w:tcBorders>
              <w:top w:val="single" w:color="000000" w:sz="4"/>
              <w:left w:val="none" w:color="000000" w:sz="4"/>
              <w:bottom w:val="single" w:color="000000" w:sz="4"/>
              <w:right w:val="single" w:color="000000" w:sz="4"/>
            </w:tcBorders>
            <w:vAlign w:val="top"/>
          </w:tcPr>
          <w:p>
            <w:pPr>
              <w:jc w:val="center"/>
            </w:pPr>
            <w:r>
              <w:rPr>
                <w:b/>
                <w:sz w:val="21"/>
              </w:rPr>
              <w:t>标的名称</w:t>
            </w:r>
          </w:p>
        </w:tc>
        <w:tc>
          <w:tcPr>
            <w:tcW w:type="dxa" w:w="1566"/>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3185"/>
            <w:tcBorders>
              <w:top w:val="single" w:color="000000" w:sz="4"/>
              <w:left w:val="none" w:color="000000" w:sz="4"/>
              <w:bottom w:val="single" w:color="000000" w:sz="4"/>
              <w:right w:val="single" w:color="000000" w:sz="4"/>
            </w:tcBorders>
            <w:vAlign w:val="top"/>
          </w:tcPr>
          <w:p>
            <w:pPr>
              <w:jc w:val="center"/>
            </w:pPr>
            <w:r>
              <w:rPr>
                <w:b/>
                <w:sz w:val="21"/>
              </w:rPr>
              <w:t>最高限价</w:t>
            </w:r>
            <w:r>
              <w:rPr>
                <w:b/>
                <w:sz w:val="21"/>
              </w:rPr>
              <w:t>(</w:t>
            </w:r>
            <w:r>
              <w:rPr>
                <w:b/>
                <w:sz w:val="21"/>
              </w:rPr>
              <w:t>人民币</w:t>
            </w:r>
            <w:r>
              <w:rPr>
                <w:b/>
                <w:sz w:val="21"/>
              </w:rPr>
              <w:t>)</w:t>
            </w:r>
          </w:p>
        </w:tc>
      </w:tr>
      <w:tr>
        <w:tc>
          <w:tcPr>
            <w:tcW w:type="dxa" w:w="107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481"/>
            <w:tcBorders>
              <w:top w:val="none" w:color="000000" w:sz="4"/>
              <w:left w:val="none" w:color="000000" w:sz="4"/>
              <w:bottom w:val="single" w:color="000000" w:sz="4"/>
              <w:right w:val="single" w:color="000000" w:sz="4"/>
            </w:tcBorders>
            <w:vAlign w:val="top"/>
          </w:tcPr>
          <w:p>
            <w:pPr>
              <w:jc w:val="center"/>
            </w:pPr>
            <w:r>
              <w:rPr>
                <w:sz w:val="21"/>
              </w:rPr>
              <w:t>钬激光治疗仪</w:t>
            </w:r>
          </w:p>
        </w:tc>
        <w:tc>
          <w:tcPr>
            <w:tcW w:type="dxa" w:w="1566"/>
            <w:tcBorders>
              <w:top w:val="non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3185"/>
            <w:tcBorders>
              <w:top w:val="none" w:color="000000" w:sz="4"/>
              <w:left w:val="none" w:color="000000" w:sz="4"/>
              <w:bottom w:val="single" w:color="000000" w:sz="4"/>
              <w:right w:val="single" w:color="000000" w:sz="4"/>
            </w:tcBorders>
            <w:vAlign w:val="top"/>
          </w:tcPr>
          <w:p>
            <w:pPr>
              <w:jc w:val="center"/>
            </w:pPr>
            <w:r>
              <w:rPr>
                <w:sz w:val="21"/>
              </w:rPr>
              <w:t>48.5</w:t>
            </w:r>
            <w:r>
              <w:rPr>
                <w:sz w:val="21"/>
              </w:rPr>
              <w:t>万元</w:t>
            </w:r>
          </w:p>
        </w:tc>
      </w:tr>
      <w:tr>
        <w:tc>
          <w:tcPr>
            <w:tcW w:type="dxa" w:w="107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481"/>
            <w:tcBorders>
              <w:top w:val="none" w:color="000000" w:sz="4"/>
              <w:left w:val="none" w:color="000000" w:sz="4"/>
              <w:bottom w:val="single" w:color="000000" w:sz="4"/>
              <w:right w:val="single" w:color="000000" w:sz="4"/>
            </w:tcBorders>
            <w:vAlign w:val="top"/>
          </w:tcPr>
          <w:p>
            <w:pPr>
              <w:jc w:val="center"/>
            </w:pPr>
            <w:r>
              <w:rPr>
                <w:sz w:val="21"/>
              </w:rPr>
              <w:t>激光光凝仪</w:t>
            </w:r>
          </w:p>
        </w:tc>
        <w:tc>
          <w:tcPr>
            <w:tcW w:type="dxa" w:w="1566"/>
            <w:tcBorders>
              <w:top w:val="none" w:color="000000" w:sz="4"/>
              <w:left w:val="none" w:color="000000" w:sz="4"/>
              <w:bottom w:val="single" w:color="000000" w:sz="4"/>
              <w:right w:val="single" w:color="000000" w:sz="4"/>
            </w:tcBorders>
            <w:vAlign w:val="top"/>
          </w:tcPr>
          <w:p>
            <w:pPr>
              <w:jc w:val="center"/>
            </w:pPr>
            <w:r>
              <w:rPr>
                <w:sz w:val="21"/>
              </w:rPr>
              <w:t>1台</w:t>
            </w:r>
          </w:p>
        </w:tc>
        <w:tc>
          <w:tcPr>
            <w:tcW w:type="dxa" w:w="3185"/>
            <w:tcBorders>
              <w:top w:val="none" w:color="000000" w:sz="4"/>
              <w:left w:val="none" w:color="000000" w:sz="4"/>
              <w:bottom w:val="single" w:color="000000" w:sz="4"/>
              <w:right w:val="single" w:color="000000" w:sz="4"/>
            </w:tcBorders>
            <w:vAlign w:val="top"/>
          </w:tcPr>
          <w:p>
            <w:pPr>
              <w:jc w:val="center"/>
            </w:pPr>
            <w:r>
              <w:rPr>
                <w:sz w:val="21"/>
              </w:rPr>
              <w:t>50</w:t>
            </w:r>
            <w:r>
              <w:rPr>
                <w:sz w:val="21"/>
              </w:rPr>
              <w:t>万元</w:t>
            </w:r>
          </w:p>
        </w:tc>
      </w:tr>
    </w:tbl>
    <w:p>
      <w:pPr>
        <w:ind w:firstLine="336"/>
        <w:jc w:val="both"/>
      </w:pPr>
      <w:r>
        <w:rPr>
          <w:sz w:val="21"/>
        </w:rPr>
        <w:t>详细技术规范请参阅招标文件中的用户需求书。投标人必须对所投全部内容进行投标报价，如有缺漏，将导致投标无效。如投标报价超出最高限价，将导致投标无效。</w:t>
      </w:r>
    </w:p>
    <w:p>
      <w:pPr>
        <w:ind w:firstLine="336"/>
        <w:jc w:val="both"/>
      </w:pPr>
      <w:r>
        <w:rPr>
          <w:b/>
          <w:sz w:val="21"/>
        </w:rPr>
        <w:t>经政府采购管理部门同意，本项目</w:t>
      </w:r>
      <w:r>
        <w:rPr>
          <w:b/>
          <w:sz w:val="21"/>
        </w:rPr>
        <w:t>包</w:t>
      </w:r>
      <w:r>
        <w:rPr>
          <w:b/>
          <w:sz w:val="21"/>
        </w:rPr>
        <w:t>2</w:t>
      </w:r>
      <w:r>
        <w:rPr>
          <w:b/>
          <w:sz w:val="21"/>
        </w:rPr>
        <w:t>采购本国产品或不属于国家法律法规政策明确规定限制的进口产品（注：进口产品是指通过中国海关报关验放进入中国境内且产自关境外的产品，含已进入中国境内并在国内市场有销售的进口产品）。</w:t>
      </w:r>
    </w:p>
    <w:p>
      <w:pPr>
        <w:jc w:val="both"/>
      </w:pPr>
      <w:r>
        <w:rPr>
          <w:sz w:val="21"/>
        </w:rPr>
        <w:t>2</w:t>
      </w:r>
      <w:r>
        <w:rPr>
          <w:sz w:val="21"/>
        </w:rPr>
        <w:t>.</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号）、《关于政府采购支持监狱企业发展有关问题的通知》（财库【</w:t>
      </w:r>
      <w:r>
        <w:rPr>
          <w:sz w:val="21"/>
        </w:rPr>
        <w:t>2014</w:t>
      </w:r>
      <w:r>
        <w:rPr>
          <w:sz w:val="21"/>
        </w:rPr>
        <w:t>】</w:t>
      </w:r>
      <w:r>
        <w:rPr>
          <w:sz w:val="21"/>
        </w:rPr>
        <w:t>68</w:t>
      </w:r>
      <w:r>
        <w:rPr>
          <w:sz w:val="21"/>
        </w:rPr>
        <w:t>号）、《关于促进残疾人就业政府采购政策的通知》（财库〔</w:t>
      </w:r>
      <w:r>
        <w:rPr>
          <w:sz w:val="21"/>
        </w:rPr>
        <w:t>2017</w:t>
      </w:r>
      <w:r>
        <w:rPr>
          <w:sz w:val="21"/>
        </w:rPr>
        <w:t>〕</w:t>
      </w:r>
      <w:r>
        <w:rPr>
          <w:sz w:val="21"/>
        </w:rPr>
        <w:t>141</w:t>
      </w:r>
      <w:r>
        <w:rPr>
          <w:sz w:val="21"/>
        </w:rPr>
        <w:t>号）、《关于环境标志产品政府采购实施的意见》（财库</w:t>
      </w:r>
      <w:r>
        <w:rPr>
          <w:sz w:val="21"/>
        </w:rPr>
        <w:t>[2006]90</w:t>
      </w:r>
      <w:r>
        <w:rPr>
          <w:sz w:val="21"/>
        </w:rPr>
        <w:t>号）、《节能产品政府采购实施意见》的通知》（财库［</w:t>
      </w:r>
      <w:r>
        <w:rPr>
          <w:sz w:val="21"/>
        </w:rPr>
        <w:t>2004</w:t>
      </w:r>
      <w:r>
        <w:rPr>
          <w:sz w:val="21"/>
        </w:rPr>
        <w:t>］</w:t>
      </w:r>
      <w:r>
        <w:rPr>
          <w:sz w:val="21"/>
        </w:rPr>
        <w:t>185</w:t>
      </w:r>
      <w:r>
        <w:rPr>
          <w:sz w:val="21"/>
        </w:rPr>
        <w:t>号）、《关于调整优化节能产品、环境标 志产品政府采购执行机制的通知》（财库〔</w:t>
      </w:r>
      <w:r>
        <w:rPr>
          <w:sz w:val="21"/>
        </w:rPr>
        <w:t>2019</w:t>
      </w:r>
      <w:r>
        <w:rPr>
          <w:sz w:val="21"/>
        </w:rPr>
        <w:t>〕</w:t>
      </w:r>
      <w:r>
        <w:rPr>
          <w:sz w:val="21"/>
        </w:rPr>
        <w:t>9</w:t>
      </w:r>
      <w:r>
        <w:rPr>
          <w:sz w:val="21"/>
        </w:rPr>
        <w:t>号）等。</w:t>
      </w:r>
    </w:p>
    <w:p/>
    <w:p>
      <w:pPr>
        <w:ind w:firstLine="480"/>
      </w:pPr>
    </w:p>
    <w:p/>
    <w:p>
      <w:r>
        <w:rPr/>
        <w:t>采购包1（钬激光治疗仪）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中标供应商应当在中标通知书发出之日起30日内按招标文件及中标人的投标文件确定的事项与采购人签订合同，签订合同后30日内完成设备的安装调试。合同设备交付时中标供应商应提供合同设备真实有效的生产日期，且保证合同设备的生产日期距交付时的时间差不超过3个月。</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1期：支付比例100%,★1.本合同的每笔款项以人民币转账方式支付，合同设备到采购人指定地点交付并完成安装，验收合格后，中标单位凭： （1）合同； （2）验收调试合格报告（加盖采购人公章）； （3）中标供应商开具的正式发票（加盖发票专用章）。 ★2.具体付款方式：本合同分三期支付，第一期：合同签订后，乙方提供合同总金额的30%的款项的预收款收据，甲方支付该笔预付款，在合同签订后5个工作日内完成支付；第二期：乙方按合同协议时间提供货物，并经协议规定的验收人员书面确认验收合格后，开具全额发票，甲方确认无误后一个月内支付合同总金额的65%的款项。第三期：合同总金额的5%的款项在质保期后无息支付。</w:t>
            </w:r>
          </w:p>
        </w:tc>
      </w:tr>
      <w:tr>
        <w:tc>
          <w:tcPr>
            <w:tcW w:type="dxa" w:w="4153"/>
          </w:tcPr>
          <w:p>
            <w:r>
              <w:rPr/>
              <w:t>验收要求</w:t>
            </w:r>
          </w:p>
        </w:tc>
        <w:tc>
          <w:tcPr>
            <w:tcW w:type="dxa" w:w="4153"/>
          </w:tcPr>
          <w:p/>
          <w:p/>
          <w:p/>
          <w:p>
            <w:r>
              <w:rPr/>
              <w:t>1期：按《小榄镇镇属医院医疗项目采购和验收管理规定》。</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1.投标供应商报价应包括标的设备（原装、全新合格的设备）、相关附件、配套设施、税费、运费、保险费、仓储费、安装调试、培训、质保等的全部费用，在项目实施过程中出现报价内容的任何遗漏，均由中标供应商负责相关费用，采购人将不再支付任何费用。 2.招标文件中凡有“★”标识的内容条款为关键条款，投标供应商必须对此作出回答并完全满足这些要求不可以出现任何负偏离，对这些关键条款的任何负偏离将视为无效投标。加注“▲”的内容为重点评标项目，投标供应商必须对该标识项目按照要求进行真实应答描述。 3.本文的“质保期”是指中标标的物经约定的验收机构完成验收之日起算，截止中标人承诺的期限。 4.投标人应将招标公告的招标文件附件中“补充附件”内容填写好相关信息后附在投标文件中。 5.同意采购人以任何形式对供应商招标文件内容及采购人认为有必要的相关资料的真实性和有效性进行审查、验证。</w:t>
            </w:r>
          </w:p>
        </w:tc>
      </w:tr>
    </w:tbl>
    <w:p/>
    <w:p>
      <w:r>
        <w:rPr/>
        <w:t>其他商务需求</w:t>
      </w:r>
    </w:p>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产品要求</w:t>
            </w:r>
          </w:p>
        </w:tc>
        <w:tc>
          <w:tcPr>
            <w:tcW w:type="dxa" w:w="2076"/>
          </w:tcPr>
          <w:p>
            <w:pPr>
              <w:jc w:val="left"/>
            </w:pPr>
            <w:r>
              <w:rPr/>
              <w:t>1.中标供应商须保证中标后所提供的设备为原装、全新合格的产品。</w:t>
            </w:r>
          </w:p>
        </w:tc>
      </w:tr>
      <w:tr>
        <w:tc>
          <w:tcPr>
            <w:tcW w:type="dxa" w:w="2076"/>
          </w:tcPr>
          <w:p>
            <w:pPr>
              <w:jc w:val="center"/>
            </w:pPr>
          </w:p>
        </w:tc>
        <w:tc>
          <w:tcPr>
            <w:tcW w:type="dxa" w:w="2076"/>
          </w:tcPr>
          <w:p>
            <w:pPr>
              <w:jc w:val="center"/>
            </w:pPr>
            <w:r>
              <w:rPr/>
              <w:t>2</w:t>
            </w:r>
          </w:p>
        </w:tc>
        <w:tc>
          <w:tcPr>
            <w:tcW w:type="dxa" w:w="2076"/>
          </w:tcPr>
          <w:p>
            <w:pPr>
              <w:jc w:val="left"/>
            </w:pPr>
            <w:r>
              <w:rPr/>
              <w:t>安装调试要求</w:t>
            </w:r>
          </w:p>
        </w:tc>
        <w:tc>
          <w:tcPr>
            <w:tcW w:type="dxa" w:w="2076"/>
          </w:tcPr>
          <w:p>
            <w:pPr>
              <w:jc w:val="left"/>
            </w:pPr>
            <w:r>
              <w:rPr/>
              <w:t>2.中标供应商负责派技术人员到现场进行安装调试，直至验收合格，安装调试所需费用应包含在投标总报价内；同时提供培训服务，必须保证需求科室操作人员融会贯通，培训所需费用全部包含在总报价内。</w:t>
            </w:r>
          </w:p>
        </w:tc>
      </w:tr>
      <w:tr>
        <w:tc>
          <w:tcPr>
            <w:tcW w:type="dxa" w:w="2076"/>
          </w:tcPr>
          <w:p>
            <w:pPr>
              <w:jc w:val="center"/>
            </w:pPr>
            <w:r>
              <w:rPr/>
              <w:t>★</w:t>
            </w:r>
          </w:p>
        </w:tc>
        <w:tc>
          <w:tcPr>
            <w:tcW w:type="dxa" w:w="2076"/>
          </w:tcPr>
          <w:p>
            <w:pPr>
              <w:jc w:val="center"/>
            </w:pPr>
            <w:r>
              <w:rPr/>
              <w:t>3</w:t>
            </w:r>
          </w:p>
        </w:tc>
        <w:tc>
          <w:tcPr>
            <w:tcW w:type="dxa" w:w="2076"/>
          </w:tcPr>
          <w:p>
            <w:pPr>
              <w:jc w:val="left"/>
            </w:pPr>
            <w:r>
              <w:rPr/>
              <w:t>承诺函</w:t>
            </w:r>
          </w:p>
        </w:tc>
        <w:tc>
          <w:tcPr>
            <w:tcW w:type="dxa" w:w="2076"/>
          </w:tcPr>
          <w:p>
            <w:pPr>
              <w:jc w:val="left"/>
            </w:pPr>
            <w:r>
              <w:rPr/>
              <w:t>★3.投标供应商须要在投标文件做出具承诺函，该承诺函包括但不限于以下内容: 承诺中标后须在中标公告发布之日起五个工作日内提供设备制造厂商开具并盖章的合法有效的授权函原件（盖鲜章）、售后服务承诺函原件（盖鲜章）。</w:t>
            </w:r>
          </w:p>
        </w:tc>
      </w:tr>
      <w:tr>
        <w:tc>
          <w:tcPr>
            <w:tcW w:type="dxa" w:w="2076"/>
          </w:tcPr>
          <w:p>
            <w:pPr>
              <w:jc w:val="center"/>
            </w:pPr>
          </w:p>
        </w:tc>
        <w:tc>
          <w:tcPr>
            <w:tcW w:type="dxa" w:w="2076"/>
          </w:tcPr>
          <w:p>
            <w:pPr>
              <w:jc w:val="center"/>
            </w:pPr>
            <w:r>
              <w:rPr/>
              <w:t>4</w:t>
            </w:r>
          </w:p>
        </w:tc>
        <w:tc>
          <w:tcPr>
            <w:tcW w:type="dxa" w:w="2076"/>
          </w:tcPr>
          <w:p>
            <w:pPr>
              <w:jc w:val="left"/>
            </w:pPr>
            <w:r>
              <w:rPr/>
              <w:t>售后服务要求1</w:t>
            </w:r>
          </w:p>
        </w:tc>
        <w:tc>
          <w:tcPr>
            <w:tcW w:type="dxa" w:w="2076"/>
          </w:tcPr>
          <w:p>
            <w:pPr>
              <w:jc w:val="left"/>
            </w:pPr>
            <w:r>
              <w:rPr/>
              <w:t>4.1中标供应商必须在中国境内有售后服务机构，并附有售后服务能力说明。</w:t>
            </w:r>
          </w:p>
        </w:tc>
      </w:tr>
      <w:tr>
        <w:tc>
          <w:tcPr>
            <w:tcW w:type="dxa" w:w="2076"/>
          </w:tcPr>
          <w:p>
            <w:pPr>
              <w:jc w:val="center"/>
            </w:pPr>
            <w:r>
              <w:rPr/>
              <w:t>★</w:t>
            </w:r>
          </w:p>
        </w:tc>
        <w:tc>
          <w:tcPr>
            <w:tcW w:type="dxa" w:w="2076"/>
          </w:tcPr>
          <w:p>
            <w:pPr>
              <w:jc w:val="center"/>
            </w:pPr>
            <w:r>
              <w:rPr/>
              <w:t>5</w:t>
            </w:r>
          </w:p>
        </w:tc>
        <w:tc>
          <w:tcPr>
            <w:tcW w:type="dxa" w:w="2076"/>
          </w:tcPr>
          <w:p>
            <w:pPr>
              <w:jc w:val="left"/>
            </w:pPr>
            <w:r>
              <w:rPr/>
              <w:t>售后服务要求2</w:t>
            </w:r>
          </w:p>
        </w:tc>
        <w:tc>
          <w:tcPr>
            <w:tcW w:type="dxa" w:w="2076"/>
          </w:tcPr>
          <w:p>
            <w:pPr>
              <w:jc w:val="left"/>
            </w:pPr>
            <w:r>
              <w:rPr/>
              <w:t>★4.2中标供应商须提供设备原厂质保（设备原厂质量保修范围和保修期）至少为1年。</w:t>
            </w:r>
          </w:p>
        </w:tc>
      </w:tr>
      <w:tr>
        <w:tc>
          <w:tcPr>
            <w:tcW w:type="dxa" w:w="2076"/>
          </w:tcPr>
          <w:p>
            <w:pPr>
              <w:jc w:val="center"/>
            </w:pPr>
          </w:p>
        </w:tc>
        <w:tc>
          <w:tcPr>
            <w:tcW w:type="dxa" w:w="2076"/>
          </w:tcPr>
          <w:p>
            <w:pPr>
              <w:jc w:val="center"/>
            </w:pPr>
            <w:r>
              <w:rPr/>
              <w:t>6</w:t>
            </w:r>
          </w:p>
        </w:tc>
        <w:tc>
          <w:tcPr>
            <w:tcW w:type="dxa" w:w="2076"/>
          </w:tcPr>
          <w:p>
            <w:pPr>
              <w:jc w:val="left"/>
            </w:pPr>
            <w:r>
              <w:rPr/>
              <w:t>售后服务要求3</w:t>
            </w:r>
          </w:p>
        </w:tc>
        <w:tc>
          <w:tcPr>
            <w:tcW w:type="dxa" w:w="2076"/>
          </w:tcPr>
          <w:p>
            <w:pPr>
              <w:jc w:val="left"/>
            </w:pPr>
            <w:r>
              <w:rPr/>
              <w:t>4.3在售后期内，中标供应商在接到用户的维修通知，响应时间为半小时内，工程师到达现场时间为4小时内，排除故障时限为到达现场后8小时内。</w:t>
            </w:r>
          </w:p>
        </w:tc>
      </w:tr>
      <w:tr>
        <w:tc>
          <w:tcPr>
            <w:tcW w:type="dxa" w:w="2076"/>
          </w:tcPr>
          <w:p>
            <w:pPr>
              <w:jc w:val="center"/>
            </w:pPr>
          </w:p>
        </w:tc>
        <w:tc>
          <w:tcPr>
            <w:tcW w:type="dxa" w:w="2076"/>
          </w:tcPr>
          <w:p>
            <w:pPr>
              <w:jc w:val="center"/>
            </w:pPr>
            <w:r>
              <w:rPr/>
              <w:t>7</w:t>
            </w:r>
          </w:p>
        </w:tc>
        <w:tc>
          <w:tcPr>
            <w:tcW w:type="dxa" w:w="2076"/>
          </w:tcPr>
          <w:p>
            <w:pPr>
              <w:jc w:val="left"/>
            </w:pPr>
            <w:r>
              <w:rPr/>
              <w:t>售后服务要求4</w:t>
            </w:r>
          </w:p>
        </w:tc>
        <w:tc>
          <w:tcPr>
            <w:tcW w:type="dxa" w:w="2076"/>
          </w:tcPr>
          <w:p>
            <w:pPr>
              <w:jc w:val="left"/>
            </w:pPr>
            <w:r>
              <w:rPr/>
              <w:t>4.4如果产品故障在检修12小时后仍无法排除，中标供应商应在24小时内提供不低于故障产品规格型号档次的备用产品供采购人使用，直至故障产品修复。</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医用激光仪器及设备</w:t>
            </w:r>
          </w:p>
        </w:tc>
        <w:tc>
          <w:tcPr>
            <w:tcW w:type="dxa" w:w="831"/>
          </w:tcPr>
          <w:p>
            <w:pPr>
              <w:jc w:val="left"/>
            </w:pPr>
            <w:r>
              <w:rPr/>
              <w:t>钬激光治疗仪</w:t>
            </w:r>
          </w:p>
        </w:tc>
        <w:tc>
          <w:tcPr>
            <w:tcW w:type="dxa" w:w="831"/>
          </w:tcPr>
          <w:p>
            <w:pPr>
              <w:jc w:val="left"/>
            </w:pPr>
            <w:r>
              <w:rPr/>
              <w:t>台</w:t>
            </w:r>
          </w:p>
        </w:tc>
        <w:tc>
          <w:tcPr>
            <w:tcW w:type="dxa" w:w="831"/>
          </w:tcPr>
          <w:p>
            <w:pPr>
              <w:jc w:val="right"/>
            </w:pPr>
            <w:r>
              <w:rPr/>
              <w:t>1.00</w:t>
            </w:r>
          </w:p>
        </w:tc>
        <w:tc>
          <w:tcPr>
            <w:tcW w:type="dxa" w:w="831"/>
          </w:tcPr>
          <w:p>
            <w:pPr>
              <w:jc w:val="right"/>
            </w:pPr>
            <w:r>
              <w:rPr/>
              <w:t>485,000.00</w:t>
            </w:r>
          </w:p>
        </w:tc>
        <w:tc>
          <w:tcPr>
            <w:tcW w:type="dxa" w:w="831"/>
          </w:tcPr>
          <w:p>
            <w:pPr>
              <w:jc w:val="right"/>
            </w:pPr>
            <w:r>
              <w:rPr/>
              <w:t>485,000.00</w:t>
            </w:r>
          </w:p>
        </w:tc>
        <w:tc>
          <w:tcPr>
            <w:tcW w:type="dxa" w:w="831"/>
          </w:tcPr>
          <w:p>
            <w:r>
              <w:rPr/>
              <w:t>工业</w:t>
            </w:r>
          </w:p>
        </w:tc>
        <w:tc>
          <w:tcPr>
            <w:tcW w:type="dxa" w:w="831"/>
          </w:tcPr>
          <w:p>
            <w:r>
              <w:rPr/>
              <w:t>详见附表一</w:t>
            </w:r>
          </w:p>
        </w:tc>
      </w:tr>
    </w:tbl>
    <w:p/>
    <w:p>
      <w:r>
        <w:rPr>
          <w:b/>
        </w:rPr>
        <w:t>附表</w:t>
      </w:r>
      <w:r>
        <w:rPr>
          <w:b/>
        </w:rPr>
        <w:t>一</w:t>
      </w:r>
      <w:r>
        <w:rPr>
          <w:b/>
        </w:rPr>
        <w:t>：</w:t>
      </w:r>
      <w:r>
        <w:rPr>
          <w:b/>
        </w:rPr>
        <w:t>钬激光治疗仪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▲1 、激光治疗机功率为50W-60W。</w:t>
            </w:r>
          </w:p>
        </w:tc>
      </w:tr>
      <w:tr>
        <w:tc>
          <w:tcPr>
            <w:tcW w:type="dxa" w:w="2076"/>
          </w:tcPr>
          <w:p/>
        </w:tc>
        <w:tc>
          <w:tcPr>
            <w:tcW w:type="dxa" w:w="415"/>
          </w:tcPr>
          <w:p>
            <w:r>
              <w:rPr/>
              <w:t>2</w:t>
            </w:r>
          </w:p>
        </w:tc>
        <w:tc>
          <w:tcPr>
            <w:tcW w:type="dxa" w:w="5814"/>
          </w:tcPr>
          <w:p>
            <w:r>
              <w:rPr/>
              <w:t>2、工作激光输出波长：2100nm 多模；</w:t>
            </w:r>
          </w:p>
        </w:tc>
      </w:tr>
      <w:tr>
        <w:tc>
          <w:tcPr>
            <w:tcW w:type="dxa" w:w="2076"/>
          </w:tcPr>
          <w:p/>
        </w:tc>
        <w:tc>
          <w:tcPr>
            <w:tcW w:type="dxa" w:w="415"/>
          </w:tcPr>
          <w:p>
            <w:r>
              <w:rPr/>
              <w:t>3</w:t>
            </w:r>
          </w:p>
        </w:tc>
        <w:tc>
          <w:tcPr>
            <w:tcW w:type="dxa" w:w="5814"/>
          </w:tcPr>
          <w:p>
            <w:r>
              <w:rPr/>
              <w:t>3、光纤末端最大单脉冲能量</w:t>
            </w:r>
            <w:r>
              <w:rPr/>
              <w:t>≥</w:t>
            </w:r>
            <w:r>
              <w:rPr/>
              <w:t>4.0J；</w:t>
            </w:r>
          </w:p>
        </w:tc>
      </w:tr>
      <w:tr>
        <w:tc>
          <w:tcPr>
            <w:tcW w:type="dxa" w:w="2076"/>
          </w:tcPr>
          <w:p/>
        </w:tc>
        <w:tc>
          <w:tcPr>
            <w:tcW w:type="dxa" w:w="415"/>
          </w:tcPr>
          <w:p>
            <w:r>
              <w:rPr/>
              <w:t>4</w:t>
            </w:r>
          </w:p>
        </w:tc>
        <w:tc>
          <w:tcPr>
            <w:tcW w:type="dxa" w:w="5814"/>
          </w:tcPr>
          <w:p>
            <w:r>
              <w:rPr/>
              <w:t>4、光纤最大输出功率</w:t>
            </w:r>
            <w:r>
              <w:rPr/>
              <w:t>：≥50</w:t>
            </w:r>
            <w:r>
              <w:rPr/>
              <w:t>W ；</w:t>
            </w:r>
          </w:p>
        </w:tc>
      </w:tr>
      <w:tr>
        <w:tc>
          <w:tcPr>
            <w:tcW w:type="dxa" w:w="2076"/>
          </w:tcPr>
          <w:p/>
        </w:tc>
        <w:tc>
          <w:tcPr>
            <w:tcW w:type="dxa" w:w="415"/>
          </w:tcPr>
          <w:p>
            <w:r>
              <w:rPr/>
              <w:t>5</w:t>
            </w:r>
          </w:p>
        </w:tc>
        <w:tc>
          <w:tcPr>
            <w:tcW w:type="dxa" w:w="5814"/>
          </w:tcPr>
          <w:p>
            <w:r>
              <w:rPr/>
              <w:t>5、具有控制能量稳定功能，使激光能量输出不稳定度≤±5% ；</w:t>
            </w:r>
          </w:p>
        </w:tc>
      </w:tr>
      <w:tr>
        <w:tc>
          <w:tcPr>
            <w:tcW w:type="dxa" w:w="2076"/>
          </w:tcPr>
          <w:p/>
        </w:tc>
        <w:tc>
          <w:tcPr>
            <w:tcW w:type="dxa" w:w="415"/>
          </w:tcPr>
          <w:p>
            <w:r>
              <w:rPr/>
              <w:t>6</w:t>
            </w:r>
          </w:p>
        </w:tc>
        <w:tc>
          <w:tcPr>
            <w:tcW w:type="dxa" w:w="5814"/>
          </w:tcPr>
          <w:p>
            <w:r>
              <w:rPr/>
              <w:t>6、具有控制能量稳定功能，使激光输出功率的复现性≤±5% ；</w:t>
            </w:r>
          </w:p>
        </w:tc>
      </w:tr>
      <w:tr>
        <w:tc>
          <w:tcPr>
            <w:tcW w:type="dxa" w:w="2076"/>
          </w:tcPr>
          <w:p>
            <w:r>
              <w:rPr/>
              <w:t>▲</w:t>
            </w:r>
          </w:p>
        </w:tc>
        <w:tc>
          <w:tcPr>
            <w:tcW w:type="dxa" w:w="415"/>
          </w:tcPr>
          <w:p>
            <w:r>
              <w:rPr/>
              <w:t>7</w:t>
            </w:r>
          </w:p>
        </w:tc>
        <w:tc>
          <w:tcPr>
            <w:tcW w:type="dxa" w:w="5814"/>
          </w:tcPr>
          <w:p>
            <w:r>
              <w:rPr/>
              <w:t>▲7、</w:t>
            </w:r>
            <w:r>
              <w:rPr/>
              <w:t>最小</w:t>
            </w:r>
            <w:r>
              <w:rPr/>
              <w:t>脉冲宽度≤200μs，最大脉冲宽度</w:t>
            </w:r>
            <w:r>
              <w:rPr/>
              <w:t>≥</w:t>
            </w:r>
            <w:r>
              <w:rPr/>
              <w:t>800μs，可调成宽脉宽、窄脉宽；</w:t>
            </w:r>
          </w:p>
        </w:tc>
      </w:tr>
      <w:tr>
        <w:tc>
          <w:tcPr>
            <w:tcW w:type="dxa" w:w="2076"/>
          </w:tcPr>
          <w:p/>
        </w:tc>
        <w:tc>
          <w:tcPr>
            <w:tcW w:type="dxa" w:w="415"/>
          </w:tcPr>
          <w:p>
            <w:r>
              <w:rPr/>
              <w:t>8</w:t>
            </w:r>
          </w:p>
        </w:tc>
        <w:tc>
          <w:tcPr>
            <w:tcW w:type="dxa" w:w="5814"/>
          </w:tcPr>
          <w:p>
            <w:r>
              <w:rPr/>
              <w:t>8、激光器工作方式：脉冲；</w:t>
            </w:r>
          </w:p>
        </w:tc>
      </w:tr>
      <w:tr>
        <w:tc>
          <w:tcPr>
            <w:tcW w:type="dxa" w:w="2076"/>
          </w:tcPr>
          <w:p/>
        </w:tc>
        <w:tc>
          <w:tcPr>
            <w:tcW w:type="dxa" w:w="415"/>
          </w:tcPr>
          <w:p>
            <w:r>
              <w:rPr/>
              <w:t>9</w:t>
            </w:r>
          </w:p>
        </w:tc>
        <w:tc>
          <w:tcPr>
            <w:tcW w:type="dxa" w:w="5814"/>
          </w:tcPr>
          <w:p>
            <w:r>
              <w:rPr/>
              <w:t>9、最大脉冲重复频率</w:t>
            </w:r>
            <w:r>
              <w:rPr/>
              <w:t>≥</w:t>
            </w:r>
            <w:r>
              <w:rPr/>
              <w:t>30Hz，可调；</w:t>
            </w:r>
          </w:p>
        </w:tc>
      </w:tr>
      <w:tr>
        <w:tc>
          <w:tcPr>
            <w:tcW w:type="dxa" w:w="2076"/>
          </w:tcPr>
          <w:p/>
        </w:tc>
        <w:tc>
          <w:tcPr>
            <w:tcW w:type="dxa" w:w="415"/>
          </w:tcPr>
          <w:p>
            <w:r>
              <w:rPr/>
              <w:t>10</w:t>
            </w:r>
          </w:p>
        </w:tc>
        <w:tc>
          <w:tcPr>
            <w:tcW w:type="dxa" w:w="5814"/>
          </w:tcPr>
          <w:p>
            <w:r>
              <w:rPr/>
              <w:t>10、</w:t>
            </w:r>
            <w:r>
              <w:rPr/>
              <w:t>传输系统：多种光纤；</w:t>
            </w:r>
            <w:r>
              <w:rPr/>
              <w:t>规格：200μm、272μm、365μm、550μm、</w:t>
            </w:r>
          </w:p>
        </w:tc>
      </w:tr>
      <w:tr>
        <w:tc>
          <w:tcPr>
            <w:tcW w:type="dxa" w:w="2076"/>
          </w:tcPr>
          <w:p/>
        </w:tc>
        <w:tc>
          <w:tcPr>
            <w:tcW w:type="dxa" w:w="415"/>
          </w:tcPr>
          <w:p>
            <w:r>
              <w:rPr/>
              <w:t>11</w:t>
            </w:r>
          </w:p>
        </w:tc>
        <w:tc>
          <w:tcPr>
            <w:tcW w:type="dxa" w:w="5814"/>
          </w:tcPr>
          <w:p>
            <w:r>
              <w:rPr/>
              <w:t>11、</w:t>
            </w:r>
            <w:r>
              <w:rPr/>
              <w:t>使用200μm光纤最大传输功率：</w:t>
            </w:r>
            <w:r>
              <w:rPr/>
              <w:t>≤</w:t>
            </w:r>
            <w:r>
              <w:rPr/>
              <w:t>30W；200μm光纤弯曲度≤4.1cm；（</w:t>
            </w:r>
            <w:r>
              <w:rPr/>
              <w:t>提供具有国家资质的检测机构出具的</w:t>
            </w:r>
            <w:r>
              <w:rPr/>
              <w:t>检验报告）</w:t>
            </w:r>
          </w:p>
        </w:tc>
      </w:tr>
      <w:tr>
        <w:tc>
          <w:tcPr>
            <w:tcW w:type="dxa" w:w="2076"/>
          </w:tcPr>
          <w:p/>
        </w:tc>
        <w:tc>
          <w:tcPr>
            <w:tcW w:type="dxa" w:w="415"/>
          </w:tcPr>
          <w:p>
            <w:r>
              <w:rPr/>
              <w:t>12</w:t>
            </w:r>
          </w:p>
        </w:tc>
        <w:tc>
          <w:tcPr>
            <w:tcW w:type="dxa" w:w="5814"/>
          </w:tcPr>
          <w:p>
            <w:r>
              <w:rPr/>
              <w:t>12、使用272μm光纤最大传输功率：</w:t>
            </w:r>
            <w:r>
              <w:rPr/>
              <w:t>≤</w:t>
            </w:r>
            <w:r>
              <w:rPr/>
              <w:t>30W；272μm光纤弯曲度≤4.1cm；（</w:t>
            </w:r>
            <w:r>
              <w:rPr/>
              <w:t>提供具有国家资质的检测机构出具的</w:t>
            </w:r>
            <w:r>
              <w:rPr/>
              <w:t>检验报告）</w:t>
            </w:r>
          </w:p>
        </w:tc>
      </w:tr>
      <w:tr>
        <w:tc>
          <w:tcPr>
            <w:tcW w:type="dxa" w:w="2076"/>
          </w:tcPr>
          <w:p/>
        </w:tc>
        <w:tc>
          <w:tcPr>
            <w:tcW w:type="dxa" w:w="415"/>
          </w:tcPr>
          <w:p>
            <w:r>
              <w:rPr/>
              <w:t>13</w:t>
            </w:r>
          </w:p>
        </w:tc>
        <w:tc>
          <w:tcPr>
            <w:tcW w:type="dxa" w:w="5814"/>
          </w:tcPr>
          <w:p>
            <w:r>
              <w:rPr/>
              <w:t>13、指示光：绿色，功率≤5mw，多挡可调；</w:t>
            </w:r>
          </w:p>
        </w:tc>
      </w:tr>
      <w:tr>
        <w:tc>
          <w:tcPr>
            <w:tcW w:type="dxa" w:w="2076"/>
          </w:tcPr>
          <w:p/>
        </w:tc>
        <w:tc>
          <w:tcPr>
            <w:tcW w:type="dxa" w:w="415"/>
          </w:tcPr>
          <w:p>
            <w:r>
              <w:rPr/>
              <w:t>14</w:t>
            </w:r>
          </w:p>
        </w:tc>
        <w:tc>
          <w:tcPr>
            <w:tcW w:type="dxa" w:w="5814"/>
          </w:tcPr>
          <w:p>
            <w:r>
              <w:rPr/>
              <w:t>14、控制方式:≥8英寸全触摸彩色控制屏；</w:t>
            </w:r>
          </w:p>
        </w:tc>
      </w:tr>
      <w:tr>
        <w:tc>
          <w:tcPr>
            <w:tcW w:type="dxa" w:w="2076"/>
          </w:tcPr>
          <w:p/>
        </w:tc>
        <w:tc>
          <w:tcPr>
            <w:tcW w:type="dxa" w:w="415"/>
          </w:tcPr>
          <w:p>
            <w:r>
              <w:rPr/>
              <w:t>15</w:t>
            </w:r>
          </w:p>
        </w:tc>
        <w:tc>
          <w:tcPr>
            <w:tcW w:type="dxa" w:w="5814"/>
          </w:tcPr>
          <w:p>
            <w:r>
              <w:rPr/>
              <w:t>15、专家数据库：嵌入式微电脑内置专家数据库；</w:t>
            </w:r>
          </w:p>
        </w:tc>
      </w:tr>
      <w:tr>
        <w:tc>
          <w:tcPr>
            <w:tcW w:type="dxa" w:w="2076"/>
          </w:tcPr>
          <w:p/>
        </w:tc>
        <w:tc>
          <w:tcPr>
            <w:tcW w:type="dxa" w:w="415"/>
          </w:tcPr>
          <w:p>
            <w:r>
              <w:rPr/>
              <w:t>16</w:t>
            </w:r>
          </w:p>
        </w:tc>
        <w:tc>
          <w:tcPr>
            <w:tcW w:type="dxa" w:w="5814"/>
          </w:tcPr>
          <w:p>
            <w:r>
              <w:rPr/>
              <w:t>16、电源：AC220V/50Hz ；</w:t>
            </w:r>
          </w:p>
        </w:tc>
      </w:tr>
      <w:tr>
        <w:tc>
          <w:tcPr>
            <w:tcW w:type="dxa" w:w="2076"/>
          </w:tcPr>
          <w:p/>
        </w:tc>
        <w:tc>
          <w:tcPr>
            <w:tcW w:type="dxa" w:w="415"/>
          </w:tcPr>
          <w:p>
            <w:r>
              <w:rPr/>
              <w:t>17</w:t>
            </w:r>
          </w:p>
        </w:tc>
        <w:tc>
          <w:tcPr>
            <w:tcW w:type="dxa" w:w="5814"/>
          </w:tcPr>
          <w:p>
            <w:r>
              <w:rPr/>
              <w:t>17、冷却系统：</w:t>
            </w:r>
            <w:r>
              <w:rPr/>
              <w:t>内置</w:t>
            </w:r>
            <w:r>
              <w:rPr/>
              <w:t>循环</w:t>
            </w:r>
            <w:r>
              <w:rPr/>
              <w:t>水冷；</w:t>
            </w:r>
            <w:r>
              <w:rPr/>
              <w:t>确保性能稳定，功率不衰减；</w:t>
            </w:r>
          </w:p>
        </w:tc>
      </w:tr>
      <w:tr>
        <w:tc>
          <w:tcPr>
            <w:tcW w:type="dxa" w:w="2076"/>
          </w:tcPr>
          <w:p/>
        </w:tc>
        <w:tc>
          <w:tcPr>
            <w:tcW w:type="dxa" w:w="415"/>
          </w:tcPr>
          <w:p>
            <w:r>
              <w:rPr/>
              <w:t>18</w:t>
            </w:r>
          </w:p>
        </w:tc>
        <w:tc>
          <w:tcPr>
            <w:tcW w:type="dxa" w:w="5814"/>
          </w:tcPr>
          <w:p>
            <w:r>
              <w:rPr/>
              <w:t>18、具备应急自动处理系统；</w:t>
            </w:r>
          </w:p>
        </w:tc>
      </w:tr>
      <w:tr>
        <w:tc>
          <w:tcPr>
            <w:tcW w:type="dxa" w:w="2076"/>
          </w:tcPr>
          <w:p>
            <w:r>
              <w:rPr/>
              <w:t>▲</w:t>
            </w:r>
          </w:p>
        </w:tc>
        <w:tc>
          <w:tcPr>
            <w:tcW w:type="dxa" w:w="415"/>
          </w:tcPr>
          <w:p>
            <w:r>
              <w:rPr/>
              <w:t>19</w:t>
            </w:r>
          </w:p>
        </w:tc>
        <w:tc>
          <w:tcPr>
            <w:tcW w:type="dxa" w:w="5814"/>
          </w:tcPr>
          <w:p>
            <w:r>
              <w:rPr/>
              <w:t>▲19、治疗机可靠性：连续工作至少8小时功率无衰减（提供具有国家资质的检测机构出具的检测报告）；</w:t>
            </w:r>
          </w:p>
        </w:tc>
      </w:tr>
      <w:tr>
        <w:tc>
          <w:tcPr>
            <w:tcW w:type="dxa" w:w="2076"/>
          </w:tcPr>
          <w:p/>
        </w:tc>
        <w:tc>
          <w:tcPr>
            <w:tcW w:type="dxa" w:w="415"/>
          </w:tcPr>
          <w:p>
            <w:r>
              <w:rPr/>
              <w:t>20</w:t>
            </w:r>
          </w:p>
        </w:tc>
        <w:tc>
          <w:tcPr>
            <w:tcW w:type="dxa" w:w="5814"/>
          </w:tcPr>
          <w:p>
            <w:r>
              <w:rPr/>
              <w:t>20、配置清单要求：</w:t>
            </w:r>
            <w:r>
              <w:rPr>
                <w:b/>
              </w:rPr>
              <w:t>（包括但不限于以下配置）</w:t>
            </w:r>
          </w:p>
          <w:tbl>
            <w:tblPr>
              <w:tblBorders>
                <w:top w:val="none" w:color="000000" w:sz="4"/>
                <w:left w:val="none" w:color="000000" w:sz="4"/>
                <w:bottom w:val="none" w:color="000000" w:sz="4"/>
                <w:right w:val="none" w:color="000000" w:sz="4"/>
                <w:insideH w:val="none"/>
                <w:insideV w:val="none"/>
              </w:tblBorders>
            </w:tblPr>
            <w:tblGrid>
              <w:gridCol w:w="943"/>
              <w:gridCol w:w="2337"/>
              <w:gridCol w:w="1148"/>
              <w:gridCol w:w="1158"/>
            </w:tblGrid>
            <w:tr>
              <w:tc>
                <w:tcPr>
                  <w:tcW w:type="dxa" w:w="943"/>
                  <w:tcBorders>
                    <w:top w:val="single" w:color="000000" w:sz="4"/>
                    <w:left w:val="single" w:color="000000" w:sz="4"/>
                    <w:bottom w:val="single" w:color="000000" w:sz="4"/>
                    <w:right w:val="single" w:color="000000" w:sz="4"/>
                  </w:tcBorders>
                  <w:vAlign w:val="top"/>
                </w:tcPr>
                <w:p>
                  <w:pPr>
                    <w:jc w:val="center"/>
                  </w:pPr>
                  <w:r>
                    <w:rPr>
                      <w:sz w:val="24"/>
                    </w:rPr>
                    <w:t>序号</w:t>
                  </w:r>
                </w:p>
              </w:tc>
              <w:tc>
                <w:tcPr>
                  <w:tcW w:type="dxa" w:w="2337"/>
                  <w:tcBorders>
                    <w:top w:val="single" w:color="000000" w:sz="4"/>
                    <w:left w:val="none" w:color="000000" w:sz="4"/>
                    <w:bottom w:val="single" w:color="000000" w:sz="4"/>
                    <w:right w:val="single" w:color="000000" w:sz="4"/>
                  </w:tcBorders>
                  <w:vAlign w:val="top"/>
                </w:tcPr>
                <w:p>
                  <w:pPr>
                    <w:jc w:val="center"/>
                  </w:pPr>
                  <w:r>
                    <w:rPr>
                      <w:sz w:val="24"/>
                    </w:rPr>
                    <w:t>设备名称</w:t>
                  </w:r>
                </w:p>
              </w:tc>
              <w:tc>
                <w:tcPr>
                  <w:tcW w:type="dxa" w:w="1148"/>
                  <w:tcBorders>
                    <w:top w:val="single" w:color="000000" w:sz="4"/>
                    <w:left w:val="none" w:color="000000" w:sz="4"/>
                    <w:bottom w:val="single" w:color="000000" w:sz="4"/>
                    <w:right w:val="single" w:color="000000" w:sz="4"/>
                  </w:tcBorders>
                  <w:vAlign w:val="top"/>
                </w:tcPr>
                <w:p>
                  <w:pPr>
                    <w:jc w:val="center"/>
                  </w:pPr>
                  <w:r>
                    <w:rPr>
                      <w:sz w:val="24"/>
                    </w:rPr>
                    <w:t>单位</w:t>
                  </w:r>
                </w:p>
              </w:tc>
              <w:tc>
                <w:tcPr>
                  <w:tcW w:type="dxa" w:w="1158"/>
                  <w:tcBorders>
                    <w:top w:val="single" w:color="000000" w:sz="4"/>
                    <w:left w:val="none" w:color="000000" w:sz="4"/>
                    <w:bottom w:val="single" w:color="000000" w:sz="4"/>
                    <w:right w:val="single" w:color="000000" w:sz="4"/>
                  </w:tcBorders>
                  <w:vAlign w:val="top"/>
                </w:tcPr>
                <w:p>
                  <w:pPr>
                    <w:jc w:val="center"/>
                  </w:pPr>
                  <w:r>
                    <w:rPr>
                      <w:sz w:val="24"/>
                    </w:rPr>
                    <w:t>数量</w:t>
                  </w:r>
                </w:p>
              </w:tc>
            </w:tr>
            <w:tr>
              <w:tc>
                <w:tcPr>
                  <w:tcW w:type="dxa" w:w="943"/>
                  <w:tcBorders>
                    <w:top w:val="none" w:color="000000" w:sz="4"/>
                    <w:left w:val="single" w:color="000000" w:sz="4"/>
                    <w:bottom w:val="single" w:color="000000" w:sz="4"/>
                    <w:right w:val="single" w:color="000000" w:sz="4"/>
                  </w:tcBorders>
                  <w:vAlign w:val="top"/>
                </w:tcPr>
                <w:p>
                  <w:pPr>
                    <w:jc w:val="center"/>
                  </w:pPr>
                  <w:r>
                    <w:rPr>
                      <w:sz w:val="24"/>
                    </w:rPr>
                    <w:t>1</w:t>
                  </w:r>
                </w:p>
              </w:tc>
              <w:tc>
                <w:tcPr>
                  <w:tcW w:type="dxa" w:w="2337"/>
                  <w:tcBorders>
                    <w:top w:val="none" w:color="000000" w:sz="4"/>
                    <w:left w:val="none" w:color="000000" w:sz="4"/>
                    <w:bottom w:val="single" w:color="000000" w:sz="4"/>
                    <w:right w:val="single" w:color="000000" w:sz="4"/>
                  </w:tcBorders>
                  <w:vAlign w:val="top"/>
                </w:tcPr>
                <w:p>
                  <w:pPr>
                    <w:jc w:val="center"/>
                  </w:pPr>
                  <w:r>
                    <w:rPr>
                      <w:sz w:val="21"/>
                    </w:rPr>
                    <w:t>激光治疗机主机</w:t>
                  </w:r>
                </w:p>
              </w:tc>
              <w:tc>
                <w:tcPr>
                  <w:tcW w:type="dxa" w:w="1148"/>
                  <w:tcBorders>
                    <w:top w:val="none" w:color="000000" w:sz="4"/>
                    <w:left w:val="none" w:color="000000" w:sz="4"/>
                    <w:bottom w:val="single" w:color="000000" w:sz="4"/>
                    <w:right w:val="single" w:color="000000" w:sz="4"/>
                  </w:tcBorders>
                  <w:vAlign w:val="top"/>
                </w:tcPr>
                <w:p>
                  <w:pPr>
                    <w:jc w:val="center"/>
                  </w:pPr>
                  <w:r>
                    <w:rPr>
                      <w:sz w:val="24"/>
                    </w:rPr>
                    <w:t>台</w:t>
                  </w:r>
                </w:p>
              </w:tc>
              <w:tc>
                <w:tcPr>
                  <w:tcW w:type="dxa" w:w="1158"/>
                  <w:tcBorders>
                    <w:top w:val="none" w:color="000000" w:sz="4"/>
                    <w:left w:val="none" w:color="000000" w:sz="4"/>
                    <w:bottom w:val="single" w:color="000000" w:sz="4"/>
                    <w:right w:val="single" w:color="000000" w:sz="4"/>
                  </w:tcBorders>
                  <w:vAlign w:val="top"/>
                </w:tcPr>
                <w:p>
                  <w:pPr>
                    <w:jc w:val="center"/>
                  </w:pPr>
                  <w:r>
                    <w:rPr>
                      <w:sz w:val="24"/>
                    </w:rPr>
                    <w:t>1</w:t>
                  </w:r>
                </w:p>
              </w:tc>
            </w:tr>
            <w:tr>
              <w:tc>
                <w:tcPr>
                  <w:tcW w:type="dxa" w:w="943"/>
                  <w:tcBorders>
                    <w:top w:val="none" w:color="000000" w:sz="4"/>
                    <w:left w:val="single" w:color="000000" w:sz="4"/>
                    <w:bottom w:val="single" w:color="000000" w:sz="4"/>
                    <w:right w:val="single" w:color="000000" w:sz="4"/>
                  </w:tcBorders>
                  <w:vAlign w:val="top"/>
                </w:tcPr>
                <w:p>
                  <w:pPr>
                    <w:jc w:val="center"/>
                  </w:pPr>
                  <w:r>
                    <w:rPr>
                      <w:sz w:val="24"/>
                    </w:rPr>
                    <w:t>2</w:t>
                  </w:r>
                </w:p>
              </w:tc>
              <w:tc>
                <w:tcPr>
                  <w:tcW w:type="dxa" w:w="2337"/>
                  <w:tcBorders>
                    <w:top w:val="none" w:color="000000" w:sz="4"/>
                    <w:left w:val="none" w:color="000000" w:sz="4"/>
                    <w:bottom w:val="single" w:color="000000" w:sz="4"/>
                    <w:right w:val="single" w:color="000000" w:sz="4"/>
                  </w:tcBorders>
                  <w:vAlign w:val="top"/>
                </w:tcPr>
                <w:p>
                  <w:pPr>
                    <w:jc w:val="center"/>
                  </w:pPr>
                  <w:r>
                    <w:rPr>
                      <w:color w:val="000000"/>
                      <w:sz w:val="21"/>
                    </w:rPr>
                    <w:t>脚踏开关</w:t>
                  </w:r>
                </w:p>
              </w:tc>
              <w:tc>
                <w:tcPr>
                  <w:tcW w:type="dxa" w:w="1148"/>
                  <w:tcBorders>
                    <w:top w:val="none" w:color="000000" w:sz="4"/>
                    <w:left w:val="none" w:color="000000" w:sz="4"/>
                    <w:bottom w:val="single" w:color="000000" w:sz="4"/>
                    <w:right w:val="single" w:color="000000" w:sz="4"/>
                  </w:tcBorders>
                  <w:vAlign w:val="top"/>
                </w:tcPr>
                <w:p>
                  <w:pPr>
                    <w:jc w:val="center"/>
                  </w:pPr>
                  <w:r>
                    <w:rPr>
                      <w:sz w:val="24"/>
                    </w:rPr>
                    <w:t>套</w:t>
                  </w:r>
                </w:p>
              </w:tc>
              <w:tc>
                <w:tcPr>
                  <w:tcW w:type="dxa" w:w="1158"/>
                  <w:tcBorders>
                    <w:top w:val="none" w:color="000000" w:sz="4"/>
                    <w:left w:val="none" w:color="000000" w:sz="4"/>
                    <w:bottom w:val="single" w:color="000000" w:sz="4"/>
                    <w:right w:val="single" w:color="000000" w:sz="4"/>
                  </w:tcBorders>
                  <w:vAlign w:val="top"/>
                </w:tcPr>
                <w:p>
                  <w:pPr>
                    <w:jc w:val="center"/>
                  </w:pPr>
                  <w:r>
                    <w:rPr>
                      <w:sz w:val="24"/>
                    </w:rPr>
                    <w:t>1</w:t>
                  </w:r>
                </w:p>
              </w:tc>
            </w:tr>
            <w:tr>
              <w:tc>
                <w:tcPr>
                  <w:tcW w:type="dxa" w:w="943"/>
                  <w:tcBorders>
                    <w:top w:val="none" w:color="000000" w:sz="4"/>
                    <w:left w:val="single" w:color="000000" w:sz="4"/>
                    <w:bottom w:val="single" w:color="000000" w:sz="4"/>
                    <w:right w:val="single" w:color="000000" w:sz="4"/>
                  </w:tcBorders>
                  <w:vAlign w:val="top"/>
                </w:tcPr>
                <w:p>
                  <w:pPr>
                    <w:jc w:val="center"/>
                  </w:pPr>
                  <w:r>
                    <w:rPr>
                      <w:sz w:val="24"/>
                    </w:rPr>
                    <w:t>3</w:t>
                  </w:r>
                </w:p>
              </w:tc>
              <w:tc>
                <w:tcPr>
                  <w:tcW w:type="dxa" w:w="2337"/>
                  <w:tcBorders>
                    <w:top w:val="none" w:color="000000" w:sz="4"/>
                    <w:left w:val="none" w:color="000000" w:sz="4"/>
                    <w:bottom w:val="single" w:color="000000" w:sz="4"/>
                    <w:right w:val="single" w:color="000000" w:sz="4"/>
                  </w:tcBorders>
                  <w:vAlign w:val="top"/>
                </w:tcPr>
                <w:p>
                  <w:pPr>
                    <w:jc w:val="center"/>
                  </w:pPr>
                  <w:r>
                    <w:rPr>
                      <w:color w:val="000000"/>
                      <w:sz w:val="21"/>
                    </w:rPr>
                    <w:t>附件光纤（规格：</w:t>
                  </w:r>
                  <w:r>
                    <w:rPr>
                      <w:sz w:val="21"/>
                    </w:rPr>
                    <w:t>550</w:t>
                  </w:r>
                  <w:r>
                    <w:rPr>
                      <w:color w:val="000000"/>
                      <w:sz w:val="24"/>
                    </w:rPr>
                    <w:t>μ</w:t>
                  </w:r>
                  <w:r>
                    <w:rPr>
                      <w:color w:val="000000"/>
                      <w:sz w:val="24"/>
                    </w:rPr>
                    <w:t>m</w:t>
                  </w:r>
                  <w:r>
                    <w:rPr>
                      <w:color w:val="000000"/>
                      <w:sz w:val="21"/>
                    </w:rPr>
                    <w:t>）</w:t>
                  </w:r>
                </w:p>
              </w:tc>
              <w:tc>
                <w:tcPr>
                  <w:tcW w:type="dxa" w:w="1148"/>
                  <w:tcBorders>
                    <w:top w:val="none" w:color="000000" w:sz="4"/>
                    <w:left w:val="none" w:color="000000" w:sz="4"/>
                    <w:bottom w:val="single" w:color="000000" w:sz="4"/>
                    <w:right w:val="single" w:color="000000" w:sz="4"/>
                  </w:tcBorders>
                  <w:vAlign w:val="top"/>
                </w:tcPr>
                <w:p>
                  <w:pPr>
                    <w:jc w:val="center"/>
                  </w:pPr>
                  <w:r>
                    <w:rPr>
                      <w:sz w:val="24"/>
                    </w:rPr>
                    <w:t>根</w:t>
                  </w:r>
                </w:p>
              </w:tc>
              <w:tc>
                <w:tcPr>
                  <w:tcW w:type="dxa" w:w="1158"/>
                  <w:tcBorders>
                    <w:top w:val="none" w:color="000000" w:sz="4"/>
                    <w:left w:val="none" w:color="000000" w:sz="4"/>
                    <w:bottom w:val="single" w:color="000000" w:sz="4"/>
                    <w:right w:val="single" w:color="000000" w:sz="4"/>
                  </w:tcBorders>
                  <w:vAlign w:val="top"/>
                </w:tcPr>
                <w:p>
                  <w:pPr>
                    <w:jc w:val="center"/>
                  </w:pPr>
                  <w:r>
                    <w:rPr>
                      <w:sz w:val="24"/>
                    </w:rPr>
                    <w:t>1</w:t>
                  </w:r>
                </w:p>
              </w:tc>
            </w:tr>
            <w:tr>
              <w:tc>
                <w:tcPr>
                  <w:tcW w:type="dxa" w:w="943"/>
                  <w:tcBorders>
                    <w:top w:val="none" w:color="000000" w:sz="4"/>
                    <w:left w:val="single" w:color="000000" w:sz="4"/>
                    <w:bottom w:val="single" w:color="000000" w:sz="4"/>
                    <w:right w:val="single" w:color="000000" w:sz="4"/>
                  </w:tcBorders>
                  <w:vAlign w:val="top"/>
                </w:tcPr>
                <w:p>
                  <w:pPr>
                    <w:jc w:val="center"/>
                  </w:pPr>
                  <w:r>
                    <w:rPr>
                      <w:sz w:val="24"/>
                    </w:rPr>
                    <w:t>4</w:t>
                  </w:r>
                </w:p>
              </w:tc>
              <w:tc>
                <w:tcPr>
                  <w:tcW w:type="dxa" w:w="2337"/>
                  <w:tcBorders>
                    <w:top w:val="none" w:color="000000" w:sz="4"/>
                    <w:left w:val="none" w:color="000000" w:sz="4"/>
                    <w:bottom w:val="single" w:color="000000" w:sz="4"/>
                    <w:right w:val="single" w:color="000000" w:sz="4"/>
                  </w:tcBorders>
                  <w:vAlign w:val="top"/>
                </w:tcPr>
                <w:p>
                  <w:pPr>
                    <w:jc w:val="center"/>
                  </w:pPr>
                  <w:r>
                    <w:rPr>
                      <w:color w:val="000000"/>
                      <w:sz w:val="21"/>
                    </w:rPr>
                    <w:t>附件光纤（规格：</w:t>
                  </w:r>
                  <w:r>
                    <w:rPr>
                      <w:sz w:val="21"/>
                    </w:rPr>
                    <w:t>272</w:t>
                  </w:r>
                  <w:r>
                    <w:rPr>
                      <w:color w:val="000000"/>
                      <w:sz w:val="24"/>
                    </w:rPr>
                    <w:t>μ</w:t>
                  </w:r>
                  <w:r>
                    <w:rPr>
                      <w:color w:val="000000"/>
                      <w:sz w:val="24"/>
                    </w:rPr>
                    <w:t>m</w:t>
                  </w:r>
                  <w:r>
                    <w:rPr>
                      <w:color w:val="000000"/>
                      <w:sz w:val="21"/>
                    </w:rPr>
                    <w:t>）</w:t>
                  </w:r>
                </w:p>
              </w:tc>
              <w:tc>
                <w:tcPr>
                  <w:tcW w:type="dxa" w:w="1148"/>
                  <w:tcBorders>
                    <w:top w:val="none" w:color="000000" w:sz="4"/>
                    <w:left w:val="none" w:color="000000" w:sz="4"/>
                    <w:bottom w:val="single" w:color="000000" w:sz="4"/>
                    <w:right w:val="single" w:color="000000" w:sz="4"/>
                  </w:tcBorders>
                  <w:vAlign w:val="top"/>
                </w:tcPr>
                <w:p>
                  <w:pPr>
                    <w:jc w:val="center"/>
                  </w:pPr>
                  <w:r>
                    <w:rPr>
                      <w:sz w:val="24"/>
                    </w:rPr>
                    <w:t>根</w:t>
                  </w:r>
                </w:p>
              </w:tc>
              <w:tc>
                <w:tcPr>
                  <w:tcW w:type="dxa" w:w="1158"/>
                  <w:tcBorders>
                    <w:top w:val="none" w:color="000000" w:sz="4"/>
                    <w:left w:val="none" w:color="000000" w:sz="4"/>
                    <w:bottom w:val="none" w:color="000000" w:sz="4"/>
                    <w:right w:val="single" w:color="000000" w:sz="4"/>
                  </w:tcBorders>
                  <w:vAlign w:val="top"/>
                </w:tcPr>
                <w:p>
                  <w:pPr>
                    <w:jc w:val="center"/>
                  </w:pPr>
                  <w:r>
                    <w:rPr>
                      <w:sz w:val="24"/>
                    </w:rPr>
                    <w:t>1</w:t>
                  </w:r>
                </w:p>
              </w:tc>
            </w:tr>
            <w:tr>
              <w:tc>
                <w:tcPr>
                  <w:tcW w:type="dxa" w:w="943"/>
                  <w:tcBorders>
                    <w:top w:val="none" w:color="000000" w:sz="4"/>
                    <w:left w:val="single" w:color="000000" w:sz="4"/>
                    <w:bottom w:val="single" w:color="000000" w:sz="4"/>
                    <w:right w:val="single" w:color="000000" w:sz="4"/>
                  </w:tcBorders>
                  <w:vAlign w:val="top"/>
                </w:tcPr>
                <w:p>
                  <w:pPr>
                    <w:jc w:val="center"/>
                  </w:pPr>
                  <w:r>
                    <w:rPr>
                      <w:sz w:val="24"/>
                    </w:rPr>
                    <w:t>5</w:t>
                  </w:r>
                </w:p>
              </w:tc>
              <w:tc>
                <w:tcPr>
                  <w:tcW w:type="dxa" w:w="2337"/>
                  <w:tcBorders>
                    <w:top w:val="none" w:color="000000" w:sz="4"/>
                    <w:left w:val="none" w:color="000000" w:sz="4"/>
                    <w:bottom w:val="single" w:color="000000" w:sz="4"/>
                    <w:right w:val="single" w:color="000000" w:sz="4"/>
                  </w:tcBorders>
                  <w:vAlign w:val="top"/>
                </w:tcPr>
                <w:p>
                  <w:pPr>
                    <w:jc w:val="center"/>
                  </w:pPr>
                  <w:r>
                    <w:rPr>
                      <w:color w:val="000000"/>
                      <w:sz w:val="21"/>
                    </w:rPr>
                    <w:t>光纤切割刀</w:t>
                  </w:r>
                </w:p>
              </w:tc>
              <w:tc>
                <w:tcPr>
                  <w:tcW w:type="dxa" w:w="1148"/>
                  <w:tcBorders>
                    <w:top w:val="none" w:color="000000" w:sz="4"/>
                    <w:left w:val="none" w:color="000000" w:sz="4"/>
                    <w:bottom w:val="single" w:color="000000" w:sz="4"/>
                    <w:right w:val="single" w:color="000000" w:sz="4"/>
                  </w:tcBorders>
                  <w:vAlign w:val="top"/>
                </w:tcPr>
                <w:p>
                  <w:pPr>
                    <w:jc w:val="center"/>
                  </w:pPr>
                  <w:r>
                    <w:rPr>
                      <w:sz w:val="24"/>
                    </w:rPr>
                    <w:t>件</w:t>
                  </w:r>
                </w:p>
              </w:tc>
              <w:tc>
                <w:tcPr>
                  <w:tcW w:type="dxa" w:w="1158"/>
                  <w:tcBorders>
                    <w:top w:val="single" w:color="000000" w:sz="4"/>
                    <w:left w:val="none" w:color="000000" w:sz="4"/>
                    <w:bottom w:val="none" w:color="000000" w:sz="4"/>
                    <w:right w:val="single" w:color="000000" w:sz="4"/>
                  </w:tcBorders>
                  <w:vAlign w:val="top"/>
                </w:tcPr>
                <w:p>
                  <w:pPr>
                    <w:jc w:val="center"/>
                  </w:pPr>
                  <w:r>
                    <w:rPr>
                      <w:sz w:val="24"/>
                    </w:rPr>
                    <w:t>1</w:t>
                  </w:r>
                </w:p>
              </w:tc>
            </w:tr>
            <w:tr>
              <w:tc>
                <w:tcPr>
                  <w:tcW w:type="dxa" w:w="943"/>
                  <w:tcBorders>
                    <w:top w:val="none" w:color="000000" w:sz="4"/>
                    <w:left w:val="single" w:color="000000" w:sz="4"/>
                    <w:bottom w:val="single" w:color="000000" w:sz="4"/>
                    <w:right w:val="single" w:color="000000" w:sz="4"/>
                  </w:tcBorders>
                  <w:vAlign w:val="top"/>
                </w:tcPr>
                <w:p>
                  <w:pPr>
                    <w:jc w:val="center"/>
                  </w:pPr>
                  <w:r>
                    <w:rPr>
                      <w:sz w:val="24"/>
                    </w:rPr>
                    <w:t>6</w:t>
                  </w:r>
                </w:p>
              </w:tc>
              <w:tc>
                <w:tcPr>
                  <w:tcW w:type="dxa" w:w="2337"/>
                  <w:tcBorders>
                    <w:top w:val="none" w:color="000000" w:sz="4"/>
                    <w:left w:val="none" w:color="000000" w:sz="4"/>
                    <w:bottom w:val="single" w:color="000000" w:sz="4"/>
                    <w:right w:val="single" w:color="000000" w:sz="4"/>
                  </w:tcBorders>
                  <w:vAlign w:val="top"/>
                </w:tcPr>
                <w:p>
                  <w:pPr>
                    <w:jc w:val="center"/>
                  </w:pPr>
                  <w:r>
                    <w:rPr>
                      <w:color w:val="000000"/>
                      <w:sz w:val="21"/>
                    </w:rPr>
                    <w:t>光纤剥离器</w:t>
                  </w:r>
                </w:p>
              </w:tc>
              <w:tc>
                <w:tcPr>
                  <w:tcW w:type="dxa" w:w="1148"/>
                  <w:tcBorders>
                    <w:top w:val="none" w:color="000000" w:sz="4"/>
                    <w:left w:val="none" w:color="000000" w:sz="4"/>
                    <w:bottom w:val="single" w:color="000000" w:sz="4"/>
                    <w:right w:val="single" w:color="000000" w:sz="4"/>
                  </w:tcBorders>
                  <w:vAlign w:val="top"/>
                </w:tcPr>
                <w:p>
                  <w:pPr>
                    <w:jc w:val="center"/>
                  </w:pPr>
                  <w:r>
                    <w:rPr>
                      <w:sz w:val="24"/>
                    </w:rPr>
                    <w:t>件</w:t>
                  </w:r>
                </w:p>
              </w:tc>
              <w:tc>
                <w:tcPr>
                  <w:tcW w:type="dxa" w:w="1158"/>
                  <w:tcBorders>
                    <w:top w:val="single" w:color="000000" w:sz="4"/>
                    <w:left w:val="none" w:color="000000" w:sz="4"/>
                    <w:bottom w:val="single" w:color="000000" w:sz="4"/>
                    <w:right w:val="single" w:color="000000" w:sz="4"/>
                  </w:tcBorders>
                  <w:vAlign w:val="top"/>
                </w:tcPr>
                <w:p>
                  <w:pPr>
                    <w:jc w:val="center"/>
                  </w:pPr>
                  <w:r>
                    <w:rPr>
                      <w:sz w:val="24"/>
                    </w:rPr>
                    <w:t>1</w:t>
                  </w:r>
                </w:p>
              </w:tc>
            </w:tr>
            <w:tr>
              <w:tc>
                <w:tcPr>
                  <w:tcW w:type="dxa" w:w="943"/>
                  <w:tcBorders>
                    <w:top w:val="none" w:color="000000" w:sz="4"/>
                    <w:left w:val="single" w:color="000000" w:sz="4"/>
                    <w:bottom w:val="single" w:color="000000" w:sz="4"/>
                    <w:right w:val="single" w:color="000000" w:sz="4"/>
                  </w:tcBorders>
                  <w:vAlign w:val="top"/>
                </w:tcPr>
                <w:p>
                  <w:pPr>
                    <w:jc w:val="center"/>
                  </w:pPr>
                  <w:r>
                    <w:rPr>
                      <w:sz w:val="24"/>
                    </w:rPr>
                    <w:t>7</w:t>
                  </w:r>
                </w:p>
              </w:tc>
              <w:tc>
                <w:tcPr>
                  <w:tcW w:type="dxa" w:w="2337"/>
                  <w:tcBorders>
                    <w:top w:val="none" w:color="000000" w:sz="4"/>
                    <w:left w:val="none" w:color="000000" w:sz="4"/>
                    <w:bottom w:val="single" w:color="000000" w:sz="4"/>
                    <w:right w:val="single" w:color="000000" w:sz="4"/>
                  </w:tcBorders>
                  <w:vAlign w:val="top"/>
                </w:tcPr>
                <w:p>
                  <w:pPr>
                    <w:jc w:val="center"/>
                  </w:pPr>
                  <w:r>
                    <w:rPr>
                      <w:color w:val="000000"/>
                      <w:sz w:val="21"/>
                    </w:rPr>
                    <w:t>手持</w:t>
                  </w:r>
                  <w:r>
                    <w:rPr>
                      <w:color w:val="000000"/>
                      <w:sz w:val="21"/>
                    </w:rPr>
                    <w:t>端面检测仪</w:t>
                  </w:r>
                </w:p>
              </w:tc>
              <w:tc>
                <w:tcPr>
                  <w:tcW w:type="dxa" w:w="1148"/>
                  <w:tcBorders>
                    <w:top w:val="none" w:color="000000" w:sz="4"/>
                    <w:left w:val="none" w:color="000000" w:sz="4"/>
                    <w:bottom w:val="single" w:color="000000" w:sz="4"/>
                    <w:right w:val="single" w:color="000000" w:sz="4"/>
                  </w:tcBorders>
                  <w:vAlign w:val="top"/>
                </w:tcPr>
                <w:p>
                  <w:pPr>
                    <w:jc w:val="center"/>
                  </w:pPr>
                  <w:r>
                    <w:rPr>
                      <w:sz w:val="24"/>
                    </w:rPr>
                    <w:t>件</w:t>
                  </w:r>
                </w:p>
              </w:tc>
              <w:tc>
                <w:tcPr>
                  <w:tcW w:type="dxa" w:w="1158"/>
                  <w:tcBorders>
                    <w:top w:val="none" w:color="000000" w:sz="4"/>
                    <w:left w:val="none" w:color="000000" w:sz="4"/>
                    <w:bottom w:val="single" w:color="000000" w:sz="4"/>
                    <w:right w:val="single" w:color="000000" w:sz="4"/>
                  </w:tcBorders>
                  <w:vAlign w:val="top"/>
                </w:tcPr>
                <w:p>
                  <w:pPr>
                    <w:jc w:val="center"/>
                  </w:pPr>
                  <w:r>
                    <w:rPr>
                      <w:sz w:val="24"/>
                    </w:rPr>
                    <w:t>1</w:t>
                  </w:r>
                </w:p>
              </w:tc>
            </w:tr>
            <w:tr>
              <w:tc>
                <w:tcPr>
                  <w:tcW w:type="dxa" w:w="943"/>
                  <w:tcBorders>
                    <w:top w:val="none" w:color="000000" w:sz="4"/>
                    <w:left w:val="single" w:color="000000" w:sz="4"/>
                    <w:bottom w:val="single" w:color="000000" w:sz="4"/>
                    <w:right w:val="single" w:color="000000" w:sz="4"/>
                  </w:tcBorders>
                  <w:vAlign w:val="top"/>
                </w:tcPr>
                <w:p>
                  <w:pPr>
                    <w:jc w:val="center"/>
                  </w:pPr>
                  <w:r>
                    <w:rPr>
                      <w:sz w:val="24"/>
                    </w:rPr>
                    <w:t>8</w:t>
                  </w:r>
                </w:p>
              </w:tc>
              <w:tc>
                <w:tcPr>
                  <w:tcW w:type="dxa" w:w="2337"/>
                  <w:tcBorders>
                    <w:top w:val="none" w:color="000000" w:sz="4"/>
                    <w:left w:val="none" w:color="000000" w:sz="4"/>
                    <w:bottom w:val="single" w:color="000000" w:sz="4"/>
                    <w:right w:val="single" w:color="000000" w:sz="4"/>
                  </w:tcBorders>
                  <w:vAlign w:val="top"/>
                </w:tcPr>
                <w:p>
                  <w:pPr>
                    <w:jc w:val="center"/>
                  </w:pPr>
                  <w:r>
                    <w:rPr>
                      <w:color w:val="000000"/>
                      <w:sz w:val="21"/>
                    </w:rPr>
                    <w:t>激光防护眼镜</w:t>
                  </w:r>
                </w:p>
              </w:tc>
              <w:tc>
                <w:tcPr>
                  <w:tcW w:type="dxa" w:w="1148"/>
                  <w:tcBorders>
                    <w:top w:val="none" w:color="000000" w:sz="4"/>
                    <w:left w:val="none" w:color="000000" w:sz="4"/>
                    <w:bottom w:val="single" w:color="000000" w:sz="4"/>
                    <w:right w:val="single" w:color="000000" w:sz="4"/>
                  </w:tcBorders>
                  <w:vAlign w:val="top"/>
                </w:tcPr>
                <w:p>
                  <w:pPr>
                    <w:jc w:val="center"/>
                  </w:pPr>
                  <w:r>
                    <w:rPr>
                      <w:sz w:val="24"/>
                    </w:rPr>
                    <w:t>副</w:t>
                  </w:r>
                </w:p>
              </w:tc>
              <w:tc>
                <w:tcPr>
                  <w:tcW w:type="dxa" w:w="1158"/>
                  <w:tcBorders>
                    <w:top w:val="none" w:color="000000" w:sz="4"/>
                    <w:left w:val="none" w:color="000000" w:sz="4"/>
                    <w:bottom w:val="single" w:color="000000" w:sz="4"/>
                    <w:right w:val="single" w:color="000000" w:sz="4"/>
                  </w:tcBorders>
                  <w:vAlign w:val="top"/>
                </w:tcPr>
                <w:p>
                  <w:pPr>
                    <w:jc w:val="center"/>
                  </w:pPr>
                  <w:r>
                    <w:rPr>
                      <w:sz w:val="24"/>
                    </w:rPr>
                    <w:t>1</w:t>
                  </w:r>
                </w:p>
              </w:tc>
            </w:tr>
            <w:tr>
              <w:tc>
                <w:tcPr>
                  <w:tcW w:type="dxa" w:w="943"/>
                  <w:tcBorders>
                    <w:top w:val="none" w:color="000000" w:sz="4"/>
                    <w:left w:val="single" w:color="000000" w:sz="4"/>
                    <w:bottom w:val="single" w:color="000000" w:sz="4"/>
                    <w:right w:val="single" w:color="000000" w:sz="4"/>
                  </w:tcBorders>
                  <w:vAlign w:val="top"/>
                </w:tcPr>
                <w:p>
                  <w:pPr>
                    <w:jc w:val="center"/>
                  </w:pPr>
                  <w:r>
                    <w:rPr>
                      <w:sz w:val="24"/>
                    </w:rPr>
                    <w:t>9</w:t>
                  </w:r>
                </w:p>
              </w:tc>
              <w:tc>
                <w:tcPr>
                  <w:tcW w:type="dxa" w:w="2337"/>
                  <w:tcBorders>
                    <w:top w:val="none" w:color="000000" w:sz="4"/>
                    <w:left w:val="none" w:color="000000" w:sz="4"/>
                    <w:bottom w:val="single" w:color="000000" w:sz="4"/>
                    <w:right w:val="single" w:color="000000" w:sz="4"/>
                  </w:tcBorders>
                  <w:vAlign w:val="top"/>
                </w:tcPr>
                <w:p>
                  <w:pPr>
                    <w:jc w:val="center"/>
                  </w:pPr>
                  <w:r>
                    <w:rPr>
                      <w:color w:val="000000"/>
                      <w:sz w:val="21"/>
                    </w:rPr>
                    <w:t>使用说明书</w:t>
                  </w:r>
                </w:p>
              </w:tc>
              <w:tc>
                <w:tcPr>
                  <w:tcW w:type="dxa" w:w="1148"/>
                  <w:tcBorders>
                    <w:top w:val="none" w:color="000000" w:sz="4"/>
                    <w:left w:val="none" w:color="000000" w:sz="4"/>
                    <w:bottom w:val="single" w:color="000000" w:sz="4"/>
                    <w:right w:val="single" w:color="000000" w:sz="4"/>
                  </w:tcBorders>
                  <w:vAlign w:val="top"/>
                </w:tcPr>
                <w:p>
                  <w:pPr>
                    <w:jc w:val="center"/>
                  </w:pPr>
                  <w:r>
                    <w:rPr>
                      <w:sz w:val="24"/>
                    </w:rPr>
                    <w:t>本</w:t>
                  </w:r>
                </w:p>
              </w:tc>
              <w:tc>
                <w:tcPr>
                  <w:tcW w:type="dxa" w:w="1158"/>
                  <w:tcBorders>
                    <w:top w:val="none" w:color="000000" w:sz="4"/>
                    <w:left w:val="none" w:color="000000" w:sz="4"/>
                    <w:bottom w:val="single" w:color="000000" w:sz="4"/>
                    <w:right w:val="single" w:color="000000" w:sz="4"/>
                  </w:tcBorders>
                  <w:vAlign w:val="top"/>
                </w:tcPr>
                <w:p>
                  <w:pPr>
                    <w:jc w:val="center"/>
                  </w:pPr>
                  <w:r>
                    <w:rPr>
                      <w:sz w:val="24"/>
                    </w:rPr>
                    <w:t>1</w:t>
                  </w:r>
                </w:p>
              </w:tc>
            </w:tr>
          </w:tbl>
        </w:tc>
      </w:tr>
      <w:tr>
        <w:tc>
          <w:tcPr>
            <w:tcW w:type="dxa" w:w="2076"/>
          </w:tcPr>
          <w:p/>
        </w:tc>
        <w:tc>
          <w:tcPr>
            <w:tcW w:type="dxa" w:w="415"/>
          </w:tcPr>
          <w:p>
            <w:r>
              <w:rPr/>
              <w:t>21</w:t>
            </w:r>
          </w:p>
        </w:tc>
        <w:tc>
          <w:tcPr>
            <w:tcW w:type="dxa" w:w="5814"/>
          </w:tcPr>
          <w:p>
            <w:r>
              <w:rPr/>
              <w:t>21.设备配套耗材要求：</w:t>
            </w:r>
          </w:p>
          <w:tbl>
            <w:tblPr>
              <w:tblInd w:type="dxa" w:w="105"/>
              <w:tblBorders>
                <w:top w:val="none" w:color="000000" w:sz="4"/>
                <w:left w:val="none" w:color="000000" w:sz="4"/>
                <w:bottom w:val="none" w:color="000000" w:sz="4"/>
                <w:right w:val="none" w:color="000000" w:sz="4"/>
                <w:insideH w:val="none"/>
                <w:insideV w:val="none"/>
              </w:tblBorders>
            </w:tblPr>
            <w:tblGrid>
              <w:gridCol w:w="242"/>
              <w:gridCol w:w="644"/>
              <w:gridCol w:w="544"/>
              <w:gridCol w:w="967"/>
              <w:gridCol w:w="946"/>
              <w:gridCol w:w="1128"/>
              <w:gridCol w:w="1128"/>
            </w:tblGrid>
            <w:tr>
              <w:tc>
                <w:tcPr>
                  <w:tcW w:type="dxa" w:w="242"/>
                  <w:tcBorders>
                    <w:top w:val="single" w:color="000000" w:sz="4"/>
                    <w:left w:val="single" w:color="000000" w:sz="4"/>
                    <w:bottom w:val="single" w:color="000000" w:sz="4"/>
                    <w:right w:val="single" w:color="000000" w:sz="4"/>
                  </w:tcBorders>
                  <w:vAlign w:val="top"/>
                </w:tcPr>
                <w:p>
                  <w:pPr>
                    <w:jc w:val="center"/>
                  </w:pPr>
                  <w:r>
                    <w:rPr>
                      <w:color w:val="000000"/>
                      <w:sz w:val="24"/>
                    </w:rPr>
                    <w:t>序号</w:t>
                  </w:r>
                </w:p>
              </w:tc>
              <w:tc>
                <w:tcPr>
                  <w:tcW w:type="dxa" w:w="644"/>
                  <w:tcBorders>
                    <w:top w:val="single" w:color="000000" w:sz="4"/>
                    <w:left w:val="single" w:color="000000" w:sz="4"/>
                    <w:bottom w:val="single" w:color="000000" w:sz="4"/>
                    <w:right w:val="single" w:color="000000" w:sz="4"/>
                  </w:tcBorders>
                  <w:vAlign w:val="top"/>
                </w:tcPr>
                <w:p>
                  <w:pPr>
                    <w:jc w:val="center"/>
                  </w:pPr>
                  <w:r>
                    <w:rPr>
                      <w:color w:val="000000"/>
                      <w:sz w:val="24"/>
                    </w:rPr>
                    <w:t>耗材</w:t>
                  </w:r>
                  <w:r>
                    <w:rPr>
                      <w:color w:val="000000"/>
                      <w:sz w:val="24"/>
                    </w:rPr>
                    <w:t>/试剂名称</w:t>
                  </w:r>
                </w:p>
              </w:tc>
              <w:tc>
                <w:tcPr>
                  <w:tcW w:type="dxa" w:w="544"/>
                  <w:tcBorders>
                    <w:top w:val="single" w:color="000000" w:sz="4"/>
                    <w:left w:val="single" w:color="000000" w:sz="4"/>
                    <w:bottom w:val="single" w:color="000000" w:sz="4"/>
                    <w:right w:val="single" w:color="000000" w:sz="4"/>
                  </w:tcBorders>
                  <w:vAlign w:val="top"/>
                </w:tcPr>
                <w:p>
                  <w:pPr>
                    <w:jc w:val="center"/>
                  </w:pPr>
                  <w:r>
                    <w:rPr>
                      <w:color w:val="000000"/>
                      <w:sz w:val="24"/>
                    </w:rPr>
                    <w:t>规格</w:t>
                  </w:r>
                  <w:r>
                    <w:rPr>
                      <w:color w:val="000000"/>
                      <w:sz w:val="24"/>
                    </w:rPr>
                    <w:t>要求</w:t>
                  </w:r>
                </w:p>
              </w:tc>
              <w:tc>
                <w:tcPr>
                  <w:tcW w:type="dxa" w:w="967"/>
                  <w:tcBorders>
                    <w:top w:val="single" w:color="000000" w:sz="4"/>
                    <w:left w:val="single" w:color="000000" w:sz="4"/>
                    <w:bottom w:val="single" w:color="000000" w:sz="4"/>
                    <w:right w:val="single" w:color="000000" w:sz="4"/>
                  </w:tcBorders>
                  <w:vAlign w:val="top"/>
                </w:tcPr>
                <w:p>
                  <w:pPr>
                    <w:jc w:val="center"/>
                  </w:pPr>
                  <w:r>
                    <w:rPr>
                      <w:color w:val="000000"/>
                      <w:sz w:val="24"/>
                    </w:rPr>
                    <w:t>最高限价</w:t>
                  </w:r>
                </w:p>
              </w:tc>
              <w:tc>
                <w:tcPr>
                  <w:tcW w:type="dxa" w:w="946"/>
                  <w:tcBorders>
                    <w:top w:val="single" w:color="000000" w:sz="4"/>
                    <w:left w:val="single" w:color="000000" w:sz="4"/>
                    <w:bottom w:val="single" w:color="000000" w:sz="4"/>
                    <w:right w:val="single" w:color="000000" w:sz="4"/>
                  </w:tcBorders>
                  <w:vAlign w:val="top"/>
                </w:tcPr>
                <w:p>
                  <w:pPr>
                    <w:jc w:val="center"/>
                  </w:pPr>
                  <w:r>
                    <w:rPr>
                      <w:color w:val="000000"/>
                      <w:sz w:val="24"/>
                    </w:rPr>
                    <w:t>预计</w:t>
                  </w:r>
                  <w:r>
                    <w:rPr>
                      <w:color w:val="000000"/>
                      <w:sz w:val="24"/>
                    </w:rPr>
                    <w:t>3年用量</w:t>
                  </w:r>
                </w:p>
              </w:tc>
              <w:tc>
                <w:tcPr>
                  <w:tcW w:type="dxa" w:w="1128"/>
                  <w:tcBorders>
                    <w:top w:val="single" w:color="000000" w:sz="4"/>
                    <w:left w:val="single" w:color="000000" w:sz="4"/>
                    <w:bottom w:val="single" w:color="000000" w:sz="4"/>
                    <w:right w:val="single" w:color="000000" w:sz="4"/>
                  </w:tcBorders>
                  <w:vAlign w:val="top"/>
                </w:tcPr>
                <w:p>
                  <w:pPr>
                    <w:jc w:val="center"/>
                  </w:pPr>
                  <w:r>
                    <w:rPr>
                      <w:color w:val="000000"/>
                      <w:sz w:val="24"/>
                    </w:rPr>
                    <w:t>报价（</w:t>
                  </w:r>
                  <w:r>
                    <w:rPr>
                      <w:color w:val="000000"/>
                      <w:sz w:val="24"/>
                    </w:rPr>
                    <w:t>元</w:t>
                  </w:r>
                  <w:r>
                    <w:rPr>
                      <w:color w:val="000000"/>
                      <w:sz w:val="24"/>
                    </w:rPr>
                    <w:t>/条</w:t>
                  </w:r>
                  <w:r>
                    <w:rPr>
                      <w:color w:val="000000"/>
                      <w:sz w:val="24"/>
                    </w:rPr>
                    <w:t>）</w:t>
                  </w:r>
                </w:p>
              </w:tc>
              <w:tc>
                <w:tcPr>
                  <w:tcW w:type="dxa" w:w="1128"/>
                  <w:tcBorders>
                    <w:top w:val="single" w:color="000000" w:sz="4"/>
                    <w:left w:val="single" w:color="000000" w:sz="4"/>
                    <w:bottom w:val="single" w:color="000000" w:sz="4"/>
                    <w:right w:val="single" w:color="000000" w:sz="4"/>
                  </w:tcBorders>
                  <w:vAlign w:val="top"/>
                </w:tcPr>
                <w:p>
                  <w:pPr>
                    <w:jc w:val="center"/>
                  </w:pPr>
                  <w:r>
                    <w:rPr>
                      <w:color w:val="000000"/>
                      <w:sz w:val="24"/>
                    </w:rPr>
                    <w:t>下浮率（</w:t>
                  </w:r>
                  <w:r>
                    <w:rPr>
                      <w:color w:val="000000"/>
                      <w:sz w:val="24"/>
                    </w:rPr>
                    <w:t>%）</w:t>
                  </w:r>
                </w:p>
              </w:tc>
            </w:tr>
            <w:tr>
              <w:tc>
                <w:tcPr>
                  <w:tcW w:type="dxa" w:w="242"/>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644"/>
                  <w:tcBorders>
                    <w:top w:val="none" w:color="000000" w:sz="4"/>
                    <w:left w:val="single" w:color="000000" w:sz="4"/>
                    <w:bottom w:val="single" w:color="000000" w:sz="4"/>
                    <w:right w:val="single" w:color="000000" w:sz="4"/>
                  </w:tcBorders>
                  <w:vAlign w:val="top"/>
                </w:tcPr>
                <w:p>
                  <w:pPr>
                    <w:jc w:val="center"/>
                  </w:pPr>
                  <w:r>
                    <w:rPr>
                      <w:color w:val="000000"/>
                      <w:sz w:val="21"/>
                    </w:rPr>
                    <w:t>附件光纤</w:t>
                  </w:r>
                  <w:r>
                    <w:rPr>
                      <w:color w:val="000000"/>
                      <w:sz w:val="21"/>
                    </w:rPr>
                    <w:t>1</w:t>
                  </w:r>
                </w:p>
              </w:tc>
              <w:tc>
                <w:tcPr>
                  <w:tcW w:type="dxa" w:w="544"/>
                  <w:tcBorders>
                    <w:top w:val="none" w:color="000000" w:sz="4"/>
                    <w:left w:val="single" w:color="000000" w:sz="4"/>
                    <w:bottom w:val="single" w:color="000000" w:sz="4"/>
                    <w:right w:val="single" w:color="000000" w:sz="4"/>
                  </w:tcBorders>
                  <w:vAlign w:val="top"/>
                </w:tcPr>
                <w:p>
                  <w:pPr>
                    <w:jc w:val="both"/>
                  </w:pPr>
                  <w:r>
                    <w:rPr>
                      <w:color w:val="000000"/>
                      <w:sz w:val="21"/>
                    </w:rPr>
                    <w:t>规格：</w:t>
                  </w:r>
                  <w:r>
                    <w:rPr>
                      <w:sz w:val="21"/>
                    </w:rPr>
                    <w:t>550</w:t>
                  </w:r>
                  <w:r>
                    <w:rPr>
                      <w:color w:val="000000"/>
                      <w:sz w:val="24"/>
                    </w:rPr>
                    <w:t>μ</w:t>
                  </w:r>
                  <w:r>
                    <w:rPr>
                      <w:color w:val="000000"/>
                      <w:sz w:val="24"/>
                    </w:rPr>
                    <w:t>m</w:t>
                  </w:r>
                </w:p>
              </w:tc>
              <w:tc>
                <w:tcPr>
                  <w:tcW w:type="dxa" w:w="967"/>
                  <w:tcBorders>
                    <w:top w:val="none" w:color="000000" w:sz="4"/>
                    <w:left w:val="single" w:color="000000" w:sz="4"/>
                    <w:bottom w:val="single" w:color="000000" w:sz="4"/>
                    <w:right w:val="single" w:color="000000" w:sz="4"/>
                  </w:tcBorders>
                  <w:vAlign w:val="top"/>
                </w:tcPr>
                <w:p>
                  <w:pPr>
                    <w:jc w:val="center"/>
                  </w:pPr>
                  <w:r>
                    <w:rPr>
                      <w:color w:val="000000"/>
                      <w:sz w:val="24"/>
                    </w:rPr>
                    <w:t>6600</w:t>
                  </w:r>
                  <w:r>
                    <w:rPr>
                      <w:color w:val="000000"/>
                      <w:sz w:val="24"/>
                    </w:rPr>
                    <w:t>元</w:t>
                  </w:r>
                  <w:r>
                    <w:rPr>
                      <w:color w:val="000000"/>
                      <w:sz w:val="24"/>
                    </w:rPr>
                    <w:t>/条</w:t>
                  </w:r>
                </w:p>
              </w:tc>
              <w:tc>
                <w:tcPr>
                  <w:tcW w:type="dxa" w:w="946"/>
                  <w:tcBorders>
                    <w:top w:val="none" w:color="000000" w:sz="4"/>
                    <w:left w:val="single" w:color="000000" w:sz="4"/>
                    <w:bottom w:val="single" w:color="000000" w:sz="4"/>
                    <w:right w:val="single" w:color="000000" w:sz="4"/>
                  </w:tcBorders>
                  <w:vAlign w:val="top"/>
                </w:tcPr>
                <w:p>
                  <w:pPr>
                    <w:jc w:val="both"/>
                  </w:pPr>
                  <w:r>
                    <w:rPr>
                      <w:color w:val="000000"/>
                      <w:sz w:val="24"/>
                    </w:rPr>
                    <w:t>20根</w:t>
                  </w:r>
                </w:p>
              </w:tc>
              <w:tc>
                <w:tcPr>
                  <w:tcW w:type="dxa" w:w="1128"/>
                  <w:tcBorders>
                    <w:top w:val="none" w:color="000000" w:sz="4"/>
                    <w:left w:val="single" w:color="000000" w:sz="4"/>
                    <w:bottom w:val="single" w:color="000000" w:sz="4"/>
                    <w:right w:val="single" w:color="000000" w:sz="4"/>
                  </w:tcBorders>
                  <w:vAlign w:val="top"/>
                </w:tcPr>
                <w:p>
                  <w:pPr>
                    <w:jc w:val="both"/>
                  </w:pPr>
                </w:p>
              </w:tc>
              <w:tc>
                <w:tcPr>
                  <w:tcW w:type="dxa" w:w="1128"/>
                  <w:tcBorders>
                    <w:top w:val="none" w:color="000000" w:sz="4"/>
                    <w:left w:val="single" w:color="000000" w:sz="4"/>
                    <w:bottom w:val="single" w:color="000000" w:sz="4"/>
                    <w:right w:val="single" w:color="000000" w:sz="4"/>
                  </w:tcBorders>
                  <w:vAlign w:val="top"/>
                </w:tcPr>
                <w:p>
                  <w:pPr>
                    <w:jc w:val="both"/>
                  </w:pPr>
                </w:p>
              </w:tc>
            </w:tr>
            <w:tr>
              <w:tc>
                <w:tcPr>
                  <w:tcW w:type="dxa" w:w="242"/>
                  <w:tcBorders>
                    <w:top w:val="none" w:color="000000" w:sz="4"/>
                    <w:left w:val="single" w:color="000000" w:sz="4"/>
                    <w:bottom w:val="single" w:color="000000" w:sz="4"/>
                    <w:right w:val="single" w:color="000000" w:sz="4"/>
                  </w:tcBorders>
                  <w:vAlign w:val="top"/>
                </w:tcPr>
                <w:p>
                  <w:pPr>
                    <w:jc w:val="center"/>
                  </w:pPr>
                  <w:r>
                    <w:rPr>
                      <w:color w:val="000000"/>
                      <w:sz w:val="24"/>
                    </w:rPr>
                    <w:t>2</w:t>
                  </w:r>
                </w:p>
              </w:tc>
              <w:tc>
                <w:tcPr>
                  <w:tcW w:type="dxa" w:w="644"/>
                  <w:tcBorders>
                    <w:top w:val="none" w:color="000000" w:sz="4"/>
                    <w:left w:val="single" w:color="000000" w:sz="4"/>
                    <w:bottom w:val="single" w:color="000000" w:sz="4"/>
                    <w:right w:val="single" w:color="000000" w:sz="4"/>
                  </w:tcBorders>
                  <w:vAlign w:val="top"/>
                </w:tcPr>
                <w:p>
                  <w:pPr>
                    <w:jc w:val="center"/>
                  </w:pPr>
                  <w:r>
                    <w:rPr>
                      <w:color w:val="000000"/>
                      <w:sz w:val="21"/>
                    </w:rPr>
                    <w:t>附件光纤</w:t>
                  </w:r>
                  <w:r>
                    <w:rPr>
                      <w:color w:val="000000"/>
                      <w:sz w:val="21"/>
                    </w:rPr>
                    <w:t>2</w:t>
                  </w:r>
                </w:p>
              </w:tc>
              <w:tc>
                <w:tcPr>
                  <w:tcW w:type="dxa" w:w="544"/>
                  <w:tcBorders>
                    <w:top w:val="none" w:color="000000" w:sz="4"/>
                    <w:left w:val="single" w:color="000000" w:sz="4"/>
                    <w:bottom w:val="single" w:color="000000" w:sz="4"/>
                    <w:right w:val="single" w:color="000000" w:sz="4"/>
                  </w:tcBorders>
                  <w:vAlign w:val="top"/>
                </w:tcPr>
                <w:p>
                  <w:pPr>
                    <w:jc w:val="both"/>
                  </w:pPr>
                  <w:r>
                    <w:rPr>
                      <w:color w:val="000000"/>
                      <w:sz w:val="21"/>
                    </w:rPr>
                    <w:t>规格：</w:t>
                  </w:r>
                  <w:r>
                    <w:rPr>
                      <w:sz w:val="21"/>
                    </w:rPr>
                    <w:t>272</w:t>
                  </w:r>
                  <w:r>
                    <w:rPr>
                      <w:color w:val="000000"/>
                      <w:sz w:val="24"/>
                    </w:rPr>
                    <w:t>μ</w:t>
                  </w:r>
                  <w:r>
                    <w:rPr>
                      <w:color w:val="000000"/>
                      <w:sz w:val="24"/>
                    </w:rPr>
                    <w:t>m</w:t>
                  </w:r>
                </w:p>
              </w:tc>
              <w:tc>
                <w:tcPr>
                  <w:tcW w:type="dxa" w:w="967"/>
                  <w:tcBorders>
                    <w:top w:val="none" w:color="000000" w:sz="4"/>
                    <w:left w:val="single" w:color="000000" w:sz="4"/>
                    <w:bottom w:val="single" w:color="000000" w:sz="4"/>
                    <w:right w:val="single" w:color="000000" w:sz="4"/>
                  </w:tcBorders>
                  <w:vAlign w:val="top"/>
                </w:tcPr>
                <w:p>
                  <w:pPr>
                    <w:jc w:val="center"/>
                  </w:pPr>
                  <w:r>
                    <w:rPr>
                      <w:color w:val="000000"/>
                      <w:sz w:val="24"/>
                    </w:rPr>
                    <w:t>12000</w:t>
                  </w:r>
                  <w:r>
                    <w:rPr>
                      <w:color w:val="000000"/>
                      <w:sz w:val="24"/>
                    </w:rPr>
                    <w:t>元</w:t>
                  </w:r>
                  <w:r>
                    <w:rPr>
                      <w:color w:val="000000"/>
                      <w:sz w:val="24"/>
                    </w:rPr>
                    <w:t>/条</w:t>
                  </w:r>
                </w:p>
              </w:tc>
              <w:tc>
                <w:tcPr>
                  <w:tcW w:type="dxa" w:w="946"/>
                  <w:tcBorders>
                    <w:top w:val="none" w:color="000000" w:sz="4"/>
                    <w:left w:val="single" w:color="000000" w:sz="4"/>
                    <w:bottom w:val="single" w:color="000000" w:sz="4"/>
                    <w:right w:val="single" w:color="000000" w:sz="4"/>
                  </w:tcBorders>
                  <w:vAlign w:val="top"/>
                </w:tcPr>
                <w:p>
                  <w:pPr>
                    <w:jc w:val="left"/>
                  </w:pPr>
                  <w:r>
                    <w:rPr>
                      <w:color w:val="000000"/>
                      <w:sz w:val="24"/>
                    </w:rPr>
                    <w:t>10根</w:t>
                  </w:r>
                </w:p>
              </w:tc>
              <w:tc>
                <w:tcPr>
                  <w:tcW w:type="dxa" w:w="1128"/>
                  <w:tcBorders>
                    <w:top w:val="none" w:color="000000" w:sz="4"/>
                    <w:left w:val="single" w:color="000000" w:sz="4"/>
                    <w:bottom w:val="single" w:color="000000" w:sz="4"/>
                    <w:right w:val="single" w:color="000000" w:sz="4"/>
                  </w:tcBorders>
                  <w:vAlign w:val="top"/>
                </w:tcPr>
                <w:p>
                  <w:pPr>
                    <w:jc w:val="left"/>
                  </w:pPr>
                </w:p>
              </w:tc>
              <w:tc>
                <w:tcPr>
                  <w:tcW w:type="dxa" w:w="1128"/>
                  <w:tcBorders>
                    <w:top w:val="none" w:color="000000" w:sz="4"/>
                    <w:left w:val="single" w:color="000000" w:sz="4"/>
                    <w:bottom w:val="single" w:color="000000" w:sz="4"/>
                    <w:right w:val="single" w:color="000000" w:sz="4"/>
                  </w:tcBorders>
                  <w:vAlign w:val="top"/>
                </w:tcPr>
                <w:p>
                  <w:pPr>
                    <w:jc w:val="left"/>
                  </w:pPr>
                </w:p>
              </w:tc>
            </w:tr>
          </w:tbl>
          <w:p>
            <w:r>
              <w:rPr/>
              <w:t>注：报价不得高于最高限价。</w:t>
            </w:r>
          </w:p>
          <w:p>
            <w:r>
              <w:rPr/>
              <w:t xml:space="preserve"> </w:t>
            </w:r>
          </w:p>
        </w:tc>
      </w:tr>
      <w:tr>
        <w:tc>
          <w:tcPr>
            <w:tcW w:type="dxa" w:w="2076"/>
          </w:tcPr>
          <w:p>
            <w:r>
              <w:rPr/>
              <w:t>★</w:t>
            </w:r>
          </w:p>
        </w:tc>
        <w:tc>
          <w:tcPr>
            <w:tcW w:type="dxa" w:w="415"/>
          </w:tcPr>
          <w:p>
            <w:r>
              <w:rPr/>
              <w:t>22</w:t>
            </w:r>
          </w:p>
        </w:tc>
        <w:tc>
          <w:tcPr>
            <w:tcW w:type="dxa" w:w="5814"/>
          </w:tcPr>
          <w:p>
            <w:r>
              <w:rPr/>
              <w:t>★22.所有耗材必须在广东省药品电子交易平台交易并且不高于平台的限价。</w:t>
            </w:r>
          </w:p>
        </w:tc>
      </w:tr>
      <w:tr>
        <w:tc>
          <w:tcPr>
            <w:tcW w:type="dxa" w:w="2076"/>
          </w:tcPr>
          <w:p>
            <w:r>
              <w:rPr/>
              <w:t>★</w:t>
            </w:r>
          </w:p>
        </w:tc>
        <w:tc>
          <w:tcPr>
            <w:tcW w:type="dxa" w:w="415"/>
          </w:tcPr>
          <w:p>
            <w:r>
              <w:rPr/>
              <w:t>23</w:t>
            </w:r>
          </w:p>
        </w:tc>
        <w:tc>
          <w:tcPr>
            <w:tcW w:type="dxa" w:w="5814"/>
          </w:tcPr>
          <w:p>
            <w:r>
              <w:rPr/>
              <w:t>★23.所投设备的配套耗材必须有正规国家医保耗材码。</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采购包2（激光光凝仪）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中标供应商应当在中标通知书发出之日起30日内按招标文件及中标人的投标文件确定的事项与采购人签订合同，签订合同后90日内完成设备的安装调试。</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1期：支付比例100%,★1.本合同的每笔款项以人民币转账方式支付，合同设备到采购人指定地点交付并完成安装，验收合格后，中标单位凭： （1）合同； （2）验收调试合格报告（加盖采购人公章）； （3）中标供应商开具的正式发票（加盖发票专用章）。 ★2.具体付款方式：合同签订后，采购人预付合同总金额的20%款项，同时中标供应商须提供相同金额的收款收据；中标供应商按合同协议时间提供设备，并经协议规定的验收机构书面确认验收合格后，开具全额发票，采购人确认发票无误后一个月内支付合同总金额的80%。</w:t>
            </w:r>
          </w:p>
        </w:tc>
      </w:tr>
      <w:tr>
        <w:tc>
          <w:tcPr>
            <w:tcW w:type="dxa" w:w="4153"/>
          </w:tcPr>
          <w:p>
            <w:r>
              <w:rPr/>
              <w:t>验收要求</w:t>
            </w:r>
          </w:p>
        </w:tc>
        <w:tc>
          <w:tcPr>
            <w:tcW w:type="dxa" w:w="4153"/>
          </w:tcPr>
          <w:p/>
          <w:p/>
          <w:p/>
          <w:p>
            <w:r>
              <w:rPr/>
              <w:t>1期：按《小榄镇镇属医院医疗项目采购和验收管理规定》。</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1.投标供应商报价应包括标的设备（原装、全新合格的设备）、相关附件、配套设施、税费、运费、保险费、仓储费、安装调试、培训、质保等的全部费用，在项目实施过程中出现报价内容的任何遗漏，均由中标供应商负责相关费用，采购人将不再支付任何费用。 2.招标文件中凡有“★”标识的内容条款为关键条款，投标供应商必须对此作出回答并完全满足这些要求不可以出现任何负偏离，对这些关键条款的任何负偏离将视为无效投标。加注“▲”的内容为重点评标项目，投标供应商必须对该标识项目按照要求进行真实应答描述。 3.本文的“质保期”是指中标标的物经约定的验收机构完成验收之日起算，截止中标人承诺的期限。 4.投标人应将招标公告的招标文件附件中“补充附件”内容填写好相关信息后附在投标文件中。 5.同意采购人以任何形式对供应商招标文件内容及采购人认为有必要的相关资料的真实性和有效性进行审查、验证。</w:t>
            </w:r>
          </w:p>
        </w:tc>
      </w:tr>
    </w:tbl>
    <w:p/>
    <w:p>
      <w:r>
        <w:rPr/>
        <w:t>其他商务需求</w:t>
      </w:r>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产品要求</w:t>
            </w:r>
          </w:p>
        </w:tc>
        <w:tc>
          <w:tcPr>
            <w:tcW w:type="dxa" w:w="2076"/>
          </w:tcPr>
          <w:p>
            <w:pPr>
              <w:jc w:val="left"/>
            </w:pPr>
            <w:r>
              <w:rPr/>
              <w:t>1.中标供应商须保证中标后所提供的设备为原装、全新合格的产品。</w:t>
            </w:r>
          </w:p>
        </w:tc>
      </w:tr>
      <w:tr>
        <w:tc>
          <w:tcPr>
            <w:tcW w:type="dxa" w:w="2076"/>
          </w:tcPr>
          <w:p>
            <w:pPr>
              <w:jc w:val="center"/>
            </w:pPr>
          </w:p>
        </w:tc>
        <w:tc>
          <w:tcPr>
            <w:tcW w:type="dxa" w:w="2076"/>
          </w:tcPr>
          <w:p>
            <w:pPr>
              <w:jc w:val="center"/>
            </w:pPr>
            <w:r>
              <w:rPr/>
              <w:t>2</w:t>
            </w:r>
          </w:p>
        </w:tc>
        <w:tc>
          <w:tcPr>
            <w:tcW w:type="dxa" w:w="2076"/>
          </w:tcPr>
          <w:p>
            <w:pPr>
              <w:jc w:val="left"/>
            </w:pPr>
            <w:r>
              <w:rPr/>
              <w:t>安装调试要求</w:t>
            </w:r>
          </w:p>
        </w:tc>
        <w:tc>
          <w:tcPr>
            <w:tcW w:type="dxa" w:w="2076"/>
          </w:tcPr>
          <w:p>
            <w:pPr>
              <w:jc w:val="left"/>
            </w:pPr>
            <w:r>
              <w:rPr/>
              <w:t>2.中标供应商负责派技术人员到现场进行安装调试，直至验收合格，安装调试所需费用应包含在投标总报价内；同时提供培训服务，必须保证需求科室操作人员融会贯通，培训所需费用全部包含在总报价内。</w:t>
            </w:r>
          </w:p>
        </w:tc>
      </w:tr>
      <w:tr>
        <w:tc>
          <w:tcPr>
            <w:tcW w:type="dxa" w:w="2076"/>
          </w:tcPr>
          <w:p>
            <w:pPr>
              <w:jc w:val="center"/>
            </w:pPr>
            <w:r>
              <w:rPr/>
              <w:t>★</w:t>
            </w:r>
          </w:p>
        </w:tc>
        <w:tc>
          <w:tcPr>
            <w:tcW w:type="dxa" w:w="2076"/>
          </w:tcPr>
          <w:p>
            <w:pPr>
              <w:jc w:val="center"/>
            </w:pPr>
            <w:r>
              <w:rPr/>
              <w:t>3</w:t>
            </w:r>
          </w:p>
        </w:tc>
        <w:tc>
          <w:tcPr>
            <w:tcW w:type="dxa" w:w="2076"/>
          </w:tcPr>
          <w:p>
            <w:pPr>
              <w:jc w:val="left"/>
            </w:pPr>
            <w:r>
              <w:rPr/>
              <w:t>产品销售授权书或承诺函</w:t>
            </w:r>
          </w:p>
        </w:tc>
        <w:tc>
          <w:tcPr>
            <w:tcW w:type="dxa" w:w="2076"/>
          </w:tcPr>
          <w:p>
            <w:pPr>
              <w:jc w:val="left"/>
            </w:pPr>
            <w:r>
              <w:rPr/>
              <w:t>★3.投标供应商若所投产品若为进口产品，须提供相应产品销售授权书； 若所投产品为中国境内生产产品，须要在投标文件做出具承诺函，该承诺函包括但不限于以下内容: 承诺中标后须在中标公告发布之日起五个工作日内提供设备制造厂商开具并盖章的合法有效的授权函原件（盖鲜章）、售后服务承诺函原件（盖鲜章）。</w:t>
            </w:r>
          </w:p>
        </w:tc>
      </w:tr>
      <w:tr>
        <w:tc>
          <w:tcPr>
            <w:tcW w:type="dxa" w:w="2076"/>
          </w:tcPr>
          <w:p>
            <w:pPr>
              <w:jc w:val="center"/>
            </w:pPr>
          </w:p>
        </w:tc>
        <w:tc>
          <w:tcPr>
            <w:tcW w:type="dxa" w:w="2076"/>
          </w:tcPr>
          <w:p>
            <w:pPr>
              <w:jc w:val="center"/>
            </w:pPr>
            <w:r>
              <w:rPr/>
              <w:t>4</w:t>
            </w:r>
          </w:p>
        </w:tc>
        <w:tc>
          <w:tcPr>
            <w:tcW w:type="dxa" w:w="2076"/>
          </w:tcPr>
          <w:p>
            <w:pPr>
              <w:jc w:val="left"/>
            </w:pPr>
            <w:r>
              <w:rPr/>
              <w:t>售后服务要求</w:t>
            </w:r>
          </w:p>
        </w:tc>
        <w:tc>
          <w:tcPr>
            <w:tcW w:type="dxa" w:w="2076"/>
          </w:tcPr>
          <w:p>
            <w:pPr>
              <w:jc w:val="left"/>
            </w:pPr>
            <w:r>
              <w:rPr/>
              <w:t>4.售后服务要求 4.1中标供应商必须在中国境内有售后服务机构，并附有售后服务能力说明。 4.2中标供应商须提供设备原厂质保（设备原厂质量保修范围和保修期）至少为 2年。 4.3在售后期内，中标供应商在接到用户的维修通知，响应时间为半小时内，工程师到达现场时间为4小时内，排除故障时限为到达现场后8小时内。 4.4如果产品故障在检修12小时后仍无法排除，中标供应商应在24小时内提供不低于故障产品规格型号档次的备用产品供采购人使用，直至故障产品修复。</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医用激光仪器及设备</w:t>
            </w:r>
          </w:p>
        </w:tc>
        <w:tc>
          <w:tcPr>
            <w:tcW w:type="dxa" w:w="831"/>
          </w:tcPr>
          <w:p>
            <w:pPr>
              <w:jc w:val="left"/>
            </w:pPr>
            <w:r>
              <w:rPr/>
              <w:t>激光光凝仪</w:t>
            </w:r>
          </w:p>
        </w:tc>
        <w:tc>
          <w:tcPr>
            <w:tcW w:type="dxa" w:w="831"/>
          </w:tcPr>
          <w:p>
            <w:pPr>
              <w:jc w:val="left"/>
            </w:pPr>
            <w:r>
              <w:rPr/>
              <w:t>台</w:t>
            </w:r>
          </w:p>
        </w:tc>
        <w:tc>
          <w:tcPr>
            <w:tcW w:type="dxa" w:w="831"/>
          </w:tcPr>
          <w:p>
            <w:pPr>
              <w:jc w:val="right"/>
            </w:pPr>
            <w:r>
              <w:rPr/>
              <w:t>1.00</w:t>
            </w:r>
          </w:p>
        </w:tc>
        <w:tc>
          <w:tcPr>
            <w:tcW w:type="dxa" w:w="831"/>
          </w:tcPr>
          <w:p>
            <w:pPr>
              <w:jc w:val="right"/>
            </w:pPr>
            <w:r>
              <w:rPr/>
              <w:t>500,000.00</w:t>
            </w:r>
          </w:p>
        </w:tc>
        <w:tc>
          <w:tcPr>
            <w:tcW w:type="dxa" w:w="831"/>
          </w:tcPr>
          <w:p>
            <w:pPr>
              <w:jc w:val="right"/>
            </w:pPr>
            <w:r>
              <w:rPr/>
              <w:t>500,000.00</w:t>
            </w:r>
          </w:p>
        </w:tc>
        <w:tc>
          <w:tcPr>
            <w:tcW w:type="dxa" w:w="831"/>
          </w:tcPr>
          <w:p>
            <w:r>
              <w:rPr/>
              <w:t>工业</w:t>
            </w:r>
          </w:p>
        </w:tc>
        <w:tc>
          <w:tcPr>
            <w:tcW w:type="dxa" w:w="831"/>
          </w:tcPr>
          <w:p>
            <w:r>
              <w:rPr/>
              <w:t>详见附表一</w:t>
            </w:r>
          </w:p>
        </w:tc>
      </w:tr>
    </w:tbl>
    <w:p/>
    <w:p>
      <w:r>
        <w:rPr>
          <w:b/>
        </w:rPr>
        <w:t>附表</w:t>
      </w:r>
      <w:r>
        <w:rPr>
          <w:b/>
        </w:rPr>
        <w:t>一</w:t>
      </w:r>
      <w:r>
        <w:rPr>
          <w:b/>
        </w:rPr>
        <w:t>：</w:t>
      </w:r>
      <w:r>
        <w:rPr>
          <w:b/>
        </w:rPr>
        <w:t>激光光凝仪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激光波长532nm  ★</w:t>
            </w:r>
          </w:p>
        </w:tc>
      </w:tr>
      <w:tr>
        <w:tc>
          <w:tcPr>
            <w:tcW w:type="dxa" w:w="2076"/>
          </w:tcPr>
          <w:p>
            <w:r>
              <w:rPr/>
              <w:t>★</w:t>
            </w:r>
          </w:p>
        </w:tc>
        <w:tc>
          <w:tcPr>
            <w:tcW w:type="dxa" w:w="415"/>
          </w:tcPr>
          <w:p>
            <w:r>
              <w:rPr/>
              <w:t>2</w:t>
            </w:r>
          </w:p>
        </w:tc>
        <w:tc>
          <w:tcPr>
            <w:tcW w:type="dxa" w:w="5814"/>
          </w:tcPr>
          <w:p>
            <w:r>
              <w:rPr/>
              <w:t>激光类型：固态激光  ★</w:t>
            </w:r>
          </w:p>
        </w:tc>
      </w:tr>
      <w:tr>
        <w:tc>
          <w:tcPr>
            <w:tcW w:type="dxa" w:w="2076"/>
          </w:tcPr>
          <w:p>
            <w:r>
              <w:rPr/>
              <w:t>★</w:t>
            </w:r>
          </w:p>
        </w:tc>
        <w:tc>
          <w:tcPr>
            <w:tcW w:type="dxa" w:w="415"/>
          </w:tcPr>
          <w:p>
            <w:r>
              <w:rPr/>
              <w:t>3</w:t>
            </w:r>
          </w:p>
        </w:tc>
        <w:tc>
          <w:tcPr>
            <w:tcW w:type="dxa" w:w="5814"/>
          </w:tcPr>
          <w:p>
            <w:r>
              <w:rPr/>
              <w:t>光斑大小：50-1000um  ★</w:t>
            </w:r>
          </w:p>
        </w:tc>
      </w:tr>
      <w:tr>
        <w:tc>
          <w:tcPr>
            <w:tcW w:type="dxa" w:w="2076"/>
          </w:tcPr>
          <w:p>
            <w:r>
              <w:rPr/>
              <w:t>★</w:t>
            </w:r>
          </w:p>
        </w:tc>
        <w:tc>
          <w:tcPr>
            <w:tcW w:type="dxa" w:w="415"/>
          </w:tcPr>
          <w:p>
            <w:r>
              <w:rPr/>
              <w:t>4</w:t>
            </w:r>
          </w:p>
        </w:tc>
        <w:tc>
          <w:tcPr>
            <w:tcW w:type="dxa" w:w="5814"/>
          </w:tcPr>
          <w:p>
            <w:r>
              <w:rPr/>
              <w:t>输出功率：50-1500mW  ★</w:t>
            </w:r>
          </w:p>
        </w:tc>
      </w:tr>
      <w:tr>
        <w:tc>
          <w:tcPr>
            <w:tcW w:type="dxa" w:w="2076"/>
          </w:tcPr>
          <w:p>
            <w:r>
              <w:rPr/>
              <w:t>★</w:t>
            </w:r>
          </w:p>
        </w:tc>
        <w:tc>
          <w:tcPr>
            <w:tcW w:type="dxa" w:w="415"/>
          </w:tcPr>
          <w:p>
            <w:r>
              <w:rPr/>
              <w:t>5</w:t>
            </w:r>
          </w:p>
        </w:tc>
        <w:tc>
          <w:tcPr>
            <w:tcW w:type="dxa" w:w="5814"/>
          </w:tcPr>
          <w:p>
            <w:r>
              <w:rPr/>
              <w:t>脉冲间隔时间;100-1000ms ，和单脉冲 ★</w:t>
            </w:r>
          </w:p>
        </w:tc>
      </w:tr>
      <w:tr>
        <w:tc>
          <w:tcPr>
            <w:tcW w:type="dxa" w:w="2076"/>
          </w:tcPr>
          <w:p>
            <w:r>
              <w:rPr/>
              <w:t>★</w:t>
            </w:r>
          </w:p>
        </w:tc>
        <w:tc>
          <w:tcPr>
            <w:tcW w:type="dxa" w:w="415"/>
          </w:tcPr>
          <w:p>
            <w:r>
              <w:rPr/>
              <w:t>6</w:t>
            </w:r>
          </w:p>
        </w:tc>
        <w:tc>
          <w:tcPr>
            <w:tcW w:type="dxa" w:w="5814"/>
          </w:tcPr>
          <w:p>
            <w:r>
              <w:rPr/>
              <w:t>脉冲持续时间：10-2500ms ★</w:t>
            </w:r>
          </w:p>
        </w:tc>
      </w:tr>
      <w:tr>
        <w:tc>
          <w:tcPr>
            <w:tcW w:type="dxa" w:w="2076"/>
          </w:tcPr>
          <w:p/>
        </w:tc>
        <w:tc>
          <w:tcPr>
            <w:tcW w:type="dxa" w:w="415"/>
          </w:tcPr>
          <w:p>
            <w:r>
              <w:rPr/>
              <w:t>7</w:t>
            </w:r>
          </w:p>
        </w:tc>
        <w:tc>
          <w:tcPr>
            <w:tcW w:type="dxa" w:w="5814"/>
          </w:tcPr>
          <w:p>
            <w:r>
              <w:rPr/>
              <w:t>瞄准光：≥635nm，能量可调，连续波</w:t>
            </w:r>
          </w:p>
        </w:tc>
      </w:tr>
      <w:tr>
        <w:tc>
          <w:tcPr>
            <w:tcW w:type="dxa" w:w="2076"/>
          </w:tcPr>
          <w:p/>
        </w:tc>
        <w:tc>
          <w:tcPr>
            <w:tcW w:type="dxa" w:w="415"/>
          </w:tcPr>
          <w:p>
            <w:r>
              <w:rPr/>
              <w:t>8</w:t>
            </w:r>
          </w:p>
        </w:tc>
        <w:tc>
          <w:tcPr>
            <w:tcW w:type="dxa" w:w="5814"/>
          </w:tcPr>
          <w:p>
            <w:r>
              <w:rPr/>
              <w:t>冷却方式：空气、热电冷却、电子散热</w:t>
            </w:r>
          </w:p>
        </w:tc>
      </w:tr>
      <w:tr>
        <w:tc>
          <w:tcPr>
            <w:tcW w:type="dxa" w:w="2076"/>
          </w:tcPr>
          <w:p>
            <w:r>
              <w:rPr/>
              <w:t>★</w:t>
            </w:r>
          </w:p>
        </w:tc>
        <w:tc>
          <w:tcPr>
            <w:tcW w:type="dxa" w:w="415"/>
          </w:tcPr>
          <w:p>
            <w:r>
              <w:rPr/>
              <w:t>9</w:t>
            </w:r>
          </w:p>
        </w:tc>
        <w:tc>
          <w:tcPr>
            <w:tcW w:type="dxa" w:w="5814"/>
          </w:tcPr>
          <w:p>
            <w:r>
              <w:rPr/>
              <w:t>光纤接口：</w:t>
            </w:r>
            <w:r>
              <w:rPr/>
              <w:t>FC和SMA双光纤输出口 ★</w:t>
            </w:r>
          </w:p>
        </w:tc>
      </w:tr>
      <w:tr>
        <w:tc>
          <w:tcPr>
            <w:tcW w:type="dxa" w:w="2076"/>
          </w:tcPr>
          <w:p>
            <w:r>
              <w:rPr/>
              <w:t>★</w:t>
            </w:r>
          </w:p>
        </w:tc>
        <w:tc>
          <w:tcPr>
            <w:tcW w:type="dxa" w:w="415"/>
          </w:tcPr>
          <w:p>
            <w:r>
              <w:rPr/>
              <w:t>10</w:t>
            </w:r>
          </w:p>
        </w:tc>
        <w:tc>
          <w:tcPr>
            <w:tcW w:type="dxa" w:w="5814"/>
          </w:tcPr>
          <w:p>
            <w:r>
              <w:rPr/>
              <w:t>激光输出类型：单点脉冲、持续脉冲 ★</w:t>
            </w:r>
          </w:p>
        </w:tc>
      </w:tr>
      <w:tr>
        <w:tc>
          <w:tcPr>
            <w:tcW w:type="dxa" w:w="2076"/>
          </w:tcPr>
          <w:p>
            <w:r>
              <w:rPr/>
              <w:t>▲</w:t>
            </w:r>
          </w:p>
        </w:tc>
        <w:tc>
          <w:tcPr>
            <w:tcW w:type="dxa" w:w="415"/>
          </w:tcPr>
          <w:p>
            <w:r>
              <w:rPr/>
              <w:t>11</w:t>
            </w:r>
          </w:p>
        </w:tc>
        <w:tc>
          <w:tcPr>
            <w:tcW w:type="dxa" w:w="5814"/>
          </w:tcPr>
          <w:p>
            <w:r>
              <w:rPr/>
              <w:t>传输系统：</w:t>
            </w:r>
            <w:r>
              <w:rPr/>
              <w:t>可接上光源和下光源裂隙灯，激光间接检眼镜，眼内探针   ▲</w:t>
            </w:r>
          </w:p>
        </w:tc>
      </w:tr>
      <w:tr>
        <w:tc>
          <w:tcPr>
            <w:tcW w:type="dxa" w:w="2076"/>
          </w:tcPr>
          <w:p>
            <w:r>
              <w:rPr/>
              <w:t>▲</w:t>
            </w:r>
          </w:p>
        </w:tc>
        <w:tc>
          <w:tcPr>
            <w:tcW w:type="dxa" w:w="415"/>
          </w:tcPr>
          <w:p>
            <w:r>
              <w:rPr/>
              <w:t>12</w:t>
            </w:r>
          </w:p>
        </w:tc>
        <w:tc>
          <w:tcPr>
            <w:tcW w:type="dxa" w:w="5814"/>
          </w:tcPr>
          <w:p>
            <w:r>
              <w:rPr/>
              <w:t>裂隙灯5极放大、医生保护滤片  ▲</w:t>
            </w:r>
          </w:p>
        </w:tc>
      </w:tr>
      <w:tr>
        <w:tc>
          <w:tcPr>
            <w:tcW w:type="dxa" w:w="2076"/>
          </w:tcPr>
          <w:p>
            <w:r>
              <w:rPr/>
              <w:t>▲</w:t>
            </w:r>
          </w:p>
        </w:tc>
        <w:tc>
          <w:tcPr>
            <w:tcW w:type="dxa" w:w="415"/>
          </w:tcPr>
          <w:p>
            <w:r>
              <w:rPr/>
              <w:t>13</w:t>
            </w:r>
          </w:p>
        </w:tc>
        <w:tc>
          <w:tcPr>
            <w:tcW w:type="dxa" w:w="5814"/>
          </w:tcPr>
          <w:p>
            <w:r>
              <w:rPr/>
              <w:t>裂隙宽度：0至15mm连续可变 ▲</w:t>
            </w:r>
          </w:p>
        </w:tc>
      </w:tr>
      <w:tr>
        <w:tc>
          <w:tcPr>
            <w:tcW w:type="dxa" w:w="2076"/>
          </w:tcPr>
          <w:p>
            <w:r>
              <w:rPr/>
              <w:t>▲</w:t>
            </w:r>
          </w:p>
        </w:tc>
        <w:tc>
          <w:tcPr>
            <w:tcW w:type="dxa" w:w="415"/>
          </w:tcPr>
          <w:p>
            <w:r>
              <w:rPr/>
              <w:t>14</w:t>
            </w:r>
          </w:p>
        </w:tc>
        <w:tc>
          <w:tcPr>
            <w:tcW w:type="dxa" w:w="5814"/>
          </w:tcPr>
          <w:p>
            <w:r>
              <w:rPr/>
              <w:t>裂隙高度：1至15mm连续可变 ▲</w:t>
            </w:r>
          </w:p>
        </w:tc>
      </w:tr>
      <w:tr>
        <w:tc>
          <w:tcPr>
            <w:tcW w:type="dxa" w:w="2076"/>
          </w:tcPr>
          <w:p/>
        </w:tc>
        <w:tc>
          <w:tcPr>
            <w:tcW w:type="dxa" w:w="415"/>
          </w:tcPr>
          <w:p>
            <w:r>
              <w:rPr/>
              <w:t>15</w:t>
            </w:r>
          </w:p>
        </w:tc>
        <w:tc>
          <w:tcPr>
            <w:tcW w:type="dxa" w:w="5814"/>
          </w:tcPr>
          <w:p>
            <w:r>
              <w:rPr/>
              <w:t>裂隙灯照明亮度：连续可调</w:t>
            </w:r>
          </w:p>
        </w:tc>
      </w:tr>
      <w:tr>
        <w:tc>
          <w:tcPr>
            <w:tcW w:type="dxa" w:w="2076"/>
          </w:tcPr>
          <w:p/>
        </w:tc>
        <w:tc>
          <w:tcPr>
            <w:tcW w:type="dxa" w:w="415"/>
          </w:tcPr>
          <w:p>
            <w:r>
              <w:rPr/>
              <w:t>16</w:t>
            </w:r>
          </w:p>
        </w:tc>
        <w:tc>
          <w:tcPr>
            <w:tcW w:type="dxa" w:w="5814"/>
          </w:tcPr>
          <w:p>
            <w:r>
              <w:rPr/>
              <w:t>控制面板：彩色触摸屏</w:t>
            </w:r>
          </w:p>
        </w:tc>
      </w:tr>
      <w:tr>
        <w:tc>
          <w:tcPr>
            <w:tcW w:type="dxa" w:w="2076"/>
          </w:tcPr>
          <w:p>
            <w:r>
              <w:rPr/>
              <w:t>★</w:t>
            </w:r>
          </w:p>
        </w:tc>
        <w:tc>
          <w:tcPr>
            <w:tcW w:type="dxa" w:w="415"/>
          </w:tcPr>
          <w:p>
            <w:r>
              <w:rPr/>
              <w:t>17</w:t>
            </w:r>
          </w:p>
        </w:tc>
        <w:tc>
          <w:tcPr>
            <w:tcW w:type="dxa" w:w="5814"/>
          </w:tcPr>
          <w:p>
            <w:r>
              <w:rPr/>
              <w:t>脚踏开关：可调节激光能量大小</w:t>
            </w:r>
            <w:r>
              <w:rPr/>
              <w:t>★</w:t>
            </w:r>
          </w:p>
        </w:tc>
      </w:tr>
      <w:tr>
        <w:tc>
          <w:tcPr>
            <w:tcW w:type="dxa" w:w="2076"/>
          </w:tcPr>
          <w:p>
            <w:r>
              <w:rPr/>
              <w:t>▲</w:t>
            </w:r>
          </w:p>
        </w:tc>
        <w:tc>
          <w:tcPr>
            <w:tcW w:type="dxa" w:w="415"/>
          </w:tcPr>
          <w:p>
            <w:r>
              <w:rPr/>
              <w:t>18</w:t>
            </w:r>
          </w:p>
        </w:tc>
        <w:tc>
          <w:tcPr>
            <w:tcW w:type="dxa" w:w="5814"/>
          </w:tcPr>
          <w:p>
            <w:r>
              <w:rPr/>
              <w:t>含有阈值下光凝模式  ▲</w:t>
            </w:r>
          </w:p>
        </w:tc>
      </w:tr>
      <w:tr>
        <w:tc>
          <w:tcPr>
            <w:tcW w:type="dxa" w:w="2076"/>
          </w:tcPr>
          <w:p>
            <w:r>
              <w:rPr/>
              <w:t>▲</w:t>
            </w:r>
          </w:p>
        </w:tc>
        <w:tc>
          <w:tcPr>
            <w:tcW w:type="dxa" w:w="415"/>
          </w:tcPr>
          <w:p>
            <w:r>
              <w:rPr/>
              <w:t>19</w:t>
            </w:r>
          </w:p>
        </w:tc>
        <w:tc>
          <w:tcPr>
            <w:tcW w:type="dxa" w:w="5814"/>
          </w:tcPr>
          <w:p>
            <w:r>
              <w:rPr/>
              <w:t>阈值下光凝模式：脉冲时间：0.05ms-0.5ms ▲</w:t>
            </w:r>
          </w:p>
        </w:tc>
      </w:tr>
      <w:tr>
        <w:tc>
          <w:tcPr>
            <w:tcW w:type="dxa" w:w="2076"/>
          </w:tcPr>
          <w:p>
            <w:r>
              <w:rPr/>
              <w:t>▲</w:t>
            </w:r>
          </w:p>
        </w:tc>
        <w:tc>
          <w:tcPr>
            <w:tcW w:type="dxa" w:w="415"/>
          </w:tcPr>
          <w:p>
            <w:r>
              <w:rPr/>
              <w:t>20</w:t>
            </w:r>
          </w:p>
        </w:tc>
        <w:tc>
          <w:tcPr>
            <w:tcW w:type="dxa" w:w="5814"/>
          </w:tcPr>
          <w:p>
            <w:r>
              <w:rPr/>
              <w:t>阈值下光凝模式：脉冲占空比：5%、10%、15% ▲</w:t>
            </w:r>
          </w:p>
        </w:tc>
      </w:tr>
      <w:tr>
        <w:tc>
          <w:tcPr>
            <w:tcW w:type="dxa" w:w="2076"/>
          </w:tcPr>
          <w:p>
            <w:r>
              <w:rPr/>
              <w:t>▲</w:t>
            </w:r>
          </w:p>
        </w:tc>
        <w:tc>
          <w:tcPr>
            <w:tcW w:type="dxa" w:w="415"/>
          </w:tcPr>
          <w:p>
            <w:r>
              <w:rPr/>
              <w:t>21</w:t>
            </w:r>
          </w:p>
        </w:tc>
        <w:tc>
          <w:tcPr>
            <w:tcW w:type="dxa" w:w="5814"/>
          </w:tcPr>
          <w:p>
            <w:r>
              <w:rPr/>
              <w:t>含多点扫描模式，或者可升级为多点扫描模式 ▲</w:t>
            </w:r>
          </w:p>
        </w:tc>
      </w:tr>
      <w:tr>
        <w:tc>
          <w:tcPr>
            <w:tcW w:type="dxa" w:w="2076"/>
          </w:tcPr>
          <w:p>
            <w:r>
              <w:rPr/>
              <w:t>★</w:t>
            </w:r>
          </w:p>
        </w:tc>
        <w:tc>
          <w:tcPr>
            <w:tcW w:type="dxa" w:w="415"/>
          </w:tcPr>
          <w:p>
            <w:r>
              <w:rPr/>
              <w:t>22</w:t>
            </w:r>
          </w:p>
        </w:tc>
        <w:tc>
          <w:tcPr>
            <w:tcW w:type="dxa" w:w="5814"/>
          </w:tcPr>
          <w:p>
            <w:r>
              <w:rPr/>
              <w:t>无专机专用试剂耗材，设备可匹配市面多个品牌型号激光光纤使用。★</w:t>
            </w:r>
          </w:p>
        </w:tc>
      </w:tr>
      <w:tr>
        <w:tc>
          <w:tcPr>
            <w:tcW w:type="dxa" w:w="2076"/>
          </w:tcPr>
          <w:p>
            <w:r>
              <w:rPr/>
              <w:t>★</w:t>
            </w:r>
          </w:p>
        </w:tc>
        <w:tc>
          <w:tcPr>
            <w:tcW w:type="dxa" w:w="415"/>
          </w:tcPr>
          <w:p>
            <w:r>
              <w:rPr/>
              <w:t>23</w:t>
            </w:r>
          </w:p>
        </w:tc>
        <w:tc>
          <w:tcPr>
            <w:tcW w:type="dxa" w:w="5814"/>
          </w:tcPr>
          <w:p>
            <w:r>
              <w:rPr/>
              <w:t>★四、每套设备配置要求：（包括但不限于以下配置）</w:t>
            </w:r>
          </w:p>
          <w:tbl>
            <w:tblPr>
              <w:tblInd w:type="dxa" w:w="105"/>
              <w:tblBorders>
                <w:top w:val="none" w:color="000000" w:sz="4"/>
                <w:left w:val="none" w:color="000000" w:sz="4"/>
                <w:bottom w:val="none" w:color="000000" w:sz="4"/>
                <w:right w:val="none" w:color="000000" w:sz="4"/>
                <w:insideH w:val="none"/>
                <w:insideV w:val="none"/>
              </w:tblBorders>
            </w:tblPr>
            <w:tblGrid>
              <w:gridCol w:w="482"/>
              <w:gridCol w:w="769"/>
              <w:gridCol w:w="3066"/>
              <w:gridCol w:w="656"/>
              <w:gridCol w:w="625"/>
            </w:tblGrid>
            <w:tr>
              <w:tc>
                <w:tcPr>
                  <w:tcW w:type="dxa" w:w="482"/>
                  <w:tcBorders>
                    <w:top w:val="single" w:color="000000" w:sz="4"/>
                    <w:left w:val="single" w:color="000000" w:sz="4"/>
                    <w:bottom w:val="single" w:color="000000" w:sz="4"/>
                    <w:right w:val="single" w:color="000000" w:sz="4"/>
                  </w:tcBorders>
                  <w:vAlign w:val="top"/>
                </w:tcPr>
                <w:p>
                  <w:pPr>
                    <w:jc w:val="center"/>
                  </w:pPr>
                  <w:r>
                    <w:rPr>
                      <w:color w:val="000000"/>
                      <w:sz w:val="24"/>
                    </w:rPr>
                    <w:t>序号</w:t>
                  </w:r>
                </w:p>
              </w:tc>
              <w:tc>
                <w:tcPr>
                  <w:tcW w:type="dxa" w:w="769"/>
                  <w:tcBorders>
                    <w:top w:val="single" w:color="000000" w:sz="4"/>
                    <w:left w:val="single" w:color="000000" w:sz="4"/>
                    <w:bottom w:val="single" w:color="000000" w:sz="4"/>
                    <w:right w:val="single" w:color="000000" w:sz="4"/>
                  </w:tcBorders>
                  <w:vAlign w:val="top"/>
                </w:tcPr>
                <w:p>
                  <w:pPr>
                    <w:jc w:val="center"/>
                  </w:pPr>
                  <w:r>
                    <w:rPr>
                      <w:color w:val="000000"/>
                      <w:sz w:val="24"/>
                    </w:rPr>
                    <w:t>名称</w:t>
                  </w:r>
                </w:p>
              </w:tc>
              <w:tc>
                <w:tcPr>
                  <w:tcW w:type="dxa" w:w="3066"/>
                  <w:tcBorders>
                    <w:top w:val="single" w:color="000000" w:sz="4"/>
                    <w:left w:val="single" w:color="000000" w:sz="4"/>
                    <w:bottom w:val="single" w:color="000000" w:sz="4"/>
                    <w:right w:val="single" w:color="000000" w:sz="4"/>
                  </w:tcBorders>
                  <w:vAlign w:val="top"/>
                </w:tcPr>
                <w:p>
                  <w:pPr>
                    <w:jc w:val="center"/>
                  </w:pPr>
                  <w:r>
                    <w:rPr>
                      <w:color w:val="000000"/>
                      <w:sz w:val="24"/>
                    </w:rPr>
                    <w:t>要求</w:t>
                  </w:r>
                </w:p>
              </w:tc>
              <w:tc>
                <w:tcPr>
                  <w:tcW w:type="dxa" w:w="656"/>
                  <w:tcBorders>
                    <w:top w:val="single" w:color="000000" w:sz="4"/>
                    <w:left w:val="single" w:color="000000" w:sz="4"/>
                    <w:bottom w:val="single" w:color="000000" w:sz="4"/>
                    <w:right w:val="single" w:color="000000" w:sz="4"/>
                  </w:tcBorders>
                  <w:vAlign w:val="top"/>
                </w:tcPr>
                <w:p>
                  <w:pPr>
                    <w:jc w:val="center"/>
                  </w:pPr>
                  <w:r>
                    <w:rPr>
                      <w:color w:val="000000"/>
                      <w:sz w:val="24"/>
                    </w:rPr>
                    <w:t>数量</w:t>
                  </w:r>
                </w:p>
              </w:tc>
              <w:tc>
                <w:tcPr>
                  <w:tcW w:type="dxa" w:w="625"/>
                  <w:tcBorders>
                    <w:top w:val="single" w:color="000000" w:sz="4"/>
                    <w:left w:val="single" w:color="000000" w:sz="4"/>
                    <w:bottom w:val="single" w:color="000000" w:sz="4"/>
                    <w:right w:val="single" w:color="000000" w:sz="4"/>
                  </w:tcBorders>
                  <w:vAlign w:val="top"/>
                </w:tcPr>
                <w:p>
                  <w:pPr>
                    <w:jc w:val="center"/>
                  </w:pPr>
                  <w:r>
                    <w:rPr>
                      <w:color w:val="000000"/>
                      <w:sz w:val="24"/>
                    </w:rPr>
                    <w:t>单位</w:t>
                  </w:r>
                </w:p>
              </w:tc>
            </w:tr>
            <w:tr>
              <w:tc>
                <w:tcPr>
                  <w:tcW w:type="dxa" w:w="482"/>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69"/>
                  <w:tcBorders>
                    <w:top w:val="none" w:color="000000" w:sz="4"/>
                    <w:left w:val="single" w:color="000000" w:sz="4"/>
                    <w:bottom w:val="single" w:color="000000" w:sz="4"/>
                    <w:right w:val="single" w:color="000000" w:sz="4"/>
                  </w:tcBorders>
                  <w:vAlign w:val="top"/>
                </w:tcPr>
                <w:p>
                  <w:pPr>
                    <w:jc w:val="both"/>
                  </w:pPr>
                  <w:r>
                    <w:rPr>
                      <w:b/>
                      <w:color w:val="000000"/>
                      <w:sz w:val="21"/>
                    </w:rPr>
                    <w:t>主机</w:t>
                  </w:r>
                </w:p>
              </w:tc>
              <w:tc>
                <w:tcPr>
                  <w:tcW w:type="dxa" w:w="3066"/>
                  <w:tcBorders>
                    <w:top w:val="none" w:color="000000" w:sz="4"/>
                    <w:left w:val="single" w:color="000000" w:sz="4"/>
                    <w:bottom w:val="single" w:color="000000" w:sz="4"/>
                    <w:right w:val="single" w:color="000000" w:sz="4"/>
                  </w:tcBorders>
                  <w:vAlign w:val="top"/>
                </w:tcPr>
                <w:p>
                  <w:pPr>
                    <w:jc w:val="both"/>
                  </w:pPr>
                </w:p>
              </w:tc>
              <w:tc>
                <w:tcPr>
                  <w:tcW w:type="dxa" w:w="656"/>
                  <w:tcBorders>
                    <w:top w:val="none" w:color="000000" w:sz="4"/>
                    <w:left w:val="single" w:color="000000" w:sz="4"/>
                    <w:bottom w:val="single" w:color="000000" w:sz="4"/>
                    <w:right w:val="single" w:color="000000" w:sz="4"/>
                  </w:tcBorders>
                  <w:vAlign w:val="top"/>
                </w:tcPr>
                <w:p>
                  <w:pPr>
                    <w:jc w:val="both"/>
                  </w:pPr>
                  <w:r>
                    <w:rPr>
                      <w:b/>
                      <w:color w:val="000000"/>
                      <w:sz w:val="21"/>
                    </w:rPr>
                    <w:t>1</w:t>
                  </w:r>
                </w:p>
              </w:tc>
              <w:tc>
                <w:tcPr>
                  <w:tcW w:type="dxa" w:w="625"/>
                  <w:tcBorders>
                    <w:top w:val="none" w:color="000000" w:sz="4"/>
                    <w:left w:val="single" w:color="000000" w:sz="4"/>
                    <w:bottom w:val="single" w:color="000000" w:sz="4"/>
                    <w:right w:val="single" w:color="000000" w:sz="4"/>
                  </w:tcBorders>
                  <w:vAlign w:val="top"/>
                </w:tcPr>
                <w:p>
                  <w:pPr>
                    <w:jc w:val="both"/>
                  </w:pPr>
                  <w:r>
                    <w:rPr>
                      <w:b/>
                      <w:color w:val="000000"/>
                      <w:sz w:val="21"/>
                    </w:rPr>
                    <w:t>台</w:t>
                  </w:r>
                </w:p>
              </w:tc>
            </w:tr>
            <w:tr>
              <w:tc>
                <w:tcPr>
                  <w:tcW w:type="dxa" w:w="482"/>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769"/>
                  <w:tcBorders>
                    <w:top w:val="none" w:color="000000" w:sz="4"/>
                    <w:left w:val="single" w:color="000000" w:sz="4"/>
                    <w:bottom w:val="single" w:color="000000" w:sz="4"/>
                    <w:right w:val="single" w:color="000000" w:sz="4"/>
                  </w:tcBorders>
                  <w:vAlign w:val="top"/>
                </w:tcPr>
                <w:p>
                  <w:pPr>
                    <w:jc w:val="both"/>
                  </w:pPr>
                  <w:r>
                    <w:rPr>
                      <w:b/>
                      <w:color w:val="000000"/>
                      <w:sz w:val="21"/>
                    </w:rPr>
                    <w:t>升降桌</w:t>
                  </w:r>
                </w:p>
              </w:tc>
              <w:tc>
                <w:tcPr>
                  <w:tcW w:type="dxa" w:w="3066"/>
                  <w:tcBorders>
                    <w:top w:val="none" w:color="000000" w:sz="4"/>
                    <w:left w:val="single" w:color="000000" w:sz="4"/>
                    <w:bottom w:val="single" w:color="000000" w:sz="4"/>
                    <w:right w:val="single" w:color="000000" w:sz="4"/>
                  </w:tcBorders>
                  <w:vAlign w:val="top"/>
                </w:tcPr>
                <w:p>
                  <w:pPr>
                    <w:jc w:val="both"/>
                  </w:pPr>
                  <w:r>
                    <w:rPr>
                      <w:b/>
                      <w:color w:val="000000"/>
                      <w:sz w:val="21"/>
                    </w:rPr>
                    <w:t>原配升降台，电动调节</w:t>
                  </w:r>
                </w:p>
              </w:tc>
              <w:tc>
                <w:tcPr>
                  <w:tcW w:type="dxa" w:w="656"/>
                  <w:tcBorders>
                    <w:top w:val="none" w:color="000000" w:sz="4"/>
                    <w:left w:val="single" w:color="000000" w:sz="4"/>
                    <w:bottom w:val="single" w:color="000000" w:sz="4"/>
                    <w:right w:val="single" w:color="000000" w:sz="4"/>
                  </w:tcBorders>
                  <w:vAlign w:val="top"/>
                </w:tcPr>
                <w:p>
                  <w:pPr>
                    <w:jc w:val="both"/>
                  </w:pPr>
                  <w:r>
                    <w:rPr>
                      <w:b/>
                      <w:color w:val="000000"/>
                      <w:sz w:val="21"/>
                    </w:rPr>
                    <w:t>1</w:t>
                  </w:r>
                </w:p>
              </w:tc>
              <w:tc>
                <w:tcPr>
                  <w:tcW w:type="dxa" w:w="625"/>
                  <w:tcBorders>
                    <w:top w:val="none" w:color="000000" w:sz="4"/>
                    <w:left w:val="single" w:color="000000" w:sz="4"/>
                    <w:bottom w:val="single" w:color="000000" w:sz="4"/>
                    <w:right w:val="single" w:color="000000" w:sz="4"/>
                  </w:tcBorders>
                  <w:vAlign w:val="top"/>
                </w:tcPr>
                <w:p>
                  <w:pPr>
                    <w:jc w:val="both"/>
                  </w:pPr>
                  <w:r>
                    <w:rPr>
                      <w:b/>
                      <w:color w:val="000000"/>
                      <w:sz w:val="21"/>
                    </w:rPr>
                    <w:t>台</w:t>
                  </w:r>
                </w:p>
              </w:tc>
            </w:tr>
            <w:tr>
              <w:tc>
                <w:tcPr>
                  <w:tcW w:type="dxa" w:w="482"/>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769"/>
                  <w:tcBorders>
                    <w:top w:val="none" w:color="000000" w:sz="4"/>
                    <w:left w:val="single" w:color="000000" w:sz="4"/>
                    <w:bottom w:val="single" w:color="000000" w:sz="4"/>
                    <w:right w:val="single" w:color="000000" w:sz="4"/>
                  </w:tcBorders>
                  <w:vAlign w:val="top"/>
                </w:tcPr>
                <w:p>
                  <w:pPr>
                    <w:jc w:val="both"/>
                  </w:pPr>
                  <w:r>
                    <w:rPr>
                      <w:b/>
                      <w:color w:val="000000"/>
                      <w:sz w:val="21"/>
                    </w:rPr>
                    <w:t>裂隙灯</w:t>
                  </w:r>
                </w:p>
              </w:tc>
              <w:tc>
                <w:tcPr>
                  <w:tcW w:type="dxa" w:w="3066"/>
                  <w:tcBorders>
                    <w:top w:val="none" w:color="000000" w:sz="4"/>
                    <w:left w:val="single" w:color="000000" w:sz="4"/>
                    <w:bottom w:val="single" w:color="000000" w:sz="4"/>
                    <w:right w:val="single" w:color="000000" w:sz="4"/>
                  </w:tcBorders>
                  <w:vAlign w:val="top"/>
                </w:tcPr>
                <w:p>
                  <w:pPr>
                    <w:jc w:val="both"/>
                  </w:pPr>
                </w:p>
              </w:tc>
              <w:tc>
                <w:tcPr>
                  <w:tcW w:type="dxa" w:w="656"/>
                  <w:tcBorders>
                    <w:top w:val="none" w:color="000000" w:sz="4"/>
                    <w:left w:val="single" w:color="000000" w:sz="4"/>
                    <w:bottom w:val="single" w:color="000000" w:sz="4"/>
                    <w:right w:val="single" w:color="000000" w:sz="4"/>
                  </w:tcBorders>
                  <w:vAlign w:val="top"/>
                </w:tcPr>
                <w:p>
                  <w:pPr>
                    <w:jc w:val="both"/>
                  </w:pPr>
                  <w:r>
                    <w:rPr>
                      <w:b/>
                      <w:color w:val="000000"/>
                      <w:sz w:val="21"/>
                    </w:rPr>
                    <w:t>1</w:t>
                  </w:r>
                </w:p>
              </w:tc>
              <w:tc>
                <w:tcPr>
                  <w:tcW w:type="dxa" w:w="625"/>
                  <w:tcBorders>
                    <w:top w:val="none" w:color="000000" w:sz="4"/>
                    <w:left w:val="single" w:color="000000" w:sz="4"/>
                    <w:bottom w:val="single" w:color="000000" w:sz="4"/>
                    <w:right w:val="single" w:color="000000" w:sz="4"/>
                  </w:tcBorders>
                  <w:vAlign w:val="top"/>
                </w:tcPr>
                <w:p>
                  <w:pPr>
                    <w:jc w:val="both"/>
                  </w:pPr>
                  <w:r>
                    <w:rPr>
                      <w:b/>
                      <w:color w:val="000000"/>
                      <w:sz w:val="21"/>
                    </w:rPr>
                    <w:t>台</w:t>
                  </w:r>
                </w:p>
              </w:tc>
            </w:tr>
            <w:tr>
              <w:tc>
                <w:tcPr>
                  <w:tcW w:type="dxa" w:w="482"/>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769"/>
                  <w:tcBorders>
                    <w:top w:val="none" w:color="000000" w:sz="4"/>
                    <w:left w:val="single" w:color="000000" w:sz="4"/>
                    <w:bottom w:val="single" w:color="000000" w:sz="4"/>
                    <w:right w:val="single" w:color="000000" w:sz="4"/>
                  </w:tcBorders>
                  <w:vAlign w:val="top"/>
                </w:tcPr>
                <w:p>
                  <w:pPr>
                    <w:jc w:val="both"/>
                  </w:pPr>
                  <w:r>
                    <w:rPr>
                      <w:b/>
                      <w:color w:val="000000"/>
                      <w:sz w:val="21"/>
                    </w:rPr>
                    <w:t>脚踏开关</w:t>
                  </w:r>
                </w:p>
              </w:tc>
              <w:tc>
                <w:tcPr>
                  <w:tcW w:type="dxa" w:w="3066"/>
                  <w:tcBorders>
                    <w:top w:val="none" w:color="000000" w:sz="4"/>
                    <w:left w:val="single" w:color="000000" w:sz="4"/>
                    <w:bottom w:val="single" w:color="000000" w:sz="4"/>
                    <w:right w:val="single" w:color="000000" w:sz="4"/>
                  </w:tcBorders>
                  <w:vAlign w:val="top"/>
                </w:tcPr>
                <w:p>
                  <w:pPr>
                    <w:jc w:val="both"/>
                  </w:pPr>
                  <w:r>
                    <w:rPr>
                      <w:b/>
                      <w:color w:val="000000"/>
                      <w:sz w:val="21"/>
                    </w:rPr>
                    <w:t>可调节激光能量</w:t>
                  </w:r>
                </w:p>
              </w:tc>
              <w:tc>
                <w:tcPr>
                  <w:tcW w:type="dxa" w:w="656"/>
                  <w:tcBorders>
                    <w:top w:val="none" w:color="000000" w:sz="4"/>
                    <w:left w:val="single" w:color="000000" w:sz="4"/>
                    <w:bottom w:val="single" w:color="000000" w:sz="4"/>
                    <w:right w:val="single" w:color="000000" w:sz="4"/>
                  </w:tcBorders>
                  <w:vAlign w:val="top"/>
                </w:tcPr>
                <w:p>
                  <w:pPr>
                    <w:jc w:val="both"/>
                  </w:pPr>
                  <w:r>
                    <w:rPr>
                      <w:b/>
                      <w:color w:val="000000"/>
                      <w:sz w:val="21"/>
                    </w:rPr>
                    <w:t>1</w:t>
                  </w:r>
                </w:p>
              </w:tc>
              <w:tc>
                <w:tcPr>
                  <w:tcW w:type="dxa" w:w="625"/>
                  <w:tcBorders>
                    <w:top w:val="none" w:color="000000" w:sz="4"/>
                    <w:left w:val="single" w:color="000000" w:sz="4"/>
                    <w:bottom w:val="single" w:color="000000" w:sz="4"/>
                    <w:right w:val="single" w:color="000000" w:sz="4"/>
                  </w:tcBorders>
                  <w:vAlign w:val="top"/>
                </w:tcPr>
                <w:p>
                  <w:pPr>
                    <w:jc w:val="both"/>
                  </w:pPr>
                  <w:r>
                    <w:rPr>
                      <w:b/>
                      <w:color w:val="000000"/>
                      <w:sz w:val="21"/>
                    </w:rPr>
                    <w:t>个</w:t>
                  </w:r>
                </w:p>
              </w:tc>
            </w:tr>
            <w:tr>
              <w:tc>
                <w:tcPr>
                  <w:tcW w:type="dxa" w:w="482"/>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769"/>
                  <w:tcBorders>
                    <w:top w:val="none" w:color="000000" w:sz="4"/>
                    <w:left w:val="single" w:color="000000" w:sz="4"/>
                    <w:bottom w:val="single" w:color="000000" w:sz="4"/>
                    <w:right w:val="single" w:color="000000" w:sz="4"/>
                  </w:tcBorders>
                  <w:vAlign w:val="top"/>
                </w:tcPr>
                <w:p>
                  <w:pPr>
                    <w:jc w:val="both"/>
                  </w:pPr>
                  <w:r>
                    <w:rPr>
                      <w:b/>
                      <w:color w:val="000000"/>
                      <w:sz w:val="21"/>
                    </w:rPr>
                    <w:t>眼睛保护滤光镜</w:t>
                  </w:r>
                </w:p>
              </w:tc>
              <w:tc>
                <w:tcPr>
                  <w:tcW w:type="dxa" w:w="3066"/>
                  <w:tcBorders>
                    <w:top w:val="none" w:color="000000" w:sz="4"/>
                    <w:left w:val="single" w:color="000000" w:sz="4"/>
                    <w:bottom w:val="single" w:color="000000" w:sz="4"/>
                    <w:right w:val="single" w:color="000000" w:sz="4"/>
                  </w:tcBorders>
                  <w:vAlign w:val="top"/>
                </w:tcPr>
                <w:p>
                  <w:pPr>
                    <w:jc w:val="both"/>
                  </w:pPr>
                </w:p>
              </w:tc>
              <w:tc>
                <w:tcPr>
                  <w:tcW w:type="dxa" w:w="656"/>
                  <w:tcBorders>
                    <w:top w:val="none" w:color="000000" w:sz="4"/>
                    <w:left w:val="single" w:color="000000" w:sz="4"/>
                    <w:bottom w:val="single" w:color="000000" w:sz="4"/>
                    <w:right w:val="single" w:color="000000" w:sz="4"/>
                  </w:tcBorders>
                  <w:vAlign w:val="top"/>
                </w:tcPr>
                <w:p>
                  <w:pPr>
                    <w:jc w:val="both"/>
                  </w:pPr>
                  <w:r>
                    <w:rPr>
                      <w:b/>
                      <w:color w:val="000000"/>
                      <w:sz w:val="21"/>
                    </w:rPr>
                    <w:t>1</w:t>
                  </w:r>
                </w:p>
              </w:tc>
              <w:tc>
                <w:tcPr>
                  <w:tcW w:type="dxa" w:w="625"/>
                  <w:tcBorders>
                    <w:top w:val="none" w:color="000000" w:sz="4"/>
                    <w:left w:val="single" w:color="000000" w:sz="4"/>
                    <w:bottom w:val="single" w:color="000000" w:sz="4"/>
                    <w:right w:val="single" w:color="000000" w:sz="4"/>
                  </w:tcBorders>
                  <w:vAlign w:val="top"/>
                </w:tcPr>
                <w:p>
                  <w:pPr>
                    <w:jc w:val="both"/>
                  </w:pPr>
                  <w:r>
                    <w:rPr>
                      <w:b/>
                      <w:color w:val="000000"/>
                      <w:sz w:val="21"/>
                    </w:rPr>
                    <w:t>副</w:t>
                  </w:r>
                </w:p>
              </w:tc>
            </w:tr>
            <w:tr>
              <w:tc>
                <w:tcPr>
                  <w:tcW w:type="dxa" w:w="482"/>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769"/>
                  <w:tcBorders>
                    <w:top w:val="none" w:color="000000" w:sz="4"/>
                    <w:left w:val="single" w:color="000000" w:sz="4"/>
                    <w:bottom w:val="single" w:color="000000" w:sz="4"/>
                    <w:right w:val="single" w:color="000000" w:sz="4"/>
                  </w:tcBorders>
                  <w:vAlign w:val="top"/>
                </w:tcPr>
                <w:p>
                  <w:pPr>
                    <w:jc w:val="both"/>
                  </w:pPr>
                  <w:r>
                    <w:rPr>
                      <w:b/>
                      <w:color w:val="000000"/>
                      <w:sz w:val="21"/>
                    </w:rPr>
                    <w:t>防尘罩</w:t>
                  </w:r>
                </w:p>
              </w:tc>
              <w:tc>
                <w:tcPr>
                  <w:tcW w:type="dxa" w:w="3066"/>
                  <w:tcBorders>
                    <w:top w:val="none" w:color="000000" w:sz="4"/>
                    <w:left w:val="single" w:color="000000" w:sz="4"/>
                    <w:bottom w:val="single" w:color="000000" w:sz="4"/>
                    <w:right w:val="single" w:color="000000" w:sz="4"/>
                  </w:tcBorders>
                  <w:vAlign w:val="top"/>
                </w:tcPr>
                <w:p>
                  <w:pPr>
                    <w:jc w:val="both"/>
                  </w:pPr>
                </w:p>
              </w:tc>
              <w:tc>
                <w:tcPr>
                  <w:tcW w:type="dxa" w:w="656"/>
                  <w:tcBorders>
                    <w:top w:val="none" w:color="000000" w:sz="4"/>
                    <w:left w:val="single" w:color="000000" w:sz="4"/>
                    <w:bottom w:val="single" w:color="000000" w:sz="4"/>
                    <w:right w:val="single" w:color="000000" w:sz="4"/>
                  </w:tcBorders>
                  <w:vAlign w:val="top"/>
                </w:tcPr>
                <w:p>
                  <w:pPr>
                    <w:jc w:val="both"/>
                  </w:pPr>
                  <w:r>
                    <w:rPr>
                      <w:b/>
                      <w:color w:val="000000"/>
                      <w:sz w:val="21"/>
                    </w:rPr>
                    <w:t>1</w:t>
                  </w:r>
                </w:p>
              </w:tc>
              <w:tc>
                <w:tcPr>
                  <w:tcW w:type="dxa" w:w="625"/>
                  <w:tcBorders>
                    <w:top w:val="none" w:color="000000" w:sz="4"/>
                    <w:left w:val="single" w:color="000000" w:sz="4"/>
                    <w:bottom w:val="single" w:color="000000" w:sz="4"/>
                    <w:right w:val="single" w:color="000000" w:sz="4"/>
                  </w:tcBorders>
                  <w:vAlign w:val="top"/>
                </w:tcPr>
                <w:p>
                  <w:pPr>
                    <w:jc w:val="both"/>
                  </w:pPr>
                  <w:r>
                    <w:rPr>
                      <w:b/>
                      <w:color w:val="000000"/>
                      <w:sz w:val="21"/>
                    </w:rPr>
                    <w:t>个</w:t>
                  </w:r>
                </w:p>
              </w:tc>
            </w:tr>
            <w:tr>
              <w:tc>
                <w:tcPr>
                  <w:tcW w:type="dxa" w:w="482"/>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769"/>
                  <w:tcBorders>
                    <w:top w:val="none" w:color="000000" w:sz="4"/>
                    <w:left w:val="single" w:color="000000" w:sz="4"/>
                    <w:bottom w:val="single" w:color="000000" w:sz="4"/>
                    <w:right w:val="single" w:color="000000" w:sz="4"/>
                  </w:tcBorders>
                  <w:vAlign w:val="top"/>
                </w:tcPr>
                <w:p>
                  <w:pPr>
                    <w:jc w:val="both"/>
                  </w:pPr>
                  <w:r>
                    <w:rPr>
                      <w:b/>
                      <w:color w:val="000000"/>
                      <w:sz w:val="21"/>
                    </w:rPr>
                    <w:t>说明书</w:t>
                  </w:r>
                </w:p>
              </w:tc>
              <w:tc>
                <w:tcPr>
                  <w:tcW w:type="dxa" w:w="3066"/>
                  <w:tcBorders>
                    <w:top w:val="none" w:color="000000" w:sz="4"/>
                    <w:left w:val="single" w:color="000000" w:sz="4"/>
                    <w:bottom w:val="single" w:color="000000" w:sz="4"/>
                    <w:right w:val="single" w:color="000000" w:sz="4"/>
                  </w:tcBorders>
                  <w:vAlign w:val="top"/>
                </w:tcPr>
                <w:p>
                  <w:pPr>
                    <w:jc w:val="both"/>
                  </w:pPr>
                </w:p>
              </w:tc>
              <w:tc>
                <w:tcPr>
                  <w:tcW w:type="dxa" w:w="656"/>
                  <w:tcBorders>
                    <w:top w:val="none" w:color="000000" w:sz="4"/>
                    <w:left w:val="single" w:color="000000" w:sz="4"/>
                    <w:bottom w:val="single" w:color="000000" w:sz="4"/>
                    <w:right w:val="single" w:color="000000" w:sz="4"/>
                  </w:tcBorders>
                  <w:vAlign w:val="top"/>
                </w:tcPr>
                <w:p>
                  <w:pPr>
                    <w:jc w:val="both"/>
                  </w:pPr>
                  <w:r>
                    <w:rPr>
                      <w:b/>
                      <w:color w:val="000000"/>
                      <w:sz w:val="21"/>
                    </w:rPr>
                    <w:t>1</w:t>
                  </w:r>
                </w:p>
              </w:tc>
              <w:tc>
                <w:tcPr>
                  <w:tcW w:type="dxa" w:w="625"/>
                  <w:tcBorders>
                    <w:top w:val="none" w:color="000000" w:sz="4"/>
                    <w:left w:val="single" w:color="000000" w:sz="4"/>
                    <w:bottom w:val="single" w:color="000000" w:sz="4"/>
                    <w:right w:val="single" w:color="000000" w:sz="4"/>
                  </w:tcBorders>
                  <w:vAlign w:val="top"/>
                </w:tcPr>
                <w:p>
                  <w:pPr>
                    <w:jc w:val="both"/>
                  </w:pPr>
                  <w:r>
                    <w:rPr>
                      <w:b/>
                      <w:color w:val="000000"/>
                      <w:sz w:val="21"/>
                    </w:rPr>
                    <w:t>份</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1.采购代理机构：本项目是指国义招标股份有限公司 ，负责整个采购活动的组织，依法负责编制和发布招标文件，对招标文件拥有最终的解释权，不以任何身份出任评标委员会成员。</w:t>
      </w:r>
    </w:p>
    <w:p>
      <w:pPr>
        <w:ind w:firstLine="480"/>
      </w:pPr>
      <w:r>
        <w:rPr/>
        <w:t>2.采购人：本项目是指</w:t>
      </w:r>
      <w:r>
        <w:rPr/>
        <w:t>中山市小榄人民医院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按国家发展计划委员会颁发的[2002]1980号文《招标代理服务收费管理暂行办法》及《国家发展改革委员会办公厅关于招标代理服务收费有关问题的通知》（发改办价格【2003】857号）规定的货物类招标代理服务收费标准执行，如低于人民币3000元，按照人民币3000元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关于中小微企业开展政府采购质押融资业务的相关规定： 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 业务的银行机构申请办理融资业务。截至当前，辖内开展政府采购质押融资业务的银行机构报 备的联系方式如下： 政府采购质押融资业务的银行机构联系人名单 序号 银行机构 经办部门 联 系人 联系方式 1 中国农业发展银行中山市分行 客户业务部 邹可仕 18802598981 信贷与风险 管理部 陈小龙 15889891688 2 中国工商银行中山分行 普惠金融事业部 陈炳菁 189281087 82 普惠金融事业部 杨培鹏 15900085352 3 中国农业银行中山分行 普惠金融事业部 赖思韵 2 2644682 4 广发银行中山分行 普惠金融部 林光宇 88862643 5 中国邮政储蓄银行中山市分行 小企业金融部 黄嘉霖 13824720741 6 中山农村商业银行 总行公司业务部 杜保森 88884181 7 平安银行中山分行 普惠金融部 林晓冰 13823931817 8 兴业银行中山分行 企业金融部 刘中 芳 0760-88368666-203172 9 招商银行中山分行 公司金融事业部 唐庆颖 13924998608 1 0 中国光大银行中山分行 公司业务管理部 张梓颖 0760-88858067 11 广州银行中山分行 公 司金融部 杨顺龙 88776919 12 中信银行中山分行 普惠金融部 陈廷忠 15113386853 普惠金融部 余超贤 15918291829 13 渤海银行中山分行 公司金融部 李建夏 13631124024、0760 -87911816 分行营业部 徐艺 13928142042、0760-87911808 14 华夏银行中山分行 营销 管理部 叶怡 28137855 15 东莞银行中山分行 业务部 赵荣耀 13042854636/86939959 16 东亚银行（中国）有限公司中山支行 中山支行 王涛 89986282/18926998881 17 浦发银行中山分行 交易银行部 付涛 0760-89982303 2）中小微企业有融资需求的，可通过应收账款融资服务平台（网址：www.crcrfsp.com）和中山市社会征信和金融服务一体化系统（网址：w ww.zsythxt.zs.gov.cn）向辖内特定或非特定银行机构咨询并提出融资申请。 3）采购人应当及时在应收账款融资服务平台（网址：www.crcrfsp.com）确认债权债务关系，支持中小微企 业融资。 4）中小微企业与银行机构签订政府采购质押融资合同的，由采购人牵头与中小微企业和银行机构三方签署《政府采购合同项下政府采购资金唯一回款账户确认函》，确保合同款 支付到中小微企业在融资银行机构开立的回款账号。 5）财政部门根据《政府采购法》等相关法规、规章规定，对参加政府采购活动的供应商的不良行为予以记录，并纳入中山市社会征信 和金融服务一体化系统，供银行机构融资授信时审慎性参考。</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p>
            <w:pPr>
              <w:jc w:val="left"/>
            </w:pPr>
            <w:r>
              <w:rPr/>
              <w:t>采购包2：非专门面向中小企业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国义招标股份有限公司</w:t>
      </w:r>
      <w:r>
        <w:rPr/>
        <w:t>代收。具体操作要求详见</w:t>
      </w:r>
      <w:r>
        <w:rPr/>
        <w:t>国义招标股份有限公司</w:t>
      </w:r>
      <w:r>
        <w:rPr/>
        <w:t>有关指引，递交事宜请自行咨询</w:t>
      </w:r>
      <w:r>
        <w:rPr/>
        <w:t>国义招标股份有限公司</w:t>
      </w:r>
      <w:r>
        <w:rPr/>
        <w:t>；请各投标人在投标文件递交截止时间前按须知前附表规定的金额递交至</w:t>
      </w:r>
      <w:r>
        <w:rPr/>
        <w:t>国义招标股份有限公司</w:t>
      </w:r>
      <w:r>
        <w:rPr/>
        <w:t>，到账情况以开标时</w:t>
      </w:r>
      <w:r>
        <w:rPr/>
        <w:t>国义招标股份有限公司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中山市公共资源交易网（https://www.zsjypt.cn/）、国义招标股份有限公司（https://www.gmgitc.com）。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中山市公共资源交易网（https://www.zsjypt.cn/）、国义招标股份有限公司（https://www.gmgitc.com）。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郭小姐</w:t>
      </w:r>
    </w:p>
    <w:p>
      <w:pPr>
        <w:ind w:firstLine="480"/>
      </w:pPr>
      <w:r>
        <w:rPr/>
        <w:t>电话：</w:t>
      </w:r>
      <w:r>
        <w:rPr/>
        <w:t>37860711</w:t>
      </w:r>
    </w:p>
    <w:p>
      <w:pPr>
        <w:ind w:firstLine="480"/>
      </w:pPr>
      <w:r>
        <w:rPr/>
        <w:t>传真：</w:t>
      </w:r>
      <w:r>
        <w:rPr/>
        <w:t>37860699</w:t>
      </w:r>
    </w:p>
    <w:p>
      <w:pPr>
        <w:ind w:firstLine="480"/>
      </w:pPr>
      <w:r>
        <w:rPr/>
        <w:t>邮箱：</w:t>
      </w:r>
      <w:r>
        <w:rPr/>
        <w:t>guochunxi@ebidding.com</w:t>
      </w:r>
    </w:p>
    <w:p>
      <w:pPr>
        <w:ind w:firstLine="480"/>
      </w:pPr>
      <w:r>
        <w:rPr/>
        <w:t>地址：</w:t>
      </w:r>
      <w:r>
        <w:rPr/>
        <w:t>广州市越秀区东风东路726号9楼监审部</w:t>
      </w:r>
    </w:p>
    <w:p>
      <w:pPr>
        <w:ind w:firstLine="480"/>
      </w:pPr>
      <w:r>
        <w:rPr/>
        <w:t>邮编：</w:t>
      </w:r>
      <w:r>
        <w:rPr/>
        <w:t>510080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采购包1(钬激光治疗仪)：综合评分法,是指投标文件满足招标文件全部实质性要求，且按照评审因素的量化指标评审得分最高的投标人为中标候选人的评标方法。（最低报价不是中标的唯一依据。）</w:t>
      </w:r>
    </w:p>
    <w:p/>
    <w:p>
      <w:r>
        <w:rPr/>
        <w:t>采购包2(激光光凝仪)：综合评分法,是指投标文件满足招标文件全部实质性要求，且按照评审因素的量化指标评审得分最高的投标人为中标候选人的评标方法。（最低报价不是中标的唯一依据。）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国义招标股份有限公司</w:t>
      </w:r>
      <w:r>
        <w:rPr/>
        <w:t>统一对外发布。</w:t>
      </w:r>
    </w:p>
    <w:p>
      <w:pPr>
        <w:ind w:firstLine="480"/>
      </w:pPr>
      <w:r>
        <w:rPr/>
        <w:t>（2）对</w:t>
      </w:r>
      <w:r>
        <w:rPr/>
        <w:t>国义招标股份有限公司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采购包1（钬激光治疗仪）：</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采购包2（激光光凝仪）：</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采购包1（钬激光治疗仪）：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时间前一年内任意一个月的依法缴纳税收证明材料（如依法免税，则须提供相应文件证明其依法免税；投标截止时间前一年内任意一个月的依法缴纳社会保险凭据（如依法不需要缴纳社保，则须提供相应文件证明其依法不需要缴纳）。</w:t>
            </w:r>
          </w:p>
        </w:tc>
      </w:tr>
      <w:tr>
        <w:tc>
          <w:tcPr>
            <w:tcW w:type="dxa" w:w="890"/>
          </w:tcPr>
          <w:p>
            <w:r>
              <w:rPr/>
              <w:t>3</w:t>
            </w:r>
          </w:p>
        </w:tc>
        <w:tc>
          <w:tcPr>
            <w:tcW w:type="dxa" w:w="3178"/>
          </w:tcPr>
          <w:p>
            <w:r>
              <w:rPr/>
              <w:t>具有良好的商业信誉和健全的财务会计制度</w:t>
            </w:r>
          </w:p>
        </w:tc>
        <w:tc>
          <w:tcPr>
            <w:tcW w:type="dxa" w:w="4238"/>
          </w:tcPr>
          <w:p>
            <w:r>
              <w:rPr/>
              <w:t>2020年至2022年度内任意一年的年度财务报表(新成立公司提供成立至今的月或季度财务报表复印件)或银行出具的资信证明。</w:t>
            </w:r>
          </w:p>
        </w:tc>
      </w:tr>
      <w:tr>
        <w:tc>
          <w:tcPr>
            <w:tcW w:type="dxa" w:w="890"/>
          </w:tcPr>
          <w:p>
            <w:r>
              <w:rPr/>
              <w:t>4</w:t>
            </w:r>
          </w:p>
        </w:tc>
        <w:tc>
          <w:tcPr>
            <w:tcW w:type="dxa" w:w="3178"/>
          </w:tcPr>
          <w:p>
            <w:r>
              <w:rPr/>
              <w:t>履行合同所必需的设备和专业技术能力</w:t>
            </w:r>
          </w:p>
        </w:tc>
        <w:tc>
          <w:tcPr>
            <w:tcW w:type="dxa" w:w="4238"/>
          </w:tcPr>
          <w:p>
            <w:r>
              <w:rPr/>
              <w:t>投标人在投标函中申明具备《中华人民共和国政府采购法》第二十二条规定的条件，则视为符合要求。</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案件当事人名单（即税收违法黑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特定资格要求</w:t>
            </w:r>
          </w:p>
        </w:tc>
        <w:tc>
          <w:tcPr>
            <w:tcW w:type="dxa" w:w="4238"/>
          </w:tcPr>
          <w:p>
            <w:r>
              <w:rPr/>
              <w:t>投标供应商应该符合《医疗器械监督管理条例》规定，如投标供应商为生产厂家，还应该符合《医疗器械生产质量管理规范》规定，如投标供应商为经销商还应符合《医疗器械经营质量管理规范》规定，并结合本项目特性提供有效的医疗器械产品注册/备案证明材料和投标供应商的经营许可/备案证明材料。</w:t>
            </w:r>
          </w:p>
        </w:tc>
      </w:tr>
      <w:tr>
        <w:tc>
          <w:tcPr>
            <w:tcW w:type="dxa" w:w="890"/>
          </w:tcPr>
          <w:p>
            <w:r>
              <w:rPr/>
              <w:t>9</w:t>
            </w:r>
          </w:p>
        </w:tc>
        <w:tc>
          <w:tcPr>
            <w:tcW w:type="dxa" w:w="3178"/>
          </w:tcPr>
          <w:p>
            <w:r>
              <w:rPr/>
              <w:t>领购本次采购文件。(具体方式详见本项目公告)</w:t>
            </w:r>
          </w:p>
        </w:tc>
        <w:tc>
          <w:tcPr>
            <w:tcW w:type="dxa" w:w="4238"/>
          </w:tcPr>
          <w:p>
            <w:r>
              <w:rPr/>
              <w:t>领购本次采购文件。(具体方式详见本项目公告)</w:t>
            </w:r>
          </w:p>
        </w:tc>
      </w:tr>
      <w:tr>
        <w:tc>
          <w:tcPr>
            <w:tcW w:type="dxa" w:w="890"/>
          </w:tcPr>
          <w:p>
            <w:r>
              <w:rPr/>
              <w:t>10</w:t>
            </w:r>
          </w:p>
        </w:tc>
        <w:tc>
          <w:tcPr>
            <w:tcW w:type="dxa" w:w="3178"/>
          </w:tcPr>
          <w:p>
            <w:r>
              <w:rPr/>
              <w:t>本项目不接受联合体、中标供应商不得以任何方式转包本项目。</w:t>
            </w:r>
          </w:p>
        </w:tc>
        <w:tc>
          <w:tcPr>
            <w:tcW w:type="dxa" w:w="4238"/>
          </w:tcPr>
          <w:p>
            <w:r>
              <w:rPr/>
              <w:t>本项目不接受联合体、中标供应商不得以任何方式转包本项目。</w:t>
            </w:r>
          </w:p>
        </w:tc>
      </w:tr>
      <w:tr>
        <w:tc>
          <w:tcPr>
            <w:tcW w:type="dxa" w:w="890"/>
          </w:tcPr>
          <w:p>
            <w:r>
              <w:rPr/>
              <w:t>11</w:t>
            </w:r>
          </w:p>
        </w:tc>
        <w:tc>
          <w:tcPr>
            <w:tcW w:type="dxa" w:w="3178"/>
          </w:tcPr>
          <w:p>
            <w:r>
              <w:rPr/>
              <w:t>本采购包专门面向中小企业采购</w:t>
            </w:r>
          </w:p>
        </w:tc>
        <w:tc>
          <w:tcPr>
            <w:tcW w:type="dxa" w:w="4238"/>
          </w:tcPr>
          <w:p>
            <w:r>
              <w:rPr/>
              <w:t>本项目专门面向中小企业采购，投标时需严格按照采购文件提供的《中小企业声明函》模板填写，所属行业应符合采购文件中明确的本项目所属行业，否则将不通过资格审查，投标无效。</w:t>
            </w:r>
          </w:p>
        </w:tc>
      </w:tr>
    </w:tbl>
    <w:p/>
    <w:p>
      <w:r>
        <w:rPr/>
        <w:t>采购包2（激光光凝仪）：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时间前一年内任意一个月的依法缴纳税收证明材料（如依法免税，则须提供相应文件证明其依法免税；投标截止时间前一年内任意一个月的依法缴纳社会保险凭据（如依法不需要缴纳社保，则须提供相应文件证明其依法不需要缴纳）。</w:t>
            </w:r>
          </w:p>
        </w:tc>
      </w:tr>
      <w:tr>
        <w:tc>
          <w:tcPr>
            <w:tcW w:type="dxa" w:w="890"/>
          </w:tcPr>
          <w:p>
            <w:r>
              <w:rPr/>
              <w:t>3</w:t>
            </w:r>
          </w:p>
        </w:tc>
        <w:tc>
          <w:tcPr>
            <w:tcW w:type="dxa" w:w="3178"/>
          </w:tcPr>
          <w:p>
            <w:r>
              <w:rPr/>
              <w:t>具有良好的商业信誉和健全的财务会计制度</w:t>
            </w:r>
          </w:p>
        </w:tc>
        <w:tc>
          <w:tcPr>
            <w:tcW w:type="dxa" w:w="4238"/>
          </w:tcPr>
          <w:p>
            <w:r>
              <w:rPr/>
              <w:t>2020年至2022年度内任意一年的年度财务报表(新成立公司提供成立至今的月或季度财务报表复印件)或银行出具的资信证明。</w:t>
            </w:r>
          </w:p>
        </w:tc>
      </w:tr>
      <w:tr>
        <w:tc>
          <w:tcPr>
            <w:tcW w:type="dxa" w:w="890"/>
          </w:tcPr>
          <w:p>
            <w:r>
              <w:rPr/>
              <w:t>4</w:t>
            </w:r>
          </w:p>
        </w:tc>
        <w:tc>
          <w:tcPr>
            <w:tcW w:type="dxa" w:w="3178"/>
          </w:tcPr>
          <w:p>
            <w:r>
              <w:rPr/>
              <w:t>履行合同所必需的设备和专业技术能力</w:t>
            </w:r>
          </w:p>
        </w:tc>
        <w:tc>
          <w:tcPr>
            <w:tcW w:type="dxa" w:w="4238"/>
          </w:tcPr>
          <w:p>
            <w:r>
              <w:rPr/>
              <w:t>投标人在投标函中申明具备《中华人民共和国政府采购法》第二十二条规定的条件，则视为符合要求。</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案件当事人名单（即税收违法黑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特定资格条件</w:t>
            </w:r>
          </w:p>
        </w:tc>
        <w:tc>
          <w:tcPr>
            <w:tcW w:type="dxa" w:w="4238"/>
          </w:tcPr>
          <w:p>
            <w:r>
              <w:rPr/>
              <w:t>投标供应商应该符合《医疗器械监督管理条例》规定，如投标供应商为生产厂家，还应该符合《医疗器械生产质量管理规范》规定，如投标供应商为经销商还应符合《医疗器械经营质量管理规范》规定，并结合本项目特性提供有效的医疗器械产品注册/备案证明材料和投标供应商的经营许可/备案证明材料。</w:t>
            </w:r>
          </w:p>
        </w:tc>
      </w:tr>
      <w:tr>
        <w:tc>
          <w:tcPr>
            <w:tcW w:type="dxa" w:w="890"/>
          </w:tcPr>
          <w:p>
            <w:r>
              <w:rPr/>
              <w:t>9</w:t>
            </w:r>
          </w:p>
        </w:tc>
        <w:tc>
          <w:tcPr>
            <w:tcW w:type="dxa" w:w="3178"/>
          </w:tcPr>
          <w:p>
            <w:r>
              <w:rPr/>
              <w:t>领购本次采购文件。(具体方式详见本项目公告)</w:t>
            </w:r>
          </w:p>
        </w:tc>
        <w:tc>
          <w:tcPr>
            <w:tcW w:type="dxa" w:w="4238"/>
          </w:tcPr>
          <w:p>
            <w:r>
              <w:rPr/>
              <w:t>领购本次采购文件。(具体方式详见本项目公告)</w:t>
            </w:r>
          </w:p>
        </w:tc>
      </w:tr>
      <w:tr>
        <w:tc>
          <w:tcPr>
            <w:tcW w:type="dxa" w:w="890"/>
          </w:tcPr>
          <w:p>
            <w:r>
              <w:rPr/>
              <w:t>10</w:t>
            </w:r>
          </w:p>
        </w:tc>
        <w:tc>
          <w:tcPr>
            <w:tcW w:type="dxa" w:w="3178"/>
          </w:tcPr>
          <w:p>
            <w:r>
              <w:rPr/>
              <w:t>本项目不接受联合体、中标供应商不得以任何方式转包本项目。</w:t>
            </w:r>
          </w:p>
        </w:tc>
        <w:tc>
          <w:tcPr>
            <w:tcW w:type="dxa" w:w="4238"/>
          </w:tcPr>
          <w:p>
            <w:r>
              <w:rPr/>
              <w:t>本项目不接受联合体、中标供应商不得以任何方式转包本项目。</w:t>
            </w:r>
          </w:p>
        </w:tc>
      </w:tr>
      <w:tr>
        <w:tc>
          <w:tcPr>
            <w:tcW w:type="dxa" w:w="890"/>
          </w:tcPr>
          <w:p>
            <w:r>
              <w:rPr/>
              <w:t>11</w:t>
            </w:r>
          </w:p>
        </w:tc>
        <w:tc>
          <w:tcPr>
            <w:tcW w:type="dxa" w:w="3178"/>
          </w:tcPr>
          <w:p>
            <w:r>
              <w:rPr/>
              <w:t>本采购包非专门面向中小企业采购项目</w:t>
            </w:r>
          </w:p>
        </w:tc>
        <w:tc>
          <w:tcPr>
            <w:tcW w:type="dxa" w:w="4238"/>
          </w:tcPr>
          <w:p>
            <w:r>
              <w:rPr/>
              <w:t>本采购包非专门面向中小企业采购项目</w:t>
            </w:r>
          </w:p>
        </w:tc>
      </w:tr>
    </w:tbl>
    <w:p/>
    <w:p>
      <w:pPr>
        <w:ind w:firstLine="480"/>
      </w:pPr>
      <w:r>
        <w:rPr/>
        <w:t>表二符合性审查表：</w:t>
      </w:r>
    </w:p>
    <w:p>
      <w:pPr>
        <w:ind w:firstLine="480"/>
      </w:pPr>
    </w:p>
    <w:p/>
    <w:p>
      <w:r>
        <w:rPr/>
        <w:t>采购包1（钬激光治疗仪）：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w:t>
            </w:r>
          </w:p>
        </w:tc>
        <w:tc>
          <w:tcPr>
            <w:tcW w:type="dxa" w:w="4238"/>
          </w:tcPr>
          <w:p>
            <w:r>
              <w:rPr/>
              <w:t>1）投标报价未超过所投包号最高限价 2）对所投所投包号全部招标内容进行投标报价 3）投标报价是唯一确定的</w:t>
            </w:r>
          </w:p>
        </w:tc>
      </w:tr>
      <w:tr>
        <w:tc>
          <w:tcPr>
            <w:tcW w:type="dxa" w:w="890"/>
          </w:tcPr>
          <w:p>
            <w:r>
              <w:rPr/>
              <w:t>2</w:t>
            </w:r>
          </w:p>
        </w:tc>
        <w:tc>
          <w:tcPr>
            <w:tcW w:type="dxa" w:w="3178"/>
          </w:tcPr>
          <w:p>
            <w:r>
              <w:rPr/>
              <w:t>投标有效期</w:t>
            </w:r>
          </w:p>
        </w:tc>
        <w:tc>
          <w:tcPr>
            <w:tcW w:type="dxa" w:w="4238"/>
          </w:tcPr>
          <w:p>
            <w:r>
              <w:rPr/>
              <w:t>提供《投标函》，报价有效期为报价截止日后的90天</w:t>
            </w:r>
          </w:p>
        </w:tc>
      </w:tr>
      <w:tr>
        <w:tc>
          <w:tcPr>
            <w:tcW w:type="dxa" w:w="890"/>
          </w:tcPr>
          <w:p>
            <w:r>
              <w:rPr/>
              <w:t>3</w:t>
            </w:r>
          </w:p>
        </w:tc>
        <w:tc>
          <w:tcPr>
            <w:tcW w:type="dxa" w:w="3178"/>
          </w:tcPr>
          <w:p>
            <w:r>
              <w:rPr/>
              <w:t>法定代表人证明书及授权委托书</w:t>
            </w:r>
          </w:p>
        </w:tc>
        <w:tc>
          <w:tcPr>
            <w:tcW w:type="dxa" w:w="4238"/>
          </w:tcPr>
          <w:p>
            <w:r>
              <w:rPr/>
              <w:t>按对应格式文件签署、盖章(原件)</w:t>
            </w:r>
          </w:p>
        </w:tc>
      </w:tr>
      <w:tr>
        <w:tc>
          <w:tcPr>
            <w:tcW w:type="dxa" w:w="890"/>
          </w:tcPr>
          <w:p>
            <w:r>
              <w:rPr/>
              <w:t>4</w:t>
            </w:r>
          </w:p>
        </w:tc>
        <w:tc>
          <w:tcPr>
            <w:tcW w:type="dxa" w:w="3178"/>
          </w:tcPr>
          <w:p>
            <w:r>
              <w:rPr/>
              <w:t>签署及盖章</w:t>
            </w:r>
          </w:p>
        </w:tc>
        <w:tc>
          <w:tcPr>
            <w:tcW w:type="dxa" w:w="4238"/>
          </w:tcPr>
          <w:p>
            <w:r>
              <w:rPr/>
              <w:t>投标文件按照招标文件规定要求签署、盖章</w:t>
            </w:r>
          </w:p>
        </w:tc>
      </w:tr>
      <w:tr>
        <w:tc>
          <w:tcPr>
            <w:tcW w:type="dxa" w:w="890"/>
          </w:tcPr>
          <w:p>
            <w:r>
              <w:rPr/>
              <w:t>5</w:t>
            </w:r>
          </w:p>
        </w:tc>
        <w:tc>
          <w:tcPr>
            <w:tcW w:type="dxa" w:w="3178"/>
          </w:tcPr>
          <w:p>
            <w:r>
              <w:rPr/>
              <w:t>“★”号条款响应</w:t>
            </w:r>
          </w:p>
        </w:tc>
        <w:tc>
          <w:tcPr>
            <w:tcW w:type="dxa" w:w="4238"/>
          </w:tcPr>
          <w:p>
            <w:r>
              <w:rPr/>
              <w:t>实质性响应招标文件中“★”号条款的技术、商务要求：投标方案不得对实质性技术与商务的（即标注★号条款）条款产生偏离</w:t>
            </w:r>
          </w:p>
        </w:tc>
      </w:tr>
      <w:tr>
        <w:tc>
          <w:tcPr>
            <w:tcW w:type="dxa" w:w="890"/>
          </w:tcPr>
          <w:p>
            <w:r>
              <w:rPr/>
              <w:t>6</w:t>
            </w:r>
          </w:p>
        </w:tc>
        <w:tc>
          <w:tcPr>
            <w:tcW w:type="dxa" w:w="3178"/>
          </w:tcPr>
          <w:p>
            <w:r>
              <w:rPr/>
              <w:t>其他实质性响应</w:t>
            </w:r>
          </w:p>
        </w:tc>
        <w:tc>
          <w:tcPr>
            <w:tcW w:type="dxa" w:w="4238"/>
          </w:tcPr>
          <w:p>
            <w:r>
              <w:rPr/>
              <w:t>实质性响应招标文件中规定的其它情况</w:t>
            </w:r>
          </w:p>
        </w:tc>
      </w:tr>
    </w:tbl>
    <w:p/>
    <w:p>
      <w:r>
        <w:rPr/>
        <w:t>采购包2（激光光凝仪）：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w:t>
            </w:r>
          </w:p>
        </w:tc>
        <w:tc>
          <w:tcPr>
            <w:tcW w:type="dxa" w:w="4238"/>
          </w:tcPr>
          <w:p>
            <w:r>
              <w:rPr/>
              <w:t>1）投标报价未超过所投包号最高限价 2）对所投所投包号全部招标内容进行投标报价 3）投标报价是唯一确定的</w:t>
            </w:r>
          </w:p>
        </w:tc>
      </w:tr>
      <w:tr>
        <w:tc>
          <w:tcPr>
            <w:tcW w:type="dxa" w:w="890"/>
          </w:tcPr>
          <w:p>
            <w:r>
              <w:rPr/>
              <w:t>2</w:t>
            </w:r>
          </w:p>
        </w:tc>
        <w:tc>
          <w:tcPr>
            <w:tcW w:type="dxa" w:w="3178"/>
          </w:tcPr>
          <w:p>
            <w:r>
              <w:rPr/>
              <w:t>投标有效期</w:t>
            </w:r>
          </w:p>
        </w:tc>
        <w:tc>
          <w:tcPr>
            <w:tcW w:type="dxa" w:w="4238"/>
          </w:tcPr>
          <w:p>
            <w:r>
              <w:rPr/>
              <w:t>提供《投标函》，报价有效期为报价截止日后的90天</w:t>
            </w:r>
          </w:p>
        </w:tc>
      </w:tr>
      <w:tr>
        <w:tc>
          <w:tcPr>
            <w:tcW w:type="dxa" w:w="890"/>
          </w:tcPr>
          <w:p>
            <w:r>
              <w:rPr/>
              <w:t>3</w:t>
            </w:r>
          </w:p>
        </w:tc>
        <w:tc>
          <w:tcPr>
            <w:tcW w:type="dxa" w:w="3178"/>
          </w:tcPr>
          <w:p>
            <w:r>
              <w:rPr/>
              <w:t>法定代表人证明书及授权委托书</w:t>
            </w:r>
          </w:p>
        </w:tc>
        <w:tc>
          <w:tcPr>
            <w:tcW w:type="dxa" w:w="4238"/>
          </w:tcPr>
          <w:p>
            <w:r>
              <w:rPr/>
              <w:t>按对应格式文件签署、盖章(原件)</w:t>
            </w:r>
          </w:p>
        </w:tc>
      </w:tr>
      <w:tr>
        <w:tc>
          <w:tcPr>
            <w:tcW w:type="dxa" w:w="890"/>
          </w:tcPr>
          <w:p>
            <w:r>
              <w:rPr/>
              <w:t>4</w:t>
            </w:r>
          </w:p>
        </w:tc>
        <w:tc>
          <w:tcPr>
            <w:tcW w:type="dxa" w:w="3178"/>
          </w:tcPr>
          <w:p>
            <w:r>
              <w:rPr/>
              <w:t>签署及盖章</w:t>
            </w:r>
          </w:p>
        </w:tc>
        <w:tc>
          <w:tcPr>
            <w:tcW w:type="dxa" w:w="4238"/>
          </w:tcPr>
          <w:p>
            <w:r>
              <w:rPr/>
              <w:t>投标文件按照招标文件规定要求签署、盖章</w:t>
            </w:r>
          </w:p>
        </w:tc>
      </w:tr>
      <w:tr>
        <w:tc>
          <w:tcPr>
            <w:tcW w:type="dxa" w:w="890"/>
          </w:tcPr>
          <w:p>
            <w:r>
              <w:rPr/>
              <w:t>5</w:t>
            </w:r>
          </w:p>
        </w:tc>
        <w:tc>
          <w:tcPr>
            <w:tcW w:type="dxa" w:w="3178"/>
          </w:tcPr>
          <w:p>
            <w:r>
              <w:rPr/>
              <w:t>“★”号条款响应</w:t>
            </w:r>
          </w:p>
        </w:tc>
        <w:tc>
          <w:tcPr>
            <w:tcW w:type="dxa" w:w="4238"/>
          </w:tcPr>
          <w:p>
            <w:r>
              <w:rPr/>
              <w:t>实质性响应招标文件中“★”号条款的技术、商务要求：投标方案不得对实质性技术与商务的（即标注★号条款）条款产生偏离</w:t>
            </w:r>
          </w:p>
        </w:tc>
      </w:tr>
      <w:tr>
        <w:tc>
          <w:tcPr>
            <w:tcW w:type="dxa" w:w="890"/>
          </w:tcPr>
          <w:p>
            <w:r>
              <w:rPr/>
              <w:t>6</w:t>
            </w:r>
          </w:p>
        </w:tc>
        <w:tc>
          <w:tcPr>
            <w:tcW w:type="dxa" w:w="3178"/>
          </w:tcPr>
          <w:p>
            <w:r>
              <w:rPr/>
              <w:t>其他实质性响应</w:t>
            </w:r>
          </w:p>
        </w:tc>
        <w:tc>
          <w:tcPr>
            <w:tcW w:type="dxa" w:w="4238"/>
          </w:tcPr>
          <w:p>
            <w:r>
              <w:rPr/>
              <w:t>实质性响应招标文件中规定的其它情况</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采购包1(钬激光治疗仪):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一般条款响应程度 (13.5分)</w:t>
            </w:r>
          </w:p>
        </w:tc>
        <w:tc>
          <w:tcPr>
            <w:tcW w:type="dxa" w:w="5076"/>
          </w:tcPr>
          <w:p>
            <w:pPr>
              <w:jc w:val="left"/>
            </w:pPr>
            <w:r>
              <w:rPr/>
              <w:t>根据投标人对用户需求中一般条款（非“▲”条款）的响应程度进行评分： 完全满足用户需求中一般条款（非“▲”条款），得13.5分； 有1项一般条款（非“▲”条款）为负偏离或不响应，得12.75分； 有2项一般条款（非“▲”条款）为负偏离或不响应，得12分； 以此类推，有18项或以上非“▲”条款为负偏离或不响应，得0分。  注：所有投标人须提供投标产品彩页（须盖厂家公章）或相应技术参数的厂家使用说明书/白皮书作为技术证明文件（须盖厂家公章），否则评标委员会有权视相 应技术参数响应不符合招标要求（如厂家的产品使用说明书为英文版，请同时提供中文版）。</w:t>
            </w:r>
          </w:p>
        </w:tc>
      </w:tr>
      <w:tr>
        <w:tc>
          <w:tcPr>
            <w:tcW w:type="dxa" w:w="922"/>
            <w:gridSpan w:val="2"/>
            <w:vMerge/>
          </w:tcPr>
          <w:p/>
        </w:tc>
        <w:tc>
          <w:tcPr>
            <w:tcW w:type="dxa" w:w="2307"/>
          </w:tcPr>
          <w:p>
            <w:pPr>
              <w:jc w:val="left"/>
            </w:pPr>
            <w:r>
              <w:rPr/>
              <w:t>重要条款响应程度 (9.0分)</w:t>
            </w:r>
          </w:p>
        </w:tc>
        <w:tc>
          <w:tcPr>
            <w:tcW w:type="dxa" w:w="5076"/>
          </w:tcPr>
          <w:p>
            <w:pPr>
              <w:jc w:val="left"/>
            </w:pPr>
            <w:r>
              <w:rPr/>
              <w:t>根据投标人对用户需求中重要条款（“▲”条款）的响应程度进行评分： 完全满足用户需求中重要条款（“▲”条款），得9分； 有1项重要条款（“▲”条款）负偏离或不响应，得6分； 有2项重要条款（“▲”条款）负偏离或不响应，得3分； 有3项重要条款（“▲”条款）负偏离或不响应，得0分。  注：所有投标人须提供投标产品彩页（须盖厂家公章）或相应技术参数的厂家使用说明书/白皮书作为技术证明文件（须盖厂家公章），否则评标委员会有权视相 应技术参数响应不符合招标要求（如厂家的产品使用说明书为英文版，请同时提供中文版）。</w:t>
            </w:r>
          </w:p>
        </w:tc>
      </w:tr>
      <w:tr>
        <w:tc>
          <w:tcPr>
            <w:tcW w:type="dxa" w:w="922"/>
            <w:gridSpan w:val="2"/>
            <w:vMerge/>
          </w:tcPr>
          <w:p/>
        </w:tc>
        <w:tc>
          <w:tcPr>
            <w:tcW w:type="dxa" w:w="2307"/>
          </w:tcPr>
          <w:p>
            <w:pPr>
              <w:jc w:val="left"/>
            </w:pPr>
            <w:r>
              <w:rPr/>
              <w:t>试剂、耗材或消耗品等 (16.0分)</w:t>
            </w:r>
          </w:p>
        </w:tc>
        <w:tc>
          <w:tcPr>
            <w:tcW w:type="dxa" w:w="5076"/>
          </w:tcPr>
          <w:p>
            <w:pPr>
              <w:jc w:val="left"/>
            </w:pPr>
            <w:r>
              <w:rPr/>
              <w:t>根据试剂、耗材或消耗品等内容性质及报价的合理性进行评审： 1.附件光纤（1）：提供属于通用的试剂、耗材或消耗品等内容，报价的下浮率在50%（不含）以上的，得8分； 报价的下浮率在最高限价的30%（不含）至50%（含）之间，得6分； 报价的下浮率在最高限价的0至30%（含）之间，得4分。报价高于最高限价的或无提供报价及下浮率的，不得分。 （2）提供属于专机专用试剂、耗材或消耗品等内容， 报价的下浮率高于50%（不含）以上的，得6分； 报价的下浮率在30%（不含）至50%（含）之间，得4分； 报价的下浮率在0至30%（含）之间，得2分。 报价高于最高限价的或无提供报价及下浮率的，不得分。 2.附件光纤2：（1）：提供属于通用的试剂、耗材或消耗品等内容，报价的下浮率在50%（不含）以上的，得8分； 报价的下浮率在最高限价的30%（不含）至50%（含）之间，得6分； 报价的下浮率在最高限价的0至30%（含）之间，得4分。报价高于最高限价的或无提供报价及下浮率的，不得分。 （2） 提供属于专机专用试剂、耗材或消耗品等内容（报价的下浮率高于50%（不含）以上的，得6分； 报价的下浮率在30%（不含）至50%（含）之间，得4分； 报价低于率在0至30%（含）之间的，得2分。 报价高于最高限价的或无提供报价及下浮率的，不得分。</w:t>
            </w:r>
          </w:p>
        </w:tc>
      </w:tr>
      <w:tr>
        <w:tc>
          <w:tcPr>
            <w:tcW w:type="dxa" w:w="922"/>
            <w:gridSpan w:val="2"/>
            <w:vMerge/>
          </w:tcPr>
          <w:p/>
        </w:tc>
        <w:tc>
          <w:tcPr>
            <w:tcW w:type="dxa" w:w="2307"/>
          </w:tcPr>
          <w:p>
            <w:pPr>
              <w:jc w:val="left"/>
            </w:pPr>
            <w:r>
              <w:rPr/>
              <w:t>设备技术支撑程度和可靠性 (8.0分)</w:t>
            </w:r>
            <w:r>
              <w:rPr/>
              <w:t>，（等次分值选择：</w:t>
            </w:r>
            <w:r>
              <w:rPr/>
              <w:t>0.0;</w:t>
            </w:r>
            <w:r>
              <w:rPr/>
              <w:t>2.0;</w:t>
            </w:r>
            <w:r>
              <w:rPr/>
              <w:t>5.0;</w:t>
            </w:r>
            <w:r>
              <w:rPr/>
              <w:t>8.0;</w:t>
            </w:r>
            <w:r>
              <w:rPr/>
              <w:t>）</w:t>
            </w:r>
          </w:p>
        </w:tc>
        <w:tc>
          <w:tcPr>
            <w:tcW w:type="dxa" w:w="5076"/>
          </w:tcPr>
          <w:p>
            <w:pPr>
              <w:jc w:val="left"/>
            </w:pPr>
            <w:r>
              <w:rPr/>
              <w:t>根据供应商所投设备的技术和可靠性（技术支撑程度、工作原理，自动化程度、运行稳定性程度等）进行评审。 1.所投设备技术先进，可靠性强的，有较强的技术支持，工作原理先进，有较强的自动化能力，稳定运行性较强，得8分； 2.所投设备技术较先进，可靠性一般，有稳定的技术支持，工作原理较为先进，能自动化使用，有一定的稳定运行性，得5分； 3.所投设备技术一般，技术支持较为一般，工作原理简单，自动化能力一般，运行性较一般，得2分； 4.所投设备的技术差，可靠性差的，没有技术支持，工作原理较差，自动化能力较差，得0分。</w:t>
            </w:r>
          </w:p>
        </w:tc>
      </w:tr>
      <w:tr>
        <w:tc>
          <w:tcPr>
            <w:tcW w:type="dxa" w:w="922"/>
            <w:gridSpan w:val="2"/>
            <w:vMerge/>
          </w:tcPr>
          <w:p/>
        </w:tc>
        <w:tc>
          <w:tcPr>
            <w:tcW w:type="dxa" w:w="2307"/>
          </w:tcPr>
          <w:p>
            <w:pPr>
              <w:jc w:val="left"/>
            </w:pPr>
            <w:r>
              <w:rPr/>
              <w:t>设备操作的实用性、拓展性 (8.5分)</w:t>
            </w:r>
            <w:r>
              <w:rPr/>
              <w:t>，（等次分值选择：</w:t>
            </w:r>
            <w:r>
              <w:rPr/>
              <w:t>0.0;</w:t>
            </w:r>
            <w:r>
              <w:rPr/>
              <w:t>2.0;</w:t>
            </w:r>
            <w:r>
              <w:rPr/>
              <w:t>5.0;</w:t>
            </w:r>
            <w:r>
              <w:rPr/>
              <w:t>8.5;</w:t>
            </w:r>
            <w:r>
              <w:rPr/>
              <w:t>）</w:t>
            </w:r>
          </w:p>
        </w:tc>
        <w:tc>
          <w:tcPr>
            <w:tcW w:type="dxa" w:w="5076"/>
          </w:tcPr>
          <w:p>
            <w:pPr>
              <w:jc w:val="left"/>
            </w:pPr>
            <w:r>
              <w:rPr/>
              <w:t>根据供应商所投设备操作的实用性（操作便利性、维修简易性）、拓展性（功能后续可否随技术、采购人新需求等原因进行升级）进行评审（须提供相关说明/证明材料）。 1.所投设备操作的实用性、拓展性强的，得8.5分； 2.所投设备操作的实用性、拓展性较强的，得5分； 3.所投设备操作的实用性、拓展性一般的，得2分； 4.所投设备操作的实用性、拓展性差的，得0分。</w:t>
            </w:r>
          </w:p>
        </w:tc>
      </w:tr>
      <w:tr>
        <w:tc>
          <w:tcPr>
            <w:tcW w:type="dxa" w:w="922"/>
            <w:gridSpan w:val="2"/>
            <w:vMerge w:val="restart"/>
          </w:tcPr>
          <w:p>
            <w:pPr>
              <w:jc w:val="center"/>
            </w:pPr>
            <w:r>
              <w:rPr/>
              <w:t>商务部分</w:t>
            </w:r>
          </w:p>
        </w:tc>
        <w:tc>
          <w:tcPr>
            <w:tcW w:type="dxa" w:w="2307"/>
          </w:tcPr>
          <w:p>
            <w:pPr>
              <w:jc w:val="left"/>
            </w:pPr>
            <w:r>
              <w:rPr/>
              <w:t>商务响应情况 (5.0分)</w:t>
            </w:r>
            <w:r>
              <w:rPr/>
              <w:t>，（等次分值选择：</w:t>
            </w:r>
            <w:r>
              <w:rPr/>
              <w:t>0.0;</w:t>
            </w:r>
            <w:r>
              <w:rPr/>
              <w:t>2.0;</w:t>
            </w:r>
            <w:r>
              <w:rPr/>
              <w:t>5.0;</w:t>
            </w:r>
            <w:r>
              <w:rPr/>
              <w:t>）</w:t>
            </w:r>
          </w:p>
        </w:tc>
        <w:tc>
          <w:tcPr>
            <w:tcW w:type="dxa" w:w="5076"/>
          </w:tcPr>
          <w:p>
            <w:pPr>
              <w:jc w:val="left"/>
            </w:pPr>
            <w:r>
              <w:rPr/>
              <w:t>根据供应商的投标文件的响应程度进行评审。 投标文件的响应符合用户需求书的商务要求，得5分； 投标文件部分响应用户需求书的商务要求，得2分； 投标文件的响应较差或无，得0分。</w:t>
            </w:r>
          </w:p>
        </w:tc>
      </w:tr>
      <w:tr>
        <w:tc>
          <w:tcPr>
            <w:tcW w:type="dxa" w:w="922"/>
            <w:gridSpan w:val="2"/>
            <w:vMerge/>
          </w:tcPr>
          <w:p/>
        </w:tc>
        <w:tc>
          <w:tcPr>
            <w:tcW w:type="dxa" w:w="2307"/>
          </w:tcPr>
          <w:p>
            <w:pPr>
              <w:jc w:val="left"/>
            </w:pPr>
            <w:r>
              <w:rPr/>
              <w:t>项目业绩 (4.0分)</w:t>
            </w:r>
          </w:p>
        </w:tc>
        <w:tc>
          <w:tcPr>
            <w:tcW w:type="dxa" w:w="5076"/>
          </w:tcPr>
          <w:p>
            <w:pPr>
              <w:jc w:val="left"/>
            </w:pPr>
            <w:r>
              <w:rPr/>
              <w:t>2020年至今承接同类项目业绩（应同时满足以下条件： ①以投标人名义签订；② 合同标的为本项目同类设备），每提供1份得1分，本小项满分4分。 （注：投标文件中提供合同复印件并加盖公章，未提供或所提供资料模糊不清的不得分。）</w:t>
            </w:r>
          </w:p>
        </w:tc>
      </w:tr>
      <w:tr>
        <w:tc>
          <w:tcPr>
            <w:tcW w:type="dxa" w:w="922"/>
            <w:gridSpan w:val="2"/>
            <w:vMerge/>
          </w:tcPr>
          <w:p/>
        </w:tc>
        <w:tc>
          <w:tcPr>
            <w:tcW w:type="dxa" w:w="2307"/>
          </w:tcPr>
          <w:p>
            <w:pPr>
              <w:jc w:val="left"/>
            </w:pPr>
            <w:r>
              <w:rPr/>
              <w:t>质量保证措施 (6.0分)</w:t>
            </w:r>
          </w:p>
        </w:tc>
        <w:tc>
          <w:tcPr>
            <w:tcW w:type="dxa" w:w="5076"/>
          </w:tcPr>
          <w:p>
            <w:pPr>
              <w:jc w:val="left"/>
            </w:pPr>
            <w:r>
              <w:rPr/>
              <w:t>在用户需求质保期要求的基础上延长1年，得1分；延长2年，得2分；延长3年，得4分；延长4年，得6分。本项最高得分不超过6分。（延长的质保期须为原厂质保）</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采购包2(激光光凝仪):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商务部分16.0分</w:t>
            </w:r>
          </w:p>
          <w:p>
            <w:r>
              <w:rPr/>
              <w:t>技术部分54.0分</w:t>
            </w:r>
          </w:p>
          <w:p>
            <w:r>
              <w:rPr/>
              <w:t>报价得分30.0分</w:t>
            </w:r>
          </w:p>
        </w:tc>
      </w:tr>
      <w:tr>
        <w:tc>
          <w:tcPr>
            <w:tcW w:type="dxa" w:w="922"/>
            <w:gridSpan w:val="2"/>
            <w:vMerge w:val="restart"/>
          </w:tcPr>
          <w:p>
            <w:pPr>
              <w:jc w:val="center"/>
            </w:pPr>
            <w:r>
              <w:rPr/>
              <w:t>技术部分</w:t>
            </w:r>
          </w:p>
        </w:tc>
        <w:tc>
          <w:tcPr>
            <w:tcW w:type="dxa" w:w="2307"/>
          </w:tcPr>
          <w:p>
            <w:pPr>
              <w:jc w:val="left"/>
            </w:pPr>
            <w:r>
              <w:rPr/>
              <w:t>一般条款响应程度 (4.0分)</w:t>
            </w:r>
          </w:p>
        </w:tc>
        <w:tc>
          <w:tcPr>
            <w:tcW w:type="dxa" w:w="5076"/>
          </w:tcPr>
          <w:p>
            <w:pPr>
              <w:jc w:val="left"/>
            </w:pPr>
            <w:r>
              <w:rPr/>
              <w:t>根据投标人对用户需求中一般条款（非“▲”条款）的响应程度进行评分： 完全满足用户需求中一般条款（非“▲”条款），得4分； 有1项一般条款（非“▲”条款）为负偏离或不响应，得3分； 有2项一般条款（非“▲”条款）为负偏离或不响应，得2分； 以此类推，有4项或以上非“▲”条款为负偏离或不响应，得0分。  注：所有投标人须提供投标产品彩页（须盖厂家公章）或相应技术参数的厂家使用说明书/白皮书作为技术证明文件（须盖厂家公章），否则评标委员会有权视相 应技术参数响应不符合招标要求（如厂家的产品使用说明书为英文版，请同时提供中文版）。</w:t>
            </w:r>
          </w:p>
        </w:tc>
      </w:tr>
      <w:tr>
        <w:tc>
          <w:tcPr>
            <w:tcW w:type="dxa" w:w="922"/>
            <w:gridSpan w:val="2"/>
            <w:vMerge/>
          </w:tcPr>
          <w:p/>
        </w:tc>
        <w:tc>
          <w:tcPr>
            <w:tcW w:type="dxa" w:w="2307"/>
          </w:tcPr>
          <w:p>
            <w:pPr>
              <w:jc w:val="left"/>
            </w:pPr>
            <w:r>
              <w:rPr/>
              <w:t>重要条款响应程度 (24.0分)</w:t>
            </w:r>
          </w:p>
        </w:tc>
        <w:tc>
          <w:tcPr>
            <w:tcW w:type="dxa" w:w="5076"/>
          </w:tcPr>
          <w:p>
            <w:pPr>
              <w:jc w:val="left"/>
            </w:pPr>
            <w:r>
              <w:rPr/>
              <w:t>根据投标人对用户需求中重要条款（“▲”条款）的响应程度进行评分： 完全满足用户需求中重要条款（“▲”条款），得24分； 有1项重要条款（“▲”条款）为负偏离或不响应，得21分； 有2项重要条款（“▲”条款）为负偏离或不响应，得18分； 以此类推，有8项或以上“▲”条款为负偏离或不响应，得0分。  注：所有投标人须提供投标产品彩页（须盖厂家公章）或相应技术参数的厂家使用说明书/白皮书作为技术证明文件（须盖厂家公章），否则评标委员会有权视相 应技术参数响应不符合招标要求（如厂家的产品使用说明书为英文版，请同时提供中文版）。</w:t>
            </w:r>
          </w:p>
        </w:tc>
      </w:tr>
      <w:tr>
        <w:tc>
          <w:tcPr>
            <w:tcW w:type="dxa" w:w="922"/>
            <w:gridSpan w:val="2"/>
            <w:vMerge/>
          </w:tcPr>
          <w:p/>
        </w:tc>
        <w:tc>
          <w:tcPr>
            <w:tcW w:type="dxa" w:w="2307"/>
          </w:tcPr>
          <w:p>
            <w:pPr>
              <w:jc w:val="left"/>
            </w:pPr>
            <w:r>
              <w:rPr/>
              <w:t>所投设备配置、选型及供货能力 (9.0分)</w:t>
            </w:r>
            <w:r>
              <w:rPr/>
              <w:t>，（等次分值选择：</w:t>
            </w:r>
            <w:r>
              <w:rPr/>
              <w:t>0.0;</w:t>
            </w:r>
            <w:r>
              <w:rPr/>
              <w:t>1.0;</w:t>
            </w:r>
            <w:r>
              <w:rPr/>
              <w:t>5.0;</w:t>
            </w:r>
            <w:r>
              <w:rPr/>
              <w:t>9.0;</w:t>
            </w:r>
            <w:r>
              <w:rPr/>
              <w:t>）</w:t>
            </w:r>
          </w:p>
        </w:tc>
        <w:tc>
          <w:tcPr>
            <w:tcW w:type="dxa" w:w="5076"/>
          </w:tcPr>
          <w:p>
            <w:pPr>
              <w:jc w:val="left"/>
            </w:pPr>
            <w:r>
              <w:rPr/>
              <w:t>1.所投设备配置、选型及性能完全满足用户需求且有相关证明材料证明，供货及时，能有稳定供货渠道的得9分； 2.所投设备配置、选型、性能及供货能力基本满足用户需求，但存在不足的得5分； 3.所投设备配置、选型及供货能力基本不满足用户需求的得1分。 （备注：提供设备配置清单或体现供货能力的相关证明材料，如相关认证、技术说明书或有效检验报告等证明材料）</w:t>
            </w:r>
          </w:p>
        </w:tc>
      </w:tr>
      <w:tr>
        <w:tc>
          <w:tcPr>
            <w:tcW w:type="dxa" w:w="922"/>
            <w:gridSpan w:val="2"/>
            <w:vMerge/>
          </w:tcPr>
          <w:p/>
        </w:tc>
        <w:tc>
          <w:tcPr>
            <w:tcW w:type="dxa" w:w="2307"/>
          </w:tcPr>
          <w:p>
            <w:pPr>
              <w:jc w:val="left"/>
            </w:pPr>
            <w:r>
              <w:rPr/>
              <w:t>设备技术支撑程度和可靠性 (9.0分)</w:t>
            </w:r>
            <w:r>
              <w:rPr/>
              <w:t>，（等次分值选择：</w:t>
            </w:r>
            <w:r>
              <w:rPr/>
              <w:t>0.0;</w:t>
            </w:r>
            <w:r>
              <w:rPr/>
              <w:t>1.0;</w:t>
            </w:r>
            <w:r>
              <w:rPr/>
              <w:t>2.0;</w:t>
            </w:r>
            <w:r>
              <w:rPr/>
              <w:t>5.0;</w:t>
            </w:r>
            <w:r>
              <w:rPr/>
              <w:t>9.0;</w:t>
            </w:r>
            <w:r>
              <w:rPr/>
              <w:t>）</w:t>
            </w:r>
          </w:p>
        </w:tc>
        <w:tc>
          <w:tcPr>
            <w:tcW w:type="dxa" w:w="5076"/>
          </w:tcPr>
          <w:p>
            <w:pPr>
              <w:jc w:val="left"/>
            </w:pPr>
            <w:r>
              <w:rPr/>
              <w:t>根据供应商所投设备的技术和可靠性（技术支撑程度、工作原理先进性，自动化程度、运行稳定性程度等）进行评审。 1.所投设备技术先进，可靠性强的，有较强的技术支持，工作原理先进，有较强的自动化能力，稳定运行性较强，得9分； 2.所投设备技术较先进，可靠性一般，有稳定的技术支持，工作原理较为先进，能自动化使用，有一定的稳定运行性，得5分； 3.所投设备技术一般，技术支持较为一般，工作原理简单，自动化能力一般，运行性较一般，得2分； 4.所投设备的技术差，可靠性差的，没有技术支持，工作原理较差，自动化能力较差，得1分。</w:t>
            </w:r>
          </w:p>
        </w:tc>
      </w:tr>
      <w:tr>
        <w:tc>
          <w:tcPr>
            <w:tcW w:type="dxa" w:w="922"/>
            <w:gridSpan w:val="2"/>
            <w:vMerge/>
          </w:tcPr>
          <w:p/>
        </w:tc>
        <w:tc>
          <w:tcPr>
            <w:tcW w:type="dxa" w:w="2307"/>
          </w:tcPr>
          <w:p>
            <w:pPr>
              <w:jc w:val="left"/>
            </w:pPr>
            <w:r>
              <w:rPr/>
              <w:t>设备操作的实用性、拓展性 (8.0分)</w:t>
            </w:r>
            <w:r>
              <w:rPr/>
              <w:t>，（等次分值选择：</w:t>
            </w:r>
            <w:r>
              <w:rPr/>
              <w:t>0.0;</w:t>
            </w:r>
            <w:r>
              <w:rPr/>
              <w:t>2.0;</w:t>
            </w:r>
            <w:r>
              <w:rPr/>
              <w:t>5.0;</w:t>
            </w:r>
            <w:r>
              <w:rPr/>
              <w:t>8.0;</w:t>
            </w:r>
            <w:r>
              <w:rPr/>
              <w:t>）</w:t>
            </w:r>
          </w:p>
        </w:tc>
        <w:tc>
          <w:tcPr>
            <w:tcW w:type="dxa" w:w="5076"/>
          </w:tcPr>
          <w:p>
            <w:pPr>
              <w:jc w:val="left"/>
            </w:pPr>
            <w:r>
              <w:rPr/>
              <w:t>根据供应商所投设备操作的实用性（操作便利性、维修简易性）、拓展性（功能后续可否随技术、采购人新需求等原因进行升级）进行评审（须提供相关说明/证明材料）。 1.所投设备操作的实用性、拓展性强的，得8分； 2.所投设备操作的实用性、拓展性较强的，得5分； 3.所投设备操作的实用性、拓展性一般的，得2分； 4.所投设备操作的实用性、拓展性差的，得0分。</w:t>
            </w:r>
          </w:p>
        </w:tc>
      </w:tr>
      <w:tr>
        <w:tc>
          <w:tcPr>
            <w:tcW w:type="dxa" w:w="922"/>
            <w:gridSpan w:val="2"/>
            <w:vMerge w:val="restart"/>
          </w:tcPr>
          <w:p>
            <w:pPr>
              <w:jc w:val="center"/>
            </w:pPr>
            <w:r>
              <w:rPr/>
              <w:t>商务部分</w:t>
            </w:r>
          </w:p>
        </w:tc>
        <w:tc>
          <w:tcPr>
            <w:tcW w:type="dxa" w:w="2307"/>
          </w:tcPr>
          <w:p>
            <w:pPr>
              <w:jc w:val="left"/>
            </w:pPr>
            <w:r>
              <w:rPr/>
              <w:t>商务响应情况 (5.0分)</w:t>
            </w:r>
            <w:r>
              <w:rPr/>
              <w:t>，（等次分值选择：</w:t>
            </w:r>
            <w:r>
              <w:rPr/>
              <w:t>0.0;</w:t>
            </w:r>
            <w:r>
              <w:rPr/>
              <w:t>2.0;</w:t>
            </w:r>
            <w:r>
              <w:rPr/>
              <w:t>5.0;</w:t>
            </w:r>
            <w:r>
              <w:rPr/>
              <w:t>）</w:t>
            </w:r>
          </w:p>
        </w:tc>
        <w:tc>
          <w:tcPr>
            <w:tcW w:type="dxa" w:w="5076"/>
          </w:tcPr>
          <w:p>
            <w:pPr>
              <w:jc w:val="left"/>
            </w:pPr>
            <w:r>
              <w:rPr/>
              <w:t>根据供应商的投标文件的响应程度进行评审。 投标文件的响应符合用户需求书的商务要求，得5分； 投标文件部分响应用户需求书的商务要求，得2分； 投标文件的响应较差或无，得0分。</w:t>
            </w:r>
          </w:p>
        </w:tc>
      </w:tr>
      <w:tr>
        <w:tc>
          <w:tcPr>
            <w:tcW w:type="dxa" w:w="922"/>
            <w:gridSpan w:val="2"/>
            <w:vMerge/>
          </w:tcPr>
          <w:p/>
        </w:tc>
        <w:tc>
          <w:tcPr>
            <w:tcW w:type="dxa" w:w="2307"/>
          </w:tcPr>
          <w:p>
            <w:pPr>
              <w:jc w:val="left"/>
            </w:pPr>
            <w:r>
              <w:rPr/>
              <w:t>项目业绩 (4.0分)</w:t>
            </w:r>
          </w:p>
        </w:tc>
        <w:tc>
          <w:tcPr>
            <w:tcW w:type="dxa" w:w="5076"/>
          </w:tcPr>
          <w:p>
            <w:pPr>
              <w:jc w:val="left"/>
            </w:pPr>
            <w:r>
              <w:rPr/>
              <w:t>2019年至今承接同类项目业绩（应同时满足以下条件： ①以投标人名义签订；② 合同标的为本项目同类设备），每提供1份得1分，本小项满分4分。 （注：投标文件中提供合同复印件并加盖公章，未提供或所提供资料模糊不清的不得分。）</w:t>
            </w:r>
          </w:p>
        </w:tc>
      </w:tr>
      <w:tr>
        <w:tc>
          <w:tcPr>
            <w:tcW w:type="dxa" w:w="922"/>
            <w:gridSpan w:val="2"/>
            <w:vMerge/>
          </w:tcPr>
          <w:p/>
        </w:tc>
        <w:tc>
          <w:tcPr>
            <w:tcW w:type="dxa" w:w="2307"/>
          </w:tcPr>
          <w:p>
            <w:pPr>
              <w:jc w:val="left"/>
            </w:pPr>
            <w:r>
              <w:rPr/>
              <w:t>质量保证措施 (7.0分)</w:t>
            </w:r>
          </w:p>
        </w:tc>
        <w:tc>
          <w:tcPr>
            <w:tcW w:type="dxa" w:w="5076"/>
          </w:tcPr>
          <w:p>
            <w:pPr>
              <w:jc w:val="left"/>
            </w:pPr>
            <w:r>
              <w:rPr/>
              <w:t>在用户需求质保期要求的基础上延长1年，得2分；延长2年，得3分；延长3年，得5分；延长4年，得7分。本项最高得分不超过7分。（延长的质保期须为原厂质保）</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color w:val="000000"/>
          <w:sz w:val="24"/>
        </w:rPr>
        <w:t>中山市小榄人民医院采购项目</w:t>
      </w:r>
    </w:p>
    <w:p>
      <w:pPr>
        <w:jc w:val="center"/>
      </w:pPr>
      <w:r>
        <w:rPr>
          <w:sz w:val="24"/>
        </w:rPr>
        <w:t xml:space="preserve"> </w:t>
      </w:r>
    </w:p>
    <w:p>
      <w:pPr>
        <w:jc w:val="center"/>
      </w:pPr>
      <w:r>
        <w:rPr>
          <w:sz w:val="24"/>
        </w:rPr>
        <w:t xml:space="preserve"> </w:t>
      </w:r>
    </w:p>
    <w:p>
      <w:pPr>
        <w:jc w:val="center"/>
      </w:pPr>
      <w:r>
        <w:rPr>
          <w:color w:val="000000"/>
          <w:sz w:val="24"/>
        </w:rPr>
        <w:t>（医疗器械/设备）</w:t>
      </w:r>
    </w:p>
    <w:p>
      <w:pPr>
        <w:jc w:val="center"/>
      </w:pPr>
      <w:r>
        <w:rPr>
          <w:sz w:val="24"/>
        </w:rPr>
        <w:t xml:space="preserve"> </w:t>
      </w:r>
    </w:p>
    <w:p>
      <w:pPr>
        <w:jc w:val="both"/>
      </w:pPr>
      <w:r>
        <w:rPr/>
        <w:t xml:space="preserve"> </w:t>
      </w:r>
    </w:p>
    <w:p>
      <w:pPr>
        <w:jc w:val="center"/>
      </w:pPr>
      <w:r>
        <w:rPr>
          <w:color w:val="000000"/>
          <w:sz w:val="24"/>
        </w:rPr>
        <w:t>合同书</w:t>
      </w:r>
    </w:p>
    <w:p>
      <w:pPr>
        <w:jc w:val="center"/>
      </w:pPr>
      <w:r>
        <w:rPr/>
        <w:t xml:space="preserve"> </w:t>
      </w:r>
    </w:p>
    <w:p>
      <w:pPr>
        <w:jc w:val="center"/>
      </w:pPr>
      <w:r>
        <w:rPr>
          <w:b/>
          <w:sz w:val="24"/>
        </w:rPr>
        <w:t xml:space="preserve"> </w:t>
      </w:r>
      <w:r>
        <w:rPr>
          <w:b/>
          <w:sz w:val="24"/>
        </w:rPr>
        <w:t>（包1、包2均适用）</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both"/>
      </w:pPr>
      <w:r>
        <w:rPr>
          <w:color w:val="000000"/>
          <w:sz w:val="24"/>
        </w:rPr>
        <w:t xml:space="preserve">                       项目名称：</w:t>
      </w:r>
      <w:r>
        <w:rPr>
          <w:sz w:val="24"/>
          <w:u w:val="single"/>
        </w:rPr>
        <w:t xml:space="preserve">                           </w:t>
      </w:r>
    </w:p>
    <w:p>
      <w:pPr>
        <w:jc w:val="both"/>
      </w:pPr>
      <w:r>
        <w:rPr>
          <w:color w:val="000000"/>
          <w:sz w:val="24"/>
        </w:rPr>
        <w:t xml:space="preserve">                      签订日期：     年     月    日</w:t>
      </w:r>
    </w:p>
    <w:p>
      <w:pPr>
        <w:jc w:val="both"/>
      </w:pPr>
      <w:r>
        <w:rPr>
          <w:sz w:val="24"/>
        </w:rPr>
        <w:t xml:space="preserve"> </w:t>
      </w:r>
    </w:p>
    <w:p>
      <w:pPr>
        <w:jc w:val="both"/>
      </w:pPr>
      <w:r>
        <w:rPr>
          <w:sz w:val="24"/>
        </w:rPr>
        <w:t xml:space="preserve"> </w:t>
      </w:r>
    </w:p>
    <w:p>
      <w:pPr>
        <w:jc w:val="center"/>
      </w:pPr>
      <w:r>
        <w:rPr>
          <w:b/>
          <w:sz w:val="24"/>
        </w:rPr>
        <w:t>注：本合同仅为合同的参考文本，合同签订双方可根据项目的具体要求进行修订，但不得偏离实质性条款。</w:t>
      </w:r>
    </w:p>
    <w:p>
      <w:pPr>
        <w:jc w:val="center"/>
      </w:pPr>
      <w:r>
        <w:rPr>
          <w:sz w:val="24"/>
        </w:rPr>
        <w:t xml:space="preserve"> </w:t>
      </w:r>
    </w:p>
    <w:p>
      <w:pPr>
        <w:jc w:val="center"/>
      </w:pPr>
      <w:r>
        <w:rPr>
          <w:sz w:val="24"/>
        </w:rPr>
        <w:t xml:space="preserve"> </w:t>
      </w:r>
    </w:p>
    <w:p>
      <w:pPr>
        <w:jc w:val="center"/>
      </w:pPr>
      <w:r>
        <w:rPr>
          <w:color w:val="000000"/>
          <w:sz w:val="24"/>
        </w:rPr>
        <w:t>采购合同</w:t>
      </w:r>
    </w:p>
    <w:p>
      <w:pPr>
        <w:ind w:firstLine="420"/>
        <w:jc w:val="both"/>
      </w:pPr>
      <w:r>
        <w:rPr>
          <w:color w:val="000000"/>
          <w:sz w:val="24"/>
        </w:rPr>
        <w:t xml:space="preserve">甲方：中山市小榄人民医院                   </w:t>
      </w:r>
    </w:p>
    <w:p>
      <w:pPr>
        <w:ind w:firstLine="420"/>
        <w:jc w:val="both"/>
      </w:pPr>
      <w:r>
        <w:rPr>
          <w:color w:val="000000"/>
          <w:sz w:val="24"/>
        </w:rPr>
        <w:t xml:space="preserve">乙方：                             </w:t>
      </w:r>
    </w:p>
    <w:p>
      <w:pPr>
        <w:jc w:val="both"/>
      </w:pPr>
      <w:r>
        <w:rPr>
          <w:color w:val="000000"/>
          <w:sz w:val="24"/>
        </w:rPr>
        <w:t xml:space="preserve">    根据《中华人民共和国民法典》，经双方协商一致，签订本合同。</w:t>
      </w:r>
    </w:p>
    <w:p>
      <w:pPr>
        <w:jc w:val="both"/>
      </w:pPr>
      <w:r>
        <w:rPr>
          <w:b/>
          <w:color w:val="000000"/>
          <w:sz w:val="24"/>
        </w:rPr>
        <w:t>一、合同标的物</w:t>
      </w:r>
    </w:p>
    <w:p>
      <w:pPr>
        <w:ind w:firstLine="420"/>
        <w:jc w:val="left"/>
      </w:pPr>
      <w:r>
        <w:rPr>
          <w:color w:val="000000"/>
          <w:sz w:val="24"/>
        </w:rPr>
        <w:t>本合同内容包括标的货物（全新合格的设备）、相关附件、配套设施、包装、资料、约定的各项费用，包含但不限于税费(关税、增值税等)、运费、保险费、仓储费、调试费、质保期等费用。</w:t>
      </w:r>
    </w:p>
    <w:p>
      <w:pPr>
        <w:jc w:val="left"/>
      </w:pPr>
      <w:r>
        <w:rPr>
          <w:color w:val="000000"/>
          <w:sz w:val="24"/>
        </w:rPr>
        <w:t>乙方负责向甲方供应产品配置清单中所列设备（详见附件1）</w:t>
      </w:r>
    </w:p>
    <w:tbl>
      <w:tblPr>
        <w:tblW w:w="0" w:type="auto"/>
        <w:tblBorders>
          <w:top w:val="none" w:color="000000" w:sz="4"/>
          <w:left w:val="none" w:color="000000" w:sz="4"/>
          <w:bottom w:val="none" w:color="000000" w:sz="4"/>
          <w:right w:val="none" w:color="000000" w:sz="4"/>
          <w:insideH w:val="none"/>
          <w:insideV w:val="none"/>
        </w:tblBorders>
      </w:tblPr>
      <w:tblGrid>
        <w:gridCol w:w="2133"/>
        <w:gridCol w:w="938"/>
        <w:gridCol w:w="1513"/>
        <w:gridCol w:w="681"/>
        <w:gridCol w:w="666"/>
        <w:gridCol w:w="862"/>
        <w:gridCol w:w="756"/>
        <w:gridCol w:w="756"/>
      </w:tblGrid>
      <w:tr>
        <w:tc>
          <w:tcPr>
            <w:tcW w:type="dxa" w:w="2133"/>
            <w:tcBorders>
              <w:top w:val="single" w:color="000000" w:sz="4"/>
              <w:left w:val="single" w:color="000000" w:sz="4"/>
              <w:bottom w:val="single" w:color="000000" w:sz="4"/>
              <w:right w:val="single" w:color="000000" w:sz="4"/>
            </w:tcBorders>
            <w:vAlign w:val="top"/>
          </w:tcPr>
          <w:p>
            <w:pPr>
              <w:jc w:val="center"/>
            </w:pPr>
            <w:r>
              <w:rPr>
                <w:color w:val="000000"/>
                <w:sz w:val="24"/>
              </w:rPr>
              <w:t>货物名称</w:t>
            </w:r>
          </w:p>
        </w:tc>
        <w:tc>
          <w:tcPr>
            <w:tcW w:type="dxa" w:w="938"/>
            <w:tcBorders>
              <w:top w:val="single" w:color="000000" w:sz="4"/>
              <w:left w:val="none" w:color="000000" w:sz="4"/>
              <w:bottom w:val="single" w:color="000000" w:sz="4"/>
              <w:right w:val="single" w:color="000000" w:sz="4"/>
            </w:tcBorders>
            <w:vAlign w:val="top"/>
          </w:tcPr>
          <w:p>
            <w:pPr>
              <w:jc w:val="center"/>
            </w:pPr>
            <w:r>
              <w:rPr>
                <w:color w:val="000000"/>
                <w:sz w:val="24"/>
              </w:rPr>
              <w:t>品牌</w:t>
            </w:r>
          </w:p>
        </w:tc>
        <w:tc>
          <w:tcPr>
            <w:tcW w:type="dxa" w:w="1513"/>
            <w:tcBorders>
              <w:top w:val="single" w:color="000000" w:sz="4"/>
              <w:left w:val="none" w:color="000000" w:sz="4"/>
              <w:bottom w:val="single" w:color="000000" w:sz="4"/>
              <w:right w:val="single" w:color="000000" w:sz="4"/>
            </w:tcBorders>
            <w:vAlign w:val="top"/>
          </w:tcPr>
          <w:p>
            <w:pPr>
              <w:jc w:val="center"/>
            </w:pPr>
            <w:r>
              <w:rPr>
                <w:color w:val="000000"/>
                <w:sz w:val="24"/>
              </w:rPr>
              <w:t>型号、规格</w:t>
            </w:r>
          </w:p>
        </w:tc>
        <w:tc>
          <w:tcPr>
            <w:tcW w:type="dxa" w:w="681"/>
            <w:tcBorders>
              <w:top w:val="single" w:color="000000" w:sz="4"/>
              <w:left w:val="none" w:color="000000" w:sz="4"/>
              <w:bottom w:val="single" w:color="000000" w:sz="4"/>
              <w:right w:val="single" w:color="000000" w:sz="4"/>
            </w:tcBorders>
            <w:vAlign w:val="top"/>
          </w:tcPr>
          <w:p>
            <w:pPr>
              <w:jc w:val="center"/>
            </w:pPr>
            <w:r>
              <w:rPr>
                <w:color w:val="000000"/>
                <w:sz w:val="24"/>
              </w:rPr>
              <w:t>产地</w:t>
            </w:r>
          </w:p>
        </w:tc>
        <w:tc>
          <w:tcPr>
            <w:tcW w:type="dxa" w:w="666"/>
            <w:tcBorders>
              <w:top w:val="single" w:color="000000" w:sz="4"/>
              <w:left w:val="none" w:color="000000" w:sz="4"/>
              <w:bottom w:val="single" w:color="000000" w:sz="4"/>
              <w:right w:val="single" w:color="000000" w:sz="4"/>
            </w:tcBorders>
            <w:vAlign w:val="top"/>
          </w:tcPr>
          <w:p>
            <w:pPr>
              <w:jc w:val="center"/>
            </w:pPr>
            <w:r>
              <w:rPr>
                <w:color w:val="000000"/>
                <w:sz w:val="24"/>
              </w:rPr>
              <w:t>数量</w:t>
            </w:r>
          </w:p>
        </w:tc>
        <w:tc>
          <w:tcPr>
            <w:tcW w:type="dxa" w:w="862"/>
            <w:tcBorders>
              <w:top w:val="single" w:color="000000" w:sz="4"/>
              <w:left w:val="none" w:color="000000" w:sz="4"/>
              <w:bottom w:val="single" w:color="000000" w:sz="4"/>
              <w:right w:val="single" w:color="000000" w:sz="4"/>
            </w:tcBorders>
            <w:vAlign w:val="top"/>
          </w:tcPr>
          <w:p>
            <w:pPr>
              <w:jc w:val="center"/>
            </w:pPr>
            <w:r>
              <w:rPr>
                <w:color w:val="000000"/>
                <w:sz w:val="24"/>
              </w:rPr>
              <w:t>单位</w:t>
            </w:r>
          </w:p>
        </w:tc>
        <w:tc>
          <w:tcPr>
            <w:tcW w:type="dxa" w:w="756"/>
            <w:tcBorders>
              <w:top w:val="single" w:color="000000" w:sz="4"/>
              <w:left w:val="none" w:color="000000" w:sz="4"/>
              <w:bottom w:val="single" w:color="000000" w:sz="4"/>
              <w:right w:val="single" w:color="000000" w:sz="4"/>
            </w:tcBorders>
            <w:vAlign w:val="top"/>
          </w:tcPr>
          <w:p>
            <w:pPr>
              <w:jc w:val="center"/>
            </w:pPr>
            <w:r>
              <w:rPr>
                <w:color w:val="000000"/>
                <w:sz w:val="24"/>
              </w:rPr>
              <w:t>单价</w:t>
            </w:r>
          </w:p>
        </w:tc>
        <w:tc>
          <w:tcPr>
            <w:tcW w:type="dxa" w:w="756"/>
            <w:tcBorders>
              <w:top w:val="single" w:color="000000" w:sz="4"/>
              <w:left w:val="none" w:color="000000" w:sz="4"/>
              <w:bottom w:val="single" w:color="000000" w:sz="4"/>
              <w:right w:val="single" w:color="000000" w:sz="4"/>
            </w:tcBorders>
            <w:vAlign w:val="top"/>
          </w:tcPr>
          <w:p>
            <w:pPr>
              <w:jc w:val="both"/>
            </w:pPr>
            <w:r>
              <w:rPr>
                <w:color w:val="000000"/>
                <w:sz w:val="24"/>
              </w:rPr>
              <w:t>总价</w:t>
            </w:r>
          </w:p>
        </w:tc>
      </w:tr>
      <w:tr>
        <w:tc>
          <w:tcPr>
            <w:tcW w:type="dxa" w:w="2133"/>
            <w:tcBorders>
              <w:top w:val="none" w:color="000000" w:sz="4"/>
              <w:left w:val="single" w:color="000000" w:sz="4"/>
              <w:bottom w:val="single" w:color="000000" w:sz="4"/>
              <w:right w:val="single" w:color="000000" w:sz="4"/>
            </w:tcBorders>
            <w:vAlign w:val="top"/>
          </w:tcPr>
          <w:p>
            <w:pPr>
              <w:jc w:val="center"/>
            </w:pPr>
            <w:r>
              <w:rPr>
                <w:color w:val="000000"/>
                <w:sz w:val="24"/>
              </w:rPr>
              <w:t>（按注册证填写）</w:t>
            </w:r>
          </w:p>
        </w:tc>
        <w:tc>
          <w:tcPr>
            <w:tcW w:type="dxa" w:w="938"/>
            <w:tcBorders>
              <w:top w:val="none" w:color="000000" w:sz="4"/>
              <w:left w:val="none" w:color="000000" w:sz="4"/>
              <w:bottom w:val="single" w:color="000000" w:sz="4"/>
              <w:right w:val="single" w:color="000000" w:sz="4"/>
            </w:tcBorders>
            <w:vAlign w:val="top"/>
          </w:tcPr>
          <w:p>
            <w:pPr>
              <w:jc w:val="center"/>
            </w:pPr>
            <w:r>
              <w:rPr>
                <w:sz w:val="19"/>
              </w:rPr>
              <w:t xml:space="preserve"> </w:t>
            </w:r>
          </w:p>
        </w:tc>
        <w:tc>
          <w:tcPr>
            <w:tcW w:type="dxa" w:w="1513"/>
            <w:tcBorders>
              <w:top w:val="none" w:color="000000" w:sz="4"/>
              <w:left w:val="none" w:color="000000" w:sz="4"/>
              <w:bottom w:val="single" w:color="000000" w:sz="4"/>
              <w:right w:val="single" w:color="000000" w:sz="4"/>
            </w:tcBorders>
            <w:vAlign w:val="top"/>
          </w:tcPr>
          <w:p>
            <w:pPr>
              <w:jc w:val="center"/>
            </w:pPr>
            <w:r>
              <w:rPr>
                <w:sz w:val="19"/>
              </w:rPr>
              <w:t xml:space="preserve"> </w:t>
            </w:r>
          </w:p>
        </w:tc>
        <w:tc>
          <w:tcPr>
            <w:tcW w:type="dxa" w:w="681"/>
            <w:tcBorders>
              <w:top w:val="none" w:color="000000" w:sz="4"/>
              <w:left w:val="none" w:color="000000" w:sz="4"/>
              <w:bottom w:val="single" w:color="000000" w:sz="4"/>
              <w:right w:val="single" w:color="000000" w:sz="4"/>
            </w:tcBorders>
            <w:vAlign w:val="top"/>
          </w:tcPr>
          <w:p>
            <w:pPr>
              <w:jc w:val="center"/>
            </w:pPr>
            <w:r>
              <w:rPr>
                <w:sz w:val="19"/>
              </w:rPr>
              <w:t xml:space="preserve"> </w:t>
            </w:r>
          </w:p>
        </w:tc>
        <w:tc>
          <w:tcPr>
            <w:tcW w:type="dxa" w:w="666"/>
            <w:tcBorders>
              <w:top w:val="none" w:color="000000" w:sz="4"/>
              <w:left w:val="none" w:color="000000" w:sz="4"/>
              <w:bottom w:val="single" w:color="000000" w:sz="4"/>
              <w:right w:val="single" w:color="000000" w:sz="4"/>
            </w:tcBorders>
            <w:vAlign w:val="top"/>
          </w:tcPr>
          <w:p>
            <w:pPr>
              <w:jc w:val="center"/>
            </w:pPr>
            <w:r>
              <w:rPr>
                <w:sz w:val="19"/>
              </w:rPr>
              <w:t xml:space="preserve"> </w:t>
            </w:r>
          </w:p>
        </w:tc>
        <w:tc>
          <w:tcPr>
            <w:tcW w:type="dxa" w:w="862"/>
            <w:tcBorders>
              <w:top w:val="none" w:color="000000" w:sz="4"/>
              <w:left w:val="none" w:color="000000" w:sz="4"/>
              <w:bottom w:val="single" w:color="000000" w:sz="4"/>
              <w:right w:val="single" w:color="000000" w:sz="4"/>
            </w:tcBorders>
            <w:vAlign w:val="top"/>
          </w:tcPr>
          <w:p>
            <w:pPr>
              <w:jc w:val="center"/>
            </w:pPr>
            <w:r>
              <w:rPr>
                <w:sz w:val="19"/>
              </w:rPr>
              <w:t xml:space="preserve"> </w:t>
            </w:r>
          </w:p>
        </w:tc>
        <w:tc>
          <w:tcPr>
            <w:tcW w:type="dxa" w:w="756"/>
            <w:tcBorders>
              <w:top w:val="none" w:color="000000" w:sz="4"/>
              <w:left w:val="none" w:color="000000" w:sz="4"/>
              <w:bottom w:val="single" w:color="000000" w:sz="4"/>
              <w:right w:val="single" w:color="000000" w:sz="4"/>
            </w:tcBorders>
            <w:vAlign w:val="top"/>
          </w:tcPr>
          <w:p>
            <w:pPr>
              <w:jc w:val="center"/>
            </w:pPr>
            <w:r>
              <w:rPr>
                <w:sz w:val="19"/>
              </w:rPr>
              <w:t xml:space="preserve"> </w:t>
            </w:r>
          </w:p>
        </w:tc>
        <w:tc>
          <w:tcPr>
            <w:tcW w:type="dxa" w:w="756"/>
            <w:tcBorders>
              <w:top w:val="none" w:color="000000" w:sz="4"/>
              <w:left w:val="none" w:color="000000" w:sz="4"/>
              <w:bottom w:val="single" w:color="000000" w:sz="4"/>
              <w:right w:val="single" w:color="000000" w:sz="4"/>
            </w:tcBorders>
            <w:vAlign w:val="top"/>
          </w:tcPr>
          <w:p>
            <w:pPr>
              <w:jc w:val="center"/>
            </w:pPr>
            <w:r>
              <w:rPr>
                <w:sz w:val="19"/>
              </w:rPr>
              <w:t xml:space="preserve"> </w:t>
            </w:r>
          </w:p>
        </w:tc>
      </w:tr>
    </w:tbl>
    <w:p>
      <w:pPr>
        <w:jc w:val="both"/>
      </w:pPr>
      <w:r>
        <w:rPr>
          <w:b/>
          <w:color w:val="000000"/>
          <w:sz w:val="24"/>
        </w:rPr>
        <w:t>二、合同总价</w:t>
      </w:r>
    </w:p>
    <w:p>
      <w:pPr>
        <w:ind w:firstLine="420"/>
        <w:jc w:val="both"/>
      </w:pPr>
      <w:r>
        <w:rPr>
          <w:color w:val="000000"/>
          <w:sz w:val="24"/>
        </w:rPr>
        <w:t>总价为人民币（大写）：</w:t>
      </w:r>
      <w:r>
        <w:rPr>
          <w:sz w:val="24"/>
          <w:u w:val="single"/>
        </w:rPr>
        <w:t xml:space="preserve">             </w:t>
      </w:r>
      <w:r>
        <w:rPr>
          <w:color w:val="000000"/>
          <w:sz w:val="24"/>
        </w:rPr>
        <w:t>，即</w:t>
      </w:r>
      <w:r>
        <w:rPr>
          <w:sz w:val="24"/>
        </w:rPr>
        <w:t>人民币</w:t>
      </w:r>
      <w:r>
        <w:rPr>
          <w:color w:val="000000"/>
          <w:sz w:val="24"/>
        </w:rPr>
        <w:t>￥</w:t>
      </w:r>
      <w:r>
        <w:rPr>
          <w:sz w:val="24"/>
          <w:u w:val="single"/>
        </w:rPr>
        <w:t xml:space="preserve">          </w:t>
      </w:r>
      <w:r>
        <w:rPr>
          <w:color w:val="000000"/>
          <w:sz w:val="24"/>
        </w:rPr>
        <w:t>元。本合同执行期间合同总金额不变。</w:t>
      </w:r>
    </w:p>
    <w:p>
      <w:pPr>
        <w:jc w:val="both"/>
      </w:pPr>
      <w:r>
        <w:rPr>
          <w:b/>
          <w:color w:val="000000"/>
          <w:sz w:val="24"/>
        </w:rPr>
        <w:t>三、技术要求</w:t>
      </w:r>
    </w:p>
    <w:p>
      <w:pPr>
        <w:ind w:firstLine="420"/>
        <w:jc w:val="both"/>
      </w:pPr>
      <w:r>
        <w:rPr>
          <w:color w:val="000000"/>
          <w:sz w:val="24"/>
        </w:rPr>
        <w:t>乙方所提供产品必须符合国家有关规范和环保要求及甲方的技术要求。所有货物及服务不得侵犯第三方专利、商标或版权等。否则，乙方须承担对第三方的专利、商标或版权的侵权责任并承担因此而发生的一切费用。</w:t>
      </w:r>
    </w:p>
    <w:p>
      <w:pPr>
        <w:jc w:val="both"/>
      </w:pPr>
      <w:r>
        <w:rPr>
          <w:b/>
          <w:color w:val="000000"/>
          <w:sz w:val="24"/>
        </w:rPr>
        <w:t>四、</w:t>
      </w:r>
      <w:r>
        <w:rPr>
          <w:b/>
          <w:color w:val="000000"/>
          <w:sz w:val="24"/>
        </w:rPr>
        <w:t>合同设备包装、交货、安装调试及验收</w:t>
      </w:r>
    </w:p>
    <w:p>
      <w:pPr>
        <w:jc w:val="both"/>
      </w:pPr>
      <w:r>
        <w:rPr>
          <w:b/>
          <w:color w:val="000000"/>
          <w:sz w:val="24"/>
        </w:rPr>
        <w:t>（一）合同产品的包装</w:t>
      </w:r>
    </w:p>
    <w:p>
      <w:pPr>
        <w:ind w:firstLine="420"/>
        <w:jc w:val="both"/>
      </w:pPr>
      <w:r>
        <w:rPr>
          <w:color w:val="000000"/>
          <w:sz w:val="24"/>
        </w:rPr>
        <w:t>产品的包装均应有良好的防湿、防锈、防潮、防雨、防腐及防碰撞的措施。凡由于包装不良造成的损失和由此产生的费用均由乙方承担。乙方供货时仍需保证包装完整，如果设备运输和安装调试过程中因事故造成货物短缺、损坏，乙方须及时安排换货，以保证验收工作正常进行。换货所产生的一切费用由乙方承担。</w:t>
      </w:r>
    </w:p>
    <w:p>
      <w:pPr>
        <w:jc w:val="both"/>
      </w:pPr>
      <w:r>
        <w:rPr>
          <w:color w:val="000000"/>
          <w:sz w:val="24"/>
        </w:rPr>
        <w:t>（</w:t>
      </w:r>
      <w:r>
        <w:rPr>
          <w:color w:val="000000"/>
          <w:sz w:val="24"/>
        </w:rPr>
        <w:t>二</w:t>
      </w:r>
      <w:r>
        <w:rPr>
          <w:color w:val="000000"/>
          <w:sz w:val="24"/>
        </w:rPr>
        <w:t>）</w:t>
      </w:r>
      <w:r>
        <w:rPr>
          <w:color w:val="000000"/>
          <w:sz w:val="24"/>
        </w:rPr>
        <w:t xml:space="preserve">合同产品的交货    </w:t>
      </w:r>
    </w:p>
    <w:p>
      <w:pPr>
        <w:ind w:firstLine="420"/>
        <w:jc w:val="both"/>
      </w:pPr>
      <w:r>
        <w:rPr>
          <w:color w:val="000000"/>
          <w:sz w:val="24"/>
        </w:rPr>
        <w:t>1.乙方交货时间：合同签订日起</w:t>
      </w:r>
      <w:r>
        <w:rPr>
          <w:sz w:val="24"/>
          <w:u w:val="single"/>
        </w:rPr>
        <w:t xml:space="preserve">     </w:t>
      </w:r>
      <w:r>
        <w:rPr>
          <w:color w:val="000000"/>
          <w:sz w:val="24"/>
        </w:rPr>
        <w:t>个自然日内送货到甲方指定地点。</w:t>
      </w:r>
    </w:p>
    <w:p>
      <w:pPr>
        <w:ind w:firstLine="420"/>
        <w:jc w:val="both"/>
      </w:pPr>
      <w:r>
        <w:rPr>
          <w:color w:val="000000"/>
          <w:sz w:val="24"/>
        </w:rPr>
        <w:t>2.乙方交货地点：甲方指定地点。</w:t>
      </w:r>
    </w:p>
    <w:p>
      <w:pPr>
        <w:ind w:firstLine="420"/>
        <w:jc w:val="both"/>
      </w:pPr>
      <w:r>
        <w:rPr>
          <w:color w:val="000000"/>
          <w:sz w:val="24"/>
        </w:rPr>
        <w:t>（三）合同产品的安装调试</w:t>
      </w:r>
    </w:p>
    <w:p>
      <w:pPr>
        <w:ind w:firstLine="420"/>
        <w:jc w:val="both"/>
      </w:pPr>
      <w:r>
        <w:rPr>
          <w:color w:val="000000"/>
          <w:sz w:val="24"/>
        </w:rPr>
        <w:t>1.乙方负责合同项下的安装调试，一切费用由乙方负责。</w:t>
      </w:r>
    </w:p>
    <w:p>
      <w:pPr>
        <w:ind w:firstLine="420"/>
        <w:jc w:val="both"/>
      </w:pPr>
      <w:r>
        <w:rPr>
          <w:color w:val="000000"/>
          <w:sz w:val="24"/>
        </w:rPr>
        <w:t>2.乙方对已送达甲方的设备进行拆封、组装时，需有甲方医学装备科经办人、甲方技术工程师、乙方经办人同时在场方可拆封组装，拆封组装中造成设备损坏的，按照本合同</w:t>
      </w:r>
      <w:r>
        <w:rPr>
          <w:sz w:val="24"/>
        </w:rPr>
        <w:t>第4.4.5条</w:t>
      </w:r>
      <w:r>
        <w:rPr>
          <w:color w:val="000000"/>
          <w:sz w:val="24"/>
        </w:rPr>
        <w:t>处理。</w:t>
      </w:r>
    </w:p>
    <w:p>
      <w:pPr>
        <w:ind w:firstLine="420"/>
        <w:jc w:val="both"/>
      </w:pPr>
      <w:r>
        <w:rPr>
          <w:color w:val="000000"/>
          <w:sz w:val="24"/>
        </w:rPr>
        <w:t>3.乙方安装时须对各安装场地内的其它设备、设施有良好保护措施，设备的包装材料的清运及费用由乙方承担。乙方人员在安装、调试合同设备中，造成场地及场内设施设备损坏，或未清理设备相关包装及材料的，由甲方在合同货款中扣除相应的维修或清理费用。</w:t>
      </w:r>
    </w:p>
    <w:p>
      <w:pPr>
        <w:ind w:firstLine="420"/>
        <w:jc w:val="both"/>
      </w:pPr>
      <w:r>
        <w:rPr>
          <w:color w:val="000000"/>
          <w:sz w:val="24"/>
        </w:rPr>
        <w:t>（四）设备的验收</w:t>
      </w:r>
    </w:p>
    <w:p>
      <w:pPr>
        <w:ind w:firstLine="420"/>
        <w:jc w:val="both"/>
      </w:pPr>
      <w:r>
        <w:rPr>
          <w:color w:val="000000"/>
          <w:sz w:val="24"/>
        </w:rPr>
        <w:t>1.设备验收按《小榄镇镇属医院医疗项目采购和验收管理规定》执行，乙方供货设备时须具备以下材料：（1）装箱单；（2）国内产品或合资厂的产品必须具备出厂合格证，进口产品提供出厂质检报告/国家食品药品监督管理总局的检验报告（加盖乙方公章）；（3）保修卡（国产设备）/厂家售后服务保修承诺书（进口产品，承诺书加盖乙方公章）；（4）安装报告；（5）中英文说明书（国产设备可无英文说明书）。</w:t>
      </w:r>
    </w:p>
    <w:p>
      <w:pPr>
        <w:ind w:firstLine="420"/>
        <w:jc w:val="both"/>
      </w:pPr>
      <w:r>
        <w:rPr>
          <w:color w:val="000000"/>
          <w:sz w:val="24"/>
        </w:rPr>
        <w:t>2.国产设备必须提供以下资料的复印件并加盖乙方公章：（1）乙方企业法人营业执照；（2）中华人民共和国医疗器械经营企业许可证等证件；（3）生产厂家的企业法人营业执照；（4）生产厂家的中华人民共和国医疗器械生产企业许可证；（5）中华人民共和国医疗器械注册证；（6）医疗器械产品注册登记表；（7）生产厂家授权证明等资料。如存在多级授权代理，除上述材料外，尚需提供中间各级代理的企业法人营业执照复印件、中华人民共和国医疗器械经营企业许可证复印件、上级授权代理（生产厂家）的授权证明复印件，加盖乙方公章后交由甲方存档。</w:t>
      </w:r>
    </w:p>
    <w:p>
      <w:pPr>
        <w:ind w:firstLine="420"/>
        <w:jc w:val="both"/>
      </w:pPr>
      <w:r>
        <w:rPr>
          <w:color w:val="000000"/>
          <w:sz w:val="24"/>
        </w:rPr>
        <w:t>3.进口设备必须提供以下资料的复印件并加盖乙方公章：（1）乙方企业法人营业执照；（2）中华人民共和国医疗器械经营企业许可证等证件；（3）中华人民共和国医疗器械注册证；（4）医疗器械产品注册登记表；（5）中华人民共和国医疗器械注册证代理的企业法人营业执照；（6）中华人民共和国海关进口货物报关单、中华人民共和国入境货物检验检疫证明。如乙方并非《医疗器械产品注册登记表》登记的代理，则尚需提供自《医疗器械产品注册登记表》所登记代理至乙方止的中间各级代理企业法人营业执照复印件、中华人民共和国医疗器械经营企业许可证复印件、上级代理的授权证明复印件，加盖乙方公章后交由甲方存档。</w:t>
      </w:r>
    </w:p>
    <w:p>
      <w:pPr>
        <w:ind w:firstLine="420"/>
        <w:jc w:val="both"/>
      </w:pPr>
      <w:r>
        <w:rPr>
          <w:color w:val="000000"/>
          <w:sz w:val="24"/>
        </w:rPr>
        <w:t>4.验收按有关的规定、规范进行。验收时如发现所交付的设备有短装、次品、损坏或其它不符合本合同规定之情形者，甲方做现场记录，或由甲乙双方签署备忘录。此现场记录或备忘录可用作补充缺失或更换损坏部件的有效证据。由此产生的一切费用由乙方承担，验收期限相应后延。</w:t>
      </w:r>
    </w:p>
    <w:p>
      <w:pPr>
        <w:ind w:firstLine="420"/>
        <w:jc w:val="both"/>
      </w:pPr>
      <w:r>
        <w:rPr>
          <w:color w:val="000000"/>
          <w:sz w:val="24"/>
        </w:rPr>
        <w:t>5.乙方供货时需保证包装完整，如果合同设备运输和安装调试过程中因事故造成货物短缺、损坏，乙方须及时安排换货，以保证合同设备验收工作正常进行。换货所产生的一切费用由乙方承担。</w:t>
      </w:r>
    </w:p>
    <w:p>
      <w:pPr>
        <w:ind w:firstLine="420"/>
        <w:jc w:val="both"/>
      </w:pPr>
      <w:r>
        <w:rPr>
          <w:color w:val="000000"/>
          <w:sz w:val="24"/>
        </w:rPr>
        <w:t>6.如乙方没有及时按照本合</w:t>
      </w:r>
      <w:r>
        <w:rPr>
          <w:sz w:val="24"/>
        </w:rPr>
        <w:t>同4.4.1、4.4.2、4.4.3</w:t>
      </w:r>
      <w:r>
        <w:rPr>
          <w:color w:val="000000"/>
          <w:sz w:val="24"/>
        </w:rPr>
        <w:t>要求提供相应材料的（如商检证等），影响验收进程，所导致的经济损失，由乙方承担。如造成验收工作不能按时进行，并造成甲方经济损失的，甲方有权向乙方索赔。</w:t>
      </w:r>
    </w:p>
    <w:p>
      <w:pPr>
        <w:ind w:firstLine="420"/>
        <w:jc w:val="both"/>
      </w:pPr>
      <w:r>
        <w:rPr>
          <w:color w:val="000000"/>
          <w:sz w:val="24"/>
        </w:rPr>
        <w:t>五、质量保证及售后服务</w:t>
      </w:r>
    </w:p>
    <w:p>
      <w:pPr>
        <w:ind w:firstLine="420"/>
        <w:jc w:val="both"/>
      </w:pPr>
      <w:r>
        <w:rPr>
          <w:color w:val="000000"/>
          <w:sz w:val="24"/>
        </w:rPr>
        <w:t>（一）乙方保证合同设备是全新、未使用过的，其质量、规格及技术特征须符合合同及附件所列的要求。</w:t>
      </w:r>
    </w:p>
    <w:p>
      <w:pPr>
        <w:ind w:firstLine="420"/>
        <w:jc w:val="both"/>
      </w:pPr>
      <w:r>
        <w:rPr>
          <w:color w:val="000000"/>
          <w:sz w:val="24"/>
        </w:rPr>
        <w:t>（二）合同设备质保期为</w:t>
      </w:r>
      <w:r>
        <w:rPr>
          <w:sz w:val="24"/>
          <w:u w:val="single"/>
        </w:rPr>
        <w:t xml:space="preserve">     </w:t>
      </w:r>
      <w:r>
        <w:rPr>
          <w:color w:val="000000"/>
          <w:sz w:val="24"/>
        </w:rPr>
        <w:t>年，质保期自产品验收合格之日起计算。保修和技术支持费用计入总价。质保期内非甲方人为因素导致的产品质量及安装问题，由乙方负责包修、包退或包换，并承担因此而产生的一切费用。</w:t>
      </w:r>
    </w:p>
    <w:p>
      <w:pPr>
        <w:ind w:firstLine="420"/>
        <w:jc w:val="both"/>
      </w:pPr>
      <w:r>
        <w:rPr>
          <w:color w:val="000000"/>
          <w:sz w:val="24"/>
        </w:rPr>
        <w:t>（三）货物交付使用后以书面形式承诺维修服务，并实行终身维护。所有保修方式均为乙方上门服务，即由乙方派员到甲方设备使用现场维修，由此产生的一切费用由乙方承担。</w:t>
      </w:r>
    </w:p>
    <w:p>
      <w:pPr>
        <w:ind w:firstLine="420"/>
        <w:jc w:val="both"/>
      </w:pPr>
      <w:r>
        <w:rPr>
          <w:color w:val="000000"/>
          <w:sz w:val="24"/>
        </w:rPr>
        <w:t>（四）乙方为甲方提供操作及维护培训，主要内容为设备的基本结构、性能、主要部件的构造及原理，日常使用操作、保养与管理，常见故障的排除，紧急情况的处理等，培训地点主要在设备安装现场或按甲乙双方协商安排。</w:t>
      </w:r>
    </w:p>
    <w:p>
      <w:pPr>
        <w:ind w:firstLine="420"/>
        <w:jc w:val="both"/>
      </w:pPr>
      <w:r>
        <w:rPr>
          <w:color w:val="000000"/>
          <w:sz w:val="24"/>
        </w:rPr>
        <w:t>六、付款方式</w:t>
      </w:r>
    </w:p>
    <w:p>
      <w:pPr>
        <w:ind w:firstLine="371"/>
        <w:jc w:val="both"/>
      </w:pPr>
      <w:r>
        <w:rPr>
          <w:color w:val="000000"/>
          <w:sz w:val="24"/>
        </w:rPr>
        <w:t>本合同款项以人民币银行转账方式支付，合同设备到采购人指定地点交付并完成安装，验收合格后，乙方凭：</w:t>
      </w:r>
    </w:p>
    <w:p>
      <w:pPr>
        <w:ind w:firstLine="420"/>
        <w:jc w:val="both"/>
      </w:pPr>
      <w:r>
        <w:rPr>
          <w:color w:val="000000"/>
          <w:sz w:val="24"/>
        </w:rPr>
        <w:t>（一）合同；</w:t>
      </w:r>
    </w:p>
    <w:p>
      <w:pPr>
        <w:ind w:firstLine="420"/>
        <w:jc w:val="both"/>
      </w:pPr>
      <w:r>
        <w:rPr>
          <w:color w:val="000000"/>
          <w:sz w:val="24"/>
        </w:rPr>
        <w:t>（二）验收调试合格报告（加盖采购人公章）；</w:t>
      </w:r>
    </w:p>
    <w:p>
      <w:pPr>
        <w:ind w:firstLine="420"/>
        <w:jc w:val="both"/>
      </w:pPr>
      <w:r>
        <w:rPr>
          <w:color w:val="000000"/>
          <w:sz w:val="24"/>
        </w:rPr>
        <w:t>（三）中标单位开具的正式发票，加盖发票专用章（增值税普通发票）。</w:t>
      </w:r>
    </w:p>
    <w:p>
      <w:pPr>
        <w:ind w:firstLine="371"/>
        <w:jc w:val="both"/>
      </w:pPr>
      <w:r>
        <w:rPr>
          <w:color w:val="000000"/>
          <w:sz w:val="24"/>
        </w:rPr>
        <w:t>具体付款方式：合同签订后，乙方提供合同总金额的20%的款项的预收款收据即¥</w:t>
      </w:r>
      <w:r>
        <w:rPr>
          <w:sz w:val="24"/>
          <w:u w:val="single"/>
        </w:rPr>
        <w:t xml:space="preserve">        </w:t>
      </w:r>
      <w:r>
        <w:rPr>
          <w:color w:val="000000"/>
          <w:sz w:val="24"/>
        </w:rPr>
        <w:t>（大写人民币</w:t>
      </w:r>
      <w:r>
        <w:rPr>
          <w:sz w:val="24"/>
          <w:u w:val="single"/>
        </w:rPr>
        <w:t xml:space="preserve">           </w:t>
      </w:r>
      <w:r>
        <w:rPr>
          <w:color w:val="000000"/>
          <w:sz w:val="24"/>
        </w:rPr>
        <w:t>元整），甲方支付该笔预付款；乙方按合同协议时间提供货物，并经协议规定的验收人员书面确认验收合格后，开具全额发票，甲方确认无误后一个月内支付合同总金额的75%的款项即¥</w:t>
      </w:r>
      <w:r>
        <w:rPr>
          <w:sz w:val="24"/>
          <w:u w:val="single"/>
        </w:rPr>
        <w:t xml:space="preserve">          </w:t>
      </w:r>
      <w:r>
        <w:rPr>
          <w:color w:val="000000"/>
          <w:sz w:val="24"/>
        </w:rPr>
        <w:t>（大写人民币</w:t>
      </w:r>
      <w:r>
        <w:rPr>
          <w:sz w:val="24"/>
          <w:u w:val="single"/>
        </w:rPr>
        <w:t xml:space="preserve">             </w:t>
      </w:r>
      <w:r>
        <w:rPr>
          <w:sz w:val="24"/>
        </w:rPr>
        <w:t>元整）；合同总金额的5%的款项即¥</w:t>
      </w:r>
      <w:r>
        <w:rPr>
          <w:sz w:val="24"/>
          <w:u w:val="single"/>
        </w:rPr>
        <w:t xml:space="preserve">       </w:t>
      </w:r>
      <w:r>
        <w:rPr>
          <w:sz w:val="24"/>
        </w:rPr>
        <w:t>（大写人民币</w:t>
      </w:r>
      <w:r>
        <w:rPr>
          <w:sz w:val="24"/>
          <w:u w:val="single"/>
        </w:rPr>
        <w:t xml:space="preserve">              </w:t>
      </w:r>
      <w:r>
        <w:rPr>
          <w:sz w:val="24"/>
        </w:rPr>
        <w:t>元整）作为售后服务保证金，在质保期满后一次性无息退还。</w:t>
      </w:r>
    </w:p>
    <w:p>
      <w:pPr>
        <w:ind w:firstLine="420"/>
        <w:jc w:val="both"/>
      </w:pPr>
      <w:r>
        <w:rPr>
          <w:color w:val="000000"/>
          <w:sz w:val="24"/>
        </w:rPr>
        <w:t>七、技术服务</w:t>
      </w:r>
    </w:p>
    <w:p>
      <w:pPr>
        <w:ind w:firstLine="420"/>
        <w:jc w:val="both"/>
      </w:pPr>
      <w:r>
        <w:rPr>
          <w:color w:val="000000"/>
          <w:sz w:val="24"/>
        </w:rPr>
        <w:t>（一）双方履行合同过程中，为保障合同顺利进行，乙方应及时派员到甲方指定地点进行包括但不限于安装、调试、操作培训、维护等工作。</w:t>
      </w:r>
    </w:p>
    <w:p>
      <w:pPr>
        <w:ind w:firstLine="420"/>
        <w:jc w:val="both"/>
      </w:pPr>
      <w:r>
        <w:rPr>
          <w:color w:val="000000"/>
          <w:sz w:val="24"/>
        </w:rPr>
        <w:t>（二）乙方按甲方提供的合同执行进度计划，配合甲方及有关单位，以此做好合同执行进度上的配合工作。</w:t>
      </w:r>
    </w:p>
    <w:p>
      <w:pPr>
        <w:ind w:firstLine="420"/>
        <w:jc w:val="both"/>
      </w:pPr>
      <w:r>
        <w:rPr>
          <w:color w:val="000000"/>
          <w:sz w:val="24"/>
        </w:rPr>
        <w:t>八、不可抗力</w:t>
      </w:r>
    </w:p>
    <w:p>
      <w:pPr>
        <w:ind w:firstLine="420"/>
        <w:jc w:val="both"/>
      </w:pPr>
      <w:r>
        <w:rPr>
          <w:color w:val="000000"/>
          <w:sz w:val="24"/>
        </w:rPr>
        <w:t>（一）不可抗力指（包括但不限于）战争、严重火灾、洪水、台风、地震等或其它双方认定的不可抗力事件。</w:t>
      </w:r>
    </w:p>
    <w:p>
      <w:pPr>
        <w:ind w:firstLine="420"/>
        <w:jc w:val="both"/>
      </w:pPr>
      <w:r>
        <w:rPr>
          <w:color w:val="000000"/>
          <w:sz w:val="24"/>
        </w:rPr>
        <w:t>（二）签约双方中任何一方由于不可抗力影响合同执行时，发生不可抗力一方应尽快通知另一方。双方应通过友好协商尽快解决本合同的执行问题。</w:t>
      </w:r>
    </w:p>
    <w:p>
      <w:pPr>
        <w:ind w:firstLine="420"/>
        <w:jc w:val="both"/>
      </w:pPr>
      <w:r>
        <w:rPr>
          <w:color w:val="000000"/>
          <w:sz w:val="24"/>
        </w:rPr>
        <w:t>九、索赔</w:t>
      </w:r>
    </w:p>
    <w:p>
      <w:pPr>
        <w:ind w:firstLine="420"/>
        <w:jc w:val="both"/>
      </w:pPr>
      <w:r>
        <w:rPr>
          <w:color w:val="000000"/>
          <w:sz w:val="24"/>
        </w:rPr>
        <w:t>（一）因产品的质量问题发生争议的，甲方有权根据有关政府部门的检验结果向乙方提出索赔，鉴定费用由乙方先行垫付。</w:t>
      </w:r>
    </w:p>
    <w:p>
      <w:pPr>
        <w:ind w:firstLine="420"/>
        <w:jc w:val="both"/>
      </w:pPr>
      <w:r>
        <w:rPr>
          <w:color w:val="000000"/>
          <w:sz w:val="24"/>
        </w:rPr>
        <w:t>（二）在合同执行期间，如果乙方对甲方提出的索赔和差异负有责任，乙方应按照甲方同意的下列一种或多种方式解决索赔事宜：</w:t>
      </w:r>
    </w:p>
    <w:p>
      <w:pPr>
        <w:ind w:firstLine="420"/>
        <w:jc w:val="both"/>
      </w:pPr>
      <w:r>
        <w:rPr>
          <w:color w:val="000000"/>
          <w:sz w:val="24"/>
        </w:rPr>
        <w:t>1.乙方同意退货，并按合同规定的同种货币将货款全额退还给甲方，并承担由此发生的一切损失和费用。</w:t>
      </w:r>
    </w:p>
    <w:p>
      <w:pPr>
        <w:ind w:firstLine="420"/>
        <w:jc w:val="both"/>
      </w:pPr>
      <w:r>
        <w:rPr>
          <w:color w:val="000000"/>
          <w:sz w:val="24"/>
        </w:rPr>
        <w:t>2.根据货物低劣程度、损坏程度以及甲方所遭受损失的数额甲乙双方商定降低货物的价格。</w:t>
      </w:r>
    </w:p>
    <w:p>
      <w:pPr>
        <w:ind w:firstLine="420"/>
        <w:jc w:val="both"/>
      </w:pPr>
      <w:r>
        <w:rPr>
          <w:color w:val="000000"/>
          <w:sz w:val="24"/>
        </w:rPr>
        <w:t>3.用符合规格、质量和性能要求的新零件、部件或货物来更换有缺陷的部分或修补缺陷的部分，乙方应承担一切费用和风险并负责甲方所发生的一切直接费用。同时，相应延长质保期。</w:t>
      </w:r>
    </w:p>
    <w:p>
      <w:pPr>
        <w:ind w:firstLine="420"/>
        <w:jc w:val="both"/>
      </w:pPr>
      <w:r>
        <w:rPr>
          <w:color w:val="000000"/>
          <w:sz w:val="24"/>
        </w:rPr>
        <w:t>4.如果在甲方发出索赔通知后30天内，乙方未作答复，上述索赔应视为已被乙方接受。甲方将从合同款项中扣回索赔金额。如果这些金额不足以补偿索赔金额，甲方有权向乙方提出不足部分的补偿。</w:t>
      </w:r>
    </w:p>
    <w:p>
      <w:pPr>
        <w:ind w:firstLine="420"/>
        <w:jc w:val="both"/>
      </w:pPr>
      <w:r>
        <w:rPr>
          <w:color w:val="000000"/>
          <w:sz w:val="24"/>
        </w:rPr>
        <w:t>5.乙方产品造成第三人损害的，由乙方先行垫付第三方赔偿款。并保留向甲方的追偿权。</w:t>
      </w:r>
    </w:p>
    <w:p>
      <w:pPr>
        <w:ind w:firstLine="420"/>
        <w:jc w:val="both"/>
      </w:pPr>
      <w:r>
        <w:rPr>
          <w:color w:val="000000"/>
          <w:sz w:val="24"/>
        </w:rPr>
        <w:t>十、违约与处罚</w:t>
      </w:r>
    </w:p>
    <w:p>
      <w:pPr>
        <w:jc w:val="both"/>
      </w:pPr>
      <w:r>
        <w:rPr>
          <w:b/>
          <w:color w:val="000000"/>
          <w:sz w:val="24"/>
        </w:rPr>
        <w:t>（一）甲方应在合同规定时间内，按合同执行进度向乙方支付货款，每拖延一天乙方可向甲方加收合同金额的5‰的违约金。</w:t>
      </w:r>
    </w:p>
    <w:p>
      <w:pPr>
        <w:jc w:val="both"/>
      </w:pPr>
      <w:r>
        <w:rPr>
          <w:b/>
          <w:color w:val="000000"/>
          <w:sz w:val="24"/>
        </w:rPr>
        <w:t>（二）乙方未能按时交货，或未能在交货之日起30天内提供该项目验收相关所必须的合法有效的文件，每拖延一天，须向甲方支付合同金额的5‰的违约金。如拖延三十个自然日乙方仍未履行的，甲方应向乙方送达《违约通知书》。</w:t>
      </w:r>
    </w:p>
    <w:p>
      <w:pPr>
        <w:jc w:val="both"/>
      </w:pPr>
      <w:r>
        <w:rPr>
          <w:b/>
          <w:color w:val="000000"/>
          <w:sz w:val="24"/>
        </w:rPr>
        <w:t>（三）乙方交付的货物不符合合同规定的，甲方有权拒收，乙方向甲方支付合同金额的5％的违约金。</w:t>
      </w:r>
    </w:p>
    <w:p>
      <w:pPr>
        <w:ind w:firstLine="420"/>
        <w:jc w:val="both"/>
      </w:pPr>
      <w:r>
        <w:rPr>
          <w:color w:val="000000"/>
          <w:sz w:val="24"/>
        </w:rPr>
        <w:t>（四）甲方无正当理由拒收货物的，甲方向乙方支付合同金额的5％的违约金。</w:t>
      </w:r>
    </w:p>
    <w:p>
      <w:pPr>
        <w:ind w:firstLine="420"/>
        <w:jc w:val="both"/>
      </w:pPr>
      <w:r>
        <w:rPr>
          <w:color w:val="000000"/>
          <w:sz w:val="24"/>
        </w:rPr>
        <w:t>十一、合同终止</w:t>
      </w:r>
    </w:p>
    <w:p>
      <w:pPr>
        <w:ind w:firstLine="420"/>
        <w:jc w:val="both"/>
      </w:pPr>
      <w:r>
        <w:rPr>
          <w:color w:val="000000"/>
          <w:sz w:val="24"/>
        </w:rPr>
        <w:t>如果一方严重违反合同，并在收到对方《违约通知书》后在30天内仍未能改正违约的，另一方可立即终止本合同。</w:t>
      </w:r>
    </w:p>
    <w:p>
      <w:pPr>
        <w:jc w:val="both"/>
      </w:pPr>
      <w:r>
        <w:rPr>
          <w:color w:val="000000"/>
          <w:sz w:val="24"/>
        </w:rPr>
        <w:t>十二、</w:t>
      </w:r>
      <w:r>
        <w:rPr>
          <w:color w:val="000000"/>
          <w:sz w:val="24"/>
        </w:rPr>
        <w:t>法律诉讼</w:t>
      </w:r>
    </w:p>
    <w:p>
      <w:pPr>
        <w:ind w:firstLine="420"/>
        <w:jc w:val="both"/>
      </w:pPr>
      <w:r>
        <w:rPr>
          <w:color w:val="000000"/>
          <w:sz w:val="24"/>
        </w:rPr>
        <w:t>（</w:t>
      </w:r>
      <w:r>
        <w:rPr>
          <w:color w:val="000000"/>
          <w:sz w:val="24"/>
        </w:rPr>
        <w:t>一</w:t>
      </w:r>
      <w:r>
        <w:rPr>
          <w:color w:val="000000"/>
          <w:sz w:val="24"/>
        </w:rPr>
        <w:t>）</w:t>
      </w:r>
      <w:r>
        <w:rPr>
          <w:color w:val="000000"/>
          <w:sz w:val="24"/>
        </w:rPr>
        <w:t>因本合同引起的争议，甲乙双方应首先通过本合同第10条内容友好协商解决。如果在一方向另一方发出要求协商的书面通知后三十天内仍不能解决争议，则可就该争议向甲方所在地法院提出诉讼。</w:t>
      </w:r>
    </w:p>
    <w:p>
      <w:pPr>
        <w:ind w:firstLine="420"/>
        <w:jc w:val="both"/>
      </w:pPr>
      <w:r>
        <w:rPr>
          <w:color w:val="000000"/>
          <w:sz w:val="24"/>
        </w:rPr>
        <w:t>（二）因产品的质量问题发生诉讼，由广东省中山市市场监督管理局或其指定的质量鉴定单位进行质量鉴定，鉴定费用由乙方先行垫付。产品符合质量标准的，鉴定费用由甲方承担；产品不符合质量标准的，鉴定费用由乙方承担。如有第三人因产品遭受损害，根据本合同第9.2.5条实施。</w:t>
      </w:r>
    </w:p>
    <w:p>
      <w:pPr>
        <w:ind w:firstLine="420"/>
        <w:jc w:val="both"/>
      </w:pPr>
      <w:r>
        <w:rPr>
          <w:color w:val="000000"/>
          <w:sz w:val="24"/>
        </w:rPr>
        <w:t>十三、其它</w:t>
      </w:r>
    </w:p>
    <w:p>
      <w:pPr>
        <w:ind w:firstLine="420"/>
        <w:jc w:val="both"/>
      </w:pPr>
      <w:r>
        <w:rPr>
          <w:color w:val="000000"/>
          <w:sz w:val="24"/>
        </w:rPr>
        <w:t>（一）合同一式</w:t>
      </w:r>
      <w:r>
        <w:rPr>
          <w:color w:val="000000"/>
          <w:sz w:val="24"/>
          <w:u w:val="single"/>
        </w:rPr>
        <w:t>5</w:t>
      </w:r>
      <w:r>
        <w:rPr>
          <w:color w:val="000000"/>
          <w:sz w:val="24"/>
        </w:rPr>
        <w:t>份，一份</w:t>
      </w:r>
      <w:r>
        <w:rPr>
          <w:sz w:val="24"/>
          <w:u w:val="single"/>
        </w:rPr>
        <w:t xml:space="preserve">   </w:t>
      </w:r>
      <w:r>
        <w:rPr>
          <w:color w:val="000000"/>
          <w:sz w:val="24"/>
        </w:rPr>
        <w:t>页,缺页无效,甲方执2份、乙方执1份、政府采购监督管理部门执1份、采购代理机构执1份,具有同等法律效力。</w:t>
      </w:r>
    </w:p>
    <w:p>
      <w:pPr>
        <w:jc w:val="both"/>
      </w:pPr>
      <w:r>
        <w:rPr>
          <w:b/>
          <w:color w:val="000000"/>
          <w:sz w:val="24"/>
        </w:rPr>
        <w:t>（二）本合同在甲乙双方法人代表或其授权代表签字盖章后生效。</w:t>
      </w:r>
    </w:p>
    <w:p>
      <w:pPr>
        <w:jc w:val="left"/>
      </w:pPr>
      <w:r>
        <w:rPr>
          <w:color w:val="000000"/>
          <w:sz w:val="24"/>
        </w:rPr>
        <w:t>（三）本合同未尽事宜，由双方协商处理。</w:t>
      </w:r>
    </w:p>
    <w:p>
      <w:pPr>
        <w:jc w:val="both"/>
      </w:pPr>
      <w:r>
        <w:rPr/>
        <w:t xml:space="preserve"> </w:t>
      </w:r>
    </w:p>
    <w:p>
      <w:pPr>
        <w:jc w:val="left"/>
      </w:pPr>
      <w:r>
        <w:rPr>
          <w:color w:val="000000"/>
          <w:sz w:val="24"/>
        </w:rPr>
        <w:t>甲方：</w:t>
      </w:r>
      <w:r>
        <w:rPr>
          <w:color w:val="000000"/>
          <w:sz w:val="24"/>
          <w:u w:val="single"/>
        </w:rPr>
        <w:t>中山市小榄人民医院</w:t>
      </w:r>
      <w:r>
        <w:rPr>
          <w:sz w:val="24"/>
        </w:rPr>
        <w:t xml:space="preserve">                           </w:t>
      </w:r>
      <w:r>
        <w:rPr>
          <w:color w:val="000000"/>
          <w:sz w:val="24"/>
        </w:rPr>
        <w:t xml:space="preserve"> 乙方：</w:t>
      </w:r>
      <w:r>
        <w:rPr>
          <w:sz w:val="24"/>
          <w:u w:val="single"/>
        </w:rPr>
        <w:t xml:space="preserve">         </w:t>
      </w:r>
    </w:p>
    <w:p>
      <w:pPr>
        <w:jc w:val="both"/>
      </w:pPr>
      <w:r>
        <w:rPr>
          <w:color w:val="000000"/>
          <w:sz w:val="24"/>
        </w:rPr>
        <w:t xml:space="preserve">授权代表：                   </w:t>
      </w:r>
      <w:r>
        <w:rPr>
          <w:sz w:val="24"/>
        </w:rPr>
        <w:t xml:space="preserve">                     </w:t>
      </w:r>
      <w:r>
        <w:rPr>
          <w:color w:val="000000"/>
          <w:sz w:val="24"/>
        </w:rPr>
        <w:t xml:space="preserve">  授权代表：</w:t>
      </w:r>
    </w:p>
    <w:p>
      <w:pPr>
        <w:jc w:val="both"/>
      </w:pPr>
      <w:r>
        <w:rPr>
          <w:color w:val="000000"/>
          <w:sz w:val="24"/>
        </w:rPr>
        <w:t xml:space="preserve">地址：中山市小榄镇菊城大道中65号   </w:t>
      </w:r>
      <w:r>
        <w:rPr>
          <w:sz w:val="24"/>
        </w:rPr>
        <w:t xml:space="preserve">                </w:t>
      </w:r>
      <w:r>
        <w:rPr>
          <w:color w:val="000000"/>
          <w:sz w:val="24"/>
        </w:rPr>
        <w:t>地址：</w:t>
      </w:r>
    </w:p>
    <w:p>
      <w:pPr>
        <w:jc w:val="both"/>
      </w:pPr>
      <w:r>
        <w:rPr>
          <w:color w:val="000000"/>
          <w:sz w:val="24"/>
        </w:rPr>
        <w:t xml:space="preserve">电话：0760-88662120　　　       </w:t>
      </w:r>
      <w:r>
        <w:rPr>
          <w:sz w:val="24"/>
        </w:rPr>
        <w:t xml:space="preserve">                   </w:t>
      </w:r>
      <w:r>
        <w:rPr>
          <w:color w:val="000000"/>
          <w:sz w:val="24"/>
        </w:rPr>
        <w:t xml:space="preserve"> 电话：</w:t>
      </w:r>
    </w:p>
    <w:p>
      <w:pPr>
        <w:jc w:val="both"/>
      </w:pPr>
      <w:r>
        <w:rPr>
          <w:color w:val="000000"/>
          <w:sz w:val="24"/>
        </w:rPr>
        <w:t xml:space="preserve">签约日期：  年  月 日   </w:t>
      </w:r>
      <w:r>
        <w:rPr>
          <w:sz w:val="24"/>
        </w:rPr>
        <w:t xml:space="preserve">                            </w:t>
      </w:r>
      <w:r>
        <w:rPr>
          <w:color w:val="000000"/>
          <w:sz w:val="24"/>
        </w:rPr>
        <w:t>签约日期：  年  月  日</w:t>
      </w:r>
    </w:p>
    <w:p>
      <w:pPr>
        <w:jc w:val="both"/>
      </w:pPr>
      <w:r>
        <w:rPr/>
        <w:t xml:space="preserve"> </w:t>
      </w:r>
    </w:p>
    <w:p>
      <w:pPr>
        <w:jc w:val="both"/>
      </w:pPr>
      <w:r>
        <w:rPr/>
        <w:t xml:space="preserve"> </w:t>
      </w:r>
    </w:p>
    <w:p>
      <w:pPr>
        <w:jc w:val="both"/>
      </w:pPr>
      <w:r>
        <w:rPr/>
        <w:t xml:space="preserve"> </w:t>
      </w:r>
    </w:p>
    <w:p>
      <w:pPr>
        <w:jc w:val="left"/>
      </w:pPr>
      <w:r>
        <w:rPr>
          <w:color w:val="000000"/>
          <w:sz w:val="24"/>
        </w:rPr>
        <w:t>附件1</w:t>
      </w:r>
    </w:p>
    <w:p>
      <w:pPr>
        <w:jc w:val="center"/>
      </w:pPr>
      <w:r>
        <w:rPr>
          <w:color w:val="000000"/>
          <w:sz w:val="24"/>
        </w:rPr>
        <w:t>产品配置清单/台（套）</w:t>
      </w:r>
    </w:p>
    <w:p>
      <w:pPr>
        <w:jc w:val="left"/>
      </w:pPr>
      <w:r>
        <w:rPr>
          <w:color w:val="000000"/>
          <w:sz w:val="24"/>
        </w:rPr>
        <w:t>附件2</w:t>
      </w:r>
    </w:p>
    <w:p>
      <w:pPr>
        <w:jc w:val="center"/>
      </w:pPr>
      <w:r>
        <w:rPr>
          <w:color w:val="000000"/>
          <w:sz w:val="24"/>
        </w:rPr>
        <w:t>耗材明细清单（如无可删除）</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442000100-2023-00845</w:t>
      </w:r>
    </w:p>
    <w:p>
      <w:pPr>
        <w:jc w:val="center"/>
      </w:pPr>
      <w:r>
        <w:rPr>
          <w:b/>
          <w:sz w:val="24"/>
        </w:rPr>
        <w:t>采购项目编号：</w:t>
      </w:r>
      <w:r>
        <w:rPr>
          <w:b/>
          <w:sz w:val="24"/>
        </w:rPr>
        <w:t>0724-2331ZS744820</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国义招标股份有限公司</w:t>
      </w:r>
    </w:p>
    <w:p>
      <w:pPr>
        <w:ind w:firstLine="480"/>
      </w:pPr>
      <w:r>
        <w:rPr/>
        <w:t>你方组织的</w:t>
      </w:r>
      <w:r>
        <w:rPr>
          <w:u w:val="single"/>
        </w:rPr>
        <w:t>“</w:t>
      </w:r>
      <w:r>
        <w:rPr>
          <w:u w:val="single"/>
        </w:rPr>
        <w:t>中山市小榄人民医院钬激光治疗仪和激光光凝仪采购项目</w:t>
      </w:r>
      <w:r>
        <w:rPr>
          <w:u w:val="single"/>
        </w:rPr>
        <w:t>”</w:t>
      </w:r>
      <w:r>
        <w:rPr/>
        <w:t>项目的招标[采购项目编号为：</w:t>
      </w:r>
      <w:r>
        <w:rPr>
          <w:u w:val="single"/>
        </w:rPr>
        <w:t>0724-2331ZS744820</w:t>
      </w:r>
      <w:r>
        <w:rPr/>
        <w:t>]，我方愿参与投标。</w:t>
      </w:r>
    </w:p>
    <w:p>
      <w:pPr>
        <w:ind w:firstLine="480"/>
      </w:pPr>
      <w:r>
        <w:rPr/>
        <w:t>我方确认收到贵方提供的</w:t>
      </w:r>
      <w:r>
        <w:rPr>
          <w:u w:val="single"/>
        </w:rPr>
        <w:t>“</w:t>
      </w:r>
      <w:r>
        <w:rPr>
          <w:u w:val="single"/>
        </w:rPr>
        <w:t>中山市小榄人民医院钬激光治疗仪和激光光凝仪采购项目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国义招标股份有限公司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中山市小榄人民医院钬激光治疗仪和激光光凝仪采购项目</w:t>
      </w:r>
      <w:r>
        <w:rPr/>
        <w:t>”项目采购[采购项目编号为</w:t>
      </w:r>
      <w:r>
        <w:rPr/>
        <w:t>0724-2331ZS744820</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中山市小榄人民医院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国义招标股份有限公司</w:t>
      </w:r>
    </w:p>
    <w:p>
      <w:pPr>
        <w:ind w:firstLine="480"/>
      </w:pPr>
      <w:r>
        <w:rPr/>
        <w:t>如果我方在贵采购代理机构组织的</w:t>
      </w:r>
      <w:r>
        <w:rPr/>
        <w:t>中山市小榄人民医院钬激光治疗仪和激光光凝仪采购项目</w:t>
      </w:r>
      <w:r>
        <w:rPr/>
        <w:t>招标中获中标（采购项目编号：</w:t>
      </w:r>
      <w:r>
        <w:rPr/>
        <w:t>0724-2331ZS744820</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国义招标股份有限公司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国义招标股份有限公司</w:t>
      </w:r>
    </w:p>
    <w:p>
      <w:pPr>
        <w:ind w:firstLine="480"/>
      </w:pPr>
      <w:r>
        <w:rPr/>
        <w:t>我单位已登记并准备参与“</w:t>
      </w:r>
      <w:r>
        <w:rPr/>
        <w:t>中山市小榄人民医院钬激光治疗仪和激光光凝仪采购项目</w:t>
      </w:r>
      <w:r>
        <w:rPr/>
        <w:t>”项目（采购项目编号：</w:t>
      </w:r>
      <w:r>
        <w:rPr/>
        <w:t>0724-2331ZS744820</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