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440701-2023-02207</w:t>
      </w:r>
    </w:p>
    <w:p>
      <w:pPr>
        <w:jc w:val="center"/>
      </w:pPr>
      <w:r>
        <w:rPr>
          <w:b/>
          <w:sz w:val="24"/>
        </w:rPr>
        <w:t>采购项目编号：</w:t>
      </w:r>
      <w:r>
        <w:rPr>
          <w:b/>
          <w:sz w:val="24"/>
        </w:rPr>
        <w:t>CLF0123JM00ZC30</w:t>
      </w:r>
    </w:p>
    <w:p>
      <w:pPr>
        <w:jc w:val="center"/>
      </w:pPr>
      <w:r>
        <w:rPr>
          <w:b/>
          <w:sz w:val="24"/>
        </w:rPr>
        <w:t>项目名称：</w:t>
      </w:r>
      <w:r>
        <w:rPr>
          <w:b/>
          <w:sz w:val="24"/>
        </w:rPr>
        <w:t>江门市中心医院强脉冲治疗系统采购项目</w:t>
      </w:r>
    </w:p>
    <w:p>
      <w:pPr>
        <w:jc w:val="center"/>
      </w:pPr>
      <w:r>
        <w:rPr>
          <w:b/>
          <w:sz w:val="24"/>
        </w:rPr>
        <w:t>采购人：</w:t>
      </w:r>
      <w:r>
        <w:rPr>
          <w:b/>
          <w:sz w:val="24"/>
        </w:rPr>
        <w:t>江门市中心医院</w:t>
      </w:r>
    </w:p>
    <w:p>
      <w:pPr>
        <w:jc w:val="center"/>
      </w:pPr>
      <w:r>
        <w:rPr>
          <w:b/>
          <w:sz w:val="24"/>
        </w:rPr>
        <w:t>采购代理机构：</w:t>
      </w:r>
      <w:r>
        <w:rPr>
          <w:b/>
          <w:sz w:val="24"/>
        </w:rPr>
        <w:t>采联国际招标采购集团有限公司</w:t>
      </w:r>
    </w:p>
    <w:p>
      <w:pPr>
        <w:ind w:firstLine="480"/>
      </w:pPr>
    </w:p>
    <w:p>
      <w:r>
        <w:rPr/>
        <w:t xml:space="preserve"> </w:t>
      </w:r>
    </w:p>
    <w:p/>
    <w:p>
      <w:pPr>
        <w:jc w:val="center"/>
      </w:pPr>
      <w:r>
        <w:rPr>
          <w:b/>
          <w:sz w:val="36"/>
        </w:rPr>
        <w:t>第一章投标邀请</w:t>
      </w:r>
    </w:p>
    <w:p>
      <w:pPr>
        <w:ind w:firstLine="480"/>
      </w:pPr>
      <w:r>
        <w:rPr/>
        <w:t>采联国际招标采购集团有限公司</w:t>
      </w:r>
      <w:r>
        <w:rPr/>
        <w:t>受</w:t>
      </w:r>
      <w:r>
        <w:rPr/>
        <w:t>江门市中心医院</w:t>
      </w:r>
      <w:r>
        <w:rPr/>
        <w:t>的委托，采用</w:t>
      </w:r>
      <w:r>
        <w:rPr/>
        <w:t>公开招标</w:t>
      </w:r>
      <w:r>
        <w:rPr/>
        <w:t>方式组织采购</w:t>
      </w:r>
      <w:r>
        <w:rPr/>
        <w:t>江门市中心医院强脉冲治疗系统采购项目</w:t>
      </w:r>
      <w:r>
        <w:rPr/>
        <w:t>。欢迎符合资格条件的国内供应商参加投标。</w:t>
      </w:r>
    </w:p>
    <w:p>
      <w:r>
        <w:rPr>
          <w:b/>
          <w:sz w:val="28"/>
        </w:rPr>
        <w:t>一.项目概述</w:t>
      </w:r>
    </w:p>
    <w:p>
      <w:r>
        <w:rPr>
          <w:b/>
          <w:sz w:val="24"/>
        </w:rPr>
        <w:t>1.名称与编号</w:t>
      </w:r>
    </w:p>
    <w:p>
      <w:pPr>
        <w:ind w:firstLine="480"/>
      </w:pPr>
      <w:r>
        <w:rPr/>
        <w:t>项目名称：</w:t>
      </w:r>
      <w:r>
        <w:rPr/>
        <w:t>江门市中心医院强脉冲治疗系统采购项目</w:t>
      </w:r>
    </w:p>
    <w:p>
      <w:pPr>
        <w:ind w:firstLine="480"/>
      </w:pPr>
      <w:r>
        <w:rPr/>
        <w:t>采购计划编号：</w:t>
      </w:r>
      <w:r>
        <w:rPr/>
        <w:t>440701-2023-02207</w:t>
      </w:r>
    </w:p>
    <w:p>
      <w:pPr>
        <w:ind w:firstLine="480"/>
      </w:pPr>
      <w:r>
        <w:rPr/>
        <w:t>采购项目编号：</w:t>
      </w:r>
      <w:r>
        <w:rPr/>
        <w:t>CLF0123JM00ZC30</w:t>
      </w:r>
    </w:p>
    <w:p>
      <w:pPr>
        <w:ind w:firstLine="480"/>
      </w:pPr>
      <w:r>
        <w:rPr/>
        <w:t>采购方式：</w:t>
      </w:r>
      <w:r>
        <w:rPr/>
        <w:t>公开招标</w:t>
      </w:r>
    </w:p>
    <w:p>
      <w:pPr>
        <w:ind w:firstLine="480"/>
      </w:pPr>
      <w:r>
        <w:rPr/>
        <w:t>预算金额：</w:t>
      </w:r>
      <w:r>
        <w:rPr/>
        <w:t>1,250,000.00</w:t>
      </w:r>
      <w:r>
        <w:rPr/>
        <w:t>元</w:t>
      </w:r>
    </w:p>
    <w:p>
      <w:r>
        <w:rPr>
          <w:b/>
          <w:sz w:val="24"/>
        </w:rPr>
        <w:t>2.项目内容及需求情况（采购项目技术规格、参数及要求）</w:t>
      </w:r>
    </w:p>
    <w:p>
      <w:pPr>
        <w:ind w:firstLine="480"/>
      </w:pPr>
    </w:p>
    <w:p/>
    <w:p>
      <w:r>
        <w:rPr/>
        <w:t>采购包1(强脉冲治疗系统):</w:t>
      </w:r>
    </w:p>
    <w:p>
      <w:r>
        <w:rPr/>
        <w:t>采购包预算金额：1,250,000.00元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医用激光仪器及设备</w:t>
            </w:r>
          </w:p>
        </w:tc>
        <w:tc>
          <w:tcPr>
            <w:tcW w:type="dxa" w:w="2136"/>
          </w:tcPr>
          <w:p>
            <w:r>
              <w:rPr/>
              <w:t>强脉冲治疗系统</w:t>
            </w:r>
          </w:p>
        </w:tc>
        <w:tc>
          <w:tcPr>
            <w:tcW w:type="dxa" w:w="1187"/>
          </w:tcPr>
          <w:p>
            <w:r>
              <w:rPr/>
              <w:t>1.00(套)</w:t>
            </w:r>
          </w:p>
        </w:tc>
        <w:tc>
          <w:tcPr>
            <w:tcW w:type="dxa" w:w="1187"/>
          </w:tcPr>
          <w:p>
            <w:r>
              <w:rPr/>
              <w:t>详见第二章</w:t>
            </w:r>
          </w:p>
        </w:tc>
        <w:tc>
          <w:tcPr>
            <w:tcW w:type="dxa" w:w="1187"/>
          </w:tcPr>
          <w:p>
            <w:r>
              <w:rPr/>
              <w:t>是</w:t>
            </w:r>
          </w:p>
        </w:tc>
      </w:tr>
    </w:tbl>
    <w:p/>
    <w:p>
      <w:r>
        <w:rPr/>
        <w:t>本采购包不接受联合体投标</w:t>
      </w:r>
    </w:p>
    <w:p/>
    <w:p>
      <w:r>
        <w:rPr/>
        <w:t>合同履行期限：合同签订后60个日历日内完成安装调试并具备验收条件</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1）具有独立承担民事责任的能力：提供在中华人民共和国境内注册的法人或其他组织的营业执照或事业单位法人证书或社会团体法人登记证书复印件，如投标人为自然人的提供自然人身份证明复印件； 如国家另有规定的，则从其规定。（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
      <w:r>
        <w:rPr/>
        <w:t>2）有依法缴纳税收和社会保障资金的良好记录：提供2023年至今任意1个月缴纳税收凭据证明材料复印件；如依法免税的，应提供相应文件证明；提供2023年至今任意1个月缴纳社会保险的凭据证明材料复印件；如依法不需要缴纳社会保障资金的，应提供相应文件证明；</w:t>
      </w:r>
    </w:p>
    <w:p/>
    <w:p>
      <w:r>
        <w:rPr/>
        <w:t>3）具有良好的商业信誉和健全的财务会计制度：提供2022年度财务状况报告或2023年至今任意1个月的财务状况报告复印件，或银行出具的资信证明材料复印件；</w:t>
      </w:r>
    </w:p>
    <w:p/>
    <w:p>
      <w:r>
        <w:rPr/>
        <w:t>4）履行合同所必需的设备和专业技术能力：提供承诺函并加盖投标人公章，承诺函格式自拟；</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采购包1（强脉冲治疗系统）：</w:t>
      </w:r>
      <w:r>
        <w:rPr/>
        <w:t>无，本项目不属于专门面向中小企业采购的项目。</w:t>
      </w:r>
    </w:p>
    <w:p/>
    <w:p>
      <w:r>
        <w:rPr>
          <w:b/>
          <w:sz w:val="24"/>
        </w:rPr>
        <w:t>3.本项目特定的资格要求：</w:t>
      </w:r>
    </w:p>
    <w:p>
      <w:pPr>
        <w:ind w:firstLine="480"/>
      </w:pPr>
    </w:p>
    <w:p/>
    <w:p>
      <w:r>
        <w:rPr/>
        <w:t>采购包1（强脉冲治疗系统）：</w:t>
      </w:r>
    </w:p>
    <w:p/>
    <w:p>
      <w:r>
        <w:rPr/>
        <w:t>1)投标人未被列入“信用中国”网站(www.creditchina.gov.cn)以下任何记录名单之一：①失信被执行人；②重大税收违法失信主体；③政府采购严重违法失信行为。同时，不处于中国政府采购网(www.ccgp.gov.cn)“政府采购严重违法失信行为信息记录”中的禁止参加政府采购活动期间。（说明：①由采购人、采购代理机构于投标截止日在“信用中国”网站（www.creditchina.gov.cn）及中国政府采购网(www.ccgp.gov.cn)查询结果为准，如在上述网站查询结果均显示没有相关记录，视为不存在上述不良信用记录。②采购代理机构同时对信用信息查询记录和证据截图或下载存档；③投标人为分公司的，同时对该分公司所属总公司（总所）进行信用记录查询，该分公司所属总公司（总所）存在不良信用记录的，视同供应商存在不良信用记录。）</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3)1）如投标人为生产企业：所投产品为第二、三类医疗器械，提供监督管理部门签发的有效的《医疗器械生产许可证》复印件；（如国家另有规定，则适用其规定） 2）如投标人为经营企业：所投产品为第三类医疗器械，提供监督管理部门签发的有效的《医疗器械经营许可证》复印件；（如国家另有规定，则适用其规定）</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采联国际招标采购集团有限公司（ http://www.chinapsp.cn/）</w:t>
      </w:r>
    </w:p>
    <w:p>
      <w:r>
        <w:rPr>
          <w:b/>
          <w:sz w:val="28"/>
        </w:rPr>
        <w:t>六.本项目联系方式：</w:t>
      </w:r>
    </w:p>
    <w:p>
      <w:r>
        <w:rPr>
          <w:b/>
          <w:sz w:val="24"/>
        </w:rPr>
        <w:t>1.采购人信息</w:t>
      </w:r>
    </w:p>
    <w:p>
      <w:pPr>
        <w:ind w:firstLine="480"/>
      </w:pPr>
      <w:r>
        <w:rPr/>
        <w:t>名称：</w:t>
      </w:r>
      <w:r>
        <w:rPr/>
        <w:t>江门市中心医院</w:t>
      </w:r>
    </w:p>
    <w:p>
      <w:pPr>
        <w:ind w:firstLine="480"/>
      </w:pPr>
      <w:r>
        <w:rPr/>
        <w:t>地址：</w:t>
      </w:r>
      <w:r>
        <w:rPr/>
        <w:t>广东省江门市蓬江区海傍街23号</w:t>
      </w:r>
    </w:p>
    <w:p>
      <w:pPr>
        <w:ind w:firstLine="480"/>
      </w:pPr>
      <w:r>
        <w:rPr/>
        <w:t>联系方式：</w:t>
      </w:r>
      <w:r>
        <w:rPr/>
        <w:t>0750-3363721</w:t>
      </w:r>
    </w:p>
    <w:p>
      <w:r>
        <w:rPr>
          <w:b/>
          <w:sz w:val="24"/>
        </w:rPr>
        <w:t>2.采购代理机构信息</w:t>
      </w:r>
    </w:p>
    <w:p>
      <w:pPr>
        <w:ind w:firstLine="480"/>
      </w:pPr>
      <w:r>
        <w:rPr/>
        <w:t>名称：</w:t>
      </w:r>
      <w:r>
        <w:rPr/>
        <w:t>采联国际招标采购集团有限公司</w:t>
      </w:r>
    </w:p>
    <w:p>
      <w:pPr>
        <w:ind w:firstLine="480"/>
      </w:pPr>
      <w:r>
        <w:rPr/>
        <w:t>地址：</w:t>
      </w:r>
      <w:r>
        <w:rPr/>
        <w:t>广州市环市东路472号粤海大厦23楼</w:t>
      </w:r>
    </w:p>
    <w:p>
      <w:pPr>
        <w:ind w:firstLine="480"/>
      </w:pPr>
      <w:r>
        <w:rPr/>
        <w:t>联系方式：</w:t>
      </w:r>
      <w:r>
        <w:rPr/>
        <w:t>0750-3390080-609/605</w:t>
      </w:r>
    </w:p>
    <w:p>
      <w:r>
        <w:rPr>
          <w:b/>
          <w:sz w:val="24"/>
        </w:rPr>
        <w:t>3.项目联系方式</w:t>
      </w:r>
    </w:p>
    <w:p>
      <w:pPr>
        <w:ind w:firstLine="480"/>
      </w:pPr>
      <w:r>
        <w:rPr/>
        <w:t>项目联系人：</w:t>
      </w:r>
      <w:r>
        <w:rPr/>
        <w:t>谢小姐/曾先生</w:t>
      </w:r>
    </w:p>
    <w:p>
      <w:pPr>
        <w:ind w:firstLine="480"/>
      </w:pPr>
      <w:r>
        <w:rPr/>
        <w:t>电话：</w:t>
      </w:r>
      <w:r>
        <w:rPr/>
        <w:t>0750-3390080-609/605</w:t>
      </w:r>
    </w:p>
    <w:p>
      <w:r>
        <w:rPr>
          <w:b/>
          <w:sz w:val="24"/>
        </w:rPr>
        <w:t>4.技术支持联系方式</w:t>
      </w:r>
    </w:p>
    <w:p>
      <w:pPr>
        <w:ind w:firstLine="480"/>
      </w:pPr>
      <w:r>
        <w:rPr/>
        <w:t>云平台联系方式：020-88696588</w:t>
      </w:r>
    </w:p>
    <w:p>
      <w:r>
        <w:rPr/>
        <w:t>采购代理机构：</w:t>
      </w:r>
      <w:r>
        <w:rPr/>
        <w:t>采联国际招标采购集团有限公司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color w:val="000000"/>
          <w:sz w:val="24"/>
        </w:rPr>
        <w:t>（一）投标人须对本项目的采购标的进行整体投标，任何只对本项目采购标的其中一部分内容、数量进行的投标都被视为无</w:t>
      </w:r>
      <w:r>
        <w:rPr>
          <w:color w:val="000000"/>
          <w:sz w:val="24"/>
        </w:rPr>
        <w:t>效投标。</w:t>
      </w:r>
    </w:p>
    <w:p>
      <w:r>
        <w:rPr>
          <w:color w:val="000000"/>
          <w:sz w:val="24"/>
        </w:rPr>
        <w:t>（</w:t>
      </w:r>
      <w:r>
        <w:rPr>
          <w:color w:val="000000"/>
          <w:sz w:val="24"/>
        </w:rPr>
        <w:t>二</w:t>
      </w:r>
      <w:r>
        <w:rPr>
          <w:color w:val="000000"/>
          <w:sz w:val="24"/>
        </w:rPr>
        <w:t>）</w:t>
      </w:r>
      <w:r>
        <w:rPr>
          <w:color w:val="000000"/>
          <w:sz w:val="24"/>
        </w:rPr>
        <w:t>如</w:t>
      </w:r>
      <w:r>
        <w:rPr>
          <w:color w:val="000000"/>
          <w:sz w:val="24"/>
        </w:rPr>
        <w:t>所</w:t>
      </w:r>
      <w:r>
        <w:rPr>
          <w:color w:val="000000"/>
          <w:sz w:val="24"/>
        </w:rPr>
        <w:t>投标产品为进口产品，</w:t>
      </w:r>
      <w:r>
        <w:rPr>
          <w:color w:val="000000"/>
          <w:sz w:val="24"/>
        </w:rPr>
        <w:t>投标人投标时请</w:t>
      </w:r>
      <w:r>
        <w:rPr>
          <w:color w:val="000000"/>
          <w:sz w:val="24"/>
        </w:rPr>
        <w:t>提供有效的厂家授权证明资料</w:t>
      </w:r>
      <w:r>
        <w:rPr>
          <w:color w:val="000000"/>
          <w:sz w:val="24"/>
        </w:rPr>
        <w:t>，否则将导致无效投标。</w:t>
      </w:r>
    </w:p>
    <w:p>
      <w:r>
        <w:rPr>
          <w:color w:val="000000"/>
          <w:sz w:val="24"/>
        </w:rPr>
        <w:t>（三）本项目的</w:t>
      </w:r>
      <w:r>
        <w:rPr>
          <w:color w:val="000000"/>
          <w:sz w:val="24"/>
        </w:rPr>
        <w:t>强脉冲治疗系统</w:t>
      </w:r>
      <w:r>
        <w:rPr>
          <w:color w:val="000000"/>
          <w:sz w:val="24"/>
        </w:rPr>
        <w:t>允许采购本国产品或不属于国家法律法规政策明确规定限制的进口产品。</w:t>
      </w:r>
    </w:p>
    <w:p/>
    <w:p>
      <w:pPr>
        <w:ind w:firstLine="480"/>
      </w:pPr>
    </w:p>
    <w:p/>
    <w:p>
      <w:r>
        <w:rPr/>
        <w:t>采购包1（强脉冲治疗系统）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合同签订后60个日历日内完成安装调试并具备验收条件</w:t>
            </w:r>
          </w:p>
        </w:tc>
      </w:tr>
      <w:tr>
        <w:tc>
          <w:tcPr>
            <w:tcW w:type="dxa" w:w="4153"/>
          </w:tcPr>
          <w:p>
            <w:r>
              <w:rPr/>
              <w:t>标的提供的地点</w:t>
            </w:r>
          </w:p>
        </w:tc>
        <w:tc>
          <w:tcPr>
            <w:tcW w:type="dxa" w:w="4153"/>
          </w:tcPr>
          <w:p/>
          <w:p>
            <w:r>
              <w:rPr/>
              <w:t>广东省江门市中心医院，采购人指定地点</w:t>
            </w:r>
          </w:p>
        </w:tc>
      </w:tr>
      <w:tr>
        <w:tc>
          <w:tcPr>
            <w:tcW w:type="dxa" w:w="4153"/>
          </w:tcPr>
          <w:p>
            <w:r>
              <w:rPr/>
              <w:t>付款方式</w:t>
            </w:r>
          </w:p>
        </w:tc>
        <w:tc>
          <w:tcPr>
            <w:tcW w:type="dxa" w:w="4153"/>
          </w:tcPr>
          <w:p/>
          <w:p/>
          <w:p>
            <w:r>
              <w:rPr/>
              <w:t>1期：支付比例100%,1、合同款支付： （1）第一期：合同签订生效后的30个工作日内，将合同总金额的30%支付给中中标人。 （2）第二期：项目安装调试完毕并验收合格入库后的60日内将合同总金额的60%支付给中标人。 （3）第三期：2年免费保修期满后的60日内，将合同总金额的10%支付给中标人。 （4）中标人须在第二期付款时间前30日提供合法有效的全额发票给采购人。 （5）违约责任：采购人逾期付款的，每日应向中标人偿付逾期总额的1‰作为违约金，违约金上限不超过合同总金额的10%，但因中标人自身原因导致无法及时支付的除外。 2、付款方式：采用支票、银行汇票、网银转账三种形式。</w:t>
            </w:r>
          </w:p>
        </w:tc>
      </w:tr>
      <w:tr>
        <w:tc>
          <w:tcPr>
            <w:tcW w:type="dxa" w:w="4153"/>
          </w:tcPr>
          <w:p>
            <w:r>
              <w:rPr/>
              <w:t>验收要求</w:t>
            </w:r>
          </w:p>
        </w:tc>
        <w:tc>
          <w:tcPr>
            <w:tcW w:type="dxa" w:w="4153"/>
          </w:tcPr>
          <w:p/>
          <w:p/>
          <w:p/>
          <w:p>
            <w:r>
              <w:rPr/>
              <w:t>1期：1、设备安装调试完毕正常运行后1个月内。  2、设备验收在采购人和中标人双方共同参与下按国家有关的规定、规范进行；  3、验收时如发现所交付的设备有短装、次品、损坏或其它不符合本合同规定之情形者，采购人应作出详尽的现场记录，或由采购人、中标人双方签署备忘录。此现场记录或备忘录可用作补充、缺失和更换损坏部件的有效证据。因此产生的有关费用由中标人承担； 4、如果合同设备运输和安装过程中因事故造成货物短缺、损坏，中标人应及时安排补货、换货， 以保证合同设备安装的成功完成。换货的相关费用由中标人承担； 5、中标人保证合同项下提供的设备不侵犯任何第三方的专利、商标或版权。否则，中标人须承担 对第三方的专利或版权的侵权责任并承担因此而发生的所有费用。</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交付验收标准依次序对照适用标准</w:t>
            </w:r>
          </w:p>
        </w:tc>
        <w:tc>
          <w:tcPr>
            <w:tcW w:type="dxa" w:w="2076"/>
          </w:tcPr>
          <w:p>
            <w:pPr>
              <w:jc w:val="left"/>
            </w:pPr>
            <w:r>
              <w:rPr/>
              <w:t>（1）符合中华人民共和国国家安全质量标准、环保标准或行业标准； （2）符合招标文件和响应承诺中采购人认可的合理最佳配置、参数及各项要求； （3）符合货物来源国官方标准。</w:t>
            </w:r>
          </w:p>
        </w:tc>
      </w:tr>
      <w:tr>
        <w:tc>
          <w:tcPr>
            <w:tcW w:type="dxa" w:w="2076"/>
          </w:tcPr>
          <w:p>
            <w:pPr>
              <w:jc w:val="center"/>
            </w:pPr>
            <w:r>
              <w:rPr/>
              <w:t>★</w:t>
            </w:r>
          </w:p>
        </w:tc>
        <w:tc>
          <w:tcPr>
            <w:tcW w:type="dxa" w:w="2076"/>
          </w:tcPr>
          <w:p>
            <w:pPr>
              <w:jc w:val="center"/>
            </w:pPr>
            <w:r>
              <w:rPr/>
              <w:t>2</w:t>
            </w:r>
          </w:p>
        </w:tc>
        <w:tc>
          <w:tcPr>
            <w:tcW w:type="dxa" w:w="2076"/>
          </w:tcPr>
          <w:p>
            <w:pPr>
              <w:jc w:val="left"/>
            </w:pPr>
            <w:r>
              <w:rPr/>
              <w:t>保修期</w:t>
            </w:r>
          </w:p>
        </w:tc>
        <w:tc>
          <w:tcPr>
            <w:tcW w:type="dxa" w:w="2076"/>
          </w:tcPr>
          <w:p>
            <w:pPr>
              <w:jc w:val="left"/>
            </w:pPr>
            <w:r>
              <w:rPr/>
              <w:t>（1）保修期为不少于 3 年，保修期自设备经采购人和中标人双方验收合格之日起计算。保修期内中标人对所供货物实行包修、包换、包退、包维护保养，期满后可同时提供终身维修保养服务。</w:t>
            </w:r>
          </w:p>
        </w:tc>
      </w:tr>
      <w:tr>
        <w:tc>
          <w:tcPr>
            <w:tcW w:type="dxa" w:w="2076"/>
          </w:tcPr>
          <w:p>
            <w:pPr>
              <w:jc w:val="center"/>
            </w:pPr>
          </w:p>
        </w:tc>
        <w:tc>
          <w:tcPr>
            <w:tcW w:type="dxa" w:w="2076"/>
          </w:tcPr>
          <w:p>
            <w:pPr>
              <w:jc w:val="center"/>
            </w:pPr>
            <w:r>
              <w:rPr/>
              <w:t>3</w:t>
            </w:r>
          </w:p>
        </w:tc>
        <w:tc>
          <w:tcPr>
            <w:tcW w:type="dxa" w:w="2076"/>
          </w:tcPr>
          <w:p>
            <w:pPr>
              <w:jc w:val="left"/>
            </w:pPr>
            <w:r>
              <w:rPr/>
              <w:t>保修期</w:t>
            </w:r>
          </w:p>
        </w:tc>
        <w:tc>
          <w:tcPr>
            <w:tcW w:type="dxa" w:w="2076"/>
          </w:tcPr>
          <w:p>
            <w:pPr>
              <w:jc w:val="left"/>
            </w:pPr>
            <w:r>
              <w:rPr/>
              <w:t>（2）对采购人的服务通知，中标人在接报后1小时内响应，4小时内到达现场，48小时内处理完毕。若在48小时内仍未能有效解决，中标人须免费提供同档次的设备予采购人临时使用。</w:t>
            </w:r>
          </w:p>
        </w:tc>
      </w:tr>
      <w:tr>
        <w:tc>
          <w:tcPr>
            <w:tcW w:type="dxa" w:w="2076"/>
          </w:tcPr>
          <w:p>
            <w:pPr>
              <w:jc w:val="center"/>
            </w:pPr>
          </w:p>
        </w:tc>
        <w:tc>
          <w:tcPr>
            <w:tcW w:type="dxa" w:w="2076"/>
          </w:tcPr>
          <w:p>
            <w:pPr>
              <w:jc w:val="center"/>
            </w:pPr>
            <w:r>
              <w:rPr/>
              <w:t>4</w:t>
            </w:r>
          </w:p>
        </w:tc>
        <w:tc>
          <w:tcPr>
            <w:tcW w:type="dxa" w:w="2076"/>
          </w:tcPr>
          <w:p>
            <w:pPr>
              <w:jc w:val="left"/>
            </w:pPr>
            <w:r>
              <w:rPr/>
              <w:t>安装与调试</w:t>
            </w:r>
          </w:p>
        </w:tc>
        <w:tc>
          <w:tcPr>
            <w:tcW w:type="dxa" w:w="2076"/>
          </w:tcPr>
          <w:p>
            <w:pPr>
              <w:jc w:val="left"/>
            </w:pPr>
            <w:r>
              <w:rPr/>
              <w:t>（1）中标人必须依照招标文件的要求和投标文件的承诺，将设备、系统安装并调试至正常运行的最佳状态。 （2）合同设备安装：中标人负责合同设备的安装，一切费用由中标人负责。中标人安装时须对各安装场地内的其他设备、设施有良好保护措施。</w:t>
            </w:r>
          </w:p>
        </w:tc>
      </w:tr>
      <w:tr>
        <w:tc>
          <w:tcPr>
            <w:tcW w:type="dxa" w:w="2076"/>
          </w:tcPr>
          <w:p>
            <w:pPr>
              <w:jc w:val="center"/>
            </w:pPr>
          </w:p>
        </w:tc>
        <w:tc>
          <w:tcPr>
            <w:tcW w:type="dxa" w:w="2076"/>
          </w:tcPr>
          <w:p>
            <w:pPr>
              <w:jc w:val="center"/>
            </w:pPr>
            <w:r>
              <w:rPr/>
              <w:t>5</w:t>
            </w:r>
          </w:p>
        </w:tc>
        <w:tc>
          <w:tcPr>
            <w:tcW w:type="dxa" w:w="2076"/>
          </w:tcPr>
          <w:p>
            <w:pPr>
              <w:jc w:val="left"/>
            </w:pPr>
            <w:r>
              <w:rPr/>
              <w:t>培训要求</w:t>
            </w:r>
          </w:p>
        </w:tc>
        <w:tc>
          <w:tcPr>
            <w:tcW w:type="dxa" w:w="2076"/>
          </w:tcPr>
          <w:p>
            <w:pPr>
              <w:jc w:val="left"/>
            </w:pPr>
            <w:r>
              <w:rPr/>
              <w:t>（1）在设备安装和调试完成后，中标人应提供培训服务，提供专业技术人员对采购人科室使用设备人员和相关管理人员进行一周培训，并保证两名以上操作人员熟练掌握操作技术为止。 （2）中标人需制定详细的培训内容和培训计划。 （3）如遇设备升级更新，中标人需及时提供更新操作指导。</w:t>
            </w:r>
          </w:p>
        </w:tc>
      </w:tr>
      <w:tr>
        <w:tc>
          <w:tcPr>
            <w:tcW w:type="dxa" w:w="2076"/>
          </w:tcPr>
          <w:p>
            <w:pPr>
              <w:jc w:val="center"/>
            </w:pPr>
          </w:p>
        </w:tc>
        <w:tc>
          <w:tcPr>
            <w:tcW w:type="dxa" w:w="2076"/>
          </w:tcPr>
          <w:p>
            <w:pPr>
              <w:jc w:val="center"/>
            </w:pPr>
            <w:r>
              <w:rPr/>
              <w:t>6</w:t>
            </w:r>
          </w:p>
        </w:tc>
        <w:tc>
          <w:tcPr>
            <w:tcW w:type="dxa" w:w="2076"/>
          </w:tcPr>
          <w:p>
            <w:pPr>
              <w:jc w:val="left"/>
            </w:pPr>
            <w:r>
              <w:rPr/>
              <w:t>包装和运输</w:t>
            </w:r>
          </w:p>
        </w:tc>
        <w:tc>
          <w:tcPr>
            <w:tcW w:type="dxa" w:w="2076"/>
          </w:tcPr>
          <w:p>
            <w:pPr>
              <w:jc w:val="left"/>
            </w:pPr>
            <w:r>
              <w:rPr/>
              <w:t>（1）中标人应提供运至交付地点所需要的包装，包装应符合经济、牢固、美观的要求，采取防潮、防晒、防锈、防振及防止其它损坏的必要措施，以防止货物在运转中损坏或变质。 （2）包装必须要符合相关法律、法规的要求，包括与环境、职业健康和安全有关的法律、法规标准。 （3）运输包装应根据产品的特点及国家相关标准标注有相应的运输标志。 （4）中标人负责将货物运输并卸载到采购人指定地点。</w:t>
            </w:r>
          </w:p>
        </w:tc>
      </w:tr>
      <w:tr>
        <w:tc>
          <w:tcPr>
            <w:tcW w:type="dxa" w:w="2076"/>
          </w:tcPr>
          <w:p>
            <w:pPr>
              <w:jc w:val="center"/>
            </w:pPr>
          </w:p>
        </w:tc>
        <w:tc>
          <w:tcPr>
            <w:tcW w:type="dxa" w:w="2076"/>
          </w:tcPr>
          <w:p>
            <w:pPr>
              <w:jc w:val="center"/>
            </w:pPr>
            <w:r>
              <w:rPr/>
              <w:t>7</w:t>
            </w:r>
          </w:p>
        </w:tc>
        <w:tc>
          <w:tcPr>
            <w:tcW w:type="dxa" w:w="2076"/>
          </w:tcPr>
          <w:p>
            <w:pPr>
              <w:jc w:val="left"/>
            </w:pPr>
            <w:r>
              <w:rPr/>
              <w:t>保险</w:t>
            </w:r>
          </w:p>
        </w:tc>
        <w:tc>
          <w:tcPr>
            <w:tcW w:type="dxa" w:w="2076"/>
          </w:tcPr>
          <w:p>
            <w:pPr>
              <w:jc w:val="left"/>
            </w:pPr>
            <w:r>
              <w:rPr/>
              <w:t>货物交付运输前，采购人已经支付部分或全部款项的，中标人应当办理以采购人为受益人的货物“一切险”，投保金额不少于采购人已经支付款项总额，保险保至项目最终交货地点。</w:t>
            </w:r>
          </w:p>
        </w:tc>
      </w:tr>
      <w:tr>
        <w:tc>
          <w:tcPr>
            <w:tcW w:type="dxa" w:w="2076"/>
          </w:tcPr>
          <w:p>
            <w:pPr>
              <w:jc w:val="center"/>
            </w:pPr>
          </w:p>
        </w:tc>
        <w:tc>
          <w:tcPr>
            <w:tcW w:type="dxa" w:w="2076"/>
          </w:tcPr>
          <w:p>
            <w:pPr>
              <w:jc w:val="center"/>
            </w:pPr>
            <w:r>
              <w:rPr/>
              <w:t>8</w:t>
            </w:r>
          </w:p>
        </w:tc>
        <w:tc>
          <w:tcPr>
            <w:tcW w:type="dxa" w:w="2076"/>
          </w:tcPr>
          <w:p>
            <w:pPr>
              <w:jc w:val="left"/>
            </w:pPr>
            <w:r>
              <w:rPr/>
              <w:t>设备要求</w:t>
            </w:r>
          </w:p>
        </w:tc>
        <w:tc>
          <w:tcPr>
            <w:tcW w:type="dxa" w:w="2076"/>
          </w:tcPr>
          <w:p>
            <w:pPr>
              <w:jc w:val="left"/>
            </w:pPr>
            <w:r>
              <w:rPr/>
              <w:t>（1）货物为原制造商制造的全新产品，整机无污染，无侵权行为、表面无划损、无任何缺陷隐患，在中国境内可依常规安全合法使用。 （2）货物为原厂商未启封全新包装，具出厂合格证，序列号、包装箱号与出厂批号一致，并可追索查阅。 （3）有关键主机设备的用户手册、保修手册、有关单证资料及配备件、随机工具等，使用操作及安全 须知等重要资料应附有中文说明。 （4）如投标人为经营企业，提供制造商对其在本次投标中提供该货物的正式授权书。</w:t>
            </w:r>
          </w:p>
        </w:tc>
      </w:tr>
      <w:tr>
        <w:tc>
          <w:tcPr>
            <w:tcW w:type="dxa" w:w="2076"/>
          </w:tcPr>
          <w:p>
            <w:pPr>
              <w:jc w:val="center"/>
            </w:pPr>
            <w:r>
              <w:rPr/>
              <w:t>★</w:t>
            </w:r>
          </w:p>
        </w:tc>
        <w:tc>
          <w:tcPr>
            <w:tcW w:type="dxa" w:w="2076"/>
          </w:tcPr>
          <w:p>
            <w:pPr>
              <w:jc w:val="center"/>
            </w:pPr>
            <w:r>
              <w:rPr/>
              <w:t>9</w:t>
            </w:r>
          </w:p>
        </w:tc>
        <w:tc>
          <w:tcPr>
            <w:tcW w:type="dxa" w:w="2076"/>
          </w:tcPr>
          <w:p>
            <w:pPr>
              <w:jc w:val="left"/>
            </w:pPr>
            <w:r>
              <w:rPr/>
              <w:t>付款方式</w:t>
            </w:r>
          </w:p>
        </w:tc>
        <w:tc>
          <w:tcPr>
            <w:tcW w:type="dxa" w:w="2076"/>
          </w:tcPr>
          <w:p>
            <w:pPr>
              <w:jc w:val="left"/>
            </w:pPr>
            <w:r>
              <w:rPr/>
              <w:t>1、合同款支付： （1）第一期：合同签订生效后的30个工作日内，将合同总金额的30%支付给中中标人。 （2）第二期：项目安装调试完毕并验收合格入库后的60日内将合同总金额的60%支付给中标人。 （3）第三期：2年免费保修期满后的60日内，将合同总金额的10%支付给中标人。 （4）中标人须在第二期付款时间前30日提供合法有效的全额发票给采购人。 （5）违约责任：采购人逾期付款的，每日应向中标人偿付逾期总额的1‰作为违约金，违约金上限不超过合同总金额的10%，但因中标人自身原因导致无法及时支付的除外。 2、付款方式：采用支票、银行汇票、网银转账三种形式。</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医用激光仪器及设备</w:t>
            </w:r>
          </w:p>
        </w:tc>
        <w:tc>
          <w:tcPr>
            <w:tcW w:type="dxa" w:w="831"/>
          </w:tcPr>
          <w:p>
            <w:pPr>
              <w:jc w:val="left"/>
            </w:pPr>
            <w:r>
              <w:rPr/>
              <w:t>强脉冲治疗系统</w:t>
            </w:r>
          </w:p>
        </w:tc>
        <w:tc>
          <w:tcPr>
            <w:tcW w:type="dxa" w:w="831"/>
          </w:tcPr>
          <w:p>
            <w:pPr>
              <w:jc w:val="left"/>
            </w:pPr>
            <w:r>
              <w:rPr/>
              <w:t>套</w:t>
            </w:r>
          </w:p>
        </w:tc>
        <w:tc>
          <w:tcPr>
            <w:tcW w:type="dxa" w:w="831"/>
          </w:tcPr>
          <w:p>
            <w:pPr>
              <w:jc w:val="right"/>
            </w:pPr>
            <w:r>
              <w:rPr/>
              <w:t>1.00</w:t>
            </w:r>
          </w:p>
        </w:tc>
        <w:tc>
          <w:tcPr>
            <w:tcW w:type="dxa" w:w="831"/>
          </w:tcPr>
          <w:p>
            <w:pPr>
              <w:jc w:val="right"/>
            </w:pPr>
            <w:r>
              <w:rPr/>
              <w:t>1,250,000.00</w:t>
            </w:r>
          </w:p>
        </w:tc>
        <w:tc>
          <w:tcPr>
            <w:tcW w:type="dxa" w:w="831"/>
          </w:tcPr>
          <w:p>
            <w:pPr>
              <w:jc w:val="right"/>
            </w:pPr>
            <w:r>
              <w:rPr/>
              <w:t>1,250,000.00</w:t>
            </w:r>
          </w:p>
        </w:tc>
        <w:tc>
          <w:tcPr>
            <w:tcW w:type="dxa" w:w="831"/>
          </w:tcPr>
          <w:p>
            <w:r>
              <w:rPr/>
              <w:t>工业</w:t>
            </w:r>
          </w:p>
        </w:tc>
        <w:tc>
          <w:tcPr>
            <w:tcW w:type="dxa" w:w="831"/>
          </w:tcPr>
          <w:p>
            <w:r>
              <w:rPr/>
              <w:t>详见附表一</w:t>
            </w:r>
          </w:p>
        </w:tc>
      </w:tr>
    </w:tbl>
    <w:p/>
    <w:p>
      <w:r>
        <w:rPr>
          <w:b/>
        </w:rPr>
        <w:t>附表</w:t>
      </w:r>
      <w:r>
        <w:rPr>
          <w:b/>
        </w:rPr>
        <w:t>一</w:t>
      </w:r>
      <w:r>
        <w:rPr>
          <w:b/>
        </w:rPr>
        <w:t>：</w:t>
      </w:r>
      <w:r>
        <w:rPr>
          <w:b/>
        </w:rPr>
        <w:t>强脉冲治疗系统</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color w:val="000000"/>
                <w:sz w:val="24"/>
              </w:rPr>
              <w:t>如投标人为生产企业：所投产品为第一类医疗器械，具有监督管理部门签发的有效的《医疗器械生产备案凭证》复印件；（如国家另有规定，则适用其规定）</w:t>
            </w:r>
          </w:p>
        </w:tc>
      </w:tr>
      <w:tr>
        <w:tc>
          <w:tcPr>
            <w:tcW w:type="dxa" w:w="2076"/>
          </w:tcPr>
          <w:p>
            <w:r>
              <w:rPr/>
              <w:t>★</w:t>
            </w:r>
          </w:p>
        </w:tc>
        <w:tc>
          <w:tcPr>
            <w:tcW w:type="dxa" w:w="415"/>
          </w:tcPr>
          <w:p>
            <w:r>
              <w:rPr/>
              <w:t>2</w:t>
            </w:r>
          </w:p>
        </w:tc>
        <w:tc>
          <w:tcPr>
            <w:tcW w:type="dxa" w:w="5814"/>
          </w:tcPr>
          <w:p>
            <w:r>
              <w:rPr>
                <w:color w:val="000000"/>
                <w:sz w:val="24"/>
              </w:rPr>
              <w:t>如投标人为经营企业：所投产品为第二类医疗器械，投标时具有监督管理部门签发的有效的《医疗器械经营备案凭证》复印件，或承诺供货时提供监督管理部门签发的有效的《医疗器械经营备案凭证》复印件（提供承诺书，不提供视为不响应）；（如国家另有规定，则适用其规定）。</w:t>
            </w:r>
          </w:p>
        </w:tc>
      </w:tr>
      <w:tr>
        <w:tc>
          <w:tcPr>
            <w:tcW w:type="dxa" w:w="2076"/>
          </w:tcPr>
          <w:p>
            <w:r>
              <w:rPr/>
              <w:t>★</w:t>
            </w:r>
          </w:p>
        </w:tc>
        <w:tc>
          <w:tcPr>
            <w:tcW w:type="dxa" w:w="415"/>
          </w:tcPr>
          <w:p>
            <w:r>
              <w:rPr/>
              <w:t>3</w:t>
            </w:r>
          </w:p>
        </w:tc>
        <w:tc>
          <w:tcPr>
            <w:tcW w:type="dxa" w:w="5814"/>
          </w:tcPr>
          <w:p>
            <w:r>
              <w:rPr>
                <w:color w:val="000000"/>
                <w:sz w:val="24"/>
              </w:rPr>
              <w:t>如所投产品属于第一类医疗器械，则必须提供有效的医疗器械备案证明复印件（如国家另有规定，则适用其规定）；</w:t>
            </w:r>
          </w:p>
          <w:p>
            <w:r>
              <w:rPr>
                <w:color w:val="000000"/>
                <w:sz w:val="24"/>
              </w:rPr>
              <w:t>如所投产品属于第二类、第三类医疗器械，则必须提供有效的医疗器械注册证明复印件。（如国家另有规定，则适用其规定）。</w:t>
            </w:r>
          </w:p>
        </w:tc>
      </w:tr>
      <w:tr>
        <w:tc>
          <w:tcPr>
            <w:tcW w:type="dxa" w:w="2076"/>
          </w:tcPr>
          <w:p>
            <w:r>
              <w:rPr/>
              <w:t>★</w:t>
            </w:r>
          </w:p>
        </w:tc>
        <w:tc>
          <w:tcPr>
            <w:tcW w:type="dxa" w:w="415"/>
          </w:tcPr>
          <w:p>
            <w:r>
              <w:rPr/>
              <w:t>4</w:t>
            </w:r>
          </w:p>
        </w:tc>
        <w:tc>
          <w:tcPr>
            <w:tcW w:type="dxa" w:w="5814"/>
          </w:tcPr>
          <w:p>
            <w:r>
              <w:rPr>
                <w:color w:val="000000"/>
                <w:sz w:val="24"/>
              </w:rPr>
              <w:t>投标人须在投标文件中附上所投产品的配置清单、规格型号、注册证编号（如有）、单价。</w:t>
            </w:r>
          </w:p>
        </w:tc>
      </w:tr>
      <w:tr>
        <w:tc>
          <w:tcPr>
            <w:tcW w:type="dxa" w:w="2076"/>
          </w:tcPr>
          <w:p>
            <w:r>
              <w:rPr/>
              <w:t>★</w:t>
            </w:r>
          </w:p>
        </w:tc>
        <w:tc>
          <w:tcPr>
            <w:tcW w:type="dxa" w:w="415"/>
          </w:tcPr>
          <w:p>
            <w:r>
              <w:rPr/>
              <w:t>5</w:t>
            </w:r>
          </w:p>
        </w:tc>
        <w:tc>
          <w:tcPr>
            <w:tcW w:type="dxa" w:w="5814"/>
          </w:tcPr>
          <w:p>
            <w:r>
              <w:rPr>
                <w:color w:val="000000"/>
                <w:sz w:val="24"/>
              </w:rPr>
              <w:t>为方便采购人后续工作安排，如所投产品需有耗材，需投标人在投标文件中提供所投设备的试剂耗材信息，包括但不限于耗材名称、规格型号、单价、注册证编号（如有），但不纳入本项目采购范围，提供《耗材报价表》。如所投产品无需耗材，投标人需提供所投产品无耗材的说明函。</w:t>
            </w:r>
          </w:p>
        </w:tc>
      </w:tr>
      <w:tr>
        <w:tc>
          <w:tcPr>
            <w:tcW w:type="dxa" w:w="2076"/>
          </w:tcPr>
          <w:p/>
        </w:tc>
        <w:tc>
          <w:tcPr>
            <w:tcW w:type="dxa" w:w="415"/>
          </w:tcPr>
          <w:p>
            <w:r>
              <w:rPr/>
              <w:t>6</w:t>
            </w:r>
          </w:p>
        </w:tc>
        <w:tc>
          <w:tcPr>
            <w:tcW w:type="dxa" w:w="5814"/>
          </w:tcPr>
          <w:p>
            <w:r>
              <w:rPr>
                <w:color w:val="000000"/>
                <w:sz w:val="24"/>
              </w:rPr>
              <w:t>一、</w:t>
            </w:r>
            <w:r>
              <w:rPr>
                <w:color w:val="000000"/>
                <w:sz w:val="24"/>
              </w:rPr>
              <w:t>基本要求：</w:t>
            </w:r>
          </w:p>
          <w:p>
            <w:r>
              <w:rPr>
                <w:color w:val="000000"/>
                <w:sz w:val="24"/>
              </w:rPr>
              <w:t>1、</w:t>
            </w:r>
            <w:r>
              <w:rPr>
                <w:color w:val="000000"/>
                <w:sz w:val="24"/>
              </w:rPr>
              <w:t>整机原装进口。</w:t>
            </w:r>
          </w:p>
          <w:p>
            <w:r>
              <w:rPr>
                <w:color w:val="000000"/>
                <w:sz w:val="24"/>
              </w:rPr>
              <w:t>2、用途: 血管病变、色素异常、皮肤年轻化、脱毛、皮肤重建，外伤疤痕，紧致肌肤，妊娠纹非剥脱治疗等。</w:t>
            </w:r>
          </w:p>
        </w:tc>
      </w:tr>
      <w:tr>
        <w:tc>
          <w:tcPr>
            <w:tcW w:type="dxa" w:w="2076"/>
          </w:tcPr>
          <w:p>
            <w:r>
              <w:rPr/>
              <w:t>▲</w:t>
            </w:r>
          </w:p>
        </w:tc>
        <w:tc>
          <w:tcPr>
            <w:tcW w:type="dxa" w:w="415"/>
          </w:tcPr>
          <w:p>
            <w:r>
              <w:rPr/>
              <w:t>7</w:t>
            </w:r>
          </w:p>
        </w:tc>
        <w:tc>
          <w:tcPr>
            <w:tcW w:type="dxa" w:w="5814"/>
          </w:tcPr>
          <w:p>
            <w:r>
              <w:rPr>
                <w:color w:val="000000"/>
                <w:sz w:val="24"/>
              </w:rPr>
              <w:t>二、</w:t>
            </w:r>
            <w:r>
              <w:rPr>
                <w:color w:val="000000"/>
                <w:sz w:val="24"/>
              </w:rPr>
              <w:t>技术性能要求</w:t>
            </w:r>
            <w:r>
              <w:rPr>
                <w:color w:val="000000"/>
                <w:sz w:val="24"/>
              </w:rPr>
              <w:t>：</w:t>
            </w:r>
          </w:p>
          <w:p>
            <w:r>
              <w:rPr>
                <w:color w:val="000000"/>
                <w:sz w:val="24"/>
              </w:rPr>
              <w:t>具备</w:t>
            </w:r>
            <w:r>
              <w:rPr>
                <w:color w:val="000000"/>
                <w:sz w:val="24"/>
              </w:rPr>
              <w:t>IPL光子技术：</w:t>
            </w:r>
          </w:p>
          <w:p>
            <w:r>
              <w:rPr>
                <w:color w:val="000000"/>
                <w:sz w:val="24"/>
              </w:rPr>
              <w:t>1、</w:t>
            </w:r>
            <w:r>
              <w:rPr>
                <w:color w:val="000000"/>
                <w:sz w:val="24"/>
              </w:rPr>
              <w:t>治疗手具</w:t>
            </w:r>
            <w:r>
              <w:rPr>
                <w:color w:val="000000"/>
                <w:sz w:val="24"/>
              </w:rPr>
              <w:t>波长</w:t>
            </w:r>
            <w:r>
              <w:rPr>
                <w:color w:val="000000"/>
                <w:sz w:val="24"/>
              </w:rPr>
              <w:t>:400-1200nm</w:t>
            </w:r>
            <w:r>
              <w:rPr>
                <w:color w:val="000000"/>
                <w:sz w:val="24"/>
              </w:rPr>
              <w:t>。</w:t>
            </w:r>
          </w:p>
        </w:tc>
      </w:tr>
      <w:tr>
        <w:tc>
          <w:tcPr>
            <w:tcW w:type="dxa" w:w="2076"/>
          </w:tcPr>
          <w:p>
            <w:r>
              <w:rPr/>
              <w:t>▲</w:t>
            </w:r>
          </w:p>
        </w:tc>
        <w:tc>
          <w:tcPr>
            <w:tcW w:type="dxa" w:w="415"/>
          </w:tcPr>
          <w:p>
            <w:r>
              <w:rPr/>
              <w:t>8</w:t>
            </w:r>
          </w:p>
        </w:tc>
        <w:tc>
          <w:tcPr>
            <w:tcW w:type="dxa" w:w="5814"/>
          </w:tcPr>
          <w:p>
            <w:r>
              <w:rPr>
                <w:color w:val="000000"/>
                <w:sz w:val="24"/>
              </w:rPr>
              <w:t>2、</w:t>
            </w:r>
            <w:r>
              <w:rPr>
                <w:color w:val="000000"/>
                <w:sz w:val="24"/>
              </w:rPr>
              <w:t>单头设计，可随意搭配</w:t>
            </w:r>
            <w:r>
              <w:rPr>
                <w:color w:val="000000"/>
                <w:sz w:val="24"/>
              </w:rPr>
              <w:t>≥</w:t>
            </w:r>
            <w:r>
              <w:rPr>
                <w:color w:val="000000"/>
                <w:sz w:val="24"/>
              </w:rPr>
              <w:t>六</w:t>
            </w:r>
            <w:r>
              <w:rPr>
                <w:color w:val="000000"/>
                <w:sz w:val="24"/>
              </w:rPr>
              <w:t>个滤光片：以更换滤波片的方式代替更换手具。</w:t>
            </w:r>
          </w:p>
        </w:tc>
      </w:tr>
      <w:tr>
        <w:tc>
          <w:tcPr>
            <w:tcW w:type="dxa" w:w="2076"/>
          </w:tcPr>
          <w:p/>
        </w:tc>
        <w:tc>
          <w:tcPr>
            <w:tcW w:type="dxa" w:w="415"/>
          </w:tcPr>
          <w:p>
            <w:r>
              <w:rPr/>
              <w:t>9</w:t>
            </w:r>
          </w:p>
        </w:tc>
        <w:tc>
          <w:tcPr>
            <w:tcW w:type="dxa" w:w="5814"/>
          </w:tcPr>
          <w:p>
            <w:r>
              <w:rPr>
                <w:color w:val="000000"/>
                <w:sz w:val="24"/>
              </w:rPr>
              <w:t>3</w:t>
            </w:r>
            <w:r>
              <w:rPr>
                <w:color w:val="000000"/>
                <w:sz w:val="24"/>
              </w:rPr>
              <w:t>、</w:t>
            </w:r>
            <w:r>
              <w:rPr>
                <w:color w:val="000000"/>
                <w:sz w:val="24"/>
              </w:rPr>
              <w:t>所有光</w:t>
            </w:r>
            <w:r>
              <w:rPr>
                <w:color w:val="000000"/>
                <w:sz w:val="24"/>
              </w:rPr>
              <w:t>子</w:t>
            </w:r>
            <w:r>
              <w:rPr>
                <w:color w:val="000000"/>
                <w:sz w:val="24"/>
              </w:rPr>
              <w:t>手具的波长必须覆盖</w:t>
            </w:r>
            <w:r>
              <w:rPr>
                <w:color w:val="000000"/>
                <w:sz w:val="24"/>
              </w:rPr>
              <w:t>1000-1100nm</w:t>
            </w:r>
            <w:r>
              <w:rPr>
                <w:color w:val="000000"/>
                <w:sz w:val="24"/>
              </w:rPr>
              <w:t>但不能超过</w:t>
            </w:r>
            <w:r>
              <w:rPr>
                <w:color w:val="000000"/>
                <w:sz w:val="24"/>
              </w:rPr>
              <w:t>1200nm</w:t>
            </w:r>
            <w:r>
              <w:rPr>
                <w:color w:val="000000"/>
                <w:sz w:val="24"/>
              </w:rPr>
              <w:t>。</w:t>
            </w:r>
          </w:p>
        </w:tc>
      </w:tr>
      <w:tr>
        <w:tc>
          <w:tcPr>
            <w:tcW w:type="dxa" w:w="2076"/>
          </w:tcPr>
          <w:p/>
        </w:tc>
        <w:tc>
          <w:tcPr>
            <w:tcW w:type="dxa" w:w="415"/>
          </w:tcPr>
          <w:p>
            <w:r>
              <w:rPr/>
              <w:t>10</w:t>
            </w:r>
          </w:p>
        </w:tc>
        <w:tc>
          <w:tcPr>
            <w:tcW w:type="dxa" w:w="5814"/>
          </w:tcPr>
          <w:p>
            <w:r>
              <w:rPr>
                <w:color w:val="000000"/>
                <w:sz w:val="24"/>
              </w:rPr>
              <w:t>4</w:t>
            </w:r>
            <w:r>
              <w:rPr>
                <w:color w:val="000000"/>
                <w:sz w:val="24"/>
              </w:rPr>
              <w:t>、</w:t>
            </w:r>
            <w:r>
              <w:rPr>
                <w:color w:val="000000"/>
                <w:sz w:val="24"/>
              </w:rPr>
              <w:t>具备超光子</w:t>
            </w:r>
            <w:r>
              <w:rPr>
                <w:color w:val="000000"/>
                <w:sz w:val="24"/>
              </w:rPr>
              <w:t>“方形波”</w:t>
            </w:r>
            <w:r>
              <w:rPr>
                <w:color w:val="000000"/>
                <w:sz w:val="24"/>
              </w:rPr>
              <w:t>技术</w:t>
            </w:r>
            <w:r>
              <w:rPr>
                <w:color w:val="000000"/>
                <w:sz w:val="24"/>
              </w:rPr>
              <w:t>。</w:t>
            </w:r>
          </w:p>
        </w:tc>
      </w:tr>
      <w:tr>
        <w:tc>
          <w:tcPr>
            <w:tcW w:type="dxa" w:w="2076"/>
          </w:tcPr>
          <w:p/>
        </w:tc>
        <w:tc>
          <w:tcPr>
            <w:tcW w:type="dxa" w:w="415"/>
          </w:tcPr>
          <w:p>
            <w:r>
              <w:rPr/>
              <w:t>11</w:t>
            </w:r>
          </w:p>
        </w:tc>
        <w:tc>
          <w:tcPr>
            <w:tcW w:type="dxa" w:w="5814"/>
          </w:tcPr>
          <w:p>
            <w:r>
              <w:rPr>
                <w:color w:val="000000"/>
                <w:sz w:val="24"/>
              </w:rPr>
              <w:t>5</w:t>
            </w:r>
            <w:r>
              <w:rPr>
                <w:color w:val="000000"/>
                <w:sz w:val="24"/>
              </w:rPr>
              <w:t>、</w:t>
            </w:r>
            <w:r>
              <w:rPr>
                <w:color w:val="000000"/>
                <w:sz w:val="24"/>
              </w:rPr>
              <w:t>光子手具的最高能量密度</w:t>
            </w:r>
            <w:r>
              <w:rPr>
                <w:color w:val="000000"/>
                <w:sz w:val="24"/>
              </w:rPr>
              <w:t>≥35J/c</w:t>
            </w:r>
            <w:r>
              <w:rPr>
                <w:color w:val="000000"/>
                <w:sz w:val="24"/>
              </w:rPr>
              <w:t>㎡；</w:t>
            </w:r>
          </w:p>
        </w:tc>
      </w:tr>
      <w:tr>
        <w:tc>
          <w:tcPr>
            <w:tcW w:type="dxa" w:w="2076"/>
          </w:tcPr>
          <w:p>
            <w:r>
              <w:rPr/>
              <w:t>▲</w:t>
            </w:r>
          </w:p>
        </w:tc>
        <w:tc>
          <w:tcPr>
            <w:tcW w:type="dxa" w:w="415"/>
          </w:tcPr>
          <w:p>
            <w:r>
              <w:rPr/>
              <w:t>12</w:t>
            </w:r>
          </w:p>
        </w:tc>
        <w:tc>
          <w:tcPr>
            <w:tcW w:type="dxa" w:w="5814"/>
          </w:tcPr>
          <w:p>
            <w:r>
              <w:rPr>
                <w:color w:val="000000"/>
                <w:sz w:val="24"/>
              </w:rPr>
              <w:t>6</w:t>
            </w:r>
            <w:r>
              <w:rPr>
                <w:color w:val="000000"/>
                <w:sz w:val="24"/>
              </w:rPr>
              <w:t>、</w:t>
            </w:r>
            <w:r>
              <w:rPr>
                <w:color w:val="000000"/>
                <w:sz w:val="24"/>
              </w:rPr>
              <w:t>脉宽：</w:t>
            </w:r>
            <w:r>
              <w:rPr>
                <w:color w:val="000000"/>
                <w:sz w:val="24"/>
              </w:rPr>
              <w:t>4-20ms</w:t>
            </w:r>
            <w:r>
              <w:rPr>
                <w:color w:val="000000"/>
                <w:sz w:val="24"/>
              </w:rPr>
              <w:t>连续可调，连续脉冲宽度，非固定脉宽</w:t>
            </w:r>
          </w:p>
        </w:tc>
      </w:tr>
      <w:tr>
        <w:tc>
          <w:tcPr>
            <w:tcW w:type="dxa" w:w="2076"/>
          </w:tcPr>
          <w:p>
            <w:r>
              <w:rPr/>
              <w:t>▲</w:t>
            </w:r>
          </w:p>
        </w:tc>
        <w:tc>
          <w:tcPr>
            <w:tcW w:type="dxa" w:w="415"/>
          </w:tcPr>
          <w:p>
            <w:r>
              <w:rPr/>
              <w:t>13</w:t>
            </w:r>
          </w:p>
        </w:tc>
        <w:tc>
          <w:tcPr>
            <w:tcW w:type="dxa" w:w="5814"/>
          </w:tcPr>
          <w:p>
            <w:r>
              <w:rPr>
                <w:color w:val="000000"/>
                <w:sz w:val="24"/>
              </w:rPr>
              <w:t>7</w:t>
            </w:r>
            <w:r>
              <w:rPr>
                <w:color w:val="000000"/>
                <w:sz w:val="24"/>
              </w:rPr>
              <w:t>、</w:t>
            </w:r>
            <w:r>
              <w:rPr>
                <w:color w:val="000000"/>
                <w:sz w:val="24"/>
              </w:rPr>
              <w:t>脉冲延迟：</w:t>
            </w:r>
            <w:r>
              <w:rPr>
                <w:color w:val="000000"/>
                <w:sz w:val="24"/>
              </w:rPr>
              <w:t>5-150ms</w:t>
            </w:r>
            <w:r>
              <w:rPr>
                <w:color w:val="000000"/>
                <w:sz w:val="24"/>
              </w:rPr>
              <w:t>连续可调</w:t>
            </w:r>
          </w:p>
        </w:tc>
      </w:tr>
      <w:tr>
        <w:tc>
          <w:tcPr>
            <w:tcW w:type="dxa" w:w="2076"/>
          </w:tcPr>
          <w:p>
            <w:r>
              <w:rPr/>
              <w:t>▲</w:t>
            </w:r>
          </w:p>
        </w:tc>
        <w:tc>
          <w:tcPr>
            <w:tcW w:type="dxa" w:w="415"/>
          </w:tcPr>
          <w:p>
            <w:r>
              <w:rPr/>
              <w:t>14</w:t>
            </w:r>
          </w:p>
        </w:tc>
        <w:tc>
          <w:tcPr>
            <w:tcW w:type="dxa" w:w="5814"/>
          </w:tcPr>
          <w:p>
            <w:r>
              <w:rPr>
                <w:color w:val="000000"/>
                <w:sz w:val="24"/>
              </w:rPr>
              <w:t>8</w:t>
            </w:r>
            <w:r>
              <w:rPr>
                <w:color w:val="000000"/>
                <w:sz w:val="24"/>
              </w:rPr>
              <w:t>、</w:t>
            </w:r>
            <w:r>
              <w:rPr>
                <w:color w:val="000000"/>
                <w:sz w:val="24"/>
              </w:rPr>
              <w:t>脉冲方式：多个同步脉冲</w:t>
            </w:r>
            <w:r>
              <w:rPr>
                <w:color w:val="000000"/>
                <w:sz w:val="24"/>
              </w:rPr>
              <w:t>，可选择</w:t>
            </w:r>
            <w:r>
              <w:rPr>
                <w:color w:val="000000"/>
                <w:sz w:val="24"/>
              </w:rPr>
              <w:t>1-</w:t>
            </w:r>
            <w:r>
              <w:rPr>
                <w:color w:val="000000"/>
                <w:sz w:val="24"/>
              </w:rPr>
              <w:t>3</w:t>
            </w:r>
            <w:r>
              <w:rPr>
                <w:color w:val="000000"/>
                <w:sz w:val="24"/>
              </w:rPr>
              <w:t>脉冲数</w:t>
            </w:r>
          </w:p>
        </w:tc>
      </w:tr>
      <w:tr>
        <w:tc>
          <w:tcPr>
            <w:tcW w:type="dxa" w:w="2076"/>
          </w:tcPr>
          <w:p/>
        </w:tc>
        <w:tc>
          <w:tcPr>
            <w:tcW w:type="dxa" w:w="415"/>
          </w:tcPr>
          <w:p>
            <w:r>
              <w:rPr/>
              <w:t>15</w:t>
            </w:r>
          </w:p>
        </w:tc>
        <w:tc>
          <w:tcPr>
            <w:tcW w:type="dxa" w:w="5814"/>
          </w:tcPr>
          <w:p>
            <w:r>
              <w:rPr>
                <w:color w:val="000000"/>
                <w:sz w:val="24"/>
              </w:rPr>
              <w:t>9</w:t>
            </w:r>
            <w:r>
              <w:rPr>
                <w:color w:val="000000"/>
                <w:sz w:val="24"/>
              </w:rPr>
              <w:t>、</w:t>
            </w:r>
            <w:r>
              <w:rPr>
                <w:color w:val="000000"/>
                <w:sz w:val="24"/>
              </w:rPr>
              <w:t>频率</w:t>
            </w:r>
            <w:r>
              <w:rPr>
                <w:color w:val="000000"/>
                <w:sz w:val="24"/>
              </w:rPr>
              <w:t>:</w:t>
            </w:r>
            <w:r>
              <w:rPr>
                <w:color w:val="000000"/>
                <w:sz w:val="24"/>
              </w:rPr>
              <w:t>频率</w:t>
            </w:r>
            <w:r>
              <w:rPr>
                <w:color w:val="000000"/>
                <w:sz w:val="24"/>
              </w:rPr>
              <w:t>≥1HZ</w:t>
            </w:r>
          </w:p>
        </w:tc>
      </w:tr>
      <w:tr>
        <w:tc>
          <w:tcPr>
            <w:tcW w:type="dxa" w:w="2076"/>
          </w:tcPr>
          <w:p/>
        </w:tc>
        <w:tc>
          <w:tcPr>
            <w:tcW w:type="dxa" w:w="415"/>
          </w:tcPr>
          <w:p>
            <w:r>
              <w:rPr/>
              <w:t>16</w:t>
            </w:r>
          </w:p>
        </w:tc>
        <w:tc>
          <w:tcPr>
            <w:tcW w:type="dxa" w:w="5814"/>
          </w:tcPr>
          <w:p>
            <w:r>
              <w:rPr>
                <w:color w:val="000000"/>
                <w:sz w:val="24"/>
              </w:rPr>
              <w:t>10</w:t>
            </w:r>
            <w:r>
              <w:rPr>
                <w:color w:val="000000"/>
                <w:sz w:val="24"/>
              </w:rPr>
              <w:t>、</w:t>
            </w:r>
            <w:r>
              <w:rPr>
                <w:color w:val="000000"/>
                <w:sz w:val="24"/>
              </w:rPr>
              <w:t>光斑：</w:t>
            </w:r>
            <w:r>
              <w:rPr>
                <w:color w:val="000000"/>
                <w:sz w:val="24"/>
              </w:rPr>
              <w:t>≥</w:t>
            </w:r>
            <w:r>
              <w:rPr>
                <w:color w:val="000000"/>
                <w:sz w:val="24"/>
              </w:rPr>
              <w:t>两个光斑尺寸</w:t>
            </w:r>
          </w:p>
        </w:tc>
      </w:tr>
      <w:tr>
        <w:tc>
          <w:tcPr>
            <w:tcW w:type="dxa" w:w="2076"/>
          </w:tcPr>
          <w:p/>
        </w:tc>
        <w:tc>
          <w:tcPr>
            <w:tcW w:type="dxa" w:w="415"/>
          </w:tcPr>
          <w:p>
            <w:r>
              <w:rPr/>
              <w:t>17</w:t>
            </w:r>
          </w:p>
        </w:tc>
        <w:tc>
          <w:tcPr>
            <w:tcW w:type="dxa" w:w="5814"/>
          </w:tcPr>
          <w:p>
            <w:r>
              <w:rPr>
                <w:color w:val="000000"/>
                <w:sz w:val="24"/>
              </w:rPr>
              <w:t>11</w:t>
            </w:r>
            <w:r>
              <w:rPr>
                <w:color w:val="000000"/>
                <w:sz w:val="24"/>
              </w:rPr>
              <w:t>、</w:t>
            </w:r>
            <w:r>
              <w:rPr>
                <w:color w:val="000000"/>
                <w:sz w:val="24"/>
              </w:rPr>
              <w:t>冷却方式：持续接触式冷却</w:t>
            </w:r>
          </w:p>
          <w:p>
            <w:r>
              <w:rPr>
                <w:sz w:val="24"/>
              </w:rPr>
              <w:t>12、外置冷却水罐，方便日常设备维护</w:t>
            </w:r>
          </w:p>
        </w:tc>
      </w:tr>
      <w:tr>
        <w:tc>
          <w:tcPr>
            <w:tcW w:type="dxa" w:w="2076"/>
          </w:tcPr>
          <w:p/>
        </w:tc>
        <w:tc>
          <w:tcPr>
            <w:tcW w:type="dxa" w:w="415"/>
          </w:tcPr>
          <w:p>
            <w:r>
              <w:rPr/>
              <w:t>18</w:t>
            </w:r>
          </w:p>
        </w:tc>
        <w:tc>
          <w:tcPr>
            <w:tcW w:type="dxa" w:w="5814"/>
          </w:tcPr>
          <w:p>
            <w:r>
              <w:rPr>
                <w:color w:val="000000"/>
                <w:sz w:val="24"/>
              </w:rPr>
              <w:t>配置清单：</w:t>
            </w:r>
          </w:p>
          <w:tbl>
            <w:tblPr>
              <w:tblBorders>
                <w:top w:val="none" w:color="000000" w:sz="4"/>
                <w:left w:val="none" w:color="000000" w:sz="4"/>
                <w:bottom w:val="none" w:color="000000" w:sz="4"/>
                <w:right w:val="none" w:color="000000" w:sz="4"/>
                <w:insideH w:val="none"/>
                <w:insideV w:val="none"/>
              </w:tblBorders>
            </w:tblPr>
            <w:tblGrid>
              <w:gridCol w:w="640"/>
              <w:gridCol w:w="3153"/>
              <w:gridCol w:w="903"/>
              <w:gridCol w:w="903"/>
            </w:tblGrid>
            <w:tr>
              <w:tc>
                <w:tcPr>
                  <w:tcW w:type="dxa" w:w="640"/>
                  <w:tcBorders>
                    <w:top w:val="single" w:color="000000" w:sz="4"/>
                    <w:left w:val="single" w:color="000000" w:sz="4"/>
                    <w:bottom w:val="single" w:color="000000" w:sz="4"/>
                    <w:right w:val="single" w:color="000000" w:sz="4"/>
                  </w:tcBorders>
                  <w:vAlign w:val="top"/>
                </w:tcPr>
                <w:p>
                  <w:pPr>
                    <w:jc w:val="center"/>
                  </w:pPr>
                  <w:r>
                    <w:rPr>
                      <w:b/>
                      <w:color w:val="000000"/>
                      <w:sz w:val="28"/>
                    </w:rPr>
                    <w:t>序号</w:t>
                  </w:r>
                </w:p>
              </w:tc>
              <w:tc>
                <w:tcPr>
                  <w:tcW w:type="dxa" w:w="3153"/>
                  <w:tcBorders>
                    <w:top w:val="single" w:color="000000" w:sz="4"/>
                    <w:left w:val="none" w:color="000000" w:sz="4"/>
                    <w:bottom w:val="single" w:color="000000" w:sz="4"/>
                    <w:right w:val="single" w:color="000000" w:sz="4"/>
                  </w:tcBorders>
                  <w:vAlign w:val="top"/>
                </w:tcPr>
                <w:p>
                  <w:pPr>
                    <w:jc w:val="center"/>
                  </w:pPr>
                  <w:r>
                    <w:rPr>
                      <w:b/>
                      <w:color w:val="000000"/>
                      <w:sz w:val="28"/>
                    </w:rPr>
                    <w:t>物品名称</w:t>
                  </w:r>
                </w:p>
              </w:tc>
              <w:tc>
                <w:tcPr>
                  <w:tcW w:type="dxa" w:w="903"/>
                  <w:tcBorders>
                    <w:top w:val="single" w:color="000000" w:sz="4"/>
                    <w:left w:val="none" w:color="000000" w:sz="4"/>
                    <w:bottom w:val="single" w:color="000000" w:sz="4"/>
                    <w:right w:val="single" w:color="000000" w:sz="4"/>
                  </w:tcBorders>
                  <w:vAlign w:val="top"/>
                </w:tcPr>
                <w:p>
                  <w:pPr>
                    <w:jc w:val="center"/>
                  </w:pPr>
                  <w:r>
                    <w:rPr>
                      <w:b/>
                      <w:color w:val="000000"/>
                      <w:sz w:val="28"/>
                    </w:rPr>
                    <w:t>数量</w:t>
                  </w:r>
                  <w:r>
                    <w:rPr>
                      <w:color w:val="000000"/>
                      <w:sz w:val="24"/>
                    </w:rPr>
                    <w:t>≥</w:t>
                  </w:r>
                </w:p>
              </w:tc>
              <w:tc>
                <w:tcPr>
                  <w:tcW w:type="dxa" w:w="903"/>
                  <w:tcBorders>
                    <w:top w:val="single" w:color="000000" w:sz="4"/>
                    <w:left w:val="none" w:color="000000" w:sz="4"/>
                    <w:bottom w:val="single" w:color="000000" w:sz="4"/>
                    <w:right w:val="single" w:color="000000" w:sz="4"/>
                  </w:tcBorders>
                  <w:vAlign w:val="top"/>
                </w:tcPr>
                <w:p>
                  <w:pPr>
                    <w:jc w:val="center"/>
                  </w:pPr>
                  <w:r>
                    <w:rPr>
                      <w:b/>
                      <w:color w:val="000000"/>
                      <w:sz w:val="28"/>
                    </w:rPr>
                    <w:t>单位</w:t>
                  </w:r>
                </w:p>
              </w:tc>
            </w:tr>
            <w:tr>
              <w:tc>
                <w:tcPr>
                  <w:tcW w:type="dxa" w:w="640"/>
                  <w:tcBorders>
                    <w:top w:val="none" w:color="000000" w:sz="4"/>
                    <w:left w:val="single" w:color="000000" w:sz="4"/>
                    <w:bottom w:val="single" w:color="000000" w:sz="4"/>
                    <w:right w:val="single" w:color="000000" w:sz="4"/>
                  </w:tcBorders>
                  <w:vAlign w:val="top"/>
                </w:tcPr>
                <w:p>
                  <w:pPr>
                    <w:jc w:val="center"/>
                  </w:pPr>
                  <w:r>
                    <w:rPr>
                      <w:color w:val="000000"/>
                      <w:sz w:val="28"/>
                    </w:rPr>
                    <w:t>1</w:t>
                  </w:r>
                </w:p>
              </w:tc>
              <w:tc>
                <w:tcPr>
                  <w:tcW w:type="dxa" w:w="3153"/>
                  <w:tcBorders>
                    <w:top w:val="none" w:color="000000" w:sz="4"/>
                    <w:left w:val="none" w:color="000000" w:sz="4"/>
                    <w:bottom w:val="single" w:color="000000" w:sz="4"/>
                    <w:right w:val="single" w:color="000000" w:sz="4"/>
                  </w:tcBorders>
                  <w:vAlign w:val="top"/>
                </w:tcPr>
                <w:p>
                  <w:r>
                    <w:rPr>
                      <w:color w:val="000000"/>
                      <w:sz w:val="24"/>
                    </w:rPr>
                    <w:t>主机</w:t>
                  </w:r>
                </w:p>
              </w:tc>
              <w:tc>
                <w:tcPr>
                  <w:tcW w:type="dxa" w:w="903"/>
                  <w:tcBorders>
                    <w:top w:val="none" w:color="000000" w:sz="4"/>
                    <w:left w:val="none" w:color="000000" w:sz="4"/>
                    <w:bottom w:val="single" w:color="000000" w:sz="4"/>
                    <w:right w:val="single" w:color="000000" w:sz="4"/>
                  </w:tcBorders>
                  <w:vAlign w:val="top"/>
                </w:tcPr>
                <w:p>
                  <w:r>
                    <w:rPr>
                      <w:color w:val="000000"/>
                      <w:sz w:val="24"/>
                    </w:rPr>
                    <w:t>1</w:t>
                  </w:r>
                </w:p>
              </w:tc>
              <w:tc>
                <w:tcPr>
                  <w:tcW w:type="dxa" w:w="903"/>
                  <w:tcBorders>
                    <w:top w:val="none" w:color="000000" w:sz="4"/>
                    <w:left w:val="none" w:color="000000" w:sz="4"/>
                    <w:bottom w:val="single" w:color="000000" w:sz="4"/>
                    <w:right w:val="single" w:color="000000" w:sz="4"/>
                  </w:tcBorders>
                  <w:vAlign w:val="top"/>
                </w:tcPr>
                <w:p>
                  <w:r>
                    <w:rPr>
                      <w:color w:val="000000"/>
                      <w:sz w:val="24"/>
                    </w:rPr>
                    <w:t>台</w:t>
                  </w:r>
                </w:p>
              </w:tc>
            </w:tr>
            <w:tr>
              <w:tc>
                <w:tcPr>
                  <w:tcW w:type="dxa" w:w="640"/>
                  <w:tcBorders>
                    <w:top w:val="none" w:color="000000" w:sz="4"/>
                    <w:left w:val="single" w:color="000000" w:sz="4"/>
                    <w:bottom w:val="single" w:color="000000" w:sz="4"/>
                    <w:right w:val="single" w:color="000000" w:sz="4"/>
                  </w:tcBorders>
                  <w:vAlign w:val="top"/>
                </w:tcPr>
                <w:p>
                  <w:pPr>
                    <w:jc w:val="center"/>
                  </w:pPr>
                  <w:r>
                    <w:rPr>
                      <w:color w:val="000000"/>
                      <w:sz w:val="28"/>
                    </w:rPr>
                    <w:t>2</w:t>
                  </w:r>
                </w:p>
              </w:tc>
              <w:tc>
                <w:tcPr>
                  <w:tcW w:type="dxa" w:w="3153"/>
                  <w:tcBorders>
                    <w:top w:val="none" w:color="000000" w:sz="4"/>
                    <w:left w:val="none" w:color="000000" w:sz="4"/>
                    <w:bottom w:val="single" w:color="000000" w:sz="4"/>
                    <w:right w:val="single" w:color="000000" w:sz="4"/>
                  </w:tcBorders>
                  <w:vAlign w:val="top"/>
                </w:tcPr>
                <w:p>
                  <w:r>
                    <w:rPr>
                      <w:color w:val="000000"/>
                      <w:sz w:val="24"/>
                    </w:rPr>
                    <w:t>推车</w:t>
                  </w:r>
                </w:p>
              </w:tc>
              <w:tc>
                <w:tcPr>
                  <w:tcW w:type="dxa" w:w="903"/>
                  <w:tcBorders>
                    <w:top w:val="none" w:color="000000" w:sz="4"/>
                    <w:left w:val="none" w:color="000000" w:sz="4"/>
                    <w:bottom w:val="single" w:color="000000" w:sz="4"/>
                    <w:right w:val="single" w:color="000000" w:sz="4"/>
                  </w:tcBorders>
                  <w:vAlign w:val="top"/>
                </w:tcPr>
                <w:p>
                  <w:r>
                    <w:rPr>
                      <w:color w:val="000000"/>
                      <w:sz w:val="24"/>
                    </w:rPr>
                    <w:t>1</w:t>
                  </w:r>
                </w:p>
              </w:tc>
              <w:tc>
                <w:tcPr>
                  <w:tcW w:type="dxa" w:w="903"/>
                  <w:tcBorders>
                    <w:top w:val="none" w:color="000000" w:sz="4"/>
                    <w:left w:val="none" w:color="000000" w:sz="4"/>
                    <w:bottom w:val="single" w:color="000000" w:sz="4"/>
                    <w:right w:val="single" w:color="000000" w:sz="4"/>
                  </w:tcBorders>
                  <w:vAlign w:val="top"/>
                </w:tcPr>
                <w:p>
                  <w:r>
                    <w:rPr>
                      <w:color w:val="000000"/>
                      <w:sz w:val="24"/>
                    </w:rPr>
                    <w:t>台</w:t>
                  </w:r>
                </w:p>
              </w:tc>
            </w:tr>
            <w:tr>
              <w:tc>
                <w:tcPr>
                  <w:tcW w:type="dxa" w:w="640"/>
                  <w:tcBorders>
                    <w:top w:val="none" w:color="000000" w:sz="4"/>
                    <w:left w:val="single" w:color="000000" w:sz="4"/>
                    <w:bottom w:val="single" w:color="000000" w:sz="4"/>
                    <w:right w:val="single" w:color="000000" w:sz="4"/>
                  </w:tcBorders>
                  <w:vAlign w:val="top"/>
                </w:tcPr>
                <w:p>
                  <w:pPr>
                    <w:jc w:val="center"/>
                  </w:pPr>
                  <w:r>
                    <w:rPr>
                      <w:color w:val="000000"/>
                      <w:sz w:val="28"/>
                    </w:rPr>
                    <w:t>3</w:t>
                  </w:r>
                </w:p>
              </w:tc>
              <w:tc>
                <w:tcPr>
                  <w:tcW w:type="dxa" w:w="3153"/>
                  <w:tcBorders>
                    <w:top w:val="none" w:color="000000" w:sz="4"/>
                    <w:left w:val="none" w:color="000000" w:sz="4"/>
                    <w:bottom w:val="single" w:color="000000" w:sz="4"/>
                    <w:right w:val="single" w:color="000000" w:sz="4"/>
                  </w:tcBorders>
                  <w:vAlign w:val="top"/>
                </w:tcPr>
                <w:p>
                  <w:r>
                    <w:rPr>
                      <w:color w:val="000000"/>
                      <w:sz w:val="24"/>
                    </w:rPr>
                    <w:t xml:space="preserve">通用强脉冲光治疗头                  </w:t>
                  </w:r>
                </w:p>
              </w:tc>
              <w:tc>
                <w:tcPr>
                  <w:tcW w:type="dxa" w:w="903"/>
                  <w:tcBorders>
                    <w:top w:val="none" w:color="000000" w:sz="4"/>
                    <w:left w:val="none" w:color="000000" w:sz="4"/>
                    <w:bottom w:val="single" w:color="000000" w:sz="4"/>
                    <w:right w:val="single" w:color="000000" w:sz="4"/>
                  </w:tcBorders>
                  <w:vAlign w:val="top"/>
                </w:tcPr>
                <w:p>
                  <w:r>
                    <w:rPr>
                      <w:color w:val="000000"/>
                      <w:sz w:val="24"/>
                    </w:rPr>
                    <w:t>1</w:t>
                  </w:r>
                </w:p>
              </w:tc>
              <w:tc>
                <w:tcPr>
                  <w:tcW w:type="dxa" w:w="903"/>
                  <w:tcBorders>
                    <w:top w:val="none" w:color="000000" w:sz="4"/>
                    <w:left w:val="none" w:color="000000" w:sz="4"/>
                    <w:bottom w:val="single" w:color="000000" w:sz="4"/>
                    <w:right w:val="single" w:color="000000" w:sz="4"/>
                  </w:tcBorders>
                  <w:vAlign w:val="top"/>
                </w:tcPr>
                <w:p>
                  <w:r>
                    <w:rPr>
                      <w:color w:val="000000"/>
                      <w:sz w:val="24"/>
                    </w:rPr>
                    <w:t>个</w:t>
                  </w:r>
                </w:p>
              </w:tc>
            </w:tr>
            <w:tr>
              <w:tc>
                <w:tcPr>
                  <w:tcW w:type="dxa" w:w="640"/>
                  <w:tcBorders>
                    <w:top w:val="none" w:color="000000" w:sz="4"/>
                    <w:left w:val="single" w:color="000000" w:sz="4"/>
                    <w:bottom w:val="single" w:color="000000" w:sz="4"/>
                    <w:right w:val="single" w:color="000000" w:sz="4"/>
                  </w:tcBorders>
                  <w:vAlign w:val="top"/>
                </w:tcPr>
                <w:p>
                  <w:pPr>
                    <w:jc w:val="center"/>
                  </w:pPr>
                  <w:r>
                    <w:rPr>
                      <w:color w:val="000000"/>
                      <w:sz w:val="28"/>
                    </w:rPr>
                    <w:t>4</w:t>
                  </w:r>
                </w:p>
              </w:tc>
              <w:tc>
                <w:tcPr>
                  <w:tcW w:type="dxa" w:w="3153"/>
                  <w:tcBorders>
                    <w:top w:val="none" w:color="000000" w:sz="4"/>
                    <w:left w:val="none" w:color="000000" w:sz="4"/>
                    <w:bottom w:val="single" w:color="000000" w:sz="4"/>
                    <w:right w:val="single" w:color="000000" w:sz="4"/>
                  </w:tcBorders>
                  <w:vAlign w:val="top"/>
                </w:tcPr>
                <w:p>
                  <w:r>
                    <w:rPr>
                      <w:color w:val="000000"/>
                      <w:sz w:val="24"/>
                    </w:rPr>
                    <w:t>多光谱皮肤镜图像处理系统</w:t>
                  </w:r>
                </w:p>
              </w:tc>
              <w:tc>
                <w:tcPr>
                  <w:tcW w:type="dxa" w:w="903"/>
                  <w:tcBorders>
                    <w:top w:val="none" w:color="000000" w:sz="4"/>
                    <w:left w:val="none" w:color="000000" w:sz="4"/>
                    <w:bottom w:val="single" w:color="000000" w:sz="4"/>
                    <w:right w:val="single" w:color="000000" w:sz="4"/>
                  </w:tcBorders>
                  <w:vAlign w:val="top"/>
                </w:tcPr>
                <w:p>
                  <w:r>
                    <w:rPr>
                      <w:color w:val="000000"/>
                      <w:sz w:val="24"/>
                    </w:rPr>
                    <w:t>1</w:t>
                  </w:r>
                </w:p>
              </w:tc>
              <w:tc>
                <w:tcPr>
                  <w:tcW w:type="dxa" w:w="903"/>
                  <w:tcBorders>
                    <w:top w:val="none" w:color="000000" w:sz="4"/>
                    <w:left w:val="none" w:color="000000" w:sz="4"/>
                    <w:bottom w:val="single" w:color="000000" w:sz="4"/>
                    <w:right w:val="single" w:color="000000" w:sz="4"/>
                  </w:tcBorders>
                  <w:vAlign w:val="top"/>
                </w:tcPr>
                <w:p>
                  <w:r>
                    <w:rPr>
                      <w:color w:val="000000"/>
                      <w:sz w:val="24"/>
                    </w:rPr>
                    <w:t>套</w:t>
                  </w:r>
                </w:p>
              </w:tc>
            </w:tr>
            <w:tr>
              <w:tc>
                <w:tcPr>
                  <w:tcW w:type="dxa" w:w="640"/>
                  <w:tcBorders>
                    <w:top w:val="none" w:color="000000" w:sz="4"/>
                    <w:left w:val="single" w:color="000000" w:sz="4"/>
                    <w:bottom w:val="single" w:color="000000" w:sz="4"/>
                    <w:right w:val="single" w:color="000000" w:sz="4"/>
                  </w:tcBorders>
                  <w:vAlign w:val="top"/>
                </w:tcPr>
                <w:p>
                  <w:pPr>
                    <w:jc w:val="center"/>
                  </w:pPr>
                  <w:r>
                    <w:rPr>
                      <w:color w:val="000000"/>
                      <w:sz w:val="28"/>
                    </w:rPr>
                    <w:t>5</w:t>
                  </w:r>
                </w:p>
              </w:tc>
              <w:tc>
                <w:tcPr>
                  <w:tcW w:type="dxa" w:w="3153"/>
                  <w:tcBorders>
                    <w:top w:val="none" w:color="000000" w:sz="4"/>
                    <w:left w:val="none" w:color="000000" w:sz="4"/>
                    <w:bottom w:val="single" w:color="000000" w:sz="4"/>
                    <w:right w:val="single" w:color="000000" w:sz="4"/>
                  </w:tcBorders>
                  <w:vAlign w:val="top"/>
                </w:tcPr>
                <w:p>
                  <w:r>
                    <w:rPr>
                      <w:color w:val="000000"/>
                      <w:sz w:val="24"/>
                    </w:rPr>
                    <w:t>6个可更换滤光片（各一个）</w:t>
                  </w:r>
                </w:p>
              </w:tc>
              <w:tc>
                <w:tcPr>
                  <w:tcW w:type="dxa" w:w="903"/>
                  <w:tcBorders>
                    <w:top w:val="none" w:color="000000" w:sz="4"/>
                    <w:left w:val="none" w:color="000000" w:sz="4"/>
                    <w:bottom w:val="single" w:color="000000" w:sz="4"/>
                    <w:right w:val="single" w:color="000000" w:sz="4"/>
                  </w:tcBorders>
                  <w:vAlign w:val="top"/>
                </w:tcPr>
                <w:p>
                  <w:r>
                    <w:rPr>
                      <w:color w:val="000000"/>
                      <w:sz w:val="24"/>
                    </w:rPr>
                    <w:t>1</w:t>
                  </w:r>
                </w:p>
              </w:tc>
              <w:tc>
                <w:tcPr>
                  <w:tcW w:type="dxa" w:w="903"/>
                  <w:tcBorders>
                    <w:top w:val="none" w:color="000000" w:sz="4"/>
                    <w:left w:val="none" w:color="000000" w:sz="4"/>
                    <w:bottom w:val="single" w:color="000000" w:sz="4"/>
                    <w:right w:val="single" w:color="000000" w:sz="4"/>
                  </w:tcBorders>
                  <w:vAlign w:val="top"/>
                </w:tcPr>
                <w:p>
                  <w:r>
                    <w:rPr>
                      <w:color w:val="000000"/>
                      <w:sz w:val="24"/>
                    </w:rPr>
                    <w:t>套</w:t>
                  </w:r>
                </w:p>
              </w:tc>
            </w:tr>
            <w:tr>
              <w:tc>
                <w:tcPr>
                  <w:tcW w:type="dxa" w:w="640"/>
                  <w:tcBorders>
                    <w:top w:val="none" w:color="000000" w:sz="4"/>
                    <w:left w:val="single" w:color="000000" w:sz="4"/>
                    <w:bottom w:val="single" w:color="000000" w:sz="4"/>
                    <w:right w:val="single" w:color="000000" w:sz="4"/>
                  </w:tcBorders>
                  <w:vAlign w:val="top"/>
                </w:tcPr>
                <w:p>
                  <w:pPr>
                    <w:jc w:val="center"/>
                  </w:pPr>
                  <w:r>
                    <w:rPr>
                      <w:color w:val="000000"/>
                      <w:sz w:val="28"/>
                    </w:rPr>
                    <w:t>6</w:t>
                  </w:r>
                </w:p>
              </w:tc>
              <w:tc>
                <w:tcPr>
                  <w:tcW w:type="dxa" w:w="3153"/>
                  <w:tcBorders>
                    <w:top w:val="none" w:color="000000" w:sz="4"/>
                    <w:left w:val="none" w:color="000000" w:sz="4"/>
                    <w:bottom w:val="single" w:color="000000" w:sz="4"/>
                    <w:right w:val="single" w:color="000000" w:sz="4"/>
                  </w:tcBorders>
                  <w:vAlign w:val="top"/>
                </w:tcPr>
                <w:p>
                  <w:r>
                    <w:rPr>
                      <w:color w:val="000000"/>
                      <w:sz w:val="24"/>
                    </w:rPr>
                    <w:t>2个特定滤光片</w:t>
                  </w:r>
                </w:p>
              </w:tc>
              <w:tc>
                <w:tcPr>
                  <w:tcW w:type="dxa" w:w="903"/>
                  <w:tcBorders>
                    <w:top w:val="none" w:color="000000" w:sz="4"/>
                    <w:left w:val="none" w:color="000000" w:sz="4"/>
                    <w:bottom w:val="single" w:color="000000" w:sz="4"/>
                    <w:right w:val="single" w:color="000000" w:sz="4"/>
                  </w:tcBorders>
                  <w:vAlign w:val="top"/>
                </w:tcPr>
                <w:p>
                  <w:r>
                    <w:rPr>
                      <w:color w:val="000000"/>
                      <w:sz w:val="24"/>
                    </w:rPr>
                    <w:t>1</w:t>
                  </w:r>
                </w:p>
              </w:tc>
              <w:tc>
                <w:tcPr>
                  <w:tcW w:type="dxa" w:w="903"/>
                  <w:tcBorders>
                    <w:top w:val="none" w:color="000000" w:sz="4"/>
                    <w:left w:val="none" w:color="000000" w:sz="4"/>
                    <w:bottom w:val="single" w:color="000000" w:sz="4"/>
                    <w:right w:val="single" w:color="000000" w:sz="4"/>
                  </w:tcBorders>
                  <w:vAlign w:val="top"/>
                </w:tcPr>
                <w:p>
                  <w:r>
                    <w:rPr>
                      <w:color w:val="000000"/>
                      <w:sz w:val="24"/>
                    </w:rPr>
                    <w:t>套</w:t>
                  </w:r>
                </w:p>
              </w:tc>
            </w:tr>
            <w:tr>
              <w:tc>
                <w:tcPr>
                  <w:tcW w:type="dxa" w:w="640"/>
                  <w:tcBorders>
                    <w:top w:val="none" w:color="000000" w:sz="4"/>
                    <w:left w:val="single" w:color="000000" w:sz="4"/>
                    <w:bottom w:val="single" w:color="000000" w:sz="4"/>
                    <w:right w:val="single" w:color="000000" w:sz="4"/>
                  </w:tcBorders>
                  <w:vAlign w:val="top"/>
                </w:tcPr>
                <w:p>
                  <w:pPr>
                    <w:jc w:val="center"/>
                  </w:pPr>
                  <w:r>
                    <w:rPr>
                      <w:color w:val="000000"/>
                      <w:sz w:val="28"/>
                    </w:rPr>
                    <w:t>7</w:t>
                  </w:r>
                </w:p>
              </w:tc>
              <w:tc>
                <w:tcPr>
                  <w:tcW w:type="dxa" w:w="3153"/>
                  <w:tcBorders>
                    <w:top w:val="none" w:color="000000" w:sz="4"/>
                    <w:left w:val="none" w:color="000000" w:sz="4"/>
                    <w:bottom w:val="single" w:color="000000" w:sz="4"/>
                    <w:right w:val="single" w:color="000000" w:sz="4"/>
                  </w:tcBorders>
                  <w:vAlign w:val="top"/>
                </w:tcPr>
                <w:p>
                  <w:r>
                    <w:rPr>
                      <w:color w:val="000000"/>
                      <w:sz w:val="24"/>
                    </w:rPr>
                    <w:t>2个可更换冷却光导头（各一个）</w:t>
                  </w:r>
                </w:p>
              </w:tc>
              <w:tc>
                <w:tcPr>
                  <w:tcW w:type="dxa" w:w="903"/>
                  <w:tcBorders>
                    <w:top w:val="none" w:color="000000" w:sz="4"/>
                    <w:left w:val="none" w:color="000000" w:sz="4"/>
                    <w:bottom w:val="single" w:color="000000" w:sz="4"/>
                    <w:right w:val="single" w:color="000000" w:sz="4"/>
                  </w:tcBorders>
                  <w:vAlign w:val="top"/>
                </w:tcPr>
                <w:p>
                  <w:r>
                    <w:rPr>
                      <w:color w:val="000000"/>
                      <w:sz w:val="24"/>
                    </w:rPr>
                    <w:t>1</w:t>
                  </w:r>
                </w:p>
              </w:tc>
              <w:tc>
                <w:tcPr>
                  <w:tcW w:type="dxa" w:w="903"/>
                  <w:tcBorders>
                    <w:top w:val="none" w:color="000000" w:sz="4"/>
                    <w:left w:val="none" w:color="000000" w:sz="4"/>
                    <w:bottom w:val="single" w:color="000000" w:sz="4"/>
                    <w:right w:val="single" w:color="000000" w:sz="4"/>
                  </w:tcBorders>
                  <w:vAlign w:val="top"/>
                </w:tcPr>
                <w:p>
                  <w:r>
                    <w:rPr>
                      <w:color w:val="000000"/>
                      <w:sz w:val="24"/>
                    </w:rPr>
                    <w:t>套</w:t>
                  </w:r>
                </w:p>
              </w:tc>
            </w:tr>
            <w:tr>
              <w:tc>
                <w:tcPr>
                  <w:tcW w:type="dxa" w:w="640"/>
                  <w:tcBorders>
                    <w:top w:val="none" w:color="000000" w:sz="4"/>
                    <w:left w:val="single" w:color="000000" w:sz="4"/>
                    <w:bottom w:val="single" w:color="000000" w:sz="4"/>
                    <w:right w:val="single" w:color="000000" w:sz="4"/>
                  </w:tcBorders>
                  <w:vAlign w:val="top"/>
                </w:tcPr>
                <w:p>
                  <w:pPr>
                    <w:jc w:val="center"/>
                  </w:pPr>
                  <w:r>
                    <w:rPr>
                      <w:color w:val="000000"/>
                      <w:sz w:val="28"/>
                    </w:rPr>
                    <w:t>8</w:t>
                  </w:r>
                </w:p>
              </w:tc>
              <w:tc>
                <w:tcPr>
                  <w:tcW w:type="dxa" w:w="3153"/>
                  <w:tcBorders>
                    <w:top w:val="none" w:color="000000" w:sz="4"/>
                    <w:left w:val="none" w:color="000000" w:sz="4"/>
                    <w:bottom w:val="single" w:color="000000" w:sz="4"/>
                    <w:right w:val="single" w:color="000000" w:sz="4"/>
                  </w:tcBorders>
                  <w:vAlign w:val="top"/>
                </w:tcPr>
                <w:p>
                  <w:r>
                    <w:rPr>
                      <w:color w:val="000000"/>
                      <w:sz w:val="24"/>
                    </w:rPr>
                    <w:t>强光医生防护眼镜</w:t>
                  </w:r>
                </w:p>
              </w:tc>
              <w:tc>
                <w:tcPr>
                  <w:tcW w:type="dxa" w:w="903"/>
                  <w:tcBorders>
                    <w:top w:val="none" w:color="000000" w:sz="4"/>
                    <w:left w:val="none" w:color="000000" w:sz="4"/>
                    <w:bottom w:val="single" w:color="000000" w:sz="4"/>
                    <w:right w:val="single" w:color="000000" w:sz="4"/>
                  </w:tcBorders>
                  <w:vAlign w:val="top"/>
                </w:tcPr>
                <w:p>
                  <w:r>
                    <w:rPr>
                      <w:color w:val="000000"/>
                      <w:sz w:val="24"/>
                    </w:rPr>
                    <w:t>1</w:t>
                  </w:r>
                </w:p>
              </w:tc>
              <w:tc>
                <w:tcPr>
                  <w:tcW w:type="dxa" w:w="903"/>
                  <w:tcBorders>
                    <w:top w:val="none" w:color="000000" w:sz="4"/>
                    <w:left w:val="none" w:color="000000" w:sz="4"/>
                    <w:bottom w:val="single" w:color="000000" w:sz="4"/>
                    <w:right w:val="single" w:color="000000" w:sz="4"/>
                  </w:tcBorders>
                  <w:vAlign w:val="top"/>
                </w:tcPr>
                <w:p>
                  <w:r>
                    <w:rPr>
                      <w:color w:val="000000"/>
                      <w:sz w:val="24"/>
                    </w:rPr>
                    <w:t>副</w:t>
                  </w:r>
                </w:p>
              </w:tc>
            </w:tr>
            <w:tr>
              <w:tc>
                <w:tcPr>
                  <w:tcW w:type="dxa" w:w="640"/>
                  <w:tcBorders>
                    <w:top w:val="none" w:color="000000" w:sz="4"/>
                    <w:left w:val="single" w:color="000000" w:sz="4"/>
                    <w:bottom w:val="single" w:color="000000" w:sz="4"/>
                    <w:right w:val="single" w:color="000000" w:sz="4"/>
                  </w:tcBorders>
                  <w:vAlign w:val="top"/>
                </w:tcPr>
                <w:p>
                  <w:pPr>
                    <w:jc w:val="center"/>
                  </w:pPr>
                  <w:r>
                    <w:rPr>
                      <w:color w:val="000000"/>
                      <w:sz w:val="28"/>
                    </w:rPr>
                    <w:t>9</w:t>
                  </w:r>
                </w:p>
              </w:tc>
              <w:tc>
                <w:tcPr>
                  <w:tcW w:type="dxa" w:w="3153"/>
                  <w:tcBorders>
                    <w:top w:val="none" w:color="000000" w:sz="4"/>
                    <w:left w:val="none" w:color="000000" w:sz="4"/>
                    <w:bottom w:val="single" w:color="000000" w:sz="4"/>
                    <w:right w:val="single" w:color="000000" w:sz="4"/>
                  </w:tcBorders>
                  <w:vAlign w:val="top"/>
                </w:tcPr>
                <w:p>
                  <w:r>
                    <w:rPr>
                      <w:color w:val="000000"/>
                      <w:sz w:val="24"/>
                    </w:rPr>
                    <w:t>患者防护眼镜</w:t>
                  </w:r>
                </w:p>
              </w:tc>
              <w:tc>
                <w:tcPr>
                  <w:tcW w:type="dxa" w:w="903"/>
                  <w:tcBorders>
                    <w:top w:val="none" w:color="000000" w:sz="4"/>
                    <w:left w:val="none" w:color="000000" w:sz="4"/>
                    <w:bottom w:val="single" w:color="000000" w:sz="4"/>
                    <w:right w:val="single" w:color="000000" w:sz="4"/>
                  </w:tcBorders>
                  <w:vAlign w:val="top"/>
                </w:tcPr>
                <w:p>
                  <w:r>
                    <w:rPr>
                      <w:color w:val="000000"/>
                      <w:sz w:val="24"/>
                    </w:rPr>
                    <w:t>1</w:t>
                  </w:r>
                </w:p>
              </w:tc>
              <w:tc>
                <w:tcPr>
                  <w:tcW w:type="dxa" w:w="903"/>
                  <w:tcBorders>
                    <w:top w:val="none" w:color="000000" w:sz="4"/>
                    <w:left w:val="none" w:color="000000" w:sz="4"/>
                    <w:bottom w:val="single" w:color="000000" w:sz="4"/>
                    <w:right w:val="single" w:color="000000" w:sz="4"/>
                  </w:tcBorders>
                  <w:vAlign w:val="top"/>
                </w:tcPr>
                <w:p>
                  <w:r>
                    <w:rPr>
                      <w:color w:val="000000"/>
                      <w:sz w:val="24"/>
                    </w:rPr>
                    <w:t>副</w:t>
                  </w:r>
                </w:p>
              </w:tc>
            </w:tr>
            <w:tr>
              <w:tc>
                <w:tcPr>
                  <w:tcW w:type="dxa" w:w="640"/>
                  <w:tcBorders>
                    <w:top w:val="none" w:color="000000" w:sz="4"/>
                    <w:left w:val="single" w:color="000000" w:sz="4"/>
                    <w:bottom w:val="single" w:color="000000" w:sz="4"/>
                    <w:right w:val="single" w:color="000000" w:sz="4"/>
                  </w:tcBorders>
                  <w:vAlign w:val="top"/>
                </w:tcPr>
                <w:p>
                  <w:pPr>
                    <w:jc w:val="center"/>
                  </w:pPr>
                  <w:r>
                    <w:rPr>
                      <w:color w:val="000000"/>
                      <w:sz w:val="28"/>
                    </w:rPr>
                    <w:t>10</w:t>
                  </w:r>
                </w:p>
              </w:tc>
              <w:tc>
                <w:tcPr>
                  <w:tcW w:type="dxa" w:w="3153"/>
                  <w:tcBorders>
                    <w:top w:val="none" w:color="000000" w:sz="4"/>
                    <w:left w:val="none" w:color="000000" w:sz="4"/>
                    <w:bottom w:val="single" w:color="000000" w:sz="4"/>
                    <w:right w:val="single" w:color="000000" w:sz="4"/>
                  </w:tcBorders>
                  <w:vAlign w:val="top"/>
                </w:tcPr>
                <w:p>
                  <w:r>
                    <w:rPr>
                      <w:color w:val="000000"/>
                      <w:sz w:val="24"/>
                    </w:rPr>
                    <w:t>强光警示牌</w:t>
                  </w:r>
                </w:p>
              </w:tc>
              <w:tc>
                <w:tcPr>
                  <w:tcW w:type="dxa" w:w="903"/>
                  <w:tcBorders>
                    <w:top w:val="none" w:color="000000" w:sz="4"/>
                    <w:left w:val="none" w:color="000000" w:sz="4"/>
                    <w:bottom w:val="single" w:color="000000" w:sz="4"/>
                    <w:right w:val="single" w:color="000000" w:sz="4"/>
                  </w:tcBorders>
                  <w:vAlign w:val="top"/>
                </w:tcPr>
                <w:p>
                  <w:r>
                    <w:rPr>
                      <w:color w:val="000000"/>
                      <w:sz w:val="24"/>
                    </w:rPr>
                    <w:t>1</w:t>
                  </w:r>
                </w:p>
              </w:tc>
              <w:tc>
                <w:tcPr>
                  <w:tcW w:type="dxa" w:w="903"/>
                  <w:tcBorders>
                    <w:top w:val="none" w:color="000000" w:sz="4"/>
                    <w:left w:val="none" w:color="000000" w:sz="4"/>
                    <w:bottom w:val="single" w:color="000000" w:sz="4"/>
                    <w:right w:val="single" w:color="000000" w:sz="4"/>
                  </w:tcBorders>
                  <w:vAlign w:val="top"/>
                </w:tcPr>
                <w:p>
                  <w:r>
                    <w:rPr>
                      <w:color w:val="000000"/>
                      <w:sz w:val="24"/>
                    </w:rPr>
                    <w:t>个</w:t>
                  </w:r>
                </w:p>
              </w:tc>
            </w:tr>
            <w:tr>
              <w:tc>
                <w:tcPr>
                  <w:tcW w:type="dxa" w:w="640"/>
                  <w:tcBorders>
                    <w:top w:val="none" w:color="000000" w:sz="4"/>
                    <w:left w:val="single" w:color="000000" w:sz="4"/>
                    <w:bottom w:val="single" w:color="000000" w:sz="4"/>
                    <w:right w:val="single" w:color="000000" w:sz="4"/>
                  </w:tcBorders>
                  <w:vAlign w:val="top"/>
                </w:tcPr>
                <w:p>
                  <w:pPr>
                    <w:jc w:val="center"/>
                  </w:pPr>
                  <w:r>
                    <w:rPr>
                      <w:color w:val="000000"/>
                      <w:sz w:val="28"/>
                    </w:rPr>
                    <w:t>1</w:t>
                  </w:r>
                  <w:r>
                    <w:rPr>
                      <w:color w:val="000000"/>
                      <w:sz w:val="28"/>
                    </w:rPr>
                    <w:t>1</w:t>
                  </w:r>
                </w:p>
              </w:tc>
              <w:tc>
                <w:tcPr>
                  <w:tcW w:type="dxa" w:w="3153"/>
                  <w:tcBorders>
                    <w:top w:val="none" w:color="000000" w:sz="4"/>
                    <w:left w:val="none" w:color="000000" w:sz="4"/>
                    <w:bottom w:val="single" w:color="000000" w:sz="4"/>
                    <w:right w:val="single" w:color="000000" w:sz="4"/>
                  </w:tcBorders>
                  <w:vAlign w:val="top"/>
                </w:tcPr>
                <w:p>
                  <w:r>
                    <w:rPr>
                      <w:color w:val="000000"/>
                      <w:sz w:val="24"/>
                    </w:rPr>
                    <w:t>操作手册</w:t>
                  </w:r>
                </w:p>
              </w:tc>
              <w:tc>
                <w:tcPr>
                  <w:tcW w:type="dxa" w:w="903"/>
                  <w:tcBorders>
                    <w:top w:val="none" w:color="000000" w:sz="4"/>
                    <w:left w:val="none" w:color="000000" w:sz="4"/>
                    <w:bottom w:val="single" w:color="000000" w:sz="4"/>
                    <w:right w:val="single" w:color="000000" w:sz="4"/>
                  </w:tcBorders>
                  <w:vAlign w:val="top"/>
                </w:tcPr>
                <w:p>
                  <w:r>
                    <w:rPr>
                      <w:color w:val="000000"/>
                      <w:sz w:val="24"/>
                    </w:rPr>
                    <w:t>1</w:t>
                  </w:r>
                </w:p>
              </w:tc>
              <w:tc>
                <w:tcPr>
                  <w:tcW w:type="dxa" w:w="903"/>
                  <w:tcBorders>
                    <w:top w:val="none" w:color="000000" w:sz="4"/>
                    <w:left w:val="none" w:color="000000" w:sz="4"/>
                    <w:bottom w:val="single" w:color="000000" w:sz="4"/>
                    <w:right w:val="single" w:color="000000" w:sz="4"/>
                  </w:tcBorders>
                  <w:vAlign w:val="top"/>
                </w:tcPr>
                <w:p>
                  <w:r>
                    <w:rPr>
                      <w:color w:val="000000"/>
                      <w:sz w:val="24"/>
                    </w:rPr>
                    <w:t>本</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1.采购代理机构：本项目是指采联国际招标采购集团有限公司，负责整个采购活动的组织，依法负责编制和发布招标文件，对招标文件拥有最终的解释权，不以任何身份出任评标委员会成员。</w:t>
      </w:r>
    </w:p>
    <w:p>
      <w:pPr>
        <w:ind w:firstLine="480"/>
      </w:pPr>
      <w:r>
        <w:rPr/>
        <w:t>2.采购人：本项目是指</w:t>
      </w:r>
      <w:r>
        <w:rPr/>
        <w:t>江门市中心医院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按照差额定率累进法收费向采购代理机构按如下标准和规定缴纳采购代理服务费，以中标通知书中的中标金额作为采购代理服务费的计算基数。参照中华人民共和国国家发展计划委员会颁发的计价格〔2002〕1980号、发改办价格〔2003〕857 号及发改价格〔2011〕534号文规定的“货物类”计费标准下浮20%计算并缴纳，采购代理服务费不足6000元的按6000元收取。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采联国际招标采购集团有限公司</w:t>
      </w:r>
      <w:r>
        <w:rPr/>
        <w:t>代收。具体操作要求详见</w:t>
      </w:r>
      <w:r>
        <w:rPr/>
        <w:t>采联国际招标采购集团有限公司</w:t>
      </w:r>
      <w:r>
        <w:rPr/>
        <w:t>有关指引，递交事宜请自行咨询</w:t>
      </w:r>
      <w:r>
        <w:rPr/>
        <w:t>采联国际招标采购集团有限公司</w:t>
      </w:r>
      <w:r>
        <w:rPr/>
        <w:t>；请各投标人在投标文件递交截止时间前按须知前附表规定的金额递交至</w:t>
      </w:r>
      <w:r>
        <w:rPr/>
        <w:t>采联国际招标采购集团有限公司</w:t>
      </w:r>
      <w:r>
        <w:rPr/>
        <w:t>，到账情况以开标时</w:t>
      </w:r>
      <w:r>
        <w:rPr/>
        <w:t>采联国际招标采购集团有限公司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采联国际招标采购集团有限公司（ http://www.chinapsp.cn/）</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采联国际招标采购集团有限公司（ http://www.chinapsp.cn/）</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曾先生</w:t>
      </w:r>
    </w:p>
    <w:p>
      <w:pPr>
        <w:ind w:firstLine="480"/>
      </w:pPr>
      <w:r>
        <w:rPr/>
        <w:t>电话：</w:t>
      </w:r>
      <w:r>
        <w:rPr/>
        <w:t>0750-3390080-605</w:t>
      </w:r>
    </w:p>
    <w:p>
      <w:pPr>
        <w:ind w:firstLine="480"/>
      </w:pPr>
      <w:r>
        <w:rPr/>
        <w:t>传真：</w:t>
      </w:r>
      <w:r>
        <w:rPr/>
        <w:t>0750-3390082</w:t>
      </w:r>
    </w:p>
    <w:p>
      <w:pPr>
        <w:ind w:firstLine="480"/>
      </w:pPr>
      <w:r>
        <w:rPr/>
        <w:t>邮箱：</w:t>
      </w:r>
      <w:r>
        <w:rPr/>
        <w:t>jmzy@chinapsp.cn</w:t>
      </w:r>
    </w:p>
    <w:p>
      <w:pPr>
        <w:ind w:firstLine="480"/>
      </w:pPr>
      <w:r>
        <w:rPr/>
        <w:t>地址：</w:t>
      </w:r>
      <w:r>
        <w:rPr/>
        <w:t>江门市蓬江区迎宾大道131号中信银行大厦1403室</w:t>
      </w:r>
    </w:p>
    <w:p>
      <w:pPr>
        <w:ind w:firstLine="480"/>
      </w:pPr>
      <w:r>
        <w:rPr/>
        <w:t>邮编：</w:t>
      </w:r>
      <w:r>
        <w:rPr/>
        <w:t>529000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政府采购监督管理机构名称：江门市财政局</w:t>
      </w:r>
    </w:p>
    <w:p>
      <w:r>
        <w:rPr/>
        <w:t>地  址：江门市蓬江区华园中路21-23号</w:t>
      </w:r>
    </w:p>
    <w:p>
      <w:r>
        <w:rPr/>
        <w:t>电  话：0750-3507009</w:t>
      </w:r>
    </w:p>
    <w:p>
      <w:r>
        <w:rPr/>
        <w:t>邮  编：529000</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采购包1(强脉冲治疗系统)：综合评分法,是指投标文件满足招标文件全部实质性要求，且按照评审因素的量化指标评审得分最高的投标人为中标候选人的评标方法。（最低报价不是中标的唯一依据。）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采联国际招标采购集团有限公司</w:t>
      </w:r>
      <w:r>
        <w:rPr/>
        <w:t>统一对外发布。</w:t>
      </w:r>
    </w:p>
    <w:p>
      <w:pPr>
        <w:ind w:firstLine="480"/>
      </w:pPr>
      <w:r>
        <w:rPr/>
        <w:t>（2）对</w:t>
      </w:r>
      <w:r>
        <w:rPr/>
        <w:t>采联国际招标采购集团有限公司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采购包1（强脉冲治疗系统）：</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采购包1（强脉冲治疗系统）：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提供在中华人民共和国境内注册的法人或其他组织的营业执照或事业单位法人证书或社会团体法人登记证书复印件，如投标人为自然人的提供自然人身份证明复印件； 如国家另有规定的，则从其规定。（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r>
              <w:rPr/>
              <w:t>2</w:t>
            </w:r>
          </w:p>
        </w:tc>
        <w:tc>
          <w:tcPr>
            <w:tcW w:type="dxa" w:w="3178"/>
          </w:tcPr>
          <w:p>
            <w:r>
              <w:rPr/>
              <w:t>有依法缴纳税收和社会保障资金的良好记录</w:t>
            </w:r>
          </w:p>
        </w:tc>
        <w:tc>
          <w:tcPr>
            <w:tcW w:type="dxa" w:w="4238"/>
          </w:tcPr>
          <w:p>
            <w:r>
              <w:rPr/>
              <w:t>提供2023年至今任意1个月缴纳税收凭据证明材料复印件；如依法免税的，应提供相应文件证明；提供2023年至今任意1个月缴纳社会保险的凭据证明材料复印件；如依法不需要缴纳社会保障资金的，应提供相应文件证明；</w:t>
            </w:r>
          </w:p>
        </w:tc>
      </w:tr>
      <w:tr>
        <w:tc>
          <w:tcPr>
            <w:tcW w:type="dxa" w:w="890"/>
          </w:tcPr>
          <w:p>
            <w:r>
              <w:rPr/>
              <w:t>3</w:t>
            </w:r>
          </w:p>
        </w:tc>
        <w:tc>
          <w:tcPr>
            <w:tcW w:type="dxa" w:w="3178"/>
          </w:tcPr>
          <w:p>
            <w:r>
              <w:rPr/>
              <w:t>具有良好的商业信誉和健全的财务会计制度</w:t>
            </w:r>
          </w:p>
        </w:tc>
        <w:tc>
          <w:tcPr>
            <w:tcW w:type="dxa" w:w="4238"/>
          </w:tcPr>
          <w:p>
            <w:r>
              <w:rPr/>
              <w:t>提供2022年度财务状况报告或2023年至今任意1个月的财务状况报告复印件，或银行出具的资信证明材料复印件；</w:t>
            </w:r>
          </w:p>
        </w:tc>
      </w:tr>
      <w:tr>
        <w:tc>
          <w:tcPr>
            <w:tcW w:type="dxa" w:w="890"/>
          </w:tcPr>
          <w:p>
            <w:r>
              <w:rPr/>
              <w:t>4</w:t>
            </w:r>
          </w:p>
        </w:tc>
        <w:tc>
          <w:tcPr>
            <w:tcW w:type="dxa" w:w="3178"/>
          </w:tcPr>
          <w:p>
            <w:r>
              <w:rPr/>
              <w:t>履行合同所必需的设备和专业技术能力</w:t>
            </w:r>
          </w:p>
        </w:tc>
        <w:tc>
          <w:tcPr>
            <w:tcW w:type="dxa" w:w="4238"/>
          </w:tcPr>
          <w:p>
            <w:r>
              <w:rPr/>
              <w:t>提供承诺函并加盖投标人公章，承诺函格式自拟；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投标人未被列入“信用中国”网站(www.creditchina.gov.cn)以下任何记录名单之一：①失信被执行人；②重大税收违法失信主体；③政府采购严重违法失信行为。同时，不处于中国政府采购网(www.ccgp.gov.cn)“政府采购严重违法失信行为信息记录”中的禁止参加政府采购活动期间。（说明：①由采购人、采购代理机构于投标截止日在“信用中国”网站（www.creditchina.gov.cn）及中国政府采购网(www.ccgp.gov.cn)查询结果为准，如在上述网站查询结果均显示没有相关记录，视为不存在上述不良信用记录。②采购代理机构同时对信用信息查询记录和证据截图或下载存档；③投标人为分公司的，同时对该分公司所属总公司（总所）进行信用记录查询，该分公司所属总公司（总所）存在不良信用记录的，视同供应商存在不良信用记录。）</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本项目的特定资格要求：</w:t>
            </w:r>
          </w:p>
        </w:tc>
        <w:tc>
          <w:tcPr>
            <w:tcW w:type="dxa" w:w="4238"/>
          </w:tcPr>
          <w:p>
            <w:r>
              <w:rPr/>
              <w:t>1）如投标人为生产企业：所投产品为第二、三类医疗器械，提供监督管理部门签发的有效的《医疗器械生产许可证》复印件；（如国家另有规定，则适用其规定） 2）如投标人为经营企业：所投产品为第三类医疗器械，提供监督管理部门签发的有效的《医疗器械经营许可证》复印件；（如国家另有规定，则适用其规定）</w:t>
            </w:r>
          </w:p>
        </w:tc>
      </w:tr>
      <w:tr>
        <w:tc>
          <w:tcPr>
            <w:tcW w:type="dxa" w:w="890"/>
          </w:tcPr>
          <w:p>
            <w:r>
              <w:rPr/>
              <w:t>9</w:t>
            </w:r>
          </w:p>
        </w:tc>
        <w:tc>
          <w:tcPr>
            <w:tcW w:type="dxa" w:w="3178"/>
          </w:tcPr>
          <w:p>
            <w:r>
              <w:rPr/>
              <w:t>落实政府采购政策需满足的资格要求</w:t>
            </w:r>
          </w:p>
        </w:tc>
        <w:tc>
          <w:tcPr>
            <w:tcW w:type="dxa" w:w="4238"/>
          </w:tcPr>
          <w:p>
            <w:r>
              <w:rPr/>
              <w:t>无，本项目不属于专门面向中小企业采购的项目。</w:t>
            </w:r>
          </w:p>
        </w:tc>
      </w:tr>
    </w:tbl>
    <w:p/>
    <w:p>
      <w:pPr>
        <w:ind w:firstLine="480"/>
      </w:pPr>
      <w:r>
        <w:rPr/>
        <w:t>表二符合性审查表：</w:t>
      </w:r>
    </w:p>
    <w:p>
      <w:pPr>
        <w:ind w:firstLine="480"/>
      </w:pPr>
    </w:p>
    <w:p/>
    <w:p>
      <w:r>
        <w:rPr/>
        <w:t>采购包1（强脉冲治疗系统）：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按照招标文件规定要求签署 、盖章且投标文件有法定代 表人签字或盖个人名章（或 签字人有法定代表人有效授权书）的；</w:t>
            </w:r>
          </w:p>
        </w:tc>
        <w:tc>
          <w:tcPr>
            <w:tcW w:type="dxa" w:w="4238"/>
          </w:tcPr>
          <w:p>
            <w:r>
              <w:rPr/>
              <w:t>按照招标文件规定要求签署 、盖章且投标文件有法定代 表人签字或盖个人名章（或 签字人有法定代表人有效授权书）的；</w:t>
            </w:r>
          </w:p>
        </w:tc>
      </w:tr>
      <w:tr>
        <w:tc>
          <w:tcPr>
            <w:tcW w:type="dxa" w:w="890"/>
          </w:tcPr>
          <w:p>
            <w:r>
              <w:rPr/>
              <w:t>2</w:t>
            </w:r>
          </w:p>
        </w:tc>
        <w:tc>
          <w:tcPr>
            <w:tcW w:type="dxa" w:w="3178"/>
          </w:tcPr>
          <w:p>
            <w:r>
              <w:rPr/>
              <w:t>投标函已提交并符合招标文件要求的，且投标有效期不少于招标文件中载明的投标有效期；</w:t>
            </w:r>
          </w:p>
        </w:tc>
        <w:tc>
          <w:tcPr>
            <w:tcW w:type="dxa" w:w="4238"/>
          </w:tcPr>
          <w:p>
            <w:r>
              <w:rPr/>
              <w:t>投标函已提交并符合招标文件要求的，且投标有效期不少于招标文件中载明的投标有效期；</w:t>
            </w:r>
          </w:p>
        </w:tc>
      </w:tr>
      <w:tr>
        <w:tc>
          <w:tcPr>
            <w:tcW w:type="dxa" w:w="890"/>
          </w:tcPr>
          <w:p>
            <w:r>
              <w:rPr/>
              <w:t>3</w:t>
            </w:r>
          </w:p>
        </w:tc>
        <w:tc>
          <w:tcPr>
            <w:tcW w:type="dxa" w:w="3178"/>
          </w:tcPr>
          <w:p>
            <w:r>
              <w:rPr/>
              <w:t>投标报价未超过本项目最高限价的；</w:t>
            </w:r>
          </w:p>
        </w:tc>
        <w:tc>
          <w:tcPr>
            <w:tcW w:type="dxa" w:w="4238"/>
          </w:tcPr>
          <w:p>
            <w:r>
              <w:rPr/>
              <w:t>投标报价未超过本项目最高限价的；</w:t>
            </w:r>
          </w:p>
        </w:tc>
      </w:tr>
      <w:tr>
        <w:tc>
          <w:tcPr>
            <w:tcW w:type="dxa" w:w="890"/>
          </w:tcPr>
          <w:p>
            <w:r>
              <w:rPr/>
              <w:t>4</w:t>
            </w:r>
          </w:p>
        </w:tc>
        <w:tc>
          <w:tcPr>
            <w:tcW w:type="dxa" w:w="3178"/>
          </w:tcPr>
          <w:p>
            <w:r>
              <w:rPr/>
              <w:t>投标文件未出现选择性报价或有附加条件报价的情形；</w:t>
            </w:r>
          </w:p>
        </w:tc>
        <w:tc>
          <w:tcPr>
            <w:tcW w:type="dxa" w:w="4238"/>
          </w:tcPr>
          <w:p>
            <w:r>
              <w:rPr/>
              <w:t>投标文件未出现选择性报价或有附加条件报价的情形；</w:t>
            </w:r>
          </w:p>
        </w:tc>
      </w:tr>
      <w:tr>
        <w:tc>
          <w:tcPr>
            <w:tcW w:type="dxa" w:w="890"/>
          </w:tcPr>
          <w:p>
            <w:r>
              <w:rPr/>
              <w:t>5</w:t>
            </w:r>
          </w:p>
        </w:tc>
        <w:tc>
          <w:tcPr>
            <w:tcW w:type="dxa" w:w="3178"/>
          </w:tcPr>
          <w:p>
            <w:r>
              <w:rPr/>
              <w:t>投标文件完全满足招标文件的实质性条款（即标注★号条款）无负偏离的；</w:t>
            </w:r>
          </w:p>
        </w:tc>
        <w:tc>
          <w:tcPr>
            <w:tcW w:type="dxa" w:w="4238"/>
          </w:tcPr>
          <w:p>
            <w:r>
              <w:rPr/>
              <w:t>投标文件完全满足招标文件的实质性条款（即标注★号条款）无负偏离的；</w:t>
            </w:r>
          </w:p>
        </w:tc>
      </w:tr>
      <w:tr>
        <w:tc>
          <w:tcPr>
            <w:tcW w:type="dxa" w:w="890"/>
          </w:tcPr>
          <w:p>
            <w:r>
              <w:rPr/>
              <w:t>6</w:t>
            </w:r>
          </w:p>
        </w:tc>
        <w:tc>
          <w:tcPr>
            <w:tcW w:type="dxa" w:w="3178"/>
          </w:tcPr>
          <w:p>
            <w:r>
              <w:rPr/>
              <w:t>投标文件没有招标文件中规定的其它无效投标条款的；</w:t>
            </w:r>
          </w:p>
        </w:tc>
        <w:tc>
          <w:tcPr>
            <w:tcW w:type="dxa" w:w="4238"/>
          </w:tcPr>
          <w:p>
            <w:r>
              <w:rPr/>
              <w:t>投标文件没有招标文件中规定的其它无效投标条款的；</w:t>
            </w:r>
          </w:p>
        </w:tc>
      </w:tr>
      <w:tr>
        <w:tc>
          <w:tcPr>
            <w:tcW w:type="dxa" w:w="890"/>
          </w:tcPr>
          <w:p>
            <w:r>
              <w:rPr/>
              <w:t>7</w:t>
            </w:r>
          </w:p>
        </w:tc>
        <w:tc>
          <w:tcPr>
            <w:tcW w:type="dxa" w:w="3178"/>
          </w:tcPr>
          <w:p>
            <w:r>
              <w:rPr/>
              <w:t>按有关法律、法规、规章不属于投标无效的。</w:t>
            </w:r>
          </w:p>
        </w:tc>
        <w:tc>
          <w:tcPr>
            <w:tcW w:type="dxa" w:w="4238"/>
          </w:tcPr>
          <w:p>
            <w:r>
              <w:rPr/>
              <w:t>按有关法律、法规、规章不属于投标无效的。</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采购包1(强脉冲治疗系统):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采购需求书中带▲号的重要技术条款的响应情况 (30.0分)</w:t>
            </w:r>
          </w:p>
        </w:tc>
        <w:tc>
          <w:tcPr>
            <w:tcW w:type="dxa" w:w="5076"/>
          </w:tcPr>
          <w:p>
            <w:pPr>
              <w:jc w:val="left"/>
            </w:pPr>
            <w:r>
              <w:rPr/>
              <w:t>投标人所投产品全部满足采购需求书中带“▲”的重要技术条款的，得30分； 有1项条款为负偏离的，得24分； 有2项条款为负偏离的，得18分； 有3项条款为负偏离的，得12分； 有4项条款为负偏离的，得6分； 有5项（含）以上条款为负偏离的，得0分。</w:t>
            </w:r>
          </w:p>
        </w:tc>
      </w:tr>
      <w:tr>
        <w:tc>
          <w:tcPr>
            <w:tcW w:type="dxa" w:w="922"/>
            <w:gridSpan w:val="2"/>
            <w:vMerge/>
          </w:tcPr>
          <w:p/>
        </w:tc>
        <w:tc>
          <w:tcPr>
            <w:tcW w:type="dxa" w:w="2307"/>
          </w:tcPr>
          <w:p>
            <w:pPr>
              <w:jc w:val="left"/>
            </w:pPr>
            <w:r>
              <w:rPr/>
              <w:t>采购需求书中不带▲号的一般条款的响应情况 (20.0分)</w:t>
            </w:r>
          </w:p>
        </w:tc>
        <w:tc>
          <w:tcPr>
            <w:tcW w:type="dxa" w:w="5076"/>
          </w:tcPr>
          <w:p>
            <w:pPr>
              <w:jc w:val="left"/>
            </w:pPr>
            <w:r>
              <w:rPr/>
              <w:t>投标人所投产品全部满足用户需求书中不带“▲”的一般条款，得20分； 有1项条款为负偏离或不响应，得17.5分； 有2项条款为负偏离或不响应，得15分； 有3项条款为负偏离或不响应，得12.5分； 有4项条款为负偏离或不响应，得10分； 有5项条款为负偏离或不响应，得7.5分； 有6项条款为负偏离或不响应，得5分； 有7项条款为负偏离或不响应，得2.5分； 有8项（含）以上条款为负偏离或不响应，得0分。</w:t>
            </w:r>
          </w:p>
        </w:tc>
      </w:tr>
      <w:tr>
        <w:tc>
          <w:tcPr>
            <w:tcW w:type="dxa" w:w="922"/>
            <w:gridSpan w:val="2"/>
            <w:vMerge/>
          </w:tcPr>
          <w:p/>
        </w:tc>
        <w:tc>
          <w:tcPr>
            <w:tcW w:type="dxa" w:w="2307"/>
          </w:tcPr>
          <w:p>
            <w:pPr>
              <w:jc w:val="left"/>
            </w:pPr>
            <w:r>
              <w:rPr/>
              <w:t>与所投产品同类型或同系列的产品在国内的销售情况 (5.0分)</w:t>
            </w:r>
          </w:p>
        </w:tc>
        <w:tc>
          <w:tcPr>
            <w:tcW w:type="dxa" w:w="5076"/>
          </w:tcPr>
          <w:p>
            <w:pPr>
              <w:jc w:val="left"/>
            </w:pPr>
            <w:r>
              <w:rPr/>
              <w:t>考察与所投产品同类型或同系列的产品在国内的销售情况，提供销售客户清单等情况介绍材料。 销售客户20家（含）或以上，得5分； 销售客户10家（含）至19家（含），得3分； 销售客户1家（含）至9家（含），得1分； 其他或无清单等介绍材料，得0分。 投标人对各自提供的业绩材料的真实性负责，如存在提供虚假材料情况，将承担相应的法律责任。</w:t>
            </w:r>
          </w:p>
        </w:tc>
      </w:tr>
      <w:tr>
        <w:tc>
          <w:tcPr>
            <w:tcW w:type="dxa" w:w="922"/>
            <w:gridSpan w:val="2"/>
            <w:vMerge/>
          </w:tcPr>
          <w:p/>
        </w:tc>
        <w:tc>
          <w:tcPr>
            <w:tcW w:type="dxa" w:w="2307"/>
          </w:tcPr>
          <w:p>
            <w:pPr>
              <w:jc w:val="left"/>
            </w:pPr>
            <w:r>
              <w:rPr/>
              <w:t>售后服务内容（一） (2.0分)</w:t>
            </w:r>
            <w:r>
              <w:rPr/>
              <w:t>，（等次分值选择：</w:t>
            </w:r>
            <w:r>
              <w:rPr/>
              <w:t>0.0;</w:t>
            </w:r>
            <w:r>
              <w:rPr/>
              <w:t>0.5;</w:t>
            </w:r>
            <w:r>
              <w:rPr/>
              <w:t>1.0;</w:t>
            </w:r>
            <w:r>
              <w:rPr/>
              <w:t>2.0;</w:t>
            </w:r>
            <w:r>
              <w:rPr/>
              <w:t>）</w:t>
            </w:r>
          </w:p>
        </w:tc>
        <w:tc>
          <w:tcPr>
            <w:tcW w:type="dxa" w:w="5076"/>
          </w:tcPr>
          <w:p>
            <w:pPr>
              <w:jc w:val="left"/>
            </w:pPr>
            <w:r>
              <w:rPr/>
              <w:t>（一）评分内容： 投标人须针对本项目需求提供售后服务内容，包括下述内容： 1.服务响应计划； 2.零配件供应情况； 3.维保服务内容等。 满足以上3项要求得2分，满足以上2项要求得1分，满足以上1项要求得0.5分，其他不得分。</w:t>
            </w:r>
          </w:p>
        </w:tc>
      </w:tr>
      <w:tr>
        <w:tc>
          <w:tcPr>
            <w:tcW w:type="dxa" w:w="922"/>
            <w:gridSpan w:val="2"/>
            <w:vMerge/>
          </w:tcPr>
          <w:p/>
        </w:tc>
        <w:tc>
          <w:tcPr>
            <w:tcW w:type="dxa" w:w="2307"/>
          </w:tcPr>
          <w:p>
            <w:pPr>
              <w:jc w:val="left"/>
            </w:pPr>
            <w:r>
              <w:rPr/>
              <w:t>售后服务内容（二） (3.0分)</w:t>
            </w:r>
            <w:r>
              <w:rPr/>
              <w:t>，（等次分值选择：</w:t>
            </w:r>
            <w:r>
              <w:rPr/>
              <w:t>0.0;</w:t>
            </w:r>
            <w:r>
              <w:rPr/>
              <w:t>1.0;</w:t>
            </w:r>
            <w:r>
              <w:rPr/>
              <w:t>2.0;</w:t>
            </w:r>
            <w:r>
              <w:rPr/>
              <w:t>3.0;</w:t>
            </w:r>
            <w:r>
              <w:rPr/>
              <w:t>）</w:t>
            </w:r>
          </w:p>
        </w:tc>
        <w:tc>
          <w:tcPr>
            <w:tcW w:type="dxa" w:w="5076"/>
          </w:tcPr>
          <w:p>
            <w:pPr>
              <w:jc w:val="left"/>
            </w:pPr>
            <w:r>
              <w:rPr/>
              <w:t>在上述售后服务内容的基础上，按照下列要求进行加分： 1.有具体的时间节点和步骤； 2.有具体的人员安排及明确的分工； 3.对突发情况有具体的应对措施； 每体现一点内容加1分，最多加3分。</w:t>
            </w:r>
          </w:p>
        </w:tc>
      </w:tr>
      <w:tr>
        <w:tc>
          <w:tcPr>
            <w:tcW w:type="dxa" w:w="922"/>
            <w:gridSpan w:val="2"/>
            <w:vMerge w:val="restart"/>
          </w:tcPr>
          <w:p>
            <w:pPr>
              <w:jc w:val="center"/>
            </w:pPr>
            <w:r>
              <w:rPr/>
              <w:t>商务部分</w:t>
            </w:r>
          </w:p>
        </w:tc>
        <w:tc>
          <w:tcPr>
            <w:tcW w:type="dxa" w:w="2307"/>
          </w:tcPr>
          <w:p>
            <w:pPr>
              <w:jc w:val="left"/>
            </w:pPr>
            <w:r>
              <w:rPr/>
              <w:t>投标人企业信誉或企业认证 (2.0分)</w:t>
            </w:r>
          </w:p>
        </w:tc>
        <w:tc>
          <w:tcPr>
            <w:tcW w:type="dxa" w:w="5076"/>
          </w:tcPr>
          <w:p>
            <w:pPr>
              <w:jc w:val="left"/>
            </w:pPr>
            <w:r>
              <w:rPr/>
              <w:t>投标人具有以下其中任意一种证书或评价得2分，满分2分。 1、职业健康安全管理体系认证证书； 2、环境管理体系认证证书； 3、质量管理体系认证证书； 4、用户满意度调查表或用户评价（评价需为正面，同一客户/同一项目多份评价只计一份）。 提供有效期内的证书或评价复印件，无提供不得分。</w:t>
            </w:r>
          </w:p>
        </w:tc>
      </w:tr>
      <w:tr>
        <w:tc>
          <w:tcPr>
            <w:tcW w:type="dxa" w:w="922"/>
            <w:gridSpan w:val="2"/>
            <w:vMerge/>
          </w:tcPr>
          <w:p/>
        </w:tc>
        <w:tc>
          <w:tcPr>
            <w:tcW w:type="dxa" w:w="2307"/>
          </w:tcPr>
          <w:p>
            <w:pPr>
              <w:jc w:val="left"/>
            </w:pPr>
            <w:r>
              <w:rPr/>
              <w:t>投标人医疗设备供货的能力 (4.0分)</w:t>
            </w:r>
          </w:p>
        </w:tc>
        <w:tc>
          <w:tcPr>
            <w:tcW w:type="dxa" w:w="5076"/>
          </w:tcPr>
          <w:p>
            <w:pPr>
              <w:jc w:val="left"/>
            </w:pPr>
            <w:r>
              <w:rPr/>
              <w:t>投标人2020年1月以来医疗设备供货的业绩，每个得2分，最高得4分。 提供以投标人名义签订的合同复印件作为评价证明资料，以签订合同的时间为准。</w:t>
            </w:r>
          </w:p>
        </w:tc>
      </w:tr>
      <w:tr>
        <w:tc>
          <w:tcPr>
            <w:tcW w:type="dxa" w:w="922"/>
            <w:gridSpan w:val="2"/>
            <w:vMerge/>
          </w:tcPr>
          <w:p/>
        </w:tc>
        <w:tc>
          <w:tcPr>
            <w:tcW w:type="dxa" w:w="2307"/>
          </w:tcPr>
          <w:p>
            <w:pPr>
              <w:jc w:val="left"/>
            </w:pPr>
            <w:r>
              <w:rPr/>
              <w:t>合同条款的响应情况 (4.0分)</w:t>
            </w:r>
          </w:p>
        </w:tc>
        <w:tc>
          <w:tcPr>
            <w:tcW w:type="dxa" w:w="5076"/>
          </w:tcPr>
          <w:p>
            <w:pPr>
              <w:jc w:val="left"/>
            </w:pPr>
            <w:r>
              <w:rPr/>
              <w:t>投标人全部满足合同条款的，得4分； 有1项条款为负偏离的，得3分； 有2项条款为负偏离的，得2分； 有3项条款为负偏离的，得1分； 有4项（含）以上条款为负偏离的，得0分。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color w:val="000000"/>
          <w:sz w:val="24"/>
        </w:rPr>
        <w:t>本合同样本为采购人规定格式，具体条款内容由招标人和中标人协商</w:t>
      </w:r>
    </w:p>
    <w:p>
      <w:pPr>
        <w:jc w:val="both"/>
      </w:pPr>
    </w:p>
    <w:p/>
    <w:p>
      <w:pPr>
        <w:jc w:val="center"/>
      </w:pPr>
      <w:r>
        <w:rPr>
          <w:b/>
          <w:sz w:val="44"/>
        </w:rPr>
        <w:t>江门市中心医院医疗设备采购</w:t>
      </w:r>
      <w:r>
        <w:rPr>
          <w:b/>
          <w:sz w:val="44"/>
        </w:rPr>
        <w:t>合同</w:t>
      </w:r>
    </w:p>
    <w:p>
      <w:pPr>
        <w:jc w:val="center"/>
      </w:pPr>
    </w:p>
    <w:p>
      <w:pPr>
        <w:ind w:firstLine="560"/>
        <w:jc w:val="both"/>
      </w:pPr>
      <w:r>
        <w:rPr>
          <w:sz w:val="28"/>
        </w:rPr>
        <w:t>购货单位：</w:t>
      </w:r>
      <w:r>
        <w:rPr>
          <w:sz w:val="28"/>
        </w:rPr>
        <w:t>江门市中心医院</w:t>
      </w:r>
      <w:r>
        <w:rPr>
          <w:sz w:val="28"/>
        </w:rPr>
        <w:t xml:space="preserve">            </w:t>
      </w:r>
      <w:r>
        <w:rPr>
          <w:sz w:val="28"/>
        </w:rPr>
        <w:t>（以下简称甲方）</w:t>
      </w:r>
    </w:p>
    <w:p>
      <w:pPr>
        <w:ind w:firstLine="560"/>
        <w:jc w:val="both"/>
      </w:pPr>
      <w:r>
        <w:rPr>
          <w:sz w:val="28"/>
        </w:rPr>
        <w:t>供货单位：</w:t>
      </w:r>
      <w:r>
        <w:rPr>
          <w:sz w:val="21"/>
          <w:u w:val="single"/>
        </w:rPr>
        <w:t xml:space="preserve">                           </w:t>
      </w:r>
      <w:r>
        <w:rPr>
          <w:sz w:val="28"/>
        </w:rPr>
        <w:t>（以下简称乙方）</w:t>
      </w:r>
    </w:p>
    <w:p>
      <w:pPr>
        <w:ind w:firstLine="560"/>
        <w:jc w:val="both"/>
      </w:pPr>
    </w:p>
    <w:p>
      <w:pPr>
        <w:ind w:firstLine="560"/>
        <w:jc w:val="both"/>
      </w:pPr>
      <w:r>
        <w:rPr>
          <w:sz w:val="28"/>
        </w:rPr>
        <w:t>甲乙双方根据《中华人民共和国民法典》、《中华人民共和国政府采购法》等有关法律法规的规定，按照</w:t>
      </w:r>
      <w:r>
        <w:rPr>
          <w:sz w:val="21"/>
          <w:u w:val="single"/>
        </w:rPr>
        <w:t xml:space="preserve">     </w:t>
      </w:r>
      <w:r>
        <w:rPr>
          <w:sz w:val="28"/>
        </w:rPr>
        <w:t>年</w:t>
      </w:r>
      <w:r>
        <w:rPr>
          <w:sz w:val="21"/>
          <w:u w:val="single"/>
        </w:rPr>
        <w:t xml:space="preserve">    </w:t>
      </w:r>
      <w:r>
        <w:rPr>
          <w:sz w:val="28"/>
        </w:rPr>
        <w:t>月</w:t>
      </w:r>
      <w:r>
        <w:rPr>
          <w:sz w:val="21"/>
          <w:u w:val="single"/>
        </w:rPr>
        <w:t xml:space="preserve">    </w:t>
      </w:r>
      <w:r>
        <w:rPr>
          <w:sz w:val="28"/>
        </w:rPr>
        <w:t>日江门市中心医院医疗设备采购项目</w:t>
      </w:r>
      <w:r>
        <w:rPr>
          <w:sz w:val="21"/>
          <w:u w:val="single"/>
        </w:rPr>
        <w:t xml:space="preserve">                     </w:t>
      </w:r>
      <w:r>
        <w:rPr>
          <w:sz w:val="28"/>
        </w:rPr>
        <w:t>的</w:t>
      </w:r>
      <w:r>
        <w:rPr>
          <w:sz w:val="28"/>
        </w:rPr>
        <w:t>采购结果、</w:t>
      </w:r>
      <w:r>
        <w:rPr>
          <w:sz w:val="28"/>
        </w:rPr>
        <w:t>招标文件、乙方的投标文件</w:t>
      </w:r>
      <w:r>
        <w:rPr>
          <w:sz w:val="28"/>
        </w:rPr>
        <w:t>及澄清文件和中标通知书</w:t>
      </w:r>
      <w:r>
        <w:rPr>
          <w:sz w:val="28"/>
        </w:rPr>
        <w:t>（以上文件发生冲突时以较高标准为准）</w:t>
      </w:r>
      <w:r>
        <w:rPr>
          <w:sz w:val="28"/>
        </w:rPr>
        <w:t>的要求，</w:t>
      </w:r>
      <w:r>
        <w:rPr>
          <w:sz w:val="28"/>
        </w:rPr>
        <w:t>经双方协商一致，订立合同如下：</w:t>
      </w:r>
    </w:p>
    <w:p>
      <w:pPr>
        <w:ind w:firstLine="562"/>
        <w:jc w:val="left"/>
      </w:pPr>
      <w:r>
        <w:rPr>
          <w:b/>
          <w:sz w:val="28"/>
        </w:rPr>
        <w:t>第一条</w:t>
      </w:r>
      <w:r>
        <w:rPr>
          <w:b/>
          <w:sz w:val="28"/>
        </w:rPr>
        <w:t xml:space="preserve"> </w:t>
      </w:r>
      <w:r>
        <w:rPr>
          <w:b/>
          <w:sz w:val="28"/>
        </w:rPr>
        <w:t>项目的名称、项目总价和项目货物的清单（如名称、数量、规格、单价、型号、品牌和技术指标等）</w:t>
      </w:r>
    </w:p>
    <w:p>
      <w:pPr>
        <w:ind w:firstLine="560"/>
        <w:jc w:val="both"/>
      </w:pPr>
      <w:r>
        <w:rPr>
          <w:sz w:val="28"/>
        </w:rPr>
        <w:t>（一）项目名称：</w:t>
      </w:r>
      <w:r>
        <w:rPr>
          <w:sz w:val="21"/>
          <w:u w:val="single"/>
        </w:rPr>
        <w:t xml:space="preserve">                      </w:t>
      </w:r>
      <w:r>
        <w:rPr>
          <w:sz w:val="28"/>
        </w:rPr>
        <w:t>。</w:t>
      </w:r>
      <w:r>
        <w:rPr>
          <w:sz w:val="28"/>
        </w:rPr>
        <w:t xml:space="preserve"> </w:t>
      </w:r>
      <w:r>
        <w:rPr>
          <w:sz w:val="21"/>
          <w:u w:val="single"/>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569"/>
        <w:gridCol w:w="1002"/>
        <w:gridCol w:w="1200"/>
        <w:gridCol w:w="1770"/>
        <w:gridCol w:w="1114"/>
        <w:gridCol w:w="618"/>
        <w:gridCol w:w="990"/>
        <w:gridCol w:w="1002"/>
      </w:tblGrid>
      <w:tr>
        <w:tc>
          <w:tcPr>
            <w:tcW w:type="dxa" w:w="569"/>
            <w:tcBorders>
              <w:top w:val="single" w:color="000000" w:sz="4"/>
              <w:left w:val="single" w:color="000000" w:sz="4"/>
              <w:bottom w:val="single" w:color="000000" w:sz="4"/>
              <w:right w:val="single" w:color="000000" w:sz="4"/>
            </w:tcBorders>
            <w:vAlign w:val="top"/>
          </w:tcPr>
          <w:p>
            <w:pPr>
              <w:jc w:val="center"/>
            </w:pPr>
            <w:r>
              <w:rPr>
                <w:b/>
                <w:sz w:val="24"/>
              </w:rPr>
              <w:t>序号</w:t>
            </w:r>
          </w:p>
        </w:tc>
        <w:tc>
          <w:tcPr>
            <w:tcW w:type="dxa" w:w="1002"/>
            <w:tcBorders>
              <w:top w:val="single" w:color="000000" w:sz="4"/>
              <w:left w:val="single" w:color="000000" w:sz="4"/>
              <w:bottom w:val="single" w:color="000000" w:sz="4"/>
              <w:right w:val="single" w:color="000000" w:sz="4"/>
            </w:tcBorders>
            <w:vAlign w:val="top"/>
          </w:tcPr>
          <w:p>
            <w:pPr>
              <w:jc w:val="center"/>
            </w:pPr>
            <w:r>
              <w:rPr>
                <w:b/>
                <w:sz w:val="24"/>
              </w:rPr>
              <w:t>货物名称</w:t>
            </w:r>
          </w:p>
        </w:tc>
        <w:tc>
          <w:tcPr>
            <w:tcW w:type="dxa" w:w="1200"/>
            <w:tcBorders>
              <w:top w:val="single" w:color="000000" w:sz="4"/>
              <w:left w:val="single" w:color="000000" w:sz="4"/>
              <w:bottom w:val="single" w:color="000000" w:sz="4"/>
              <w:right w:val="single" w:color="000000" w:sz="4"/>
            </w:tcBorders>
            <w:vAlign w:val="top"/>
          </w:tcPr>
          <w:p>
            <w:pPr>
              <w:jc w:val="center"/>
            </w:pPr>
            <w:r>
              <w:rPr>
                <w:b/>
                <w:sz w:val="24"/>
              </w:rPr>
              <w:t>注册证名称</w:t>
            </w:r>
          </w:p>
        </w:tc>
        <w:tc>
          <w:tcPr>
            <w:tcW w:type="dxa" w:w="1770"/>
            <w:tcBorders>
              <w:top w:val="single" w:color="000000" w:sz="4"/>
              <w:left w:val="single" w:color="000000" w:sz="4"/>
              <w:bottom w:val="single" w:color="000000" w:sz="4"/>
              <w:right w:val="single" w:color="000000" w:sz="4"/>
            </w:tcBorders>
            <w:vAlign w:val="top"/>
          </w:tcPr>
          <w:p>
            <w:pPr>
              <w:jc w:val="center"/>
            </w:pPr>
            <w:r>
              <w:rPr>
                <w:b/>
                <w:sz w:val="24"/>
              </w:rPr>
              <w:t>产地和制造商名称</w:t>
            </w:r>
          </w:p>
        </w:tc>
        <w:tc>
          <w:tcPr>
            <w:tcW w:type="dxa" w:w="1114"/>
            <w:tcBorders>
              <w:top w:val="single" w:color="000000" w:sz="4"/>
              <w:left w:val="single" w:color="000000" w:sz="4"/>
              <w:bottom w:val="single" w:color="000000" w:sz="4"/>
              <w:right w:val="single" w:color="000000" w:sz="4"/>
            </w:tcBorders>
            <w:vAlign w:val="top"/>
          </w:tcPr>
          <w:p>
            <w:pPr>
              <w:jc w:val="center"/>
            </w:pPr>
            <w:r>
              <w:rPr>
                <w:b/>
                <w:sz w:val="24"/>
              </w:rPr>
              <w:t>规格、型号</w:t>
            </w:r>
          </w:p>
        </w:tc>
        <w:tc>
          <w:tcPr>
            <w:tcW w:type="dxa" w:w="618"/>
            <w:tcBorders>
              <w:top w:val="single" w:color="000000" w:sz="4"/>
              <w:left w:val="single" w:color="000000" w:sz="4"/>
              <w:bottom w:val="single" w:color="000000" w:sz="4"/>
              <w:right w:val="single" w:color="000000" w:sz="4"/>
            </w:tcBorders>
            <w:vAlign w:val="top"/>
          </w:tcPr>
          <w:p>
            <w:pPr>
              <w:jc w:val="center"/>
            </w:pPr>
            <w:r>
              <w:rPr>
                <w:b/>
                <w:sz w:val="24"/>
              </w:rPr>
              <w:t>数量</w:t>
            </w:r>
          </w:p>
        </w:tc>
        <w:tc>
          <w:tcPr>
            <w:tcW w:type="dxa" w:w="990"/>
            <w:tcBorders>
              <w:top w:val="single" w:color="000000" w:sz="4"/>
              <w:left w:val="single" w:color="000000" w:sz="4"/>
              <w:bottom w:val="single" w:color="000000" w:sz="4"/>
              <w:right w:val="single" w:color="000000" w:sz="4"/>
            </w:tcBorders>
            <w:vAlign w:val="top"/>
          </w:tcPr>
          <w:p>
            <w:pPr>
              <w:jc w:val="center"/>
            </w:pPr>
            <w:r>
              <w:rPr>
                <w:b/>
                <w:sz w:val="24"/>
              </w:rPr>
              <w:t>单价（元）</w:t>
            </w:r>
          </w:p>
        </w:tc>
        <w:tc>
          <w:tcPr>
            <w:tcW w:type="dxa" w:w="1002"/>
            <w:tcBorders>
              <w:top w:val="single" w:color="000000" w:sz="4"/>
              <w:left w:val="single" w:color="000000" w:sz="4"/>
              <w:bottom w:val="single" w:color="000000" w:sz="4"/>
              <w:right w:val="single" w:color="000000" w:sz="4"/>
            </w:tcBorders>
            <w:vAlign w:val="top"/>
          </w:tcPr>
          <w:p>
            <w:pPr>
              <w:jc w:val="center"/>
            </w:pPr>
            <w:r>
              <w:rPr>
                <w:b/>
                <w:sz w:val="24"/>
              </w:rPr>
              <w:t>总价（</w:t>
            </w:r>
            <w:r>
              <w:rPr>
                <w:b/>
                <w:sz w:val="24"/>
              </w:rPr>
              <w:t>元）</w:t>
            </w:r>
          </w:p>
        </w:tc>
      </w:tr>
      <w:tr>
        <w:tc>
          <w:tcPr>
            <w:tcW w:type="dxa" w:w="569"/>
            <w:tcBorders>
              <w:top w:val="none" w:color="000000" w:sz="4"/>
              <w:left w:val="single" w:color="000000" w:sz="4"/>
              <w:bottom w:val="single" w:color="000000" w:sz="4"/>
              <w:right w:val="single" w:color="000000" w:sz="4"/>
            </w:tcBorders>
            <w:vAlign w:val="top"/>
          </w:tcPr>
          <w:p>
            <w:pPr>
              <w:jc w:val="center"/>
            </w:pPr>
            <w:r>
              <w:rPr>
                <w:sz w:val="24"/>
              </w:rPr>
              <w:t>1</w:t>
            </w:r>
          </w:p>
        </w:tc>
        <w:tc>
          <w:tcPr>
            <w:tcW w:type="dxa" w:w="1002"/>
            <w:tcBorders>
              <w:top w:val="none" w:color="000000" w:sz="4"/>
              <w:left w:val="single" w:color="000000" w:sz="4"/>
              <w:bottom w:val="single" w:color="000000" w:sz="4"/>
              <w:right w:val="single" w:color="000000" w:sz="4"/>
            </w:tcBorders>
            <w:vAlign w:val="top"/>
          </w:tcPr>
          <w:p>
            <w:pPr>
              <w:jc w:val="center"/>
            </w:pPr>
          </w:p>
        </w:tc>
        <w:tc>
          <w:tcPr>
            <w:tcW w:type="dxa" w:w="1200"/>
            <w:tcBorders>
              <w:top w:val="none" w:color="000000" w:sz="4"/>
              <w:left w:val="single" w:color="000000" w:sz="4"/>
              <w:bottom w:val="single" w:color="000000" w:sz="4"/>
              <w:right w:val="single" w:color="000000" w:sz="4"/>
            </w:tcBorders>
            <w:vAlign w:val="top"/>
          </w:tcPr>
          <w:p>
            <w:pPr>
              <w:jc w:val="center"/>
            </w:pPr>
          </w:p>
        </w:tc>
        <w:tc>
          <w:tcPr>
            <w:tcW w:type="dxa" w:w="1770"/>
            <w:tcBorders>
              <w:top w:val="none" w:color="000000" w:sz="4"/>
              <w:left w:val="single" w:color="000000" w:sz="4"/>
              <w:bottom w:val="single" w:color="000000" w:sz="4"/>
              <w:right w:val="single" w:color="000000" w:sz="4"/>
            </w:tcBorders>
            <w:vAlign w:val="top"/>
          </w:tcPr>
          <w:p>
            <w:pPr>
              <w:jc w:val="center"/>
            </w:pPr>
          </w:p>
        </w:tc>
        <w:tc>
          <w:tcPr>
            <w:tcW w:type="dxa" w:w="1114"/>
            <w:tcBorders>
              <w:top w:val="none" w:color="000000" w:sz="4"/>
              <w:left w:val="single" w:color="000000" w:sz="4"/>
              <w:bottom w:val="single" w:color="000000" w:sz="4"/>
              <w:right w:val="single" w:color="000000" w:sz="4"/>
            </w:tcBorders>
            <w:vAlign w:val="top"/>
          </w:tcPr>
          <w:p>
            <w:pPr>
              <w:jc w:val="center"/>
            </w:pPr>
          </w:p>
        </w:tc>
        <w:tc>
          <w:tcPr>
            <w:tcW w:type="dxa" w:w="618"/>
            <w:tcBorders>
              <w:top w:val="none" w:color="000000" w:sz="4"/>
              <w:left w:val="single" w:color="000000" w:sz="4"/>
              <w:bottom w:val="single" w:color="000000" w:sz="4"/>
              <w:right w:val="single" w:color="000000" w:sz="4"/>
            </w:tcBorders>
            <w:vAlign w:val="top"/>
          </w:tcPr>
          <w:p>
            <w:pPr>
              <w:jc w:val="center"/>
            </w:pPr>
          </w:p>
        </w:tc>
        <w:tc>
          <w:tcPr>
            <w:tcW w:type="dxa" w:w="990"/>
            <w:tcBorders>
              <w:top w:val="none" w:color="000000" w:sz="4"/>
              <w:left w:val="single" w:color="000000" w:sz="4"/>
              <w:bottom w:val="single" w:color="000000" w:sz="4"/>
              <w:right w:val="single" w:color="000000" w:sz="4"/>
            </w:tcBorders>
            <w:vAlign w:val="top"/>
          </w:tcPr>
          <w:p>
            <w:pPr>
              <w:jc w:val="center"/>
            </w:pPr>
          </w:p>
        </w:tc>
        <w:tc>
          <w:tcPr>
            <w:tcW w:type="dxa" w:w="1002"/>
            <w:tcBorders>
              <w:top w:val="none" w:color="000000" w:sz="4"/>
              <w:left w:val="single" w:color="000000" w:sz="4"/>
              <w:bottom w:val="single" w:color="000000" w:sz="4"/>
              <w:right w:val="single" w:color="000000" w:sz="4"/>
            </w:tcBorders>
            <w:vAlign w:val="top"/>
          </w:tcPr>
          <w:p>
            <w:pPr>
              <w:jc w:val="center"/>
            </w:pPr>
          </w:p>
        </w:tc>
      </w:tr>
      <w:tr>
        <w:tc>
          <w:tcPr>
            <w:tcW w:type="dxa" w:w="8265"/>
            <w:gridSpan w:val="8"/>
            <w:tcBorders>
              <w:top w:val="none" w:color="000000" w:sz="4"/>
              <w:left w:val="single" w:color="000000" w:sz="4"/>
              <w:bottom w:val="single" w:color="000000" w:sz="4"/>
              <w:right w:val="single" w:color="000000" w:sz="4"/>
            </w:tcBorders>
            <w:vAlign w:val="top"/>
          </w:tcPr>
          <w:p>
            <w:pPr>
              <w:jc w:val="both"/>
            </w:pPr>
            <w:r>
              <w:rPr>
                <w:sz w:val="24"/>
              </w:rPr>
              <w:t>项目总价：人民币（大写）：</w:t>
            </w:r>
            <w:r>
              <w:rPr>
                <w:sz w:val="21"/>
                <w:u w:val="single"/>
              </w:rPr>
              <w:t xml:space="preserve">              </w:t>
            </w:r>
            <w:r>
              <w:rPr>
                <w:sz w:val="21"/>
                <w:u w:val="single"/>
              </w:rPr>
              <w:t xml:space="preserve"> </w:t>
            </w:r>
            <w:r>
              <w:rPr>
                <w:sz w:val="24"/>
              </w:rPr>
              <w:t>；（小写）</w:t>
            </w:r>
            <w:r>
              <w:rPr>
                <w:sz w:val="24"/>
                <w:u w:val="single"/>
              </w:rPr>
              <w:t>¥</w:t>
            </w:r>
            <w:r>
              <w:rPr>
                <w:sz w:val="21"/>
                <w:u w:val="single"/>
              </w:rPr>
              <w:t xml:space="preserve">             </w:t>
            </w:r>
            <w:r>
              <w:rPr>
                <w:sz w:val="24"/>
              </w:rPr>
              <w:t>。</w:t>
            </w:r>
          </w:p>
        </w:tc>
      </w:tr>
      <w:tr>
        <w:tc>
          <w:tcPr>
            <w:tcW w:type="dxa" w:w="8265"/>
            <w:gridSpan w:val="8"/>
            <w:tcBorders>
              <w:top w:val="none" w:color="000000" w:sz="4"/>
              <w:left w:val="single" w:color="000000" w:sz="4"/>
              <w:bottom w:val="single" w:color="000000" w:sz="4"/>
              <w:right w:val="single" w:color="000000" w:sz="4"/>
            </w:tcBorders>
            <w:vAlign w:val="top"/>
          </w:tcPr>
          <w:p>
            <w:pPr>
              <w:jc w:val="left"/>
            </w:pPr>
            <w:r>
              <w:rPr>
                <w:sz w:val="24"/>
              </w:rPr>
              <w:t>备注：</w:t>
            </w:r>
            <w:r>
              <w:rPr>
                <w:sz w:val="24"/>
              </w:rPr>
              <w:t>注册证编号：</w:t>
            </w:r>
            <w:r>
              <w:rPr>
                <w:sz w:val="21"/>
                <w:u w:val="single"/>
              </w:rPr>
              <w:t xml:space="preserve">                </w:t>
            </w:r>
            <w:r>
              <w:rPr>
                <w:sz w:val="24"/>
              </w:rPr>
              <w:t>。</w:t>
            </w:r>
          </w:p>
        </w:tc>
      </w:tr>
    </w:tbl>
    <w:p>
      <w:pPr>
        <w:ind w:firstLine="560"/>
        <w:jc w:val="both"/>
      </w:pPr>
      <w:r>
        <w:rPr>
          <w:sz w:val="28"/>
        </w:rPr>
        <w:t>（二）项目总价是完成项目的含税全包价，</w:t>
      </w:r>
      <w:r>
        <w:rPr>
          <w:sz w:val="28"/>
        </w:rPr>
        <w:t>即包括但不限于连接甲方医院系统的接口费用，</w:t>
      </w:r>
      <w:r>
        <w:rPr>
          <w:sz w:val="28"/>
        </w:rPr>
        <w:t>所有价格变动的风险均由乙方承担，甲方不需再向乙方支付任何其他费用。</w:t>
      </w:r>
    </w:p>
    <w:p>
      <w:pPr>
        <w:ind w:firstLine="560"/>
        <w:jc w:val="both"/>
      </w:pPr>
      <w:r>
        <w:rPr>
          <w:sz w:val="28"/>
        </w:rPr>
        <w:t>（三）货物清单：</w:t>
      </w:r>
      <w:r>
        <w:rPr>
          <w:sz w:val="28"/>
        </w:rPr>
        <w:t>详见合同附后配置清单。</w:t>
      </w:r>
    </w:p>
    <w:p>
      <w:pPr>
        <w:ind w:firstLine="560"/>
        <w:jc w:val="both"/>
      </w:pPr>
      <w:r>
        <w:rPr>
          <w:sz w:val="28"/>
        </w:rPr>
        <w:t>（四）服务内容：</w:t>
      </w:r>
      <w:r>
        <w:rPr>
          <w:sz w:val="28"/>
        </w:rPr>
        <w:t>按</w:t>
      </w:r>
      <w:r>
        <w:rPr>
          <w:sz w:val="28"/>
        </w:rPr>
        <w:t>照</w:t>
      </w:r>
      <w:r>
        <w:rPr>
          <w:sz w:val="28"/>
        </w:rPr>
        <w:t>本合同约定、</w:t>
      </w:r>
      <w:r>
        <w:rPr>
          <w:sz w:val="28"/>
        </w:rPr>
        <w:t>招标文件</w:t>
      </w:r>
      <w:r>
        <w:rPr>
          <w:sz w:val="28"/>
        </w:rPr>
        <w:t>、</w:t>
      </w:r>
      <w:r>
        <w:rPr>
          <w:sz w:val="28"/>
        </w:rPr>
        <w:t>乙方</w:t>
      </w:r>
      <w:r>
        <w:rPr>
          <w:sz w:val="28"/>
        </w:rPr>
        <w:t>的</w:t>
      </w:r>
      <w:r>
        <w:rPr>
          <w:sz w:val="28"/>
        </w:rPr>
        <w:t>投标文件</w:t>
      </w:r>
      <w:r>
        <w:rPr>
          <w:sz w:val="28"/>
        </w:rPr>
        <w:t>（以上文件发生冲突时以较高标准为准）</w:t>
      </w:r>
      <w:r>
        <w:rPr>
          <w:sz w:val="28"/>
        </w:rPr>
        <w:t>执行。</w:t>
      </w:r>
    </w:p>
    <w:p>
      <w:pPr>
        <w:ind w:firstLine="562"/>
        <w:jc w:val="left"/>
      </w:pPr>
      <w:r>
        <w:rPr>
          <w:b/>
          <w:sz w:val="28"/>
        </w:rPr>
        <w:t>第二条</w:t>
      </w:r>
      <w:r>
        <w:rPr>
          <w:b/>
          <w:sz w:val="28"/>
        </w:rPr>
        <w:t xml:space="preserve"> </w:t>
      </w:r>
      <w:r>
        <w:rPr>
          <w:b/>
          <w:sz w:val="28"/>
        </w:rPr>
        <w:t>货物的质量要求、售后服务及损害赔偿</w:t>
      </w:r>
    </w:p>
    <w:p>
      <w:pPr>
        <w:ind w:firstLine="523"/>
        <w:jc w:val="both"/>
      </w:pPr>
      <w:r>
        <w:rPr>
          <w:sz w:val="28"/>
        </w:rPr>
        <w:t>（一）货物的质量要求：符合国家有关标准、制造厂家标准，</w:t>
      </w:r>
      <w:r>
        <w:rPr>
          <w:sz w:val="28"/>
        </w:rPr>
        <w:t>按照</w:t>
      </w:r>
      <w:r>
        <w:rPr>
          <w:sz w:val="28"/>
        </w:rPr>
        <w:t>本合同约定、</w:t>
      </w:r>
      <w:r>
        <w:rPr>
          <w:sz w:val="28"/>
        </w:rPr>
        <w:t>招标文件、乙方的投标文件、</w:t>
      </w:r>
      <w:r>
        <w:rPr>
          <w:sz w:val="28"/>
        </w:rPr>
        <w:t>澄清文件和中标通知书</w:t>
      </w:r>
      <w:r>
        <w:rPr>
          <w:sz w:val="28"/>
        </w:rPr>
        <w:t>（以上文件发生冲突时以较高标准为准）</w:t>
      </w:r>
      <w:r>
        <w:rPr>
          <w:sz w:val="28"/>
        </w:rPr>
        <w:t>的要求执行。</w:t>
      </w:r>
    </w:p>
    <w:p>
      <w:pPr>
        <w:ind w:firstLine="523"/>
        <w:jc w:val="both"/>
      </w:pPr>
      <w:r>
        <w:rPr>
          <w:sz w:val="28"/>
        </w:rPr>
        <w:t>（二）售后服务要求：</w:t>
      </w:r>
    </w:p>
    <w:p>
      <w:pPr>
        <w:ind w:firstLine="523"/>
        <w:jc w:val="both"/>
      </w:pPr>
      <w:r>
        <w:rPr>
          <w:sz w:val="28"/>
        </w:rPr>
        <w:t>乙方按照甲方招标文件、乙方投标文件执行，包括但不限于以下要求：</w:t>
      </w:r>
    </w:p>
    <w:p>
      <w:pPr>
        <w:ind w:firstLine="560"/>
        <w:jc w:val="both"/>
      </w:pPr>
      <w:r>
        <w:rPr>
          <w:sz w:val="28"/>
        </w:rPr>
        <w:t>1、乙方须有属本公司的可随时上门作维修及检测的工程师，设备出现故障时能在</w:t>
      </w:r>
      <w:r>
        <w:rPr>
          <w:sz w:val="21"/>
          <w:u w:val="single"/>
        </w:rPr>
        <w:t xml:space="preserve">     </w:t>
      </w:r>
      <w:r>
        <w:rPr>
          <w:sz w:val="28"/>
        </w:rPr>
        <w:t>小时内响应，</w:t>
      </w:r>
      <w:r>
        <w:rPr>
          <w:sz w:val="21"/>
          <w:u w:val="single"/>
        </w:rPr>
        <w:t xml:space="preserve">     </w:t>
      </w:r>
      <w:r>
        <w:rPr>
          <w:sz w:val="28"/>
        </w:rPr>
        <w:t>小时内上门维修</w:t>
      </w:r>
      <w:r>
        <w:rPr>
          <w:sz w:val="28"/>
        </w:rPr>
        <w:t>，</w:t>
      </w:r>
      <w:r>
        <w:rPr>
          <w:sz w:val="21"/>
          <w:u w:val="single"/>
        </w:rPr>
        <w:t xml:space="preserve">     </w:t>
      </w:r>
      <w:r>
        <w:rPr>
          <w:sz w:val="28"/>
        </w:rPr>
        <w:t>小时内处理完毕。若在规定时间内，乙方仍未能有效解决，甲方有权另行委托第三方提供服务或要求乙方免费提供同档次的设备或零部件予甲方临时使用，由此产生的相关费用由乙方承担。</w:t>
      </w:r>
    </w:p>
    <w:p>
      <w:pPr>
        <w:ind w:firstLine="560"/>
        <w:jc w:val="both"/>
      </w:pPr>
      <w:r>
        <w:rPr>
          <w:sz w:val="28"/>
        </w:rPr>
        <w:t>2、</w:t>
      </w:r>
      <w:r>
        <w:rPr>
          <w:sz w:val="28"/>
        </w:rPr>
        <w:t>乙方须负责本合同下所有设备免费保修</w:t>
      </w:r>
      <w:r>
        <w:rPr>
          <w:sz w:val="21"/>
          <w:u w:val="single"/>
        </w:rPr>
        <w:t xml:space="preserve">     </w:t>
      </w:r>
      <w:r>
        <w:rPr>
          <w:sz w:val="28"/>
        </w:rPr>
        <w:t>年，免费维修的范围包括但不限于更换零件费用及维修工时费等；保修期自本合同项下的设备经甲乙双方验收合格之日起计算</w:t>
      </w:r>
      <w:r>
        <w:rPr>
          <w:sz w:val="28"/>
        </w:rPr>
        <w:t>；</w:t>
      </w:r>
      <w:r>
        <w:rPr>
          <w:sz w:val="28"/>
        </w:rPr>
        <w:t>保修期内，乙方须提供</w:t>
      </w:r>
      <w:r>
        <w:rPr>
          <w:sz w:val="28"/>
        </w:rPr>
        <w:t>7</w:t>
      </w:r>
      <w:r>
        <w:rPr>
          <w:sz w:val="28"/>
        </w:rPr>
        <w:t>*24</w:t>
      </w:r>
      <w:r>
        <w:rPr>
          <w:sz w:val="28"/>
        </w:rPr>
        <w:t>小时服务。</w:t>
      </w:r>
      <w:r>
        <w:rPr>
          <w:sz w:val="28"/>
        </w:rPr>
        <w:t>乙方维修热线：</w:t>
      </w:r>
      <w:r>
        <w:rPr>
          <w:sz w:val="21"/>
          <w:u w:val="single"/>
        </w:rPr>
        <w:t xml:space="preserve">           </w:t>
      </w:r>
      <w:r>
        <w:rPr>
          <w:sz w:val="28"/>
        </w:rPr>
        <w:t>。本合同期内乙方不得擅自变更或取消服务热线，如须变更或取消的，应提前</w:t>
      </w:r>
      <w:r>
        <w:rPr>
          <w:sz w:val="28"/>
        </w:rPr>
        <w:t>5</w:t>
      </w:r>
      <w:r>
        <w:rPr>
          <w:sz w:val="28"/>
        </w:rPr>
        <w:t>个工作日以书面形式通知甲方，否则乙方应承担因服务热线变更或取消造成的一切不利后果。</w:t>
      </w:r>
    </w:p>
    <w:p>
      <w:pPr>
        <w:ind w:firstLine="560"/>
        <w:jc w:val="both"/>
      </w:pPr>
      <w:r>
        <w:rPr>
          <w:sz w:val="28"/>
        </w:rPr>
        <w:t>3、乙方负责现场或厂家培训甲方有关技术人员，直至掌握操作技术为止。</w:t>
      </w:r>
    </w:p>
    <w:p>
      <w:pPr>
        <w:ind w:firstLine="523"/>
        <w:jc w:val="both"/>
      </w:pPr>
      <w:r>
        <w:rPr>
          <w:sz w:val="28"/>
        </w:rPr>
        <w:t>（三）如因乙方货物质量或设计原因，导致甲方损失，乙方应予以赔偿。</w:t>
      </w:r>
    </w:p>
    <w:p>
      <w:pPr>
        <w:ind w:firstLine="562"/>
        <w:jc w:val="left"/>
      </w:pPr>
      <w:r>
        <w:rPr>
          <w:b/>
          <w:sz w:val="28"/>
        </w:rPr>
        <w:t>第三条</w:t>
      </w:r>
      <w:r>
        <w:rPr>
          <w:b/>
          <w:sz w:val="28"/>
        </w:rPr>
        <w:t xml:space="preserve"> </w:t>
      </w:r>
      <w:r>
        <w:rPr>
          <w:b/>
          <w:sz w:val="28"/>
        </w:rPr>
        <w:t>交货和安装</w:t>
      </w:r>
    </w:p>
    <w:p>
      <w:pPr>
        <w:ind w:firstLine="523"/>
        <w:jc w:val="both"/>
      </w:pPr>
      <w:r>
        <w:rPr>
          <w:sz w:val="28"/>
        </w:rPr>
        <w:t>（一）交货期：</w:t>
      </w:r>
      <w:r>
        <w:rPr>
          <w:sz w:val="28"/>
        </w:rPr>
        <w:t>所有货物须在</w:t>
      </w:r>
      <w:r>
        <w:rPr>
          <w:sz w:val="28"/>
        </w:rPr>
        <w:t>合同签订后</w:t>
      </w:r>
      <w:r>
        <w:rPr>
          <w:sz w:val="21"/>
          <w:u w:val="single"/>
        </w:rPr>
        <w:t xml:space="preserve">     </w:t>
      </w:r>
      <w:r>
        <w:rPr>
          <w:sz w:val="28"/>
        </w:rPr>
        <w:t>内</w:t>
      </w:r>
      <w:r>
        <w:rPr>
          <w:sz w:val="28"/>
        </w:rPr>
        <w:t>安装、调试完毕，能够投入使用并且通过验收</w:t>
      </w:r>
      <w:r>
        <w:rPr>
          <w:sz w:val="28"/>
        </w:rPr>
        <w:t>。</w:t>
      </w:r>
    </w:p>
    <w:p>
      <w:pPr>
        <w:ind w:firstLine="523"/>
        <w:jc w:val="both"/>
      </w:pPr>
      <w:r>
        <w:rPr>
          <w:sz w:val="28"/>
        </w:rPr>
        <w:t>（二）交货方式：乙方负责将货物送至江门市中心医院指定地点。</w:t>
      </w:r>
    </w:p>
    <w:p>
      <w:pPr>
        <w:ind w:firstLine="523"/>
        <w:jc w:val="both"/>
      </w:pPr>
      <w:r>
        <w:rPr>
          <w:sz w:val="28"/>
        </w:rPr>
        <w:t>（三）设备的安装：由乙方负责。</w:t>
      </w:r>
    </w:p>
    <w:p>
      <w:pPr>
        <w:ind w:firstLine="562"/>
        <w:jc w:val="left"/>
      </w:pPr>
      <w:r>
        <w:rPr>
          <w:b/>
          <w:sz w:val="28"/>
        </w:rPr>
        <w:t>第四条  货款的结算</w:t>
      </w:r>
    </w:p>
    <w:p>
      <w:pPr>
        <w:ind w:firstLine="560"/>
        <w:jc w:val="both"/>
      </w:pPr>
      <w:r>
        <w:rPr>
          <w:sz w:val="28"/>
        </w:rPr>
        <w:t>（</w:t>
      </w:r>
      <w:r>
        <w:rPr>
          <w:sz w:val="28"/>
        </w:rPr>
        <w:t>一</w:t>
      </w:r>
      <w:r>
        <w:rPr>
          <w:sz w:val="28"/>
        </w:rPr>
        <w:t>）</w:t>
      </w:r>
      <w:r>
        <w:rPr>
          <w:sz w:val="28"/>
        </w:rPr>
        <w:t>具体结算方式：</w:t>
      </w:r>
    </w:p>
    <w:p>
      <w:pPr>
        <w:ind w:firstLine="560"/>
        <w:jc w:val="both"/>
      </w:pPr>
      <w:r>
        <w:rPr>
          <w:sz w:val="28"/>
        </w:rPr>
        <w:t>1.第一期：合同签订生效后的30个工作日内，将合同总金额的30%</w:t>
      </w:r>
      <w:r>
        <w:rPr>
          <w:sz w:val="28"/>
        </w:rPr>
        <w:t>（即¥</w:t>
      </w:r>
      <w:r>
        <w:rPr>
          <w:sz w:val="21"/>
          <w:u w:val="single"/>
        </w:rPr>
        <w:t xml:space="preserve">      </w:t>
      </w:r>
      <w:r>
        <w:rPr>
          <w:sz w:val="28"/>
        </w:rPr>
        <w:t>）</w:t>
      </w:r>
      <w:r>
        <w:rPr>
          <w:sz w:val="28"/>
        </w:rPr>
        <w:t>支付给乙方。</w:t>
      </w:r>
    </w:p>
    <w:p>
      <w:pPr>
        <w:ind w:firstLine="560"/>
        <w:jc w:val="both"/>
      </w:pPr>
      <w:r>
        <w:rPr>
          <w:sz w:val="28"/>
        </w:rPr>
        <w:t>2.第二期：项目安装调试完毕并验收合格入库后的60日内将合同总金额的60%</w:t>
      </w:r>
      <w:r>
        <w:rPr>
          <w:sz w:val="28"/>
        </w:rPr>
        <w:t>（即¥</w:t>
      </w:r>
      <w:r>
        <w:rPr>
          <w:sz w:val="21"/>
          <w:u w:val="single"/>
        </w:rPr>
        <w:t xml:space="preserve">      </w:t>
      </w:r>
      <w:r>
        <w:rPr>
          <w:sz w:val="28"/>
        </w:rPr>
        <w:t>）</w:t>
      </w:r>
      <w:r>
        <w:rPr>
          <w:sz w:val="28"/>
        </w:rPr>
        <w:t>支付给乙方。</w:t>
      </w:r>
    </w:p>
    <w:p>
      <w:pPr>
        <w:ind w:firstLine="560"/>
        <w:jc w:val="both"/>
      </w:pPr>
      <w:r>
        <w:rPr>
          <w:sz w:val="28"/>
        </w:rPr>
        <w:t>3.第三期：2年免费保修期满后的60日内，将合同总金额的10%</w:t>
      </w:r>
      <w:r>
        <w:rPr>
          <w:sz w:val="28"/>
        </w:rPr>
        <w:t>（即¥</w:t>
      </w:r>
      <w:r>
        <w:rPr>
          <w:sz w:val="21"/>
          <w:u w:val="single"/>
        </w:rPr>
        <w:t xml:space="preserve">      </w:t>
      </w:r>
      <w:r>
        <w:rPr>
          <w:sz w:val="28"/>
        </w:rPr>
        <w:t>）</w:t>
      </w:r>
      <w:r>
        <w:rPr>
          <w:sz w:val="28"/>
        </w:rPr>
        <w:t>支付给乙方。</w:t>
      </w:r>
    </w:p>
    <w:p>
      <w:pPr>
        <w:ind w:firstLine="560"/>
        <w:jc w:val="both"/>
      </w:pPr>
      <w:r>
        <w:rPr>
          <w:sz w:val="28"/>
        </w:rPr>
        <w:t>（</w:t>
      </w:r>
      <w:r>
        <w:rPr>
          <w:sz w:val="28"/>
        </w:rPr>
        <w:t>二</w:t>
      </w:r>
      <w:r>
        <w:rPr>
          <w:sz w:val="28"/>
        </w:rPr>
        <w:t>）乙方须</w:t>
      </w:r>
      <w:r>
        <w:rPr>
          <w:sz w:val="28"/>
        </w:rPr>
        <w:t>在第二期付款时间</w:t>
      </w:r>
      <w:r>
        <w:rPr>
          <w:sz w:val="28"/>
        </w:rPr>
        <w:t>前</w:t>
      </w:r>
      <w:r>
        <w:rPr>
          <w:sz w:val="28"/>
        </w:rPr>
        <w:t>30</w:t>
      </w:r>
      <w:r>
        <w:rPr>
          <w:sz w:val="28"/>
        </w:rPr>
        <w:t>日提供合法有效的</w:t>
      </w:r>
      <w:r>
        <w:rPr>
          <w:sz w:val="28"/>
        </w:rPr>
        <w:t>全</w:t>
      </w:r>
      <w:r>
        <w:rPr>
          <w:sz w:val="28"/>
        </w:rPr>
        <w:t>额发票给甲方。</w:t>
      </w:r>
    </w:p>
    <w:p>
      <w:pPr>
        <w:jc w:val="left"/>
      </w:pPr>
      <w:r>
        <w:rPr>
          <w:b/>
          <w:sz w:val="28"/>
        </w:rPr>
        <w:t xml:space="preserve">     </w:t>
      </w:r>
      <w:r>
        <w:rPr>
          <w:b/>
          <w:sz w:val="28"/>
        </w:rPr>
        <w:t>第五条</w:t>
      </w:r>
      <w:r>
        <w:rPr>
          <w:b/>
          <w:sz w:val="28"/>
        </w:rPr>
        <w:t xml:space="preserve"> </w:t>
      </w:r>
      <w:r>
        <w:rPr>
          <w:b/>
          <w:sz w:val="28"/>
        </w:rPr>
        <w:t>验收方式</w:t>
      </w:r>
    </w:p>
    <w:p>
      <w:pPr>
        <w:ind w:firstLine="523"/>
        <w:jc w:val="both"/>
      </w:pPr>
      <w:r>
        <w:rPr>
          <w:sz w:val="28"/>
        </w:rPr>
        <w:t>（一）验收时间：</w:t>
      </w:r>
      <w:r>
        <w:rPr>
          <w:sz w:val="28"/>
        </w:rPr>
        <w:t>设备安装调试完毕正常运行后</w:t>
      </w:r>
      <w:r>
        <w:rPr>
          <w:sz w:val="28"/>
        </w:rPr>
        <w:t>1个月内。</w:t>
      </w:r>
    </w:p>
    <w:p>
      <w:pPr>
        <w:ind w:firstLine="523"/>
        <w:jc w:val="both"/>
      </w:pPr>
      <w:r>
        <w:rPr>
          <w:sz w:val="28"/>
        </w:rPr>
        <w:t>（二）验收方法：甲方派遣有经验有能力的人员检验产品和工程的质量和指标。</w:t>
      </w:r>
    </w:p>
    <w:p>
      <w:pPr>
        <w:ind w:firstLine="523"/>
        <w:jc w:val="both"/>
      </w:pPr>
      <w:r>
        <w:rPr>
          <w:sz w:val="28"/>
        </w:rPr>
        <w:t>（三）验收标准：</w:t>
      </w:r>
      <w:r>
        <w:rPr>
          <w:sz w:val="28"/>
        </w:rPr>
        <w:t>符合本合同约定、</w:t>
      </w:r>
      <w:r>
        <w:rPr>
          <w:sz w:val="28"/>
        </w:rPr>
        <w:t>招标文件、乙方的投标文件</w:t>
      </w:r>
      <w:r>
        <w:rPr>
          <w:sz w:val="28"/>
        </w:rPr>
        <w:t>、澄清文件和中标通知书</w:t>
      </w:r>
      <w:r>
        <w:rPr>
          <w:sz w:val="28"/>
        </w:rPr>
        <w:t>（以上文件发生冲突时以较高标准为准）</w:t>
      </w:r>
      <w:r>
        <w:rPr>
          <w:sz w:val="28"/>
        </w:rPr>
        <w:t>的要求；</w:t>
      </w:r>
      <w:r>
        <w:rPr>
          <w:sz w:val="28"/>
        </w:rPr>
        <w:t>单证齐全，有产品合格证（或质量保证书）、发票和其它应当具有单证文件。</w:t>
      </w:r>
    </w:p>
    <w:p>
      <w:pPr>
        <w:ind w:firstLine="562"/>
        <w:jc w:val="left"/>
      </w:pPr>
      <w:r>
        <w:rPr>
          <w:b/>
          <w:sz w:val="28"/>
        </w:rPr>
        <w:t>第六条</w:t>
      </w:r>
      <w:r>
        <w:rPr>
          <w:b/>
          <w:sz w:val="28"/>
        </w:rPr>
        <w:t xml:space="preserve"> </w:t>
      </w:r>
      <w:r>
        <w:rPr>
          <w:b/>
          <w:sz w:val="28"/>
        </w:rPr>
        <w:t>对产品异议的时间和办法</w:t>
      </w:r>
    </w:p>
    <w:p>
      <w:pPr>
        <w:ind w:firstLine="523"/>
        <w:jc w:val="both"/>
      </w:pPr>
      <w:r>
        <w:rPr>
          <w:sz w:val="28"/>
        </w:rPr>
        <w:t>（一）甲方在验收中，如果发现货物的品种、型号、数量、规格、质量或有关</w:t>
      </w:r>
      <w:r>
        <w:rPr>
          <w:sz w:val="28"/>
        </w:rPr>
        <w:t>服务、</w:t>
      </w:r>
      <w:r>
        <w:rPr>
          <w:sz w:val="28"/>
        </w:rPr>
        <w:t>软件及有关工程不合规定的，应妥为保管，并在三十日内向乙方提出书面异议。甲方怠于通知或者自货物收到之日起三个月内未通知乙方的，视为货物合乎规定。</w:t>
      </w:r>
    </w:p>
    <w:p>
      <w:pPr>
        <w:ind w:firstLine="523"/>
        <w:jc w:val="both"/>
      </w:pPr>
      <w:r>
        <w:rPr>
          <w:sz w:val="28"/>
        </w:rPr>
        <w:t>（二）乙方在接到甲方书面异议后，应在十天内处理，否则，视为乙方承认该货物存在甲方所指出的瑕疵并同意甲方提出的处理意见。</w:t>
      </w:r>
    </w:p>
    <w:p>
      <w:pPr>
        <w:ind w:firstLine="562"/>
        <w:jc w:val="left"/>
      </w:pPr>
      <w:r>
        <w:rPr>
          <w:b/>
          <w:sz w:val="28"/>
        </w:rPr>
        <w:t>第七条</w:t>
      </w:r>
      <w:r>
        <w:rPr>
          <w:b/>
          <w:sz w:val="28"/>
        </w:rPr>
        <w:t xml:space="preserve"> </w:t>
      </w:r>
      <w:r>
        <w:rPr>
          <w:b/>
          <w:sz w:val="28"/>
        </w:rPr>
        <w:t>乙方的违约责任</w:t>
      </w:r>
    </w:p>
    <w:p>
      <w:pPr>
        <w:ind w:firstLine="520"/>
        <w:jc w:val="left"/>
      </w:pPr>
      <w:r>
        <w:rPr>
          <w:sz w:val="28"/>
        </w:rPr>
        <w:t>（一）乙方不能交货的，甲方不向乙方付款。甲方有权解除本合同，乙方应向甲方偿付合同总价的百分之</w:t>
      </w:r>
      <w:r>
        <w:rPr>
          <w:sz w:val="28"/>
        </w:rPr>
        <w:t>1</w:t>
      </w:r>
      <w:r>
        <w:rPr>
          <w:sz w:val="28"/>
        </w:rPr>
        <w:t>5</w:t>
      </w:r>
      <w:r>
        <w:rPr>
          <w:sz w:val="28"/>
        </w:rPr>
        <w:t>作为违约金，违约金不足以弥补甲方损失的，乙方应赔偿甲方实际损失。</w:t>
      </w:r>
    </w:p>
    <w:p>
      <w:pPr>
        <w:ind w:firstLine="520"/>
        <w:jc w:val="left"/>
      </w:pPr>
      <w:r>
        <w:rPr>
          <w:sz w:val="28"/>
        </w:rPr>
        <w:t>（二）乙方所交设备种类、数量、规格、质量和技术性能等不符合合同规定的，由乙方负责包换或包修，并承担修理、调换或退货而支付的实际费用，并向甲方偿付合同总价的百分之</w:t>
      </w:r>
      <w:r>
        <w:rPr>
          <w:sz w:val="28"/>
        </w:rPr>
        <w:t>10作为违约金。如乙方换货或修理后，设备仍不能达到合同约定</w:t>
      </w:r>
      <w:r>
        <w:rPr>
          <w:sz w:val="28"/>
        </w:rPr>
        <w:t>或乙方不按上述规定整改</w:t>
      </w:r>
      <w:r>
        <w:rPr>
          <w:sz w:val="28"/>
        </w:rPr>
        <w:t>的，甲方有权解除本合同，甲方解除本合同的，乙方应当退还甲方已经支付的款项，乙方还应向甲方支付合同总价</w:t>
      </w:r>
      <w:r>
        <w:rPr>
          <w:sz w:val="28"/>
        </w:rPr>
        <w:t>的百分</w:t>
      </w:r>
      <w:r>
        <w:rPr>
          <w:sz w:val="28"/>
        </w:rPr>
        <w:t>之</w:t>
      </w:r>
      <w:r>
        <w:rPr>
          <w:sz w:val="28"/>
        </w:rPr>
        <w:t>20作为违约金，违约金不足以弥补甲方损失的，乙方应赔偿甲方实际损失。</w:t>
      </w:r>
    </w:p>
    <w:p>
      <w:pPr>
        <w:ind w:firstLine="520"/>
        <w:jc w:val="left"/>
      </w:pPr>
      <w:r>
        <w:rPr>
          <w:sz w:val="28"/>
        </w:rPr>
        <w:t>（三）乙方逾期交货的，每日应向甲方偿付合同总额的百分之</w:t>
      </w:r>
      <w:r>
        <w:rPr>
          <w:sz w:val="28"/>
        </w:rPr>
        <w:t>0.1作为违约金，逾期达到</w:t>
      </w:r>
      <w:r>
        <w:rPr>
          <w:sz w:val="28"/>
        </w:rPr>
        <w:t>30</w:t>
      </w:r>
      <w:r>
        <w:rPr>
          <w:sz w:val="28"/>
        </w:rPr>
        <w:t>天及以上的，视为不能交货。</w:t>
      </w:r>
    </w:p>
    <w:p>
      <w:pPr>
        <w:ind w:firstLine="520"/>
        <w:jc w:val="left"/>
      </w:pPr>
      <w:r>
        <w:rPr>
          <w:sz w:val="28"/>
        </w:rPr>
        <w:t>（四）除本合同另有约定外，乙方每次违反本合同约定的，须按照合同总价的</w:t>
      </w:r>
      <w:r>
        <w:rPr>
          <w:sz w:val="28"/>
        </w:rPr>
        <w:t>3</w:t>
      </w:r>
      <w:r>
        <w:rPr>
          <w:sz w:val="28"/>
        </w:rPr>
        <w:t>%向甲方支付违约金，违约金不足以弥补甲方损失的，乙方应赔偿甲方实际损失。</w:t>
      </w:r>
    </w:p>
    <w:p>
      <w:pPr>
        <w:ind w:firstLine="562"/>
        <w:jc w:val="left"/>
      </w:pPr>
      <w:r>
        <w:rPr>
          <w:b/>
          <w:sz w:val="28"/>
        </w:rPr>
        <w:t>第八条</w:t>
      </w:r>
      <w:r>
        <w:rPr>
          <w:b/>
          <w:sz w:val="28"/>
        </w:rPr>
        <w:t xml:space="preserve"> </w:t>
      </w:r>
      <w:r>
        <w:rPr>
          <w:b/>
          <w:sz w:val="28"/>
        </w:rPr>
        <w:t>甲方的违约责任</w:t>
      </w:r>
    </w:p>
    <w:p>
      <w:pPr>
        <w:jc w:val="left"/>
      </w:pPr>
      <w:r>
        <w:rPr>
          <w:sz w:val="28"/>
        </w:rPr>
        <w:t xml:space="preserve">    </w:t>
      </w:r>
      <w:r>
        <w:rPr>
          <w:sz w:val="28"/>
        </w:rPr>
        <w:t>（一）甲</w:t>
      </w:r>
      <w:r>
        <w:rPr>
          <w:sz w:val="28"/>
        </w:rPr>
        <w:t>方逾期付款的，每日应向乙方偿付</w:t>
      </w:r>
      <w:r>
        <w:rPr>
          <w:sz w:val="28"/>
        </w:rPr>
        <w:t>逾期</w:t>
      </w:r>
      <w:r>
        <w:rPr>
          <w:sz w:val="28"/>
        </w:rPr>
        <w:t>总额的百分之</w:t>
      </w:r>
      <w:r>
        <w:rPr>
          <w:sz w:val="28"/>
        </w:rPr>
        <w:t>0.1作为违约金</w:t>
      </w:r>
      <w:r>
        <w:rPr>
          <w:sz w:val="28"/>
        </w:rPr>
        <w:t>，违约金上限不超过合同总金额的</w:t>
      </w:r>
      <w:r>
        <w:rPr>
          <w:sz w:val="28"/>
        </w:rPr>
        <w:t>10%</w:t>
      </w:r>
      <w:r>
        <w:rPr>
          <w:sz w:val="28"/>
        </w:rPr>
        <w:t>。</w:t>
      </w:r>
    </w:p>
    <w:p>
      <w:pPr>
        <w:ind w:firstLine="520"/>
        <w:jc w:val="left"/>
      </w:pPr>
      <w:r>
        <w:rPr>
          <w:sz w:val="28"/>
        </w:rPr>
        <w:t>（二）甲方违反合同规定拒绝接受货物的，应当承担由此而对乙方造成的损失</w:t>
      </w:r>
      <w:r>
        <w:rPr>
          <w:sz w:val="28"/>
        </w:rPr>
        <w:t>，违约金上限不超过合同总金额的</w:t>
      </w:r>
      <w:r>
        <w:rPr>
          <w:sz w:val="28"/>
        </w:rPr>
        <w:t>10%</w:t>
      </w:r>
      <w:r>
        <w:rPr>
          <w:sz w:val="28"/>
        </w:rPr>
        <w:t>。</w:t>
      </w:r>
    </w:p>
    <w:p>
      <w:pPr>
        <w:ind w:firstLine="562"/>
        <w:jc w:val="left"/>
      </w:pPr>
      <w:r>
        <w:rPr>
          <w:b/>
          <w:sz w:val="28"/>
        </w:rPr>
        <w:t>第九条</w:t>
      </w:r>
      <w:r>
        <w:rPr>
          <w:b/>
          <w:sz w:val="28"/>
        </w:rPr>
        <w:t xml:space="preserve"> </w:t>
      </w:r>
      <w:r>
        <w:rPr>
          <w:b/>
          <w:sz w:val="28"/>
        </w:rPr>
        <w:t>不可抗力</w:t>
      </w:r>
    </w:p>
    <w:p>
      <w:pPr>
        <w:ind w:firstLine="520"/>
        <w:jc w:val="left"/>
      </w:pPr>
      <w:r>
        <w:rPr>
          <w:sz w:val="28"/>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予承担违约责任。</w:t>
      </w:r>
    </w:p>
    <w:p>
      <w:pPr>
        <w:ind w:firstLine="562"/>
        <w:jc w:val="left"/>
      </w:pPr>
      <w:r>
        <w:rPr>
          <w:b/>
          <w:sz w:val="28"/>
        </w:rPr>
        <w:t>第十条</w:t>
      </w:r>
      <w:r>
        <w:rPr>
          <w:b/>
          <w:sz w:val="28"/>
        </w:rPr>
        <w:t xml:space="preserve"> </w:t>
      </w:r>
      <w:r>
        <w:rPr>
          <w:b/>
          <w:sz w:val="28"/>
        </w:rPr>
        <w:t>争议的解决</w:t>
      </w:r>
    </w:p>
    <w:p>
      <w:pPr>
        <w:ind w:firstLine="520"/>
        <w:jc w:val="left"/>
      </w:pPr>
      <w:r>
        <w:rPr>
          <w:sz w:val="28"/>
        </w:rPr>
        <w:t>（一）如因货物的质量问题发生争议，由法定的质量技术鉴定机构进行质量鉴定，双方应当服从该鉴定的结论。</w:t>
      </w:r>
    </w:p>
    <w:p>
      <w:pPr>
        <w:ind w:firstLine="560"/>
        <w:jc w:val="left"/>
      </w:pPr>
      <w:r>
        <w:rPr>
          <w:sz w:val="28"/>
        </w:rPr>
        <w:t>（二）若执行本合同的过程中发生纠纷，双方当事人应当及时协商解决；协商不成时，可向江门市蓬江区人民法院提起诉讼。</w:t>
      </w:r>
    </w:p>
    <w:p>
      <w:pPr>
        <w:ind w:firstLine="562"/>
        <w:jc w:val="left"/>
      </w:pPr>
      <w:r>
        <w:rPr>
          <w:b/>
          <w:sz w:val="28"/>
        </w:rPr>
        <w:t>第十一条</w:t>
      </w:r>
      <w:r>
        <w:rPr>
          <w:b/>
          <w:sz w:val="28"/>
        </w:rPr>
        <w:t xml:space="preserve"> </w:t>
      </w:r>
      <w:r>
        <w:rPr>
          <w:b/>
          <w:sz w:val="28"/>
        </w:rPr>
        <w:t>监督和管理</w:t>
      </w:r>
    </w:p>
    <w:p>
      <w:pPr>
        <w:ind w:firstLine="520"/>
        <w:jc w:val="left"/>
      </w:pPr>
      <w:r>
        <w:rPr>
          <w:sz w:val="28"/>
        </w:rPr>
        <w:t>（一）甲乙双方经协商一致需变更合同实质性条款或订立补充合同的，应先取得甲方管理部门和监督部门的同意，并将相关资料备案。</w:t>
      </w:r>
    </w:p>
    <w:p>
      <w:pPr>
        <w:ind w:firstLine="560"/>
        <w:jc w:val="left"/>
      </w:pPr>
      <w:r>
        <w:rPr>
          <w:sz w:val="28"/>
        </w:rPr>
        <w:t>（二）甲乙双方均应自觉配合甲方管理部门和监督部门对合同履行情况的监督检查，如实反映情况，提供有关资料。否则，将对有关单位、当事人按照有关规定予以处罚。</w:t>
      </w:r>
    </w:p>
    <w:p>
      <w:pPr>
        <w:ind w:firstLine="562"/>
        <w:jc w:val="left"/>
      </w:pPr>
      <w:r>
        <w:rPr>
          <w:b/>
          <w:sz w:val="28"/>
        </w:rPr>
        <w:t>第十二条</w:t>
      </w:r>
      <w:r>
        <w:rPr>
          <w:b/>
          <w:sz w:val="28"/>
        </w:rPr>
        <w:t xml:space="preserve"> </w:t>
      </w:r>
      <w:r>
        <w:rPr>
          <w:b/>
          <w:sz w:val="28"/>
        </w:rPr>
        <w:t>无效合同</w:t>
      </w:r>
    </w:p>
    <w:p>
      <w:pPr>
        <w:ind w:firstLine="520"/>
        <w:jc w:val="left"/>
      </w:pPr>
      <w:r>
        <w:rPr>
          <w:sz w:val="28"/>
        </w:rPr>
        <w:t>甲乙双方如因违反法律和有关规定，合同被宣告无效的，有过错的一方应当承担赔偿责任，双方都有过错的，各自承担相应的责任。</w:t>
      </w:r>
    </w:p>
    <w:p>
      <w:pPr>
        <w:ind w:firstLine="562"/>
        <w:jc w:val="left"/>
      </w:pPr>
      <w:r>
        <w:rPr>
          <w:b/>
          <w:sz w:val="28"/>
        </w:rPr>
        <w:t>第十三条</w:t>
      </w:r>
      <w:r>
        <w:rPr>
          <w:b/>
          <w:sz w:val="28"/>
        </w:rPr>
        <w:t xml:space="preserve"> </w:t>
      </w:r>
      <w:r>
        <w:rPr>
          <w:b/>
          <w:sz w:val="28"/>
        </w:rPr>
        <w:t>投诉</w:t>
      </w:r>
    </w:p>
    <w:p>
      <w:pPr>
        <w:ind w:firstLine="520"/>
        <w:jc w:val="left"/>
      </w:pPr>
      <w:r>
        <w:rPr>
          <w:sz w:val="28"/>
        </w:rPr>
        <w:t>甲方如对乙方所提供的货物质量及服务提出投诉，经核查如属有效投诉并超过三次，甲方管理部门和监督部门有权取消乙方的中标资格，并按有关规定接受处理。</w:t>
      </w:r>
    </w:p>
    <w:p>
      <w:pPr>
        <w:ind w:firstLine="562"/>
        <w:jc w:val="left"/>
      </w:pPr>
      <w:r>
        <w:rPr>
          <w:b/>
          <w:sz w:val="28"/>
        </w:rPr>
        <w:t>第十四条</w:t>
      </w:r>
      <w:r>
        <w:rPr>
          <w:b/>
          <w:sz w:val="28"/>
        </w:rPr>
        <w:t xml:space="preserve"> </w:t>
      </w:r>
      <w:r>
        <w:rPr>
          <w:b/>
          <w:sz w:val="28"/>
        </w:rPr>
        <w:t>附则</w:t>
      </w:r>
    </w:p>
    <w:p>
      <w:pPr>
        <w:ind w:firstLine="520"/>
        <w:jc w:val="left"/>
      </w:pPr>
      <w:r>
        <w:rPr>
          <w:sz w:val="28"/>
        </w:rPr>
        <w:t>（一）</w:t>
      </w:r>
      <w:r>
        <w:rPr>
          <w:sz w:val="28"/>
        </w:rPr>
        <w:t>本合同一式四份，甲方执两份，乙方执一份，一份</w:t>
      </w:r>
      <w:r>
        <w:rPr>
          <w:sz w:val="21"/>
          <w:u w:val="single"/>
        </w:rPr>
        <w:t xml:space="preserve">     </w:t>
      </w:r>
      <w:r>
        <w:rPr>
          <w:sz w:val="28"/>
        </w:rPr>
        <w:t>招标公司存档，具有同等法律效力</w:t>
      </w:r>
      <w:r>
        <w:rPr>
          <w:sz w:val="28"/>
        </w:rPr>
        <w:t>。合</w:t>
      </w:r>
      <w:r>
        <w:rPr>
          <w:sz w:val="28"/>
        </w:rPr>
        <w:t>同附件为本合同的组成部分，与本合同正文具有同等法律效力。</w:t>
      </w:r>
    </w:p>
    <w:p>
      <w:pPr>
        <w:ind w:firstLine="520"/>
        <w:jc w:val="left"/>
      </w:pPr>
      <w:r>
        <w:rPr>
          <w:sz w:val="28"/>
        </w:rPr>
        <w:t>（二）本合同自甲乙双方签字盖章后生效。</w:t>
      </w:r>
    </w:p>
    <w:p>
      <w:pPr>
        <w:ind w:firstLine="140"/>
        <w:jc w:val="both"/>
      </w:pPr>
    </w:p>
    <w:p>
      <w:pPr>
        <w:jc w:val="both"/>
      </w:pPr>
      <w:r>
        <w:rPr>
          <w:sz w:val="28"/>
        </w:rPr>
        <w:t>购货单位（甲方）：</w:t>
      </w:r>
      <w:r>
        <w:rPr>
          <w:sz w:val="28"/>
        </w:rPr>
        <w:t xml:space="preserve">            </w:t>
      </w:r>
      <w:r>
        <w:rPr>
          <w:sz w:val="28"/>
        </w:rPr>
        <w:t>供货单位（乙方）：</w:t>
      </w:r>
    </w:p>
    <w:p>
      <w:pPr>
        <w:jc w:val="both"/>
      </w:pPr>
      <w:r>
        <w:rPr>
          <w:sz w:val="28"/>
        </w:rPr>
        <w:t>江门市中心医院</w:t>
      </w:r>
      <w:r>
        <w:rPr>
          <w:sz w:val="28"/>
        </w:rPr>
        <w:t xml:space="preserve">                </w:t>
      </w:r>
      <w:r>
        <w:rPr>
          <w:sz w:val="21"/>
          <w:u w:val="single"/>
        </w:rPr>
        <w:t xml:space="preserve">                                                          </w:t>
      </w:r>
    </w:p>
    <w:p>
      <w:pPr>
        <w:jc w:val="both"/>
      </w:pPr>
      <w:r>
        <w:rPr>
          <w:sz w:val="28"/>
        </w:rPr>
        <w:t>法定代表人：</w:t>
      </w:r>
      <w:r>
        <w:rPr>
          <w:sz w:val="28"/>
        </w:rPr>
        <w:t xml:space="preserve">                  </w:t>
      </w:r>
      <w:r>
        <w:rPr>
          <w:sz w:val="28"/>
        </w:rPr>
        <w:t>法定代表人：</w:t>
      </w:r>
    </w:p>
    <w:p>
      <w:pPr>
        <w:jc w:val="both"/>
      </w:pPr>
      <w:r>
        <w:rPr>
          <w:sz w:val="28"/>
        </w:rPr>
        <w:t>委托代理人：</w:t>
      </w:r>
      <w:r>
        <w:rPr>
          <w:sz w:val="28"/>
        </w:rPr>
        <w:t xml:space="preserve">                  </w:t>
      </w:r>
      <w:r>
        <w:rPr>
          <w:sz w:val="28"/>
        </w:rPr>
        <w:t>委托代理人：</w:t>
      </w:r>
    </w:p>
    <w:p>
      <w:pPr>
        <w:jc w:val="both"/>
      </w:pPr>
      <w:r>
        <w:rPr>
          <w:sz w:val="28"/>
        </w:rPr>
        <w:t>地址：</w:t>
      </w:r>
      <w:r>
        <w:rPr>
          <w:sz w:val="28"/>
        </w:rPr>
        <w:t xml:space="preserve">                        </w:t>
      </w:r>
      <w:r>
        <w:rPr>
          <w:sz w:val="28"/>
        </w:rPr>
        <w:t>地址：</w:t>
      </w:r>
    </w:p>
    <w:p>
      <w:pPr>
        <w:jc w:val="both"/>
      </w:pPr>
      <w:r>
        <w:rPr>
          <w:sz w:val="28"/>
        </w:rPr>
        <w:t>开户银行：</w:t>
      </w:r>
      <w:r>
        <w:rPr>
          <w:sz w:val="28"/>
        </w:rPr>
        <w:t xml:space="preserve">                    </w:t>
      </w:r>
      <w:r>
        <w:rPr>
          <w:sz w:val="28"/>
        </w:rPr>
        <w:t>开户银行：</w:t>
      </w:r>
    </w:p>
    <w:p>
      <w:pPr>
        <w:jc w:val="both"/>
      </w:pPr>
      <w:r>
        <w:rPr>
          <w:sz w:val="28"/>
        </w:rPr>
        <w:t>账号：</w:t>
      </w:r>
      <w:r>
        <w:rPr>
          <w:sz w:val="28"/>
        </w:rPr>
        <w:t xml:space="preserve">                        </w:t>
      </w:r>
      <w:r>
        <w:rPr>
          <w:sz w:val="28"/>
        </w:rPr>
        <w:t>账号：</w:t>
      </w:r>
    </w:p>
    <w:p>
      <w:pPr>
        <w:jc w:val="both"/>
      </w:pPr>
      <w:r>
        <w:rPr>
          <w:sz w:val="28"/>
        </w:rPr>
        <w:t>电话：</w:t>
      </w:r>
      <w:r>
        <w:rPr>
          <w:sz w:val="28"/>
        </w:rPr>
        <w:t xml:space="preserve">                        </w:t>
      </w:r>
      <w:r>
        <w:rPr>
          <w:sz w:val="28"/>
        </w:rPr>
        <w:t>电话：</w:t>
      </w:r>
    </w:p>
    <w:p>
      <w:pPr>
        <w:jc w:val="both"/>
      </w:pPr>
      <w:r>
        <w:rPr>
          <w:sz w:val="28"/>
        </w:rPr>
        <w:t>签约时间：</w:t>
      </w:r>
      <w:r>
        <w:rPr>
          <w:sz w:val="28"/>
        </w:rPr>
        <w:t xml:space="preserve">   </w:t>
      </w:r>
      <w:r>
        <w:rPr>
          <w:sz w:val="28"/>
        </w:rPr>
        <w:t>年</w:t>
      </w:r>
      <w:r>
        <w:rPr>
          <w:sz w:val="28"/>
        </w:rPr>
        <w:t xml:space="preserve">  </w:t>
      </w:r>
      <w:r>
        <w:rPr>
          <w:sz w:val="28"/>
        </w:rPr>
        <w:t>月</w:t>
      </w:r>
      <w:r>
        <w:rPr>
          <w:sz w:val="28"/>
        </w:rPr>
        <w:t xml:space="preserve">  </w:t>
      </w:r>
      <w:r>
        <w:rPr>
          <w:sz w:val="28"/>
        </w:rPr>
        <w:t>日</w:t>
      </w:r>
    </w:p>
    <w:p>
      <w:pPr>
        <w:jc w:val="both"/>
      </w:pPr>
      <w:r>
        <w:rPr>
          <w:sz w:val="28"/>
        </w:rPr>
        <w:t>签约地点：江门市中心医院</w:t>
      </w:r>
    </w:p>
    <w:p>
      <w:pPr>
        <w:jc w:val="both"/>
      </w:pPr>
    </w:p>
    <w:p>
      <w:pPr>
        <w:jc w:val="both"/>
      </w:pPr>
      <w:r>
        <w:rPr>
          <w:sz w:val="28"/>
        </w:rPr>
        <w:t>以下为配置清单：</w:t>
      </w:r>
    </w:p>
    <w:p>
      <w:pPr>
        <w:jc w:val="center"/>
      </w:pPr>
      <w:r>
        <w:rPr>
          <w:sz w:val="28"/>
        </w:rPr>
        <w:t>项目名称：</w:t>
      </w:r>
      <w:r>
        <w:rPr>
          <w:sz w:val="21"/>
          <w:u w:val="single"/>
        </w:rPr>
        <w:t xml:space="preserve">                 </w:t>
      </w:r>
      <w:r>
        <w:rPr>
          <w:sz w:val="28"/>
        </w:rPr>
        <w:t>。</w:t>
      </w:r>
    </w:p>
    <w:p>
      <w:pPr>
        <w:jc w:val="center"/>
      </w:pPr>
    </w:p>
    <w:p/>
    <w:p>
      <w:pPr>
        <w:jc w:val="both"/>
      </w:pPr>
      <w:r>
        <w:rPr>
          <w:sz w:val="28"/>
        </w:rPr>
        <w:t>耗材清</w:t>
      </w:r>
      <w:r>
        <w:rPr>
          <w:sz w:val="28"/>
        </w:rPr>
        <w:t>单</w:t>
      </w:r>
      <w:r>
        <w:rPr>
          <w:sz w:val="28"/>
        </w:rPr>
        <w:t>：</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460"/>
        <w:gridCol w:w="947"/>
        <w:gridCol w:w="876"/>
        <w:gridCol w:w="876"/>
        <w:gridCol w:w="858"/>
        <w:gridCol w:w="850"/>
        <w:gridCol w:w="947"/>
        <w:gridCol w:w="655"/>
        <w:gridCol w:w="894"/>
        <w:gridCol w:w="894"/>
      </w:tblGrid>
      <w:tr>
        <w:tc>
          <w:tcPr>
            <w:tcW w:type="dxa" w:w="460"/>
            <w:tcBorders>
              <w:top w:val="single" w:color="000000" w:sz="4"/>
              <w:left w:val="single" w:color="000000" w:sz="4"/>
              <w:bottom w:val="single" w:color="000000" w:sz="4"/>
              <w:right w:val="single" w:color="000000" w:sz="4"/>
            </w:tcBorders>
            <w:vAlign w:val="top"/>
          </w:tcPr>
          <w:p>
            <w:pPr>
              <w:jc w:val="center"/>
            </w:pPr>
            <w:r>
              <w:rPr>
                <w:b/>
                <w:sz w:val="24"/>
              </w:rPr>
              <w:t>序号</w:t>
            </w:r>
          </w:p>
        </w:tc>
        <w:tc>
          <w:tcPr>
            <w:tcW w:type="dxa" w:w="947"/>
            <w:tcBorders>
              <w:top w:val="single" w:color="000000" w:sz="4"/>
              <w:left w:val="single" w:color="000000" w:sz="4"/>
              <w:bottom w:val="single" w:color="000000" w:sz="4"/>
              <w:right w:val="single" w:color="000000" w:sz="4"/>
            </w:tcBorders>
            <w:vAlign w:val="top"/>
          </w:tcPr>
          <w:p>
            <w:pPr>
              <w:jc w:val="center"/>
            </w:pPr>
            <w:r>
              <w:rPr>
                <w:b/>
                <w:sz w:val="24"/>
              </w:rPr>
              <w:t>产品名称</w:t>
            </w:r>
          </w:p>
        </w:tc>
        <w:tc>
          <w:tcPr>
            <w:tcW w:type="dxa" w:w="876"/>
            <w:tcBorders>
              <w:top w:val="single" w:color="000000" w:sz="4"/>
              <w:left w:val="single" w:color="000000" w:sz="4"/>
              <w:bottom w:val="single" w:color="000000" w:sz="4"/>
              <w:right w:val="single" w:color="000000" w:sz="4"/>
            </w:tcBorders>
            <w:vAlign w:val="top"/>
          </w:tcPr>
          <w:p>
            <w:pPr>
              <w:jc w:val="center"/>
            </w:pPr>
            <w:r>
              <w:rPr>
                <w:b/>
                <w:sz w:val="24"/>
              </w:rPr>
              <w:t>药交</w:t>
            </w:r>
            <w:r>
              <w:rPr>
                <w:b/>
                <w:sz w:val="24"/>
              </w:rPr>
              <w:t>ID</w:t>
            </w:r>
          </w:p>
        </w:tc>
        <w:tc>
          <w:tcPr>
            <w:tcW w:type="dxa" w:w="876"/>
            <w:tcBorders>
              <w:top w:val="single" w:color="000000" w:sz="4"/>
              <w:left w:val="single" w:color="000000" w:sz="4"/>
              <w:bottom w:val="single" w:color="000000" w:sz="4"/>
              <w:right w:val="single" w:color="000000" w:sz="4"/>
            </w:tcBorders>
            <w:vAlign w:val="top"/>
          </w:tcPr>
          <w:p>
            <w:pPr>
              <w:ind w:firstLine="241"/>
              <w:jc w:val="both"/>
            </w:pPr>
            <w:r>
              <w:rPr>
                <w:b/>
                <w:sz w:val="24"/>
              </w:rPr>
              <w:t>产品</w:t>
            </w:r>
            <w:r>
              <w:rPr>
                <w:b/>
                <w:sz w:val="24"/>
              </w:rPr>
              <w:t>型号</w:t>
            </w:r>
          </w:p>
        </w:tc>
        <w:tc>
          <w:tcPr>
            <w:tcW w:type="dxa" w:w="858"/>
            <w:tcBorders>
              <w:top w:val="single" w:color="000000" w:sz="4"/>
              <w:left w:val="single" w:color="000000" w:sz="4"/>
              <w:bottom w:val="single" w:color="000000" w:sz="4"/>
              <w:right w:val="single" w:color="000000" w:sz="4"/>
            </w:tcBorders>
            <w:vAlign w:val="top"/>
          </w:tcPr>
          <w:p>
            <w:pPr>
              <w:ind w:firstLine="241"/>
              <w:jc w:val="both"/>
            </w:pPr>
            <w:r>
              <w:rPr>
                <w:b/>
                <w:sz w:val="24"/>
              </w:rPr>
              <w:t>产品规格</w:t>
            </w:r>
          </w:p>
        </w:tc>
        <w:tc>
          <w:tcPr>
            <w:tcW w:type="dxa" w:w="850"/>
            <w:tcBorders>
              <w:top w:val="single" w:color="000000" w:sz="4"/>
              <w:left w:val="single" w:color="000000" w:sz="4"/>
              <w:bottom w:val="single" w:color="000000" w:sz="4"/>
              <w:right w:val="single" w:color="000000" w:sz="4"/>
            </w:tcBorders>
            <w:vAlign w:val="top"/>
          </w:tcPr>
          <w:p>
            <w:pPr>
              <w:jc w:val="center"/>
            </w:pPr>
            <w:r>
              <w:rPr>
                <w:b/>
                <w:sz w:val="24"/>
              </w:rPr>
              <w:t>注册证号</w:t>
            </w:r>
          </w:p>
        </w:tc>
        <w:tc>
          <w:tcPr>
            <w:tcW w:type="dxa" w:w="947"/>
            <w:tcBorders>
              <w:top w:val="single" w:color="000000" w:sz="4"/>
              <w:left w:val="single" w:color="000000" w:sz="4"/>
              <w:bottom w:val="single" w:color="000000" w:sz="4"/>
              <w:right w:val="single" w:color="000000" w:sz="4"/>
            </w:tcBorders>
            <w:vAlign w:val="top"/>
          </w:tcPr>
          <w:p>
            <w:pPr>
              <w:jc w:val="center"/>
            </w:pPr>
            <w:r>
              <w:rPr>
                <w:b/>
                <w:sz w:val="24"/>
              </w:rPr>
              <w:t>生产厂家</w:t>
            </w:r>
          </w:p>
        </w:tc>
        <w:tc>
          <w:tcPr>
            <w:tcW w:type="dxa" w:w="655"/>
            <w:tcBorders>
              <w:top w:val="single" w:color="000000" w:sz="4"/>
              <w:left w:val="single" w:color="000000" w:sz="4"/>
              <w:bottom w:val="single" w:color="000000" w:sz="4"/>
              <w:right w:val="single" w:color="000000" w:sz="4"/>
            </w:tcBorders>
            <w:vAlign w:val="top"/>
          </w:tcPr>
          <w:p>
            <w:pPr>
              <w:jc w:val="center"/>
            </w:pPr>
            <w:r>
              <w:rPr>
                <w:b/>
                <w:sz w:val="24"/>
              </w:rPr>
              <w:t>单位</w:t>
            </w:r>
          </w:p>
        </w:tc>
        <w:tc>
          <w:tcPr>
            <w:tcW w:type="dxa" w:w="894"/>
            <w:tcBorders>
              <w:top w:val="single" w:color="000000" w:sz="4"/>
              <w:left w:val="single" w:color="000000" w:sz="4"/>
              <w:bottom w:val="single" w:color="000000" w:sz="4"/>
              <w:right w:val="single" w:color="000000" w:sz="4"/>
            </w:tcBorders>
            <w:vAlign w:val="top"/>
          </w:tcPr>
          <w:p>
            <w:pPr>
              <w:jc w:val="center"/>
            </w:pPr>
          </w:p>
          <w:p>
            <w:pPr>
              <w:jc w:val="center"/>
            </w:pPr>
            <w:r>
              <w:rPr>
                <w:b/>
                <w:sz w:val="24"/>
              </w:rPr>
              <w:t>单价</w:t>
            </w:r>
          </w:p>
          <w:p>
            <w:pPr>
              <w:jc w:val="center"/>
            </w:pPr>
            <w:r>
              <w:rPr>
                <w:b/>
                <w:sz w:val="24"/>
              </w:rPr>
              <w:t>(人民币</w:t>
            </w:r>
            <w:r>
              <w:rPr>
                <w:b/>
                <w:sz w:val="24"/>
              </w:rPr>
              <w:t>）</w:t>
            </w:r>
          </w:p>
        </w:tc>
        <w:tc>
          <w:tcPr>
            <w:tcW w:type="dxa" w:w="894"/>
            <w:tcBorders>
              <w:top w:val="single" w:color="000000" w:sz="4"/>
              <w:left w:val="single" w:color="000000" w:sz="4"/>
              <w:bottom w:val="single" w:color="000000" w:sz="4"/>
              <w:right w:val="single" w:color="000000" w:sz="4"/>
            </w:tcBorders>
            <w:vAlign w:val="top"/>
          </w:tcPr>
          <w:p>
            <w:pPr>
              <w:jc w:val="center"/>
            </w:pPr>
            <w:r>
              <w:rPr>
                <w:b/>
                <w:sz w:val="24"/>
              </w:rPr>
              <w:t>备注</w:t>
            </w:r>
          </w:p>
        </w:tc>
      </w:tr>
      <w:tr>
        <w:tc>
          <w:tcPr>
            <w:tcW w:type="dxa" w:w="460"/>
            <w:tcBorders>
              <w:top w:val="none" w:color="000000" w:sz="4"/>
              <w:left w:val="single" w:color="000000" w:sz="4"/>
              <w:bottom w:val="single" w:color="000000" w:sz="4"/>
              <w:right w:val="single" w:color="000000" w:sz="4"/>
            </w:tcBorders>
            <w:vAlign w:val="top"/>
          </w:tcPr>
          <w:p>
            <w:pPr>
              <w:jc w:val="both"/>
            </w:pPr>
          </w:p>
        </w:tc>
        <w:tc>
          <w:tcPr>
            <w:tcW w:type="dxa" w:w="947"/>
            <w:tcBorders>
              <w:top w:val="none" w:color="000000" w:sz="4"/>
              <w:left w:val="single" w:color="000000" w:sz="4"/>
              <w:bottom w:val="single" w:color="000000" w:sz="4"/>
              <w:right w:val="single" w:color="000000" w:sz="4"/>
            </w:tcBorders>
            <w:vAlign w:val="top"/>
          </w:tcPr>
          <w:p>
            <w:pPr>
              <w:jc w:val="both"/>
            </w:pPr>
          </w:p>
        </w:tc>
        <w:tc>
          <w:tcPr>
            <w:tcW w:type="dxa" w:w="876"/>
            <w:tcBorders>
              <w:top w:val="none" w:color="000000" w:sz="4"/>
              <w:left w:val="single" w:color="000000" w:sz="4"/>
              <w:bottom w:val="single" w:color="000000" w:sz="4"/>
              <w:right w:val="single" w:color="000000" w:sz="4"/>
            </w:tcBorders>
            <w:vAlign w:val="top"/>
          </w:tcPr>
          <w:p>
            <w:pPr>
              <w:jc w:val="both"/>
            </w:pPr>
          </w:p>
        </w:tc>
        <w:tc>
          <w:tcPr>
            <w:tcW w:type="dxa" w:w="876"/>
            <w:tcBorders>
              <w:top w:val="none" w:color="000000" w:sz="4"/>
              <w:left w:val="single" w:color="000000" w:sz="4"/>
              <w:bottom w:val="single" w:color="000000" w:sz="4"/>
              <w:right w:val="single" w:color="000000" w:sz="4"/>
            </w:tcBorders>
            <w:vAlign w:val="top"/>
          </w:tcPr>
          <w:p>
            <w:pPr>
              <w:jc w:val="left"/>
            </w:pPr>
          </w:p>
        </w:tc>
        <w:tc>
          <w:tcPr>
            <w:tcW w:type="dxa" w:w="858"/>
            <w:tcBorders>
              <w:top w:val="none" w:color="000000" w:sz="4"/>
              <w:left w:val="single" w:color="000000" w:sz="4"/>
              <w:bottom w:val="single" w:color="000000" w:sz="4"/>
              <w:right w:val="single" w:color="000000" w:sz="4"/>
            </w:tcBorders>
            <w:vAlign w:val="top"/>
          </w:tcPr>
          <w:p>
            <w:pPr>
              <w:jc w:val="left"/>
            </w:pPr>
          </w:p>
        </w:tc>
        <w:tc>
          <w:tcPr>
            <w:tcW w:type="dxa" w:w="850"/>
            <w:tcBorders>
              <w:top w:val="none" w:color="000000" w:sz="4"/>
              <w:left w:val="single" w:color="000000" w:sz="4"/>
              <w:bottom w:val="single" w:color="000000" w:sz="4"/>
              <w:right w:val="single" w:color="000000" w:sz="4"/>
            </w:tcBorders>
            <w:vAlign w:val="top"/>
          </w:tcPr>
          <w:p>
            <w:pPr>
              <w:jc w:val="center"/>
            </w:pPr>
          </w:p>
        </w:tc>
        <w:tc>
          <w:tcPr>
            <w:tcW w:type="dxa" w:w="947"/>
            <w:tcBorders>
              <w:top w:val="none" w:color="000000" w:sz="4"/>
              <w:left w:val="single" w:color="000000" w:sz="4"/>
              <w:bottom w:val="single" w:color="000000" w:sz="4"/>
              <w:right w:val="single" w:color="000000" w:sz="4"/>
            </w:tcBorders>
            <w:vAlign w:val="top"/>
          </w:tcPr>
          <w:p>
            <w:pPr>
              <w:jc w:val="center"/>
            </w:pPr>
          </w:p>
        </w:tc>
        <w:tc>
          <w:tcPr>
            <w:tcW w:type="dxa" w:w="655"/>
            <w:tcBorders>
              <w:top w:val="none" w:color="000000" w:sz="4"/>
              <w:left w:val="single" w:color="000000" w:sz="4"/>
              <w:bottom w:val="single" w:color="000000" w:sz="4"/>
              <w:right w:val="single" w:color="000000" w:sz="4"/>
            </w:tcBorders>
            <w:vAlign w:val="top"/>
          </w:tcPr>
          <w:p>
            <w:pPr>
              <w:jc w:val="center"/>
            </w:pPr>
          </w:p>
        </w:tc>
        <w:tc>
          <w:tcPr>
            <w:tcW w:type="dxa" w:w="894"/>
            <w:tcBorders>
              <w:top w:val="none" w:color="000000" w:sz="4"/>
              <w:left w:val="single" w:color="000000" w:sz="4"/>
              <w:bottom w:val="single" w:color="000000" w:sz="4"/>
              <w:right w:val="single" w:color="000000" w:sz="4"/>
            </w:tcBorders>
            <w:vAlign w:val="top"/>
          </w:tcPr>
          <w:p>
            <w:pPr>
              <w:jc w:val="center"/>
            </w:pPr>
          </w:p>
        </w:tc>
        <w:tc>
          <w:tcPr>
            <w:tcW w:type="dxa" w:w="894"/>
            <w:tcBorders>
              <w:top w:val="none" w:color="000000" w:sz="4"/>
              <w:left w:val="single" w:color="000000" w:sz="4"/>
              <w:bottom w:val="single" w:color="000000" w:sz="4"/>
              <w:right w:val="single" w:color="000000" w:sz="4"/>
            </w:tcBorders>
            <w:vAlign w:val="top"/>
          </w:tcPr>
          <w:p>
            <w:pPr>
              <w:jc w:val="center"/>
            </w:pPr>
          </w:p>
        </w:tc>
      </w:tr>
      <w:tr>
        <w:tc>
          <w:tcPr>
            <w:tcW w:type="dxa" w:w="460"/>
            <w:tcBorders>
              <w:top w:val="none" w:color="000000" w:sz="4"/>
              <w:left w:val="single" w:color="000000" w:sz="4"/>
              <w:bottom w:val="single" w:color="000000" w:sz="4"/>
              <w:right w:val="single" w:color="000000" w:sz="4"/>
            </w:tcBorders>
            <w:vAlign w:val="top"/>
          </w:tcPr>
          <w:p>
            <w:pPr>
              <w:jc w:val="both"/>
            </w:pPr>
          </w:p>
        </w:tc>
        <w:tc>
          <w:tcPr>
            <w:tcW w:type="dxa" w:w="947"/>
            <w:tcBorders>
              <w:top w:val="none" w:color="000000" w:sz="4"/>
              <w:left w:val="single" w:color="000000" w:sz="4"/>
              <w:bottom w:val="single" w:color="000000" w:sz="4"/>
              <w:right w:val="single" w:color="000000" w:sz="4"/>
            </w:tcBorders>
            <w:vAlign w:val="top"/>
          </w:tcPr>
          <w:p>
            <w:pPr>
              <w:jc w:val="both"/>
            </w:pPr>
          </w:p>
        </w:tc>
        <w:tc>
          <w:tcPr>
            <w:tcW w:type="dxa" w:w="876"/>
            <w:tcBorders>
              <w:top w:val="none" w:color="000000" w:sz="4"/>
              <w:left w:val="single" w:color="000000" w:sz="4"/>
              <w:bottom w:val="single" w:color="000000" w:sz="4"/>
              <w:right w:val="single" w:color="000000" w:sz="4"/>
            </w:tcBorders>
            <w:vAlign w:val="top"/>
          </w:tcPr>
          <w:p>
            <w:pPr>
              <w:jc w:val="both"/>
            </w:pPr>
          </w:p>
        </w:tc>
        <w:tc>
          <w:tcPr>
            <w:tcW w:type="dxa" w:w="876"/>
            <w:tcBorders>
              <w:top w:val="none" w:color="000000" w:sz="4"/>
              <w:left w:val="single" w:color="000000" w:sz="4"/>
              <w:bottom w:val="single" w:color="000000" w:sz="4"/>
              <w:right w:val="single" w:color="000000" w:sz="4"/>
            </w:tcBorders>
            <w:vAlign w:val="top"/>
          </w:tcPr>
          <w:p>
            <w:pPr>
              <w:jc w:val="left"/>
            </w:pPr>
          </w:p>
        </w:tc>
        <w:tc>
          <w:tcPr>
            <w:tcW w:type="dxa" w:w="858"/>
            <w:tcBorders>
              <w:top w:val="none" w:color="000000" w:sz="4"/>
              <w:left w:val="single" w:color="000000" w:sz="4"/>
              <w:bottom w:val="single" w:color="000000" w:sz="4"/>
              <w:right w:val="single" w:color="000000" w:sz="4"/>
            </w:tcBorders>
            <w:vAlign w:val="top"/>
          </w:tcPr>
          <w:p>
            <w:pPr>
              <w:jc w:val="left"/>
            </w:pPr>
          </w:p>
        </w:tc>
        <w:tc>
          <w:tcPr>
            <w:tcW w:type="dxa" w:w="850"/>
            <w:tcBorders>
              <w:top w:val="none" w:color="000000" w:sz="4"/>
              <w:left w:val="single" w:color="000000" w:sz="4"/>
              <w:bottom w:val="single" w:color="000000" w:sz="4"/>
              <w:right w:val="single" w:color="000000" w:sz="4"/>
            </w:tcBorders>
            <w:vAlign w:val="top"/>
          </w:tcPr>
          <w:p>
            <w:pPr>
              <w:jc w:val="center"/>
            </w:pPr>
          </w:p>
        </w:tc>
        <w:tc>
          <w:tcPr>
            <w:tcW w:type="dxa" w:w="947"/>
            <w:tcBorders>
              <w:top w:val="none" w:color="000000" w:sz="4"/>
              <w:left w:val="single" w:color="000000" w:sz="4"/>
              <w:bottom w:val="single" w:color="000000" w:sz="4"/>
              <w:right w:val="single" w:color="000000" w:sz="4"/>
            </w:tcBorders>
            <w:vAlign w:val="top"/>
          </w:tcPr>
          <w:p>
            <w:pPr>
              <w:jc w:val="center"/>
            </w:pPr>
          </w:p>
        </w:tc>
        <w:tc>
          <w:tcPr>
            <w:tcW w:type="dxa" w:w="655"/>
            <w:tcBorders>
              <w:top w:val="none" w:color="000000" w:sz="4"/>
              <w:left w:val="single" w:color="000000" w:sz="4"/>
              <w:bottom w:val="single" w:color="000000" w:sz="4"/>
              <w:right w:val="single" w:color="000000" w:sz="4"/>
            </w:tcBorders>
            <w:vAlign w:val="top"/>
          </w:tcPr>
          <w:p>
            <w:pPr>
              <w:jc w:val="center"/>
            </w:pPr>
          </w:p>
        </w:tc>
        <w:tc>
          <w:tcPr>
            <w:tcW w:type="dxa" w:w="894"/>
            <w:tcBorders>
              <w:top w:val="none" w:color="000000" w:sz="4"/>
              <w:left w:val="single" w:color="000000" w:sz="4"/>
              <w:bottom w:val="single" w:color="000000" w:sz="4"/>
              <w:right w:val="single" w:color="000000" w:sz="4"/>
            </w:tcBorders>
            <w:vAlign w:val="top"/>
          </w:tcPr>
          <w:p>
            <w:pPr>
              <w:jc w:val="center"/>
            </w:pPr>
          </w:p>
        </w:tc>
        <w:tc>
          <w:tcPr>
            <w:tcW w:type="dxa" w:w="894"/>
            <w:tcBorders>
              <w:top w:val="none" w:color="000000" w:sz="4"/>
              <w:left w:val="single" w:color="000000" w:sz="4"/>
              <w:bottom w:val="single" w:color="000000" w:sz="4"/>
              <w:right w:val="single" w:color="000000" w:sz="4"/>
            </w:tcBorders>
            <w:vAlign w:val="top"/>
          </w:tcPr>
          <w:p>
            <w:pPr>
              <w:jc w:val="center"/>
            </w:pPr>
          </w:p>
        </w:tc>
      </w:tr>
    </w:tbl>
    <w:p>
      <w:pPr>
        <w:jc w:val="both"/>
      </w:pP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440701-2023-02207</w:t>
      </w:r>
    </w:p>
    <w:p>
      <w:pPr>
        <w:jc w:val="center"/>
      </w:pPr>
      <w:r>
        <w:rPr>
          <w:b/>
          <w:sz w:val="24"/>
        </w:rPr>
        <w:t>采购项目编号：</w:t>
      </w:r>
      <w:r>
        <w:rPr>
          <w:b/>
          <w:sz w:val="24"/>
        </w:rPr>
        <w:t>CLF0123JM00ZC30</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采联国际招标采购集团有限公司</w:t>
      </w:r>
    </w:p>
    <w:p>
      <w:pPr>
        <w:ind w:firstLine="480"/>
      </w:pPr>
      <w:r>
        <w:rPr/>
        <w:t>你方组织的</w:t>
      </w:r>
      <w:r>
        <w:rPr>
          <w:u w:val="single"/>
        </w:rPr>
        <w:t>“</w:t>
      </w:r>
      <w:r>
        <w:rPr>
          <w:u w:val="single"/>
        </w:rPr>
        <w:t>江门市中心医院强脉冲治疗系统采购项目</w:t>
      </w:r>
      <w:r>
        <w:rPr>
          <w:u w:val="single"/>
        </w:rPr>
        <w:t>”</w:t>
      </w:r>
      <w:r>
        <w:rPr/>
        <w:t>项目的招标[采购项目编号为：</w:t>
      </w:r>
      <w:r>
        <w:rPr>
          <w:u w:val="single"/>
        </w:rPr>
        <w:t>CLF0123JM00ZC30</w:t>
      </w:r>
      <w:r>
        <w:rPr/>
        <w:t>]，我方愿参与投标。</w:t>
      </w:r>
    </w:p>
    <w:p>
      <w:pPr>
        <w:ind w:firstLine="480"/>
      </w:pPr>
      <w:r>
        <w:rPr/>
        <w:t>我方确认收到贵方提供的</w:t>
      </w:r>
      <w:r>
        <w:rPr>
          <w:u w:val="single"/>
        </w:rPr>
        <w:t>“</w:t>
      </w:r>
      <w:r>
        <w:rPr>
          <w:u w:val="single"/>
        </w:rPr>
        <w:t>江门市中心医院强脉冲治疗系统采购项目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采联国际招标采购集团有限公司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江门市中心医院强脉冲治疗系统采购项目</w:t>
      </w:r>
      <w:r>
        <w:rPr/>
        <w:t>”项目采购[采购项目编号为</w:t>
      </w:r>
      <w:r>
        <w:rPr/>
        <w:t>CLF0123JM00ZC30</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江门市中心医院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采联国际招标采购集团有限公司</w:t>
      </w:r>
    </w:p>
    <w:p>
      <w:pPr>
        <w:ind w:firstLine="480"/>
      </w:pPr>
      <w:r>
        <w:rPr/>
        <w:t>如果我方在贵采购代理机构组织的</w:t>
      </w:r>
      <w:r>
        <w:rPr/>
        <w:t>江门市中心医院强脉冲治疗系统采购项目</w:t>
      </w:r>
      <w:r>
        <w:rPr/>
        <w:t>招标中获中标（采购项目编号：</w:t>
      </w:r>
      <w:r>
        <w:rPr/>
        <w:t>CLF0123JM00ZC30</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采联国际招标采购集团有限公司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采联国际招标采购集团有限公司</w:t>
      </w:r>
    </w:p>
    <w:p>
      <w:pPr>
        <w:ind w:firstLine="480"/>
      </w:pPr>
      <w:r>
        <w:rPr/>
        <w:t>我单位已登记并准备参与“</w:t>
      </w:r>
      <w:r>
        <w:rPr/>
        <w:t>江门市中心医院强脉冲治疗系统采购项目</w:t>
      </w:r>
      <w:r>
        <w:rPr/>
        <w:t>”项目（采购项目编号：</w:t>
      </w:r>
      <w:r>
        <w:rPr/>
        <w:t>CLF0123JM00ZC30</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