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442000-2023-03083</w:t>
      </w:r>
    </w:p>
    <w:p>
      <w:pPr>
        <w:jc w:val="center"/>
      </w:pPr>
      <w:r>
        <w:rPr>
          <w:b/>
          <w:sz w:val="24"/>
        </w:rPr>
        <w:t>采购项目编号：</w:t>
      </w:r>
      <w:r>
        <w:rPr>
          <w:b/>
          <w:sz w:val="24"/>
        </w:rPr>
        <w:t>ZZ22312619</w:t>
      </w:r>
    </w:p>
    <w:p>
      <w:pPr>
        <w:jc w:val="center"/>
      </w:pPr>
      <w:r>
        <w:rPr>
          <w:b/>
          <w:sz w:val="24"/>
        </w:rPr>
        <w:t>项目名称：</w:t>
      </w:r>
      <w:r>
        <w:rPr>
          <w:b/>
          <w:sz w:val="24"/>
        </w:rPr>
        <w:t>中山市中医院工作服采购项目(二次)</w:t>
      </w:r>
    </w:p>
    <w:p>
      <w:pPr>
        <w:jc w:val="center"/>
      </w:pPr>
      <w:r>
        <w:rPr>
          <w:b/>
          <w:sz w:val="24"/>
        </w:rPr>
        <w:t>采购人：</w:t>
      </w:r>
      <w:r>
        <w:rPr>
          <w:b/>
          <w:sz w:val="24"/>
        </w:rPr>
        <w:t>中山市中医院</w:t>
      </w:r>
    </w:p>
    <w:p>
      <w:pPr>
        <w:jc w:val="center"/>
      </w:pPr>
      <w:r>
        <w:rPr>
          <w:b/>
          <w:sz w:val="24"/>
        </w:rPr>
        <w:t>采购代理机构：</w:t>
      </w:r>
      <w:r>
        <w:rPr>
          <w:b/>
          <w:sz w:val="24"/>
        </w:rPr>
        <w:t>广东志正招标有限公司中山分公司</w:t>
      </w:r>
    </w:p>
    <w:p>
      <w:pPr>
        <w:ind w:firstLine="480"/>
      </w:pPr>
    </w:p>
    <w:p>
      <w:r>
        <w:rPr/>
        <w:t xml:space="preserve"> </w:t>
      </w:r>
    </w:p>
    <w:p/>
    <w:p>
      <w:pPr>
        <w:jc w:val="center"/>
      </w:pPr>
      <w:r>
        <w:rPr>
          <w:b/>
          <w:sz w:val="36"/>
        </w:rPr>
        <w:t>第一章投标邀请</w:t>
      </w:r>
    </w:p>
    <w:p>
      <w:pPr>
        <w:ind w:firstLine="480"/>
      </w:pPr>
      <w:r>
        <w:rPr/>
        <w:t>广东志正招标有限公司中山分公司</w:t>
      </w:r>
      <w:r>
        <w:rPr/>
        <w:t>受</w:t>
      </w:r>
      <w:r>
        <w:rPr/>
        <w:t>中山市中医院</w:t>
      </w:r>
      <w:r>
        <w:rPr/>
        <w:t>的委托，采用</w:t>
      </w:r>
      <w:r>
        <w:rPr/>
        <w:t>公开招标</w:t>
      </w:r>
      <w:r>
        <w:rPr/>
        <w:t>方式组织采购</w:t>
      </w:r>
      <w:r>
        <w:rPr/>
        <w:t>中山市中医院工作服采购项目(二次)</w:t>
      </w:r>
      <w:r>
        <w:rPr/>
        <w:t>。欢迎符合资格条件的国内供应商参加投标。</w:t>
      </w:r>
    </w:p>
    <w:p>
      <w:r>
        <w:rPr>
          <w:b/>
          <w:sz w:val="28"/>
        </w:rPr>
        <w:t>一.项目概述</w:t>
      </w:r>
    </w:p>
    <w:p>
      <w:r>
        <w:rPr>
          <w:b/>
          <w:sz w:val="24"/>
        </w:rPr>
        <w:t>1.名称与编号</w:t>
      </w:r>
    </w:p>
    <w:p>
      <w:pPr>
        <w:ind w:firstLine="480"/>
      </w:pPr>
      <w:r>
        <w:rPr/>
        <w:t>项目名称：</w:t>
      </w:r>
      <w:r>
        <w:rPr/>
        <w:t>中山市中医院工作服采购项目(二次)</w:t>
      </w:r>
    </w:p>
    <w:p>
      <w:pPr>
        <w:ind w:firstLine="480"/>
      </w:pPr>
      <w:r>
        <w:rPr/>
        <w:t>采购计划编号：</w:t>
      </w:r>
      <w:r>
        <w:rPr/>
        <w:t>442000-2023-03083</w:t>
      </w:r>
    </w:p>
    <w:p>
      <w:pPr>
        <w:ind w:firstLine="480"/>
      </w:pPr>
      <w:r>
        <w:rPr/>
        <w:t>采购项目编号：</w:t>
      </w:r>
      <w:r>
        <w:rPr/>
        <w:t>ZZ22312619</w:t>
      </w:r>
    </w:p>
    <w:p>
      <w:pPr>
        <w:ind w:firstLine="480"/>
      </w:pPr>
      <w:r>
        <w:rPr/>
        <w:t>采购方式：</w:t>
      </w:r>
      <w:r>
        <w:rPr/>
        <w:t>公开招标</w:t>
      </w:r>
    </w:p>
    <w:p>
      <w:pPr>
        <w:ind w:firstLine="480"/>
      </w:pPr>
      <w:r>
        <w:rPr/>
        <w:t>预算金额：</w:t>
      </w:r>
      <w:r>
        <w:rPr/>
        <w:t>801,900.00</w:t>
      </w:r>
      <w:r>
        <w:rPr/>
        <w:t>元</w:t>
      </w:r>
    </w:p>
    <w:p>
      <w:r>
        <w:rPr>
          <w:b/>
          <w:sz w:val="24"/>
        </w:rPr>
        <w:t>2.项目内容及需求情况（采购项目技术规格、参数及要求）</w:t>
      </w:r>
    </w:p>
    <w:p>
      <w:pPr>
        <w:ind w:firstLine="480"/>
      </w:pPr>
    </w:p>
    <w:p/>
    <w:p>
      <w:r>
        <w:rPr/>
        <w:t>采购包1(中山市中医院工作服（衬衫）采购):</w:t>
      </w:r>
    </w:p>
    <w:p>
      <w:r>
        <w:rPr/>
        <w:t>采购包预算金额：801,900.00元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普通服装</w:t>
            </w:r>
          </w:p>
        </w:tc>
        <w:tc>
          <w:tcPr>
            <w:tcW w:type="dxa" w:w="2052"/>
          </w:tcPr>
          <w:p>
            <w:r>
              <w:rPr/>
              <w:t>中山市中医院工作服（衬衫）</w:t>
            </w:r>
          </w:p>
        </w:tc>
        <w:tc>
          <w:tcPr>
            <w:tcW w:type="dxa" w:w="977"/>
          </w:tcPr>
          <w:p>
            <w:r>
              <w:rPr/>
              <w:t>1.00(批)</w:t>
            </w:r>
          </w:p>
        </w:tc>
        <w:tc>
          <w:tcPr>
            <w:tcW w:type="dxa" w:w="977"/>
          </w:tcPr>
          <w:p>
            <w:r>
              <w:rPr/>
              <w:t>详见第二章</w:t>
            </w:r>
          </w:p>
        </w:tc>
        <w:tc>
          <w:tcPr>
            <w:tcW w:type="dxa" w:w="977"/>
          </w:tcPr>
          <w:p>
            <w:r>
              <w:rPr/>
              <w:t>801,900.00</w:t>
            </w:r>
          </w:p>
        </w:tc>
        <w:tc>
          <w:tcPr>
            <w:tcW w:type="dxa" w:w="977"/>
          </w:tcPr>
          <w:p>
            <w:r>
              <w:rPr/>
              <w:t>否</w:t>
            </w:r>
          </w:p>
        </w:tc>
      </w:tr>
    </w:tbl>
    <w:p/>
    <w:p>
      <w:r>
        <w:rPr/>
        <w:t>本采购包不接受联合体投标</w:t>
      </w:r>
    </w:p>
    <w:p/>
    <w:p>
      <w:r>
        <w:rPr/>
        <w:t>合同履行期限：6个月</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2021年财务报告（或2022年至今任意一个月份财务报表）关键页或由基本开户银行出具的资信证明或政府采购专业担保机构出具的投标担保函） 。</w:t>
      </w:r>
    </w:p>
    <w:p/>
    <w:p>
      <w:r>
        <w:rPr/>
        <w:t>4）履行合同所必需的设备和专业技术能力：需同时提供设备及专业技术能力（人员）两类信息，格式自拟。</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采购包1（中山市中医院工作服（衬衫）采购）：</w:t>
      </w:r>
      <w:r>
        <w:rPr/>
        <w:t>采购包整体专门面向中小企业：所投货物制造商须为符合《政府采购促进中小企业发展管理办法》（财库〔2020〕46号）规定和《中小企业划型标准规定》（工信部联企业[2011]300号）的中型、小型、微型企业。（本项目采购标的对应行业：工业）注：中小企业以供应商填写的《中小企业声明函》（见招标文件格式）为判定标准；残疾人福利性单位以供应商填写的《残疾人福利性单位声明函》（见招标文件格式）为判定标准；监狱企业须供应商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采购包1（中山市中医院工作服（衬衫）采购）：</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3)无围标、串标行为（出具《无围标、串标行为承诺书》）。</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中山市中医院</w:t>
      </w:r>
    </w:p>
    <w:p>
      <w:pPr>
        <w:ind w:firstLine="480"/>
      </w:pPr>
      <w:r>
        <w:rPr/>
        <w:t>地址：</w:t>
      </w:r>
      <w:r>
        <w:rPr/>
        <w:t>中山市西区康欣路3号</w:t>
      </w:r>
    </w:p>
    <w:p>
      <w:pPr>
        <w:ind w:firstLine="480"/>
      </w:pPr>
      <w:r>
        <w:rPr/>
        <w:t>联系方式：</w:t>
      </w:r>
      <w:r>
        <w:rPr/>
        <w:t>0760-89989587</w:t>
      </w:r>
    </w:p>
    <w:p>
      <w:r>
        <w:rPr>
          <w:b/>
          <w:sz w:val="24"/>
        </w:rPr>
        <w:t>2.采购代理机构信息</w:t>
      </w:r>
    </w:p>
    <w:p>
      <w:pPr>
        <w:ind w:firstLine="480"/>
      </w:pPr>
      <w:r>
        <w:rPr/>
        <w:t>名称：</w:t>
      </w:r>
      <w:r>
        <w:rPr/>
        <w:t>广东志正招标有限公司中山分公司</w:t>
      </w:r>
    </w:p>
    <w:p>
      <w:pPr>
        <w:ind w:firstLine="480"/>
      </w:pPr>
      <w:r>
        <w:rPr/>
        <w:t>地址：</w:t>
      </w:r>
      <w:r>
        <w:rPr/>
        <w:t>中山市东区中山四路亨尾大街3号软件园东园区2楼20室</w:t>
      </w:r>
    </w:p>
    <w:p>
      <w:pPr>
        <w:ind w:firstLine="480"/>
      </w:pPr>
      <w:r>
        <w:rPr/>
        <w:t>联系方式：</w:t>
      </w:r>
      <w:r>
        <w:rPr/>
        <w:t>0760-88808187、88811601</w:t>
      </w:r>
    </w:p>
    <w:p>
      <w:r>
        <w:rPr>
          <w:b/>
          <w:sz w:val="24"/>
        </w:rPr>
        <w:t>3.项目联系方式</w:t>
      </w:r>
    </w:p>
    <w:p>
      <w:pPr>
        <w:ind w:firstLine="480"/>
      </w:pPr>
      <w:r>
        <w:rPr/>
        <w:t>项目联系人：</w:t>
      </w:r>
      <w:r>
        <w:rPr/>
        <w:t>李小姐</w:t>
      </w:r>
    </w:p>
    <w:p>
      <w:pPr>
        <w:ind w:firstLine="480"/>
      </w:pPr>
      <w:r>
        <w:rPr/>
        <w:t>电话：</w:t>
      </w:r>
      <w:r>
        <w:rPr/>
        <w:t>0760-88808187、88811601</w:t>
      </w:r>
    </w:p>
    <w:p>
      <w:r>
        <w:rPr>
          <w:b/>
          <w:sz w:val="24"/>
        </w:rPr>
        <w:t>4.技术支持联系方式</w:t>
      </w:r>
    </w:p>
    <w:p>
      <w:pPr>
        <w:ind w:firstLine="480"/>
      </w:pPr>
      <w:r>
        <w:rPr/>
        <w:t>云平台联系方式：020-88696588</w:t>
      </w:r>
    </w:p>
    <w:p>
      <w:r>
        <w:rPr/>
        <w:t>采购代理机构：</w:t>
      </w:r>
      <w:r>
        <w:rPr/>
        <w:t>广东志正招标有限公司中山分公司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1、包组名称：中山市中医院工作服（衬衫）采购</w:t>
      </w:r>
      <w:r>
        <w:br/>
      </w:r>
      <w:r>
        <w:rPr/>
        <w:t>2、包组预算金额：801,900.00元</w:t>
      </w:r>
      <w:r>
        <w:br/>
      </w:r>
      <w:r>
        <w:rPr/>
        <w:t>3、项目内容：为提升医院整体形象，统一会议、活动服装，展现医院员工的良好精神风貌和职业形象，医院拟为员工定制一批衬衫，预计人数2673人，衬衫定制费用约300元/人（每人一件长袖、一件短袖衬衫）。</w:t>
      </w:r>
      <w:r>
        <w:br/>
      </w:r>
      <w:r>
        <w:rPr/>
        <w:t>4、供货期：6个月或支付金额累计达到预算金额，合同结束，以先到达的为准。</w:t>
      </w:r>
    </w:p>
    <w:p/>
    <w:p>
      <w:pPr>
        <w:ind w:firstLine="480"/>
      </w:pPr>
    </w:p>
    <w:p/>
    <w:p>
      <w:r>
        <w:rPr/>
        <w:t>采购包1（中山市中医院工作服（衬衫）采购）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采购人指定时间</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1期：支付比例100%,1、按实际采购数量和合同单价进行结算。2、按时按量交货并通过验收后，中标人开具相应金额的正规发票，采购人收到发票后15个自然日内支付相应货款。</w:t>
            </w:r>
          </w:p>
        </w:tc>
      </w:tr>
      <w:tr>
        <w:tc>
          <w:tcPr>
            <w:tcW w:type="dxa" w:w="4153"/>
          </w:tcPr>
          <w:p>
            <w:r>
              <w:rPr/>
              <w:t>验收要求</w:t>
            </w:r>
          </w:p>
        </w:tc>
        <w:tc>
          <w:tcPr>
            <w:tcW w:type="dxa" w:w="4153"/>
          </w:tcPr>
          <w:p/>
          <w:p/>
          <w:p/>
          <w:p>
            <w:r>
              <w:rPr/>
              <w:t>1期：按照国家及行业的相关规定以及招标文件中的有关要求进行验收。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普通服装</w:t>
            </w:r>
          </w:p>
        </w:tc>
        <w:tc>
          <w:tcPr>
            <w:tcW w:type="dxa" w:w="831"/>
          </w:tcPr>
          <w:p>
            <w:pPr>
              <w:jc w:val="left"/>
            </w:pPr>
            <w:r>
              <w:rPr/>
              <w:t>中山市中医院工作服（衬衫）</w:t>
            </w:r>
          </w:p>
        </w:tc>
        <w:tc>
          <w:tcPr>
            <w:tcW w:type="dxa" w:w="831"/>
          </w:tcPr>
          <w:p>
            <w:pPr>
              <w:jc w:val="left"/>
            </w:pPr>
            <w:r>
              <w:rPr/>
              <w:t>批</w:t>
            </w:r>
          </w:p>
        </w:tc>
        <w:tc>
          <w:tcPr>
            <w:tcW w:type="dxa" w:w="831"/>
          </w:tcPr>
          <w:p>
            <w:pPr>
              <w:jc w:val="right"/>
            </w:pPr>
            <w:r>
              <w:rPr/>
              <w:t>1.00</w:t>
            </w:r>
          </w:p>
        </w:tc>
        <w:tc>
          <w:tcPr>
            <w:tcW w:type="dxa" w:w="831"/>
          </w:tcPr>
          <w:p>
            <w:pPr>
              <w:jc w:val="right"/>
            </w:pPr>
            <w:r>
              <w:rPr/>
              <w:t>801,900.00</w:t>
            </w:r>
          </w:p>
        </w:tc>
        <w:tc>
          <w:tcPr>
            <w:tcW w:type="dxa" w:w="831"/>
          </w:tcPr>
          <w:p>
            <w:pPr>
              <w:jc w:val="right"/>
            </w:pPr>
            <w:r>
              <w:rPr/>
              <w:t>801,900.00</w:t>
            </w:r>
          </w:p>
        </w:tc>
        <w:tc>
          <w:tcPr>
            <w:tcW w:type="dxa" w:w="831"/>
          </w:tcPr>
          <w:p>
            <w:r>
              <w:rPr/>
              <w:t>工业</w:t>
            </w:r>
          </w:p>
        </w:tc>
        <w:tc>
          <w:tcPr>
            <w:tcW w:type="dxa" w:w="831"/>
          </w:tcPr>
          <w:p>
            <w:r>
              <w:rPr/>
              <w:t>详见附表一</w:t>
            </w:r>
          </w:p>
        </w:tc>
      </w:tr>
    </w:tbl>
    <w:p/>
    <w:p>
      <w:r>
        <w:rPr>
          <w:b/>
        </w:rPr>
        <w:t>附表</w:t>
      </w:r>
      <w:r>
        <w:rPr>
          <w:b/>
        </w:rPr>
        <w:t>一</w:t>
      </w:r>
      <w:r>
        <w:rPr>
          <w:b/>
        </w:rPr>
        <w:t>：</w:t>
      </w:r>
      <w:r>
        <w:rPr>
          <w:b/>
        </w:rPr>
        <w:t>中山市中医院工作服（衬衫）</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b/>
              </w:rPr>
              <w:t>一、项目要求</w:t>
            </w:r>
            <w:r>
              <w:br/>
            </w:r>
            <w:r>
              <w:rPr/>
              <w:t>1、供应商提供的货物必须是合格产品，符合国家及行业相关要求，且是全新产品，整体无污染、表面无划损、无任何缺陷隐患。</w:t>
            </w:r>
            <w:r>
              <w:br/>
            </w:r>
            <w:r>
              <w:rPr/>
              <w:t>2、采购人在使用该货物或货物的任何一部分时，免受第三方提出的侵犯其专利权、商标权、工业设计权、侵犯所有权和工业产权、著作权（版权）等知识产权的起诉。</w:t>
            </w:r>
            <w:r>
              <w:br/>
            </w:r>
            <w:r>
              <w:rPr/>
              <w:t>3、供应商提供的货物品种、材料、规格、款式、颜色等须符合采购人要求，并按采购人需求印制指定字样和绣标志。</w:t>
            </w:r>
            <w:r>
              <w:br/>
            </w:r>
            <w:r>
              <w:rPr/>
              <w:t>4、供应商必须在接到供货通知与尺码统计后5个日历天内对特殊体型员工进行量体定制，方式为上门量体裁制，单人单裁（费用包含在投标报价中）。量体结束后25天内完成供货。</w:t>
            </w:r>
            <w:r>
              <w:br/>
            </w:r>
            <w:r>
              <w:rPr/>
              <w:t>5、验收由采购人与供应商及相关人员按产品标准包括对服装相适应的国家标准、行业标准、企业标准和地方标准进行。产品标准及检验依据如下：</w:t>
            </w:r>
            <w:r>
              <w:br/>
            </w:r>
            <w:r>
              <w:rPr/>
              <w:t xml:space="preserve">5.1 GB18401－2010《国家纺织产品基本安全技术规范》。 </w:t>
            </w:r>
            <w:r>
              <w:br/>
            </w:r>
            <w:r>
              <w:rPr/>
              <w:t>5.2 GB/T2660-2017《衬衫》。</w:t>
            </w:r>
            <w:r>
              <w:br/>
            </w:r>
            <w:r>
              <w:rPr/>
              <w:t>6、所有码数按中标价（均价）结算。</w:t>
            </w:r>
            <w:r>
              <w:br/>
            </w:r>
            <w:r>
              <w:rPr/>
              <w:t>7、货物经采购人清点验收合格之日起，供应商须提供90天质保服务（费用包含在投标报价中）。供应商承诺在接到用户的更换（因质量问题）或加单通知，30天内能更换或补单（费用包含在投标报价中）。有任何脱线、烂洞、掉扣等外观质量问题以及不合尺寸问题都给予修改或者更换（费用包含在投标报价中），并在15天内保证按要求完成修改、修复等服务。</w:t>
            </w:r>
            <w:r>
              <w:br/>
            </w:r>
            <w:r>
              <w:rPr/>
              <w:t>8、对于本项目采购金额以外，我院仍有购买需求的情况下，采购单价按中标单价采购。</w:t>
            </w:r>
          </w:p>
        </w:tc>
      </w:tr>
      <w:tr>
        <w:tc>
          <w:tcPr>
            <w:tcW w:type="dxa" w:w="2076"/>
          </w:tcPr>
          <w:p/>
        </w:tc>
        <w:tc>
          <w:tcPr>
            <w:tcW w:type="dxa" w:w="415"/>
          </w:tcPr>
          <w:p>
            <w:r>
              <w:rPr/>
              <w:t>2</w:t>
            </w:r>
          </w:p>
        </w:tc>
        <w:tc>
          <w:tcPr>
            <w:tcW w:type="dxa" w:w="5814"/>
          </w:tcPr>
          <w:p>
            <w:r>
              <w:rPr>
                <w:b/>
              </w:rPr>
              <w:t>二、采购清单</w:t>
            </w:r>
          </w:p>
          <w:tbl>
            <w:tblPr>
              <w:tblBorders>
                <w:top w:val="none" w:color="000000" w:sz="4"/>
                <w:left w:val="none" w:color="000000" w:sz="4"/>
                <w:bottom w:val="none" w:color="000000" w:sz="4"/>
                <w:right w:val="none" w:color="000000" w:sz="4"/>
                <w:insideH w:val="none"/>
                <w:insideV w:val="none"/>
              </w:tblBorders>
            </w:tblPr>
            <w:tblGrid>
              <w:gridCol w:w="1344"/>
              <w:gridCol w:w="1701"/>
              <w:gridCol w:w="1965"/>
              <w:gridCol w:w="1965"/>
            </w:tblGrid>
            <w:tr>
              <w:tc>
                <w:tcPr>
                  <w:tcW w:type="dxa" w:w="1344"/>
                  <w:tcBorders>
                    <w:top w:val="single" w:color="000000" w:sz="4"/>
                    <w:left w:val="single" w:color="000000" w:sz="4"/>
                    <w:bottom w:val="single" w:color="000000" w:sz="4"/>
                    <w:right w:val="single" w:color="000000" w:sz="4"/>
                  </w:tcBorders>
                  <w:vAlign w:val="top"/>
                </w:tcPr>
                <w:p>
                  <w:pPr>
                    <w:jc w:val="center"/>
                  </w:pPr>
                  <w:r>
                    <w:rPr>
                      <w:sz w:val="21"/>
                    </w:rPr>
                    <w:t>产品种类</w:t>
                  </w:r>
                </w:p>
              </w:tc>
              <w:tc>
                <w:tcPr>
                  <w:tcW w:type="dxa" w:w="1701"/>
                  <w:tcBorders>
                    <w:top w:val="single" w:color="000000" w:sz="4"/>
                    <w:left w:val="single" w:color="000000" w:sz="4"/>
                    <w:bottom w:val="single" w:color="000000" w:sz="4"/>
                    <w:right w:val="single" w:color="000000" w:sz="4"/>
                  </w:tcBorders>
                  <w:vAlign w:val="top"/>
                </w:tcPr>
                <w:p>
                  <w:pPr>
                    <w:jc w:val="center"/>
                  </w:pPr>
                  <w:r>
                    <w:rPr>
                      <w:sz w:val="21"/>
                    </w:rPr>
                    <w:t>预估采购数量</w:t>
                  </w:r>
                </w:p>
                <w:p>
                  <w:pPr>
                    <w:jc w:val="center"/>
                  </w:pPr>
                  <w:r>
                    <w:rPr>
                      <w:sz w:val="21"/>
                    </w:rPr>
                    <w:t>（件）</w:t>
                  </w:r>
                </w:p>
              </w:tc>
              <w:tc>
                <w:tcPr>
                  <w:tcW w:type="dxa" w:w="1965"/>
                  <w:tcBorders>
                    <w:top w:val="single" w:color="000000" w:sz="4"/>
                    <w:left w:val="single" w:color="000000" w:sz="4"/>
                    <w:bottom w:val="single" w:color="000000" w:sz="4"/>
                    <w:right w:val="single" w:color="000000" w:sz="4"/>
                  </w:tcBorders>
                  <w:vAlign w:val="top"/>
                </w:tcPr>
                <w:p>
                  <w:pPr>
                    <w:jc w:val="center"/>
                  </w:pPr>
                  <w:r>
                    <w:rPr>
                      <w:sz w:val="21"/>
                    </w:rPr>
                    <w:t>尺码</w:t>
                  </w:r>
                </w:p>
              </w:tc>
              <w:tc>
                <w:tcPr>
                  <w:tcW w:type="dxa" w:w="1965"/>
                  <w:tcBorders>
                    <w:top w:val="single" w:color="000000" w:sz="4"/>
                    <w:left w:val="single" w:color="000000" w:sz="4"/>
                    <w:bottom w:val="single" w:color="000000" w:sz="4"/>
                    <w:right w:val="single" w:color="000000" w:sz="4"/>
                  </w:tcBorders>
                  <w:vAlign w:val="top"/>
                </w:tcPr>
                <w:p>
                  <w:pPr>
                    <w:jc w:val="center"/>
                  </w:pPr>
                  <w:r>
                    <w:rPr>
                      <w:sz w:val="21"/>
                    </w:rPr>
                    <w:t>单价上限</w:t>
                  </w:r>
                </w:p>
              </w:tc>
            </w:tr>
            <w:tr>
              <w:tc>
                <w:tcPr>
                  <w:tcW w:type="dxa" w:w="1344"/>
                  <w:tcBorders>
                    <w:top w:val="none" w:color="000000" w:sz="4"/>
                    <w:left w:val="single" w:color="000000" w:sz="4"/>
                    <w:bottom w:val="single" w:color="000000" w:sz="4"/>
                    <w:right w:val="single" w:color="000000" w:sz="4"/>
                  </w:tcBorders>
                  <w:vAlign w:val="top"/>
                </w:tcPr>
                <w:p>
                  <w:pPr>
                    <w:jc w:val="center"/>
                  </w:pPr>
                  <w:r>
                    <w:rPr>
                      <w:sz w:val="21"/>
                    </w:rPr>
                    <w:t>短袖（白色）</w:t>
                  </w:r>
                </w:p>
              </w:tc>
              <w:tc>
                <w:tcPr>
                  <w:tcW w:type="dxa" w:w="1701"/>
                  <w:tcBorders>
                    <w:top w:val="none" w:color="000000" w:sz="4"/>
                    <w:left w:val="single" w:color="000000" w:sz="4"/>
                    <w:bottom w:val="single" w:color="000000" w:sz="4"/>
                    <w:right w:val="single" w:color="000000" w:sz="4"/>
                  </w:tcBorders>
                  <w:vAlign w:val="top"/>
                </w:tcPr>
                <w:p>
                  <w:pPr>
                    <w:jc w:val="center"/>
                  </w:pPr>
                  <w:r>
                    <w:rPr>
                      <w:sz w:val="21"/>
                    </w:rPr>
                    <w:t>2673</w:t>
                  </w:r>
                </w:p>
              </w:tc>
              <w:tc>
                <w:tcPr>
                  <w:tcW w:type="dxa" w:w="1965"/>
                  <w:vMerge w:val="restart"/>
                  <w:tcBorders>
                    <w:top w:val="none" w:color="000000" w:sz="4"/>
                    <w:left w:val="single" w:color="000000" w:sz="4"/>
                    <w:bottom w:val="single" w:color="000000" w:sz="4"/>
                    <w:right w:val="single" w:color="000000" w:sz="4"/>
                  </w:tcBorders>
                  <w:vAlign w:val="top"/>
                </w:tcPr>
                <w:p>
                  <w:pPr>
                    <w:jc w:val="center"/>
                  </w:pPr>
                  <w:r>
                    <w:rPr>
                      <w:sz w:val="21"/>
                    </w:rPr>
                    <w:t>男士：</w:t>
                  </w:r>
                  <w:r>
                    <w:rPr>
                      <w:sz w:val="21"/>
                    </w:rPr>
                    <w:t>37--48</w:t>
                  </w:r>
                  <w:r>
                    <w:rPr>
                      <w:sz w:val="21"/>
                    </w:rPr>
                    <w:t>码套码，</w:t>
                  </w:r>
                </w:p>
                <w:p>
                  <w:pPr>
                    <w:jc w:val="center"/>
                  </w:pPr>
                  <w:r>
                    <w:rPr>
                      <w:sz w:val="21"/>
                    </w:rPr>
                    <w:t>女士：</w:t>
                  </w:r>
                  <w:r>
                    <w:rPr>
                      <w:sz w:val="21"/>
                    </w:rPr>
                    <w:t>35--46</w:t>
                  </w:r>
                  <w:r>
                    <w:rPr>
                      <w:sz w:val="21"/>
                    </w:rPr>
                    <w:t>码套码，套码以外的特殊体型提供量体定制服务</w:t>
                  </w:r>
                </w:p>
              </w:tc>
              <w:tc>
                <w:tcPr>
                  <w:tcW w:type="dxa" w:w="1965"/>
                  <w:vMerge w:val="restart"/>
                  <w:tcBorders>
                    <w:top w:val="none" w:color="000000" w:sz="4"/>
                    <w:left w:val="single" w:color="000000" w:sz="4"/>
                    <w:bottom w:val="single" w:color="000000" w:sz="4"/>
                    <w:right w:val="single" w:color="000000" w:sz="4"/>
                  </w:tcBorders>
                  <w:vAlign w:val="top"/>
                </w:tcPr>
                <w:p>
                  <w:pPr>
                    <w:jc w:val="center"/>
                  </w:pPr>
                  <w:r>
                    <w:rPr>
                      <w:sz w:val="21"/>
                    </w:rPr>
                    <w:t>300</w:t>
                  </w:r>
                  <w:r>
                    <w:rPr>
                      <w:sz w:val="21"/>
                    </w:rPr>
                    <w:t>元</w:t>
                  </w:r>
                  <w:r>
                    <w:rPr>
                      <w:sz w:val="21"/>
                    </w:rPr>
                    <w:t>/</w:t>
                  </w:r>
                  <w:r>
                    <w:rPr>
                      <w:sz w:val="21"/>
                    </w:rPr>
                    <w:t>人（每人一件长袖、一件短袖衬衫）</w:t>
                  </w:r>
                </w:p>
              </w:tc>
            </w:tr>
            <w:tr>
              <w:tc>
                <w:tcPr>
                  <w:tcW w:type="dxa" w:w="1344"/>
                  <w:tcBorders>
                    <w:top w:val="none" w:color="000000" w:sz="4"/>
                    <w:left w:val="single" w:color="000000" w:sz="4"/>
                    <w:bottom w:val="single" w:color="000000" w:sz="4"/>
                    <w:right w:val="single" w:color="000000" w:sz="4"/>
                  </w:tcBorders>
                  <w:vAlign w:val="top"/>
                </w:tcPr>
                <w:p>
                  <w:pPr>
                    <w:jc w:val="center"/>
                  </w:pPr>
                  <w:r>
                    <w:rPr>
                      <w:sz w:val="21"/>
                    </w:rPr>
                    <w:t>长袖（白色）</w:t>
                  </w:r>
                </w:p>
              </w:tc>
              <w:tc>
                <w:tcPr>
                  <w:tcW w:type="dxa" w:w="1701"/>
                  <w:tcBorders>
                    <w:top w:val="none" w:color="000000" w:sz="4"/>
                    <w:left w:val="single" w:color="000000" w:sz="4"/>
                    <w:bottom w:val="single" w:color="000000" w:sz="4"/>
                    <w:right w:val="single" w:color="000000" w:sz="4"/>
                  </w:tcBorders>
                  <w:vAlign w:val="top"/>
                </w:tcPr>
                <w:p>
                  <w:pPr>
                    <w:jc w:val="center"/>
                  </w:pPr>
                  <w:r>
                    <w:rPr>
                      <w:sz w:val="22"/>
                    </w:rPr>
                    <w:t>2673</w:t>
                  </w:r>
                </w:p>
              </w:tc>
            </w:tr>
          </w:tbl>
          <w:p>
            <w:r>
              <w:rPr/>
              <w:t>说明：本项目的采购数量为预估采购数量，采购人无法保证成交数量与上表一致，结算时以实际发生量为准。本项目以协议供货期结束或项目预算使用完毕为结束时间点，以先到达的为准。</w:t>
            </w:r>
          </w:p>
          <w:p>
            <w:r>
              <w:rPr/>
              <w:t xml:space="preserve"> </w:t>
            </w:r>
          </w:p>
          <w:p>
            <w:r>
              <w:rPr/>
              <w:t xml:space="preserve"> </w:t>
            </w:r>
          </w:p>
        </w:tc>
      </w:tr>
      <w:tr>
        <w:tc>
          <w:tcPr>
            <w:tcW w:type="dxa" w:w="2076"/>
          </w:tcPr>
          <w:p/>
        </w:tc>
        <w:tc>
          <w:tcPr>
            <w:tcW w:type="dxa" w:w="415"/>
          </w:tcPr>
          <w:p>
            <w:r>
              <w:rPr/>
              <w:t>3</w:t>
            </w:r>
          </w:p>
        </w:tc>
        <w:tc>
          <w:tcPr>
            <w:tcW w:type="dxa" w:w="5814"/>
          </w:tcPr>
          <w:p>
            <w:r>
              <w:rPr>
                <w:b/>
              </w:rPr>
              <w:t>三、参数要求</w:t>
            </w:r>
            <w:r>
              <w:br/>
            </w:r>
            <w:r>
              <w:rPr/>
              <w:t>1、男士</w:t>
            </w:r>
            <w:r>
              <w:br/>
            </w:r>
            <w:r>
              <w:rPr/>
              <w:t>（1）男装短袖衬衣面料材质：成分：100%棉，成衣免烫，免烫等级≥3.5级 纱支：100S/2*100S/2</w:t>
            </w:r>
            <w:r>
              <w:br/>
            </w:r>
            <w:r>
              <w:rPr/>
              <w:t>款式描述：6公分尖领，死插竹，2.8明门襟七粒扣，圆下摆，后片过肩无褶，左前胸绣标志，标志颜色绣面料原身色。针距3CM，16针。</w:t>
            </w:r>
            <w:r>
              <w:br/>
            </w:r>
            <w:r>
              <w:rPr/>
              <w:t>（2）男装长袖衬衣面料材质：成分：100%棉，成衣免烫，免烫等级≥3.5级 纱支：100S/2*100S/2</w:t>
            </w:r>
            <w:r>
              <w:br/>
            </w:r>
            <w:r>
              <w:rPr/>
              <w:t>款式描述：6公分尖领，死插竹，2.8明门襟七粒扣，圆下摆，后片过肩无褶，6.5圆角袖口，开单钮门双粒扣，单褶袖口，左前胸绣标志，标志颜色绣面料原身色。针距3CM，16针。</w:t>
            </w:r>
            <w:r>
              <w:br/>
            </w:r>
            <w:r>
              <w:rPr/>
              <w:t>2、女士</w:t>
            </w:r>
            <w:r>
              <w:br/>
            </w:r>
            <w:r>
              <w:rPr/>
              <w:t>（1）女装短袖衬衣面料材质：成份：100%棉，成衣免烫，免烫等级≥3.5级 纱支：80S/2*80S/2,</w:t>
            </w:r>
            <w:r>
              <w:br/>
            </w:r>
            <w:r>
              <w:rPr/>
              <w:t>款式描述：V领宽7公分，明门襟七粒扣，圆下摆，第一、第二和第二、第三扣之间加暗扣，左前胸绣标志，标志颜色绣面料原身色。针距3CM，16针。</w:t>
            </w:r>
            <w:r>
              <w:br/>
            </w:r>
            <w:r>
              <w:rPr/>
              <w:t>（2）女装长袖衬衣面料材质：成份：100%棉，成衣免烫，免烫等级≥3.5级 纱支：80S/2*80S/2,</w:t>
            </w:r>
            <w:r>
              <w:br/>
            </w:r>
            <w:r>
              <w:rPr/>
              <w:t>款式描述：关门领宽6公分，明门襟8粒扣，圆下摆，第二、第三和第三、第四扣之间加暗扣，圆角后袖口钉双扣，左前胸绣标志，标志颜色绣面料原身色。针距3CM，16针。</w:t>
            </w:r>
            <w:r>
              <w:br/>
            </w:r>
            <w:r>
              <w:rPr/>
              <w:t>3、领子袖口衬布高温高压定型不变形。</w:t>
            </w:r>
            <w:r>
              <w:br/>
            </w:r>
            <w:r>
              <w:rPr/>
              <w:t>4、要求袖笼侧缝胶条高温高压定型，有型平整不起泡，耐穿，耐洗，久洗不变形。</w:t>
            </w:r>
            <w:r>
              <w:br/>
            </w:r>
            <w:r>
              <w:rPr/>
              <w:t>5、门襟、里襟、肩缝、后背、口袋、专机高温高压定型，平整度高。</w:t>
            </w:r>
            <w:r>
              <w:br/>
            </w:r>
            <w:r>
              <w:rPr/>
              <w:t>6、要求衬衫做到无线头。</w:t>
            </w:r>
            <w:r>
              <w:br/>
            </w:r>
            <w:r>
              <w:rPr/>
              <w:t>7、衣服款式设计需凸显高级、正式、端庄，穿着出席各类场合大方得体。</w:t>
            </w:r>
          </w:p>
        </w:tc>
      </w:tr>
      <w:tr>
        <w:tc>
          <w:tcPr>
            <w:tcW w:type="dxa" w:w="2076"/>
          </w:tcPr>
          <w:p>
            <w:r>
              <w:rPr/>
              <w:t>★</w:t>
            </w:r>
          </w:p>
        </w:tc>
        <w:tc>
          <w:tcPr>
            <w:tcW w:type="dxa" w:w="415"/>
          </w:tcPr>
          <w:p>
            <w:r>
              <w:rPr/>
              <w:t>4</w:t>
            </w:r>
          </w:p>
        </w:tc>
        <w:tc>
          <w:tcPr>
            <w:tcW w:type="dxa" w:w="5814"/>
          </w:tcPr>
          <w:p>
            <w:r>
              <w:rPr>
                <w:sz w:val="21"/>
              </w:rPr>
              <w:t>★</w:t>
            </w:r>
            <w:r>
              <w:rPr>
                <w:b/>
              </w:rPr>
              <w:t>四、报价要求</w:t>
            </w:r>
            <w:r>
              <w:br/>
            </w:r>
            <w:r>
              <w:rPr>
                <w:b/>
              </w:rPr>
              <w:t>1.投标人需按“二、采购清单”进行单价报价，并列明各产品种类的单价，投标报价（一件长袖、一件短袖衬衫单价合计）不能超过单价报价上限（300元）。</w:t>
            </w:r>
            <w:r>
              <w:br/>
            </w:r>
            <w:r>
              <w:rPr/>
              <w:t>2.报价要求包括服装产品的材料费、设计费、制作费、上门为指定体型客户度身及试身费、包装费、配送费、运输费、验收费、仓储费、售后服务、原材料价格市场波动等引起的费用、保险费、加工费、各项税费及合同实施过程中不可预见费用等全部费用。</w:t>
            </w:r>
          </w:p>
        </w:tc>
      </w:tr>
      <w:tr>
        <w:tc>
          <w:tcPr>
            <w:tcW w:type="dxa" w:w="2076"/>
          </w:tcPr>
          <w:p/>
        </w:tc>
        <w:tc>
          <w:tcPr>
            <w:tcW w:type="dxa" w:w="415"/>
          </w:tcPr>
          <w:p>
            <w:r>
              <w:rPr/>
              <w:t>5</w:t>
            </w:r>
          </w:p>
        </w:tc>
        <w:tc>
          <w:tcPr>
            <w:tcW w:type="dxa" w:w="5814"/>
          </w:tcPr>
          <w:p>
            <w:r>
              <w:rPr>
                <w:b/>
              </w:rPr>
              <w:t>五、投标样品</w:t>
            </w:r>
            <w:r>
              <w:br/>
            </w:r>
            <w:r>
              <w:rPr/>
              <w:t>1、投标人需要提供样品供评委评审，所提供的样品将作为技术评分的重要依据。如投标人在投标截止时间前没有提供样品或提供的样品不齐全，其样品得分则为零分：</w:t>
            </w:r>
            <w:r>
              <w:br/>
            </w:r>
            <w:r>
              <w:rPr/>
              <w:t>1.1、投标人需在投标截止时间前提交以下4个样品，同一品种不同规格只需提供一件，中标样品在验收时作为验收依据之一，提供的实物样品必须有：</w:t>
            </w:r>
            <w:r>
              <w:br/>
            </w:r>
            <w:r>
              <w:rPr/>
              <w:t>1）男装短袖衬衣；2）男装长袖衬衣；3）女装短袖衬衣；4）女装长袖衬衣。</w:t>
            </w:r>
            <w:r>
              <w:br/>
            </w:r>
            <w:r>
              <w:rPr/>
              <w:t>1.2、投标人所提供实物的样品中，需在投标文件中必须附上由省级或以上具有CMA资质的第三方检测机构出具的检测报告复印件并加盖投标人公章（如投标人在投标文件中没有按要求提供此项所要求的全部样品的合格检验报告，或提供的检验报告各项技术质量指标标准不符合以下要求，其样品得分则为零分）：</w:t>
            </w:r>
            <w:r>
              <w:br/>
            </w:r>
            <w:r>
              <w:rPr/>
              <w:t>衬衫的具体检验项目内容如下：1）成分含量（符合招标文件要求）。</w:t>
            </w:r>
            <w:r>
              <w:br/>
            </w:r>
            <w:r>
              <w:rPr/>
              <w:t>2）甲醛含量（按GB 18401-2010标准，直接接触皮肤的符合B类要求，非直接接触皮肤的符合C类要求）。</w:t>
            </w:r>
            <w:r>
              <w:br/>
            </w:r>
            <w:r>
              <w:rPr/>
              <w:t>3）PH值（按GB 18401-2010标准，直接接触皮肤的符合B类要求，非直接接触皮肤的符合C类要求）。</w:t>
            </w:r>
            <w:r>
              <w:br/>
            </w:r>
            <w:r>
              <w:rPr/>
              <w:t xml:space="preserve">4）纱支（符合招标文件要求，允许偏差范围在±5%）                                                                               </w:t>
            </w:r>
            <w:r>
              <w:br/>
            </w:r>
            <w:r>
              <w:rPr/>
              <w:t>5）成衣抗皱等级≧3.5级</w:t>
            </w:r>
            <w:r>
              <w:br/>
            </w:r>
            <w:r>
              <w:rPr/>
              <w:t>1.3、样品的各项技术质量指标标准应符合本项目采购需求中的相关规定。</w:t>
            </w:r>
            <w:r>
              <w:br/>
            </w:r>
            <w:r>
              <w:rPr/>
              <w:t>2、投标样品必须密封包装，外包装贴上《投标样品包装袋封面》（格式如下）：</w:t>
            </w:r>
          </w:p>
          <w:p>
            <w:r>
              <w:drawing>
                <wp:inline distT="0" distR="0" distB="0" distL="0">
                  <wp:extent cx="3554729" cy="1325617"/>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3554729" cy="1325617"/>
                          </a:xfrm>
                          <a:prstGeom prst="rect">
                            <a:avLst/>
                          </a:prstGeom>
                        </pic:spPr>
                      </pic:pic>
                    </a:graphicData>
                  </a:graphic>
                </wp:inline>
              </w:drawing>
            </w:r>
          </w:p>
          <w:p>
            <w:r>
              <w:rPr/>
              <w:t>3、采购活动结束之后，中标人的样品封存于采购人处，作为实物样板。采购人及采购代理机构对投标人所递交样品的包装污损不负任何责任。未中标人应在本项目中标公告发布之日起3个工作日内自行至采购代理机构处取回投标样品。规定时间内不取回样品，则视为自动放弃样品的所有权，采购代理机构有权自行处置相关样品。</w:t>
            </w:r>
            <w:r>
              <w:br/>
            </w:r>
            <w:r>
              <w:rPr/>
              <w:t>4、如获中标资格，则该投标人提供的样品将作为供货验收的依据之一。</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1.采购代理机构：本项目是指广东志正招标有限公司中山分公司，负责整个采购活动的组织，依法负责编制和发布招标文件，对招标文件拥有最终的解释权，不以任何身份出任评标委员会成员。</w:t>
      </w:r>
    </w:p>
    <w:p>
      <w:pPr>
        <w:ind w:firstLine="480"/>
      </w:pPr>
      <w:r>
        <w:rPr/>
        <w:t>2.采购人：本项目是指</w:t>
      </w:r>
      <w:r>
        <w:rPr/>
        <w:t>中山市中医院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采购包1：单价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采购机构代理服务收费标准：(1)本项目以预算金额按下列规定按差额定率累进法计算标准的60%收取（服务费不足3000元按3000元收取）: 1.金额（100万元或以下），招标收费费率1.5%； 2.金额（100万元（不含）-500万元（含）），招标收费费率1.1%； 3.金额（500万元（不含）-1000万元（含）），招标收费费率0.8%；4.中标金额（1000万元（不含）-5000万元（含）），招标收费费率0.5%； (2)代理服务费的货币为人民币； (3)代理服务费支付方式：一次性以银行划帐、电汇、汇票或支票的形式支付； (4)代理服务费支付时间：代理服务费必须在中标人领取《中标通知书》时一次性付清，如果中标人未能按时交纳代理服务费，采购代理机构/采购人保留追究其法律责任的权利； (5)代理服务费不在报价中单列。</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一、关于中山市政府采购支持中小微企业质押融资优惠政策，1.根据《中国人民银行中山市中心支行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 序号</w:t>
              <w:tab/>
              <w:t>银行机构</w:t>
              <w:tab/>
              <w:t>经办部门</w:t>
              <w:tab/>
              <w:t>联系人</w:t>
              <w:tab/>
              <w:t>联系方式 1</w:t>
              <w:tab/>
              <w:t>中国农业发展银行中山市分行</w:t>
              <w:tab/>
              <w:t>客户业务部</w:t>
              <w:tab/>
              <w:t>邹可仕</w:t>
              <w:tab/>
              <w:t>18802598981</w:t>
              <w:tab/>
              <w:tab/>
              <w:t xml:space="preserve"> 信贷与风险管理部</w:t>
              <w:tab/>
              <w:t>陈小龙</w:t>
              <w:tab/>
              <w:t>15889891688 2</w:t>
              <w:tab/>
              <w:t>中国工商银行中山分行</w:t>
              <w:tab/>
              <w:t>普惠金融事业部</w:t>
              <w:tab/>
              <w:t>陈炳菁</w:t>
              <w:tab/>
              <w:t>18928108782</w:t>
              <w:tab/>
              <w:tab/>
              <w:t xml:space="preserve"> 普惠金融事业部</w:t>
              <w:tab/>
              <w:t>杨培鹏</w:t>
              <w:tab/>
              <w:t>15900085352 3</w:t>
              <w:tab/>
              <w:t>中国农业银行中山分行</w:t>
              <w:tab/>
              <w:t>普惠金融事业部</w:t>
              <w:tab/>
              <w:t>赖思韵</w:t>
              <w:tab/>
              <w:t>22644682 4</w:t>
              <w:tab/>
              <w:t>广发银行中山分行</w:t>
              <w:tab/>
              <w:t>普惠金融部</w:t>
              <w:tab/>
              <w:t>林光宇</w:t>
              <w:tab/>
              <w:t>88862643 5</w:t>
              <w:tab/>
              <w:t>中国邮政储蓄银行中山市分行</w:t>
              <w:tab/>
              <w:t>小企业金融部</w:t>
              <w:tab/>
              <w:t>黄嘉霖</w:t>
              <w:tab/>
              <w:t>13824720741 6</w:t>
              <w:tab/>
              <w:t>中山农村商业银行</w:t>
              <w:tab/>
              <w:t>总行公司业务部</w:t>
              <w:tab/>
              <w:t>杜保森</w:t>
              <w:tab/>
              <w:t>88884181 7</w:t>
              <w:tab/>
              <w:t>平安银行中山分行</w:t>
              <w:tab/>
              <w:t>普惠金融部</w:t>
              <w:tab/>
              <w:t>林晓冰</w:t>
              <w:tab/>
              <w:t>13823931817 8</w:t>
              <w:tab/>
              <w:t>兴业银行中山分行</w:t>
              <w:tab/>
              <w:t>企业金融部</w:t>
              <w:tab/>
              <w:t>刘中芳</w:t>
              <w:tab/>
              <w:t>0760-88368666-203172 9</w:t>
              <w:tab/>
              <w:t>招商银行中山分行</w:t>
              <w:tab/>
              <w:t>公司金融事业部</w:t>
              <w:tab/>
              <w:t>唐庆颖</w:t>
              <w:tab/>
              <w:t>13924998608 10</w:t>
              <w:tab/>
              <w:t>中国光大银行中山分行</w:t>
              <w:tab/>
              <w:t>公司业务管理部</w:t>
              <w:tab/>
              <w:t>张梓颖</w:t>
              <w:tab/>
              <w:t>0760-88858067 11</w:t>
              <w:tab/>
              <w:t>广州银行中山分行</w:t>
              <w:tab/>
              <w:t>公司金融部</w:t>
              <w:tab/>
              <w:t>杨顺龙</w:t>
              <w:tab/>
              <w:t>88776919 12</w:t>
              <w:tab/>
              <w:t>中信银行中山分行</w:t>
              <w:tab/>
              <w:t>普惠金融部</w:t>
              <w:tab/>
              <w:t>陈廷忠</w:t>
              <w:tab/>
              <w:t>15113386853</w:t>
              <w:tab/>
              <w:tab/>
              <w:t xml:space="preserve"> 普惠金融部</w:t>
              <w:tab/>
              <w:t>余超贤</w:t>
              <w:tab/>
              <w:t>15918291829 13</w:t>
              <w:tab/>
              <w:t>渤海银行中山分行</w:t>
              <w:tab/>
              <w:t>公司金融部</w:t>
              <w:tab/>
              <w:t>李建夏</w:t>
              <w:tab/>
              <w:t>13631124024、0760-87911816</w:t>
              <w:tab/>
              <w:tab/>
              <w:t xml:space="preserve"> 分行营业部</w:t>
              <w:tab/>
              <w:t>徐艺</w:t>
              <w:tab/>
              <w:t>13928142042、0760-87911808 14</w:t>
              <w:tab/>
              <w:t>华夏银行中山分行</w:t>
              <w:tab/>
              <w:t>营销管理部</w:t>
              <w:tab/>
              <w:t>叶怡</w:t>
              <w:tab/>
              <w:t>28137855 15</w:t>
              <w:tab/>
              <w:t>东莞银行中山分行</w:t>
              <w:tab/>
              <w:t>业务部</w:t>
              <w:tab/>
              <w:t>赵荣耀</w:t>
              <w:tab/>
              <w:t>13042854636/86939959 16</w:t>
              <w:tab/>
              <w:t>东亚银行（中国）有限公司中山支行</w:t>
              <w:tab/>
              <w:t>中山支行</w:t>
              <w:tab/>
              <w:t>王涛</w:t>
              <w:tab/>
              <w:t>89986282/18926998881 17</w:t>
              <w:tab/>
              <w:t>浦发银行中山分行</w:t>
              <w:tab/>
              <w:t>交易银行部</w:t>
              <w:tab/>
              <w:t>付涛</w:t>
              <w:tab/>
              <w:t>0760-89982303 2.中小微企业有融资需求的，可通过应收账款融资服务平台（网址：www.crcrfsp.com ）和中山市社会征信和金融服务一体化系统（网址：www.zsythxt.zs.gov.cn ）向辖内特定或非特定银行机构咨询并提出融资申请。 3.采购人应当及时在应收账款融资服务平台（网址：www.crcrfsp.com ）确认债权债务关系，支持中小微企业融资。 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 5.财政部门根据《政府采购法》等相关法规、规章规定，对参加政府采购活动的供应商的不良行为予以记录，并纳入中山市社会征信和金融服务一体化系统，供银行机构融资授信时审慎性参考。</w:t>
            </w:r>
          </w:p>
          <w:p>
            <w:pPr>
              <w:jc w:val="left"/>
            </w:pPr>
            <w:r>
              <w:rPr/>
              <w:t>二、样品的递交，现场递交：投标人应在投标截止当天的投标截止时间前将投标样品递交到中山市东区街道博爱六路22号中山市政务服务大厅二楼中山市公共资源交易中心开标室（详见开标当天开标室安排）。</w:t>
            </w: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广东志正招标有限公司中山分公司</w:t>
      </w:r>
      <w:r>
        <w:rPr/>
        <w:t>代收。具体操作要求详见</w:t>
      </w:r>
      <w:r>
        <w:rPr/>
        <w:t>广东志正招标有限公司中山分公司</w:t>
      </w:r>
      <w:r>
        <w:rPr/>
        <w:t>有关指引，递交事宜请自行咨询</w:t>
      </w:r>
      <w:r>
        <w:rPr/>
        <w:t>广东志正招标有限公司中山分公司</w:t>
      </w:r>
      <w:r>
        <w:rPr/>
        <w:t>；请各投标人在投标文件递交截止时间前按须知前附表规定的金额递交至</w:t>
      </w:r>
      <w:r>
        <w:rPr/>
        <w:t>广东志正招标有限公司中山分公司</w:t>
      </w:r>
      <w:r>
        <w:rPr/>
        <w:t>，到账情况以开标时</w:t>
      </w:r>
      <w:r>
        <w:rPr/>
        <w:t>广东志正招标有限公司中山分公司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李小姐</w:t>
      </w:r>
    </w:p>
    <w:p>
      <w:pPr>
        <w:ind w:firstLine="480"/>
      </w:pPr>
      <w:r>
        <w:rPr/>
        <w:t>电话：</w:t>
      </w:r>
      <w:r>
        <w:rPr/>
        <w:t>0760-88808187、88811601</w:t>
      </w:r>
    </w:p>
    <w:p>
      <w:pPr>
        <w:ind w:firstLine="480"/>
      </w:pPr>
      <w:r>
        <w:rPr/>
        <w:t>传真：</w:t>
      </w:r>
      <w:r>
        <w:rPr/>
        <w:t>/</w:t>
      </w:r>
    </w:p>
    <w:p>
      <w:pPr>
        <w:ind w:firstLine="480"/>
      </w:pPr>
      <w:r>
        <w:rPr/>
        <w:t>邮箱：</w:t>
      </w:r>
      <w:r>
        <w:rPr/>
        <w:t>tenderzs@163.com</w:t>
      </w:r>
    </w:p>
    <w:p>
      <w:pPr>
        <w:ind w:firstLine="480"/>
      </w:pPr>
      <w:r>
        <w:rPr/>
        <w:t>地址：</w:t>
      </w:r>
      <w:r>
        <w:rPr/>
        <w:t>中山市东区中山四路亨尾大街3号软件园东园区2楼20室</w:t>
      </w:r>
    </w:p>
    <w:p>
      <w:pPr>
        <w:ind w:firstLine="480"/>
      </w:pPr>
      <w:r>
        <w:rPr/>
        <w:t>邮编：</w:t>
      </w:r>
      <w:r>
        <w:rPr/>
        <w:t>528400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话：0760-88266297、88266299</w:t>
      </w:r>
    </w:p>
    <w:p>
      <w:r>
        <w:rPr/>
        <w:t>邮  编：528400</w:t>
      </w:r>
    </w:p>
    <w:p>
      <w:r>
        <w:rPr/>
        <w:t>传  真：0760-88266215</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中山市中医院工作服（衬衫）采购)：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广东志正招标有限公司中山分公司</w:t>
      </w:r>
      <w:r>
        <w:rPr/>
        <w:t>统一对外发布。</w:t>
      </w:r>
    </w:p>
    <w:p>
      <w:pPr>
        <w:ind w:firstLine="480"/>
      </w:pPr>
      <w:r>
        <w:rPr/>
        <w:t>（2）对</w:t>
      </w:r>
      <w:r>
        <w:rPr/>
        <w:t>广东志正招标有限公司中山分公司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采购包1（中山市中医院工作服（衬衫）采购）：</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采购包1（中山市中医院工作服（衬衫）采购）：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供应商必须具有良好的商业信誉和健全的财务会计制度（提供2021年财务报告（或2022年至今任意一个月份财务报表）关键页或由基本开户银行出具的资信证明或政府采购专业担保机构出具的投标担保函） 。</w:t>
            </w:r>
          </w:p>
        </w:tc>
      </w:tr>
      <w:tr>
        <w:tc>
          <w:tcPr>
            <w:tcW w:type="dxa" w:w="890"/>
          </w:tcPr>
          <w:p>
            <w:r>
              <w:rPr/>
              <w:t>4</w:t>
            </w:r>
          </w:p>
        </w:tc>
        <w:tc>
          <w:tcPr>
            <w:tcW w:type="dxa" w:w="3178"/>
          </w:tcPr>
          <w:p>
            <w:r>
              <w:rPr/>
              <w:t>履行合同所必需的设备和专业技术能力</w:t>
            </w:r>
          </w:p>
        </w:tc>
        <w:tc>
          <w:tcPr>
            <w:tcW w:type="dxa" w:w="4238"/>
          </w:tcPr>
          <w:p>
            <w:r>
              <w:rPr/>
              <w:t>需同时提供设备及专业技术能力（人员）两类信息，格式自拟。</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无围标、串标行为</w:t>
            </w:r>
          </w:p>
        </w:tc>
        <w:tc>
          <w:tcPr>
            <w:tcW w:type="dxa" w:w="4238"/>
          </w:tcPr>
          <w:p>
            <w:r>
              <w:rPr/>
              <w:t>无围标、串标行为（出具《无围标、串标行为承诺书》）。</w:t>
            </w:r>
          </w:p>
        </w:tc>
      </w:tr>
      <w:tr>
        <w:tc>
          <w:tcPr>
            <w:tcW w:type="dxa" w:w="890"/>
          </w:tcPr>
          <w:p>
            <w:r>
              <w:rPr/>
              <w:t>9</w:t>
            </w:r>
          </w:p>
        </w:tc>
        <w:tc>
          <w:tcPr>
            <w:tcW w:type="dxa" w:w="3178"/>
          </w:tcPr>
          <w:p>
            <w:r>
              <w:rPr/>
              <w:t>本采购包专门面向中小企业采购</w:t>
            </w:r>
          </w:p>
        </w:tc>
        <w:tc>
          <w:tcPr>
            <w:tcW w:type="dxa" w:w="4238"/>
          </w:tcPr>
          <w:p>
            <w:r>
              <w:rPr/>
              <w:t>采购包整体专门面向中小企业：所投货物制造商须为符合《政府采购促进中小企业发展管理办法》（财库〔2020〕46号）规定和《中小企业划型标准规定》（工信部联企业[2011]300号）的中型、小型、微型企业。（本项目采购标的对应行业：工业）注：中小企业以供应商填写的《中小企业声明函》（见招标文件格式）为判定标准；残疾人福利性单位以供应商填写的《残疾人福利性单位声明函》（见招标文件格式）为判定标准；监狱企业须供应商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采购包1（中山市中医院工作服（衬衫）采购）：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投标有效期</w:t>
            </w:r>
          </w:p>
        </w:tc>
        <w:tc>
          <w:tcPr>
            <w:tcW w:type="dxa" w:w="4238"/>
          </w:tcPr>
          <w:p>
            <w:r>
              <w:rPr/>
              <w:t>符合投标有效期</w:t>
            </w:r>
          </w:p>
        </w:tc>
      </w:tr>
      <w:tr>
        <w:tc>
          <w:tcPr>
            <w:tcW w:type="dxa" w:w="890"/>
          </w:tcPr>
          <w:p>
            <w:r>
              <w:rPr/>
              <w:t>2</w:t>
            </w:r>
          </w:p>
        </w:tc>
        <w:tc>
          <w:tcPr>
            <w:tcW w:type="dxa" w:w="3178"/>
          </w:tcPr>
          <w:p>
            <w:r>
              <w:rPr/>
              <w:t>投标文件按照招标文件规定填写并按要求签署、盖章</w:t>
            </w:r>
          </w:p>
        </w:tc>
        <w:tc>
          <w:tcPr>
            <w:tcW w:type="dxa" w:w="4238"/>
          </w:tcPr>
          <w:p>
            <w:r>
              <w:rPr/>
              <w:t>投标文件按照招标文件规定填写并按要求签署、盖章，包括：①投标函；②法定代表人证明书或法定代表人授权书；③开标一览表；④分项报价表</w:t>
            </w:r>
          </w:p>
        </w:tc>
      </w:tr>
      <w:tr>
        <w:tc>
          <w:tcPr>
            <w:tcW w:type="dxa" w:w="890"/>
          </w:tcPr>
          <w:p>
            <w:r>
              <w:rPr/>
              <w:t>3</w:t>
            </w:r>
          </w:p>
        </w:tc>
        <w:tc>
          <w:tcPr>
            <w:tcW w:type="dxa" w:w="3178"/>
          </w:tcPr>
          <w:p>
            <w:r>
              <w:rPr/>
              <w:t>投标报价</w:t>
            </w:r>
          </w:p>
        </w:tc>
        <w:tc>
          <w:tcPr>
            <w:tcW w:type="dxa" w:w="4238"/>
          </w:tcPr>
          <w:p>
            <w:r>
              <w:rPr/>
              <w:t>投标报价没有超出单价上限</w:t>
            </w:r>
          </w:p>
        </w:tc>
      </w:tr>
      <w:tr>
        <w:tc>
          <w:tcPr>
            <w:tcW w:type="dxa" w:w="890"/>
          </w:tcPr>
          <w:p>
            <w:r>
              <w:rPr/>
              <w:t>4</w:t>
            </w:r>
          </w:p>
        </w:tc>
        <w:tc>
          <w:tcPr>
            <w:tcW w:type="dxa" w:w="3178"/>
          </w:tcPr>
          <w:p>
            <w:r>
              <w:rPr/>
              <w:t>实质性条款响应情况</w:t>
            </w:r>
          </w:p>
        </w:tc>
        <w:tc>
          <w:tcPr>
            <w:tcW w:type="dxa" w:w="4238"/>
          </w:tcPr>
          <w:p>
            <w:r>
              <w:rPr/>
              <w:t>完全满足招标文件中标注“★”的条款</w:t>
            </w:r>
          </w:p>
        </w:tc>
      </w:tr>
      <w:tr>
        <w:tc>
          <w:tcPr>
            <w:tcW w:type="dxa" w:w="890"/>
          </w:tcPr>
          <w:p>
            <w:r>
              <w:rPr/>
              <w:t>5</w:t>
            </w:r>
          </w:p>
        </w:tc>
        <w:tc>
          <w:tcPr>
            <w:tcW w:type="dxa" w:w="3178"/>
          </w:tcPr>
          <w:p>
            <w:r>
              <w:rPr/>
              <w:t>其他投标无效的情形</w:t>
            </w:r>
          </w:p>
        </w:tc>
        <w:tc>
          <w:tcPr>
            <w:tcW w:type="dxa" w:w="4238"/>
          </w:tcPr>
          <w:p>
            <w:r>
              <w:rPr/>
              <w:t>未出现有关法律、法规、规章或招标文件规定的属于投标无效的情形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采购包1(中山市中医院工作服（衬衫）采购):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技术响应程度 (5.0分)</w:t>
            </w:r>
          </w:p>
        </w:tc>
        <w:tc>
          <w:tcPr>
            <w:tcW w:type="dxa" w:w="5076"/>
          </w:tcPr>
          <w:p>
            <w:pPr>
              <w:jc w:val="left"/>
            </w:pPr>
            <w:r>
              <w:rPr/>
              <w:t>根据投标文件对用户需求书中“技术标准与要求”条款响应程度进行评审，每响应一项得0.2分，本项最高得5分。（注：每条条款最小一级序号均以一项计算）</w:t>
            </w:r>
          </w:p>
        </w:tc>
      </w:tr>
      <w:tr>
        <w:tc>
          <w:tcPr>
            <w:tcW w:type="dxa" w:w="922"/>
            <w:gridSpan w:val="2"/>
            <w:vMerge/>
          </w:tcPr>
          <w:p/>
        </w:tc>
        <w:tc>
          <w:tcPr>
            <w:tcW w:type="dxa" w:w="2307"/>
          </w:tcPr>
          <w:p>
            <w:pPr>
              <w:jc w:val="left"/>
            </w:pPr>
            <w:r>
              <w:rPr/>
              <w:t>项目实施方案 (6.0分)</w:t>
            </w:r>
            <w:r>
              <w:rPr/>
              <w:t>，（等次分值选择：</w:t>
            </w:r>
            <w:r>
              <w:rPr/>
              <w:t>0.0;</w:t>
            </w:r>
            <w:r>
              <w:rPr/>
              <w:t>1.0;</w:t>
            </w:r>
            <w:r>
              <w:rPr/>
              <w:t>2.0;</w:t>
            </w:r>
            <w:r>
              <w:rPr/>
              <w:t>4.0;</w:t>
            </w:r>
            <w:r>
              <w:rPr/>
              <w:t>6.0;</w:t>
            </w:r>
            <w:r>
              <w:rPr/>
              <w:t>）</w:t>
            </w:r>
          </w:p>
        </w:tc>
        <w:tc>
          <w:tcPr>
            <w:tcW w:type="dxa" w:w="5076"/>
          </w:tcPr>
          <w:p>
            <w:pPr>
              <w:jc w:val="left"/>
            </w:pPr>
            <w:r>
              <w:rPr/>
              <w:t>根据投标人所提供的项目实施方案(包括不限于供货计划、检验和验收方案等)进行评审： 1、实施方案非常明确、详尽、合理、规范，针对方案非常合理、可行的，得6分； 2、实施方案比较明确、详尽、合理、规范，针对方案比较合理、可行的，得4分； 3、实施方案基本明确、合理、规范，针对方案基本合理、可行的，得2分； 4、实施方案简单，针对方案不够合理、可行的，得1分； 5、未提供对应方案不得分。</w:t>
            </w:r>
          </w:p>
        </w:tc>
      </w:tr>
      <w:tr>
        <w:tc>
          <w:tcPr>
            <w:tcW w:type="dxa" w:w="922"/>
            <w:gridSpan w:val="2"/>
            <w:vMerge/>
          </w:tcPr>
          <w:p/>
        </w:tc>
        <w:tc>
          <w:tcPr>
            <w:tcW w:type="dxa" w:w="2307"/>
          </w:tcPr>
          <w:p>
            <w:pPr>
              <w:jc w:val="left"/>
            </w:pPr>
            <w:r>
              <w:rPr/>
              <w:t>衣物制作流程说明及技巧 (9.0分)</w:t>
            </w:r>
            <w:r>
              <w:rPr/>
              <w:t>，（等次分值选择：</w:t>
            </w:r>
            <w:r>
              <w:rPr/>
              <w:t>0.0;</w:t>
            </w:r>
            <w:r>
              <w:rPr/>
              <w:t>1.0;</w:t>
            </w:r>
            <w:r>
              <w:rPr/>
              <w:t>3.0;</w:t>
            </w:r>
            <w:r>
              <w:rPr/>
              <w:t>6.0;</w:t>
            </w:r>
            <w:r>
              <w:rPr/>
              <w:t>9.0;</w:t>
            </w:r>
            <w:r>
              <w:rPr/>
              <w:t>）</w:t>
            </w:r>
          </w:p>
        </w:tc>
        <w:tc>
          <w:tcPr>
            <w:tcW w:type="dxa" w:w="5076"/>
          </w:tcPr>
          <w:p>
            <w:pPr>
              <w:jc w:val="left"/>
            </w:pPr>
            <w:r>
              <w:rPr/>
              <w:t>根据投标人提供衣物制作流程说明及技巧进行评审： 1、衣物制作流程非常完整、非常规范合理、制作技巧非常高超，得9分； 2、衣物制作流程完整、规范合理、制作技巧高超，得6分； 3、衣物制作流程比较完整、比较规范合理、制作技巧比较高超，得3分； 4、衣物制作流程不太完整、不太规范合理、制作技巧一般，得1分； 5、未提供说明不得分。</w:t>
            </w:r>
          </w:p>
        </w:tc>
      </w:tr>
      <w:tr>
        <w:tc>
          <w:tcPr>
            <w:tcW w:type="dxa" w:w="922"/>
            <w:gridSpan w:val="2"/>
            <w:vMerge/>
          </w:tcPr>
          <w:p/>
        </w:tc>
        <w:tc>
          <w:tcPr>
            <w:tcW w:type="dxa" w:w="2307"/>
          </w:tcPr>
          <w:p>
            <w:pPr>
              <w:jc w:val="left"/>
            </w:pPr>
            <w:r>
              <w:rPr/>
              <w:t>质量保证、售后服务及应急方案 (10.0分)</w:t>
            </w:r>
            <w:r>
              <w:rPr/>
              <w:t>，（等次分值选择：</w:t>
            </w:r>
            <w:r>
              <w:rPr/>
              <w:t>0.0;</w:t>
            </w:r>
            <w:r>
              <w:rPr/>
              <w:t>1.0;</w:t>
            </w:r>
            <w:r>
              <w:rPr/>
              <w:t>4.0;</w:t>
            </w:r>
            <w:r>
              <w:rPr/>
              <w:t>7.0;</w:t>
            </w:r>
            <w:r>
              <w:rPr/>
              <w:t>10.0;</w:t>
            </w:r>
            <w:r>
              <w:rPr/>
              <w:t>）</w:t>
            </w:r>
          </w:p>
        </w:tc>
        <w:tc>
          <w:tcPr>
            <w:tcW w:type="dxa" w:w="5076"/>
          </w:tcPr>
          <w:p>
            <w:pPr>
              <w:jc w:val="left"/>
            </w:pPr>
            <w:r>
              <w:rPr/>
              <w:t>根据投标人提供的质量保证、售后服务及应急方案进行评审（包括但不限于对厂房、设备及技术力量、售后服务、材料供应短缺及区域性疫情突发应急生产处理的介绍）： 1、质量保证及售后服务方案优于或满足项目采购需求要求，方案非常详细、具体，可行性、可操作性强，得10分；  2、质量保证及售后服务方案满足项目采购需求要求，方案比较详细、具体，可行性、可操作性比较强，得7分；  3、质量保证及售后服务方案满足项目采购需求要求，方案一般详细、具体，可行性、可操作性一般，得4分； 4、质量保证及售后服务方案部分不满足项目采购需求要求，方案不太详细、具体，可行性、可操作性较差，得1分； 5、未提供对应方案不得分。</w:t>
            </w:r>
          </w:p>
        </w:tc>
      </w:tr>
      <w:tr>
        <w:tc>
          <w:tcPr>
            <w:tcW w:type="dxa" w:w="922"/>
            <w:gridSpan w:val="2"/>
            <w:vMerge/>
          </w:tcPr>
          <w:p/>
        </w:tc>
        <w:tc>
          <w:tcPr>
            <w:tcW w:type="dxa" w:w="2307"/>
          </w:tcPr>
          <w:p>
            <w:pPr>
              <w:jc w:val="left"/>
            </w:pPr>
            <w:r>
              <w:rPr/>
              <w:t>样品评价（一） (7.0分)</w:t>
            </w:r>
            <w:r>
              <w:rPr/>
              <w:t>，（等次分值选择：</w:t>
            </w:r>
            <w:r>
              <w:rPr/>
              <w:t>0.0;</w:t>
            </w:r>
            <w:r>
              <w:rPr/>
              <w:t>1.0;</w:t>
            </w:r>
            <w:r>
              <w:rPr/>
              <w:t>3.0;</w:t>
            </w:r>
            <w:r>
              <w:rPr/>
              <w:t>5.0;</w:t>
            </w:r>
            <w:r>
              <w:rPr/>
              <w:t>7.0;</w:t>
            </w:r>
            <w:r>
              <w:rPr/>
              <w:t>）</w:t>
            </w:r>
          </w:p>
        </w:tc>
        <w:tc>
          <w:tcPr>
            <w:tcW w:type="dxa" w:w="5076"/>
          </w:tcPr>
          <w:p>
            <w:pPr>
              <w:jc w:val="left"/>
            </w:pPr>
            <w:r>
              <w:rPr/>
              <w:t>1、服装线条流畅、各部位针距均匀、缝制顺直、平服、纽扣牢固、做工清湛，整体效果美观，得7分； 2、服装线条较好，各部位针距较为均匀，缝制质量较好，做工良好，得5分； 3、服装线条一般，缝制质量一般，做工一般，得3分； 4、服装线条较差或凌乱，缝制或做工较差，质量较差，得1分； 5、不提供样品不得分。</w:t>
            </w:r>
          </w:p>
        </w:tc>
      </w:tr>
      <w:tr>
        <w:tc>
          <w:tcPr>
            <w:tcW w:type="dxa" w:w="922"/>
            <w:gridSpan w:val="2"/>
            <w:vMerge/>
          </w:tcPr>
          <w:p/>
        </w:tc>
        <w:tc>
          <w:tcPr>
            <w:tcW w:type="dxa" w:w="2307"/>
          </w:tcPr>
          <w:p>
            <w:pPr>
              <w:jc w:val="left"/>
            </w:pPr>
            <w:r>
              <w:rPr/>
              <w:t>样品评价（二） (7.0分)</w:t>
            </w:r>
            <w:r>
              <w:rPr/>
              <w:t>，（等次分值选择：</w:t>
            </w:r>
            <w:r>
              <w:rPr/>
              <w:t>0.0;</w:t>
            </w:r>
            <w:r>
              <w:rPr/>
              <w:t>1.0;</w:t>
            </w:r>
            <w:r>
              <w:rPr/>
              <w:t>3.0;</w:t>
            </w:r>
            <w:r>
              <w:rPr/>
              <w:t>5.0;</w:t>
            </w:r>
            <w:r>
              <w:rPr/>
              <w:t>7.0;</w:t>
            </w:r>
            <w:r>
              <w:rPr/>
              <w:t>）</w:t>
            </w:r>
          </w:p>
        </w:tc>
        <w:tc>
          <w:tcPr>
            <w:tcW w:type="dxa" w:w="5076"/>
          </w:tcPr>
          <w:p>
            <w:pPr>
              <w:jc w:val="left"/>
            </w:pPr>
            <w:r>
              <w:rPr/>
              <w:t>1、款式非常适合企业形象，颜色协调、均匀，款式美观大方，得7分； 2、款式较为适合企业形象，颜色较协调、均匀，款式基本符合要求，得5分； 3、款式一般，基本符合企业形象，颜色一般，得3分； 4、款式较差，颜色较差或不协调，得1分； 5、不提供样品不得分。</w:t>
            </w:r>
          </w:p>
        </w:tc>
      </w:tr>
      <w:tr>
        <w:tc>
          <w:tcPr>
            <w:tcW w:type="dxa" w:w="922"/>
            <w:gridSpan w:val="2"/>
            <w:vMerge/>
          </w:tcPr>
          <w:p/>
        </w:tc>
        <w:tc>
          <w:tcPr>
            <w:tcW w:type="dxa" w:w="2307"/>
          </w:tcPr>
          <w:p>
            <w:pPr>
              <w:jc w:val="left"/>
            </w:pPr>
            <w:r>
              <w:rPr/>
              <w:t>检测报告 (6.0分)</w:t>
            </w:r>
          </w:p>
        </w:tc>
        <w:tc>
          <w:tcPr>
            <w:tcW w:type="dxa" w:w="5076"/>
          </w:tcPr>
          <w:p>
            <w:pPr>
              <w:jc w:val="left"/>
            </w:pPr>
            <w:r>
              <w:rPr/>
              <w:t>完全符合招标文件项目要求，出具省级或以上具有CMA资质的第三方检测机构出具的检测报告复印件加盖投标人公章，每份检测报告得3分，此项最高得分为6分。检测项目需包括：成份、纱支、甲醛、PH值、抗皱等级。 注：投标人须提供投标截止之日前近6个月省级以上第三方检测机构出具的检测报告，否则该检测报告无效，否则不得分。</w:t>
            </w:r>
          </w:p>
        </w:tc>
      </w:tr>
      <w:tr>
        <w:tc>
          <w:tcPr>
            <w:tcW w:type="dxa" w:w="922"/>
            <w:gridSpan w:val="2"/>
            <w:vMerge w:val="restart"/>
          </w:tcPr>
          <w:p>
            <w:pPr>
              <w:jc w:val="center"/>
            </w:pPr>
            <w:r>
              <w:rPr/>
              <w:t>商务部分</w:t>
            </w:r>
          </w:p>
        </w:tc>
        <w:tc>
          <w:tcPr>
            <w:tcW w:type="dxa" w:w="2307"/>
          </w:tcPr>
          <w:p>
            <w:pPr>
              <w:jc w:val="left"/>
            </w:pPr>
            <w:r>
              <w:rPr/>
              <w:t>商务响应情况 (2.0分)</w:t>
            </w:r>
          </w:p>
        </w:tc>
        <w:tc>
          <w:tcPr>
            <w:tcW w:type="dxa" w:w="5076"/>
          </w:tcPr>
          <w:p>
            <w:pPr>
              <w:jc w:val="left"/>
            </w:pPr>
            <w:r>
              <w:rPr/>
              <w:t>根据投标文件对用户需求书中“主要商务要求”条款响应程度进行评审，每响应一项得0.5分，本项最高得2分。</w:t>
            </w:r>
          </w:p>
        </w:tc>
      </w:tr>
      <w:tr>
        <w:tc>
          <w:tcPr>
            <w:tcW w:type="dxa" w:w="922"/>
            <w:gridSpan w:val="2"/>
            <w:vMerge/>
          </w:tcPr>
          <w:p/>
        </w:tc>
        <w:tc>
          <w:tcPr>
            <w:tcW w:type="dxa" w:w="2307"/>
          </w:tcPr>
          <w:p>
            <w:pPr>
              <w:jc w:val="left"/>
            </w:pPr>
            <w:r>
              <w:rPr/>
              <w:t>同类业绩 (12.0分)</w:t>
            </w:r>
          </w:p>
        </w:tc>
        <w:tc>
          <w:tcPr>
            <w:tcW w:type="dxa" w:w="5076"/>
          </w:tcPr>
          <w:p>
            <w:pPr>
              <w:jc w:val="left"/>
            </w:pPr>
            <w:r>
              <w:rPr/>
              <w:t>2021年1月至今（以合同签订时间为准）投标人有同类项目（服装供货、制服供货等等）业绩，每提供一个业绩得2分，最高得12分。（提供合同或中标通知书复印件并加盖公章，不按要求提供不得分）</w:t>
            </w:r>
          </w:p>
        </w:tc>
      </w:tr>
      <w:tr>
        <w:tc>
          <w:tcPr>
            <w:tcW w:type="dxa" w:w="922"/>
            <w:gridSpan w:val="2"/>
            <w:vMerge/>
          </w:tcPr>
          <w:p/>
        </w:tc>
        <w:tc>
          <w:tcPr>
            <w:tcW w:type="dxa" w:w="2307"/>
          </w:tcPr>
          <w:p>
            <w:pPr>
              <w:jc w:val="left"/>
            </w:pPr>
            <w:r>
              <w:rPr/>
              <w:t>用户评价 (6.0分)</w:t>
            </w:r>
          </w:p>
        </w:tc>
        <w:tc>
          <w:tcPr>
            <w:tcW w:type="dxa" w:w="5076"/>
          </w:tcPr>
          <w:p>
            <w:pPr>
              <w:jc w:val="left"/>
            </w:pPr>
            <w:r>
              <w:rPr/>
              <w:t>提供上述同类项目业绩由业主对其服务的评价情况，每得到一个评价（结果为“好评”或“优秀”或相同含义的评价），每提供一份得1分，本项最高6分。同一项目评价只算一份。（投标文件需提供加盖业主（甲方）单位法定名称公章的客户评价证明材料复印件并加盖投标人公章，不按要求提供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ind w:firstLine="480"/>
        <w:jc w:val="both"/>
      </w:pPr>
    </w:p>
    <w:p>
      <w:pPr>
        <w:jc w:val="center"/>
      </w:pPr>
    </w:p>
    <w:p>
      <w:pPr>
        <w:jc w:val="center"/>
      </w:pPr>
      <w:r>
        <w:rPr>
          <w:sz w:val="21"/>
        </w:rPr>
        <w:t xml:space="preserve"> </w:t>
      </w:r>
    </w:p>
    <w:p>
      <w:pPr>
        <w:jc w:val="center"/>
      </w:pPr>
      <w:r>
        <w:rPr>
          <w:sz w:val="21"/>
        </w:rPr>
        <w:t xml:space="preserve"> </w:t>
      </w:r>
    </w:p>
    <w:p>
      <w:pPr>
        <w:jc w:val="center"/>
      </w:pPr>
    </w:p>
    <w:p>
      <w:pPr>
        <w:jc w:val="center"/>
      </w:pPr>
    </w:p>
    <w:p>
      <w:pPr>
        <w:jc w:val="center"/>
      </w:pPr>
      <w:r>
        <w:rPr>
          <w:b/>
          <w:sz w:val="48"/>
        </w:rPr>
        <w:t>中山市中医院工作服采购项目</w:t>
      </w:r>
    </w:p>
    <w:p>
      <w:pPr>
        <w:jc w:val="center"/>
      </w:pP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rPr>
          <w:b/>
          <w:sz w:val="84"/>
        </w:rPr>
        <w:t>合同书</w:t>
      </w:r>
    </w:p>
    <w:p>
      <w:pPr>
        <w:jc w:val="center"/>
      </w:pPr>
    </w:p>
    <w:p>
      <w:pPr>
        <w:ind w:firstLine="1920"/>
        <w:jc w:val="both"/>
      </w:pPr>
      <w:r>
        <w:rPr>
          <w:sz w:val="21"/>
        </w:rPr>
        <w:t xml:space="preserve"> </w:t>
      </w:r>
    </w:p>
    <w:p>
      <w:pPr>
        <w:ind w:firstLine="1920"/>
        <w:jc w:val="both"/>
      </w:pPr>
      <w:r>
        <w:rPr>
          <w:sz w:val="21"/>
        </w:rPr>
        <w:t xml:space="preserve"> </w:t>
      </w:r>
    </w:p>
    <w:p>
      <w:pPr>
        <w:ind w:firstLine="1920"/>
        <w:jc w:val="both"/>
      </w:pPr>
      <w:r>
        <w:rPr>
          <w:sz w:val="21"/>
        </w:rPr>
        <w:t xml:space="preserve"> </w:t>
      </w:r>
    </w:p>
    <w:p>
      <w:pPr>
        <w:ind w:firstLine="1920"/>
        <w:jc w:val="both"/>
      </w:pPr>
      <w:r>
        <w:rPr>
          <w:sz w:val="21"/>
        </w:rPr>
        <w:t xml:space="preserve"> </w:t>
      </w:r>
    </w:p>
    <w:p>
      <w:pPr>
        <w:ind w:firstLine="1920"/>
        <w:jc w:val="both"/>
      </w:pPr>
      <w:r>
        <w:rPr>
          <w:sz w:val="21"/>
        </w:rPr>
        <w:t xml:space="preserve"> </w:t>
      </w:r>
    </w:p>
    <w:p>
      <w:pPr>
        <w:ind w:firstLine="1920"/>
        <w:jc w:val="both"/>
      </w:pPr>
      <w:r>
        <w:rPr>
          <w:sz w:val="21"/>
        </w:rPr>
        <w:t xml:space="preserve"> </w:t>
      </w:r>
    </w:p>
    <w:p>
      <w:pPr>
        <w:ind w:firstLine="1920"/>
        <w:jc w:val="both"/>
      </w:pPr>
      <w:r>
        <w:rPr>
          <w:sz w:val="32"/>
        </w:rPr>
        <w:t>项目名称：</w:t>
      </w:r>
      <w:r>
        <w:rPr>
          <w:sz w:val="24"/>
          <w:u w:val="single"/>
        </w:rPr>
        <w:t>_________________________________</w:t>
      </w:r>
    </w:p>
    <w:p>
      <w:pPr>
        <w:ind w:firstLine="1920"/>
        <w:jc w:val="both"/>
      </w:pPr>
      <w:r>
        <w:rPr>
          <w:sz w:val="32"/>
        </w:rPr>
        <w:t>合同编号：</w:t>
      </w:r>
      <w:r>
        <w:rPr>
          <w:sz w:val="24"/>
          <w:u w:val="single"/>
        </w:rPr>
        <w:t>_________________________________</w:t>
      </w:r>
    </w:p>
    <w:p>
      <w:pPr>
        <w:ind w:firstLine="1920"/>
        <w:jc w:val="both"/>
      </w:pPr>
      <w:r>
        <w:rPr>
          <w:sz w:val="32"/>
        </w:rPr>
        <w:t>签订地点：</w:t>
      </w:r>
      <w:r>
        <w:rPr>
          <w:sz w:val="24"/>
          <w:u w:val="single"/>
        </w:rPr>
        <w:t>_________________________________</w:t>
      </w:r>
    </w:p>
    <w:p>
      <w:pPr>
        <w:jc w:val="center"/>
      </w:pPr>
    </w:p>
    <w:p>
      <w:pPr>
        <w:jc w:val="both"/>
      </w:pPr>
    </w:p>
    <w:p>
      <w:pPr>
        <w:jc w:val="center"/>
      </w:pPr>
      <w:r>
        <w:rPr>
          <w:sz w:val="21"/>
        </w:rPr>
        <w:t xml:space="preserve"> </w:t>
      </w:r>
    </w:p>
    <w:p>
      <w:pPr>
        <w:jc w:val="center"/>
      </w:pPr>
      <w:r>
        <w:rPr>
          <w:sz w:val="32"/>
        </w:rPr>
        <w:t xml:space="preserve"> </w:t>
      </w:r>
      <w:r>
        <w:rPr>
          <w:sz w:val="32"/>
        </w:rPr>
        <w:t>年</w:t>
      </w:r>
      <w:r>
        <w:rPr>
          <w:sz w:val="32"/>
        </w:rPr>
        <w:t xml:space="preserve"> </w:t>
      </w:r>
      <w:r>
        <w:rPr>
          <w:sz w:val="32"/>
        </w:rPr>
        <w:t>月</w:t>
      </w:r>
      <w:r>
        <w:rPr>
          <w:sz w:val="32"/>
        </w:rPr>
        <w:t xml:space="preserve">  </w:t>
      </w:r>
      <w:r>
        <w:rPr>
          <w:sz w:val="32"/>
        </w:rPr>
        <w:t>日</w:t>
      </w:r>
    </w:p>
    <w:p>
      <w:pPr>
        <w:jc w:val="both"/>
      </w:pPr>
    </w:p>
    <w:p>
      <w:pPr>
        <w:jc w:val="both"/>
      </w:pPr>
      <w:r>
        <w:rPr>
          <w:b/>
          <w:sz w:val="22"/>
        </w:rPr>
        <w:t>注：本合同仅为合同的参考文本，合同签订双方可根据项目的具体要求进行修订。</w:t>
      </w:r>
    </w:p>
    <w:p>
      <w:pPr>
        <w:jc w:val="both"/>
      </w:pPr>
    </w:p>
    <w:p/>
    <w:p>
      <w:r>
        <w:rPr/>
        <w:t xml:space="preserve"> </w:t>
      </w:r>
    </w:p>
    <w:p>
      <w:pPr>
        <w:jc w:val="center"/>
      </w:pPr>
      <w:r>
        <w:rPr>
          <w:b/>
          <w:sz w:val="21"/>
        </w:rPr>
        <w:t>采购合同</w:t>
      </w:r>
    </w:p>
    <w:p>
      <w:pPr>
        <w:jc w:val="both"/>
      </w:pPr>
      <w:r>
        <w:rPr>
          <w:sz w:val="21"/>
        </w:rPr>
        <w:t>甲方：中山市中医院</w:t>
      </w:r>
    </w:p>
    <w:p>
      <w:pPr>
        <w:jc w:val="both"/>
      </w:pPr>
      <w:r>
        <w:rPr>
          <w:sz w:val="21"/>
        </w:rPr>
        <w:t>乙方：</w:t>
      </w:r>
    </w:p>
    <w:p>
      <w:pPr>
        <w:jc w:val="both"/>
      </w:pPr>
      <w:r>
        <w:rPr>
          <w:sz w:val="21"/>
        </w:rPr>
        <w:t xml:space="preserve">     </w:t>
      </w:r>
      <w:r>
        <w:rPr>
          <w:sz w:val="21"/>
        </w:rPr>
        <w:t>根据《中华人民共和国民法典》《中华人民共和国政府采购法》及中山市中医院</w:t>
      </w:r>
      <w:r>
        <w:rPr>
          <w:sz w:val="21"/>
          <w:u w:val="single"/>
        </w:rPr>
        <w:t xml:space="preserve">    </w:t>
      </w:r>
      <w:r>
        <w:rPr>
          <w:sz w:val="21"/>
        </w:rPr>
        <w:t>项目（项目编号：</w:t>
      </w:r>
      <w:r>
        <w:rPr>
          <w:sz w:val="21"/>
          <w:u w:val="single"/>
        </w:rPr>
        <w:t xml:space="preserve">   </w:t>
      </w:r>
      <w:r>
        <w:rPr>
          <w:sz w:val="21"/>
        </w:rPr>
        <w:t>）的</w:t>
      </w:r>
      <w:r>
        <w:rPr>
          <w:sz w:val="21"/>
        </w:rPr>
        <w:t>招</w:t>
      </w:r>
      <w:r>
        <w:rPr>
          <w:sz w:val="21"/>
        </w:rPr>
        <w:t>投</w:t>
      </w:r>
      <w:r>
        <w:rPr>
          <w:sz w:val="21"/>
        </w:rPr>
        <w:t>标</w:t>
      </w:r>
      <w:r>
        <w:rPr>
          <w:sz w:val="21"/>
        </w:rPr>
        <w:t>文件和中标结果，经双方协商，本着平等互利和诚实信用的原则，一致同意遵守本合同如下：</w:t>
      </w:r>
    </w:p>
    <w:p>
      <w:pPr>
        <w:jc w:val="both"/>
      </w:pPr>
      <w:r>
        <w:rPr>
          <w:sz w:val="21"/>
        </w:rPr>
        <w:t>1、合同标的</w:t>
      </w:r>
    </w:p>
    <w:p>
      <w:pPr>
        <w:jc w:val="both"/>
      </w:pPr>
      <w:r>
        <w:rPr>
          <w:sz w:val="21"/>
        </w:rPr>
        <w:t xml:space="preserve">     </w:t>
      </w:r>
      <w:r>
        <w:rPr>
          <w:sz w:val="21"/>
        </w:rPr>
        <w:t>乙方应当根据双方采购结果和招投标文件，并按照甲方需求完成供货，具体内容详见下表《采购清单》：</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916"/>
        <w:gridCol w:w="1309"/>
        <w:gridCol w:w="1309"/>
        <w:gridCol w:w="1309"/>
        <w:gridCol w:w="1309"/>
        <w:gridCol w:w="1600"/>
        <w:gridCol w:w="1309"/>
        <w:gridCol w:w="1309"/>
      </w:tblGrid>
      <w:tr>
        <w:tc>
          <w:tcPr>
            <w:tcW w:type="dxa" w:w="916"/>
            <w:tcBorders>
              <w:top w:val="single" w:color="000000" w:sz="4"/>
              <w:left w:val="single" w:color="000000" w:sz="4"/>
              <w:bottom w:val="single" w:color="000000" w:sz="4"/>
              <w:right w:val="single" w:color="000000" w:sz="4"/>
            </w:tcBorders>
            <w:vAlign w:val="top"/>
          </w:tcPr>
          <w:p>
            <w:pPr>
              <w:jc w:val="center"/>
            </w:pPr>
            <w:r>
              <w:rPr>
                <w:sz w:val="20"/>
              </w:rPr>
              <w:t>序号</w:t>
            </w:r>
          </w:p>
        </w:tc>
        <w:tc>
          <w:tcPr>
            <w:tcW w:type="dxa" w:w="1309"/>
            <w:tcBorders>
              <w:top w:val="single" w:color="000000" w:sz="4"/>
              <w:left w:val="none" w:color="000000" w:sz="4"/>
              <w:bottom w:val="single" w:color="000000" w:sz="4"/>
              <w:right w:val="single" w:color="000000" w:sz="4"/>
            </w:tcBorders>
            <w:vAlign w:val="top"/>
          </w:tcPr>
          <w:p>
            <w:pPr>
              <w:jc w:val="center"/>
            </w:pPr>
            <w:r>
              <w:rPr>
                <w:sz w:val="20"/>
              </w:rPr>
              <w:t>货物名称</w:t>
            </w:r>
          </w:p>
        </w:tc>
        <w:tc>
          <w:tcPr>
            <w:tcW w:type="dxa" w:w="1309"/>
            <w:tcBorders>
              <w:top w:val="single" w:color="000000" w:sz="4"/>
              <w:left w:val="none" w:color="000000" w:sz="4"/>
              <w:bottom w:val="single" w:color="000000" w:sz="4"/>
              <w:right w:val="single" w:color="000000" w:sz="4"/>
            </w:tcBorders>
            <w:vAlign w:val="top"/>
          </w:tcPr>
          <w:p>
            <w:pPr>
              <w:jc w:val="center"/>
            </w:pPr>
            <w:r>
              <w:rPr>
                <w:sz w:val="20"/>
              </w:rPr>
              <w:t>规格</w:t>
            </w:r>
          </w:p>
        </w:tc>
        <w:tc>
          <w:tcPr>
            <w:tcW w:type="dxa" w:w="1309"/>
            <w:tcBorders>
              <w:top w:val="single" w:color="000000" w:sz="4"/>
              <w:left w:val="none" w:color="000000" w:sz="4"/>
              <w:bottom w:val="single" w:color="000000" w:sz="4"/>
              <w:right w:val="single" w:color="000000" w:sz="4"/>
            </w:tcBorders>
            <w:vAlign w:val="top"/>
          </w:tcPr>
          <w:p>
            <w:pPr>
              <w:jc w:val="center"/>
            </w:pPr>
            <w:r>
              <w:rPr>
                <w:sz w:val="20"/>
              </w:rPr>
              <w:t>单位</w:t>
            </w:r>
          </w:p>
        </w:tc>
        <w:tc>
          <w:tcPr>
            <w:tcW w:type="dxa" w:w="1309"/>
            <w:tcBorders>
              <w:top w:val="single" w:color="000000" w:sz="4"/>
              <w:left w:val="none" w:color="000000" w:sz="4"/>
              <w:bottom w:val="single" w:color="000000" w:sz="4"/>
              <w:right w:val="single" w:color="000000" w:sz="4"/>
            </w:tcBorders>
            <w:vAlign w:val="top"/>
          </w:tcPr>
          <w:p>
            <w:pPr>
              <w:jc w:val="center"/>
            </w:pPr>
            <w:r>
              <w:rPr>
                <w:sz w:val="20"/>
              </w:rPr>
              <w:t>数量</w:t>
            </w:r>
          </w:p>
        </w:tc>
        <w:tc>
          <w:tcPr>
            <w:tcW w:type="dxa" w:w="1600"/>
            <w:tcBorders>
              <w:top w:val="single" w:color="000000" w:sz="4"/>
              <w:left w:val="none" w:color="000000" w:sz="4"/>
              <w:bottom w:val="single" w:color="000000" w:sz="4"/>
              <w:right w:val="single" w:color="000000" w:sz="4"/>
            </w:tcBorders>
            <w:vAlign w:val="top"/>
          </w:tcPr>
          <w:p>
            <w:pPr>
              <w:jc w:val="center"/>
            </w:pPr>
            <w:r>
              <w:rPr>
                <w:sz w:val="21"/>
              </w:rPr>
              <w:t xml:space="preserve"> </w:t>
            </w:r>
            <w:r>
              <w:rPr>
                <w:sz w:val="20"/>
              </w:rPr>
              <w:t>单价（元）</w:t>
            </w:r>
            <w:r>
              <w:rPr>
                <w:sz w:val="21"/>
              </w:rPr>
              <w:t xml:space="preserve"> </w:t>
            </w:r>
          </w:p>
        </w:tc>
        <w:tc>
          <w:tcPr>
            <w:tcW w:type="dxa" w:w="1309"/>
            <w:tcBorders>
              <w:top w:val="single" w:color="000000" w:sz="4"/>
              <w:left w:val="none" w:color="000000" w:sz="4"/>
              <w:bottom w:val="single" w:color="000000" w:sz="4"/>
              <w:right w:val="single" w:color="000000" w:sz="4"/>
            </w:tcBorders>
            <w:vAlign w:val="top"/>
          </w:tcPr>
          <w:p>
            <w:pPr>
              <w:jc w:val="center"/>
            </w:pPr>
            <w:r>
              <w:rPr>
                <w:sz w:val="21"/>
              </w:rPr>
              <w:t xml:space="preserve"> </w:t>
            </w:r>
            <w:r>
              <w:rPr>
                <w:sz w:val="20"/>
              </w:rPr>
              <w:t>总价（元）</w:t>
            </w:r>
            <w:r>
              <w:rPr>
                <w:sz w:val="21"/>
              </w:rPr>
              <w:t xml:space="preserve"> </w:t>
            </w:r>
          </w:p>
        </w:tc>
        <w:tc>
          <w:tcPr>
            <w:tcW w:type="dxa" w:w="1309"/>
            <w:tcBorders>
              <w:top w:val="single" w:color="000000" w:sz="4"/>
              <w:left w:val="none" w:color="000000" w:sz="4"/>
              <w:bottom w:val="single" w:color="000000" w:sz="4"/>
              <w:right w:val="single" w:color="000000" w:sz="4"/>
            </w:tcBorders>
            <w:vAlign w:val="top"/>
          </w:tcPr>
          <w:p>
            <w:pPr>
              <w:jc w:val="center"/>
            </w:pPr>
            <w:r>
              <w:rPr>
                <w:sz w:val="20"/>
              </w:rPr>
              <w:t>备注</w:t>
            </w:r>
          </w:p>
        </w:tc>
      </w:tr>
      <w:tr>
        <w:tc>
          <w:tcPr>
            <w:tcW w:type="dxa" w:w="916"/>
            <w:tcBorders>
              <w:top w:val="none" w:color="000000" w:sz="4"/>
              <w:left w:val="single" w:color="000000" w:sz="4"/>
              <w:bottom w:val="single" w:color="000000" w:sz="4"/>
              <w:right w:val="single" w:color="000000" w:sz="4"/>
            </w:tcBorders>
            <w:vAlign w:val="top"/>
          </w:tcPr>
          <w:p>
            <w:pPr>
              <w:jc w:val="center"/>
            </w:pPr>
          </w:p>
        </w:tc>
        <w:tc>
          <w:tcPr>
            <w:tcW w:type="dxa" w:w="1309"/>
            <w:tcBorders>
              <w:top w:val="none" w:color="000000" w:sz="4"/>
              <w:left w:val="none" w:color="000000" w:sz="4"/>
              <w:bottom w:val="single" w:color="000000" w:sz="4"/>
              <w:right w:val="single" w:color="000000" w:sz="4"/>
            </w:tcBorders>
            <w:vAlign w:val="top"/>
          </w:tcPr>
          <w:p>
            <w:pPr>
              <w:jc w:val="center"/>
            </w:pPr>
          </w:p>
        </w:tc>
        <w:tc>
          <w:tcPr>
            <w:tcW w:type="dxa" w:w="1309"/>
            <w:tcBorders>
              <w:top w:val="none" w:color="000000" w:sz="4"/>
              <w:left w:val="none" w:color="000000" w:sz="4"/>
              <w:bottom w:val="single" w:color="000000" w:sz="4"/>
              <w:right w:val="single" w:color="000000" w:sz="4"/>
            </w:tcBorders>
            <w:vAlign w:val="top"/>
          </w:tcPr>
          <w:p>
            <w:pPr>
              <w:jc w:val="center"/>
            </w:pPr>
          </w:p>
        </w:tc>
        <w:tc>
          <w:tcPr>
            <w:tcW w:type="dxa" w:w="1309"/>
            <w:tcBorders>
              <w:top w:val="none" w:color="000000" w:sz="4"/>
              <w:left w:val="none" w:color="000000" w:sz="4"/>
              <w:bottom w:val="single" w:color="000000" w:sz="4"/>
              <w:right w:val="single" w:color="000000" w:sz="4"/>
            </w:tcBorders>
            <w:vAlign w:val="top"/>
          </w:tcPr>
          <w:p>
            <w:pPr>
              <w:jc w:val="center"/>
            </w:pPr>
          </w:p>
        </w:tc>
        <w:tc>
          <w:tcPr>
            <w:tcW w:type="dxa" w:w="1309"/>
            <w:tcBorders>
              <w:top w:val="none" w:color="000000" w:sz="4"/>
              <w:left w:val="none" w:color="000000" w:sz="4"/>
              <w:bottom w:val="single" w:color="000000" w:sz="4"/>
              <w:right w:val="single" w:color="000000" w:sz="4"/>
            </w:tcBorders>
            <w:vAlign w:val="top"/>
          </w:tcPr>
          <w:p>
            <w:pPr>
              <w:jc w:val="center"/>
            </w:pPr>
          </w:p>
        </w:tc>
        <w:tc>
          <w:tcPr>
            <w:tcW w:type="dxa" w:w="1600"/>
            <w:tcBorders>
              <w:top w:val="none" w:color="000000" w:sz="4"/>
              <w:left w:val="none" w:color="000000" w:sz="4"/>
              <w:bottom w:val="single" w:color="000000" w:sz="4"/>
              <w:right w:val="single" w:color="000000" w:sz="4"/>
            </w:tcBorders>
            <w:vAlign w:val="top"/>
          </w:tcPr>
          <w:p>
            <w:pPr>
              <w:jc w:val="center"/>
            </w:pPr>
          </w:p>
        </w:tc>
        <w:tc>
          <w:tcPr>
            <w:tcW w:type="dxa" w:w="1309"/>
            <w:tcBorders>
              <w:top w:val="none" w:color="000000" w:sz="4"/>
              <w:left w:val="none" w:color="000000" w:sz="4"/>
              <w:bottom w:val="single" w:color="000000" w:sz="4"/>
              <w:right w:val="single" w:color="000000" w:sz="4"/>
            </w:tcBorders>
            <w:vAlign w:val="top"/>
          </w:tcPr>
          <w:p>
            <w:pPr>
              <w:jc w:val="center"/>
            </w:pPr>
          </w:p>
        </w:tc>
        <w:tc>
          <w:tcPr>
            <w:tcW w:type="dxa" w:w="1309"/>
            <w:tcBorders>
              <w:top w:val="none" w:color="000000" w:sz="4"/>
              <w:left w:val="none" w:color="000000" w:sz="4"/>
              <w:bottom w:val="single" w:color="000000" w:sz="4"/>
              <w:right w:val="single" w:color="000000" w:sz="4"/>
            </w:tcBorders>
            <w:vAlign w:val="top"/>
          </w:tcPr>
          <w:p>
            <w:pPr>
              <w:jc w:val="both"/>
            </w:pPr>
          </w:p>
        </w:tc>
      </w:tr>
      <w:tr>
        <w:tc>
          <w:tcPr>
            <w:tcW w:type="dxa" w:w="916"/>
            <w:tcBorders>
              <w:top w:val="none" w:color="000000" w:sz="4"/>
              <w:left w:val="single" w:color="000000" w:sz="4"/>
              <w:bottom w:val="single" w:color="000000" w:sz="4"/>
              <w:right w:val="single" w:color="000000" w:sz="4"/>
            </w:tcBorders>
            <w:vAlign w:val="top"/>
          </w:tcPr>
          <w:p>
            <w:pPr>
              <w:jc w:val="center"/>
            </w:pPr>
          </w:p>
        </w:tc>
        <w:tc>
          <w:tcPr>
            <w:tcW w:type="dxa" w:w="1309"/>
            <w:tcBorders>
              <w:top w:val="none" w:color="000000" w:sz="4"/>
              <w:left w:val="none" w:color="000000" w:sz="4"/>
              <w:bottom w:val="single" w:color="000000" w:sz="4"/>
              <w:right w:val="single" w:color="000000" w:sz="4"/>
            </w:tcBorders>
            <w:vAlign w:val="top"/>
          </w:tcPr>
          <w:p>
            <w:pPr>
              <w:jc w:val="center"/>
            </w:pPr>
          </w:p>
        </w:tc>
        <w:tc>
          <w:tcPr>
            <w:tcW w:type="dxa" w:w="1309"/>
            <w:tcBorders>
              <w:top w:val="none" w:color="000000" w:sz="4"/>
              <w:left w:val="none" w:color="000000" w:sz="4"/>
              <w:bottom w:val="single" w:color="000000" w:sz="4"/>
              <w:right w:val="single" w:color="000000" w:sz="4"/>
            </w:tcBorders>
            <w:vAlign w:val="top"/>
          </w:tcPr>
          <w:p>
            <w:pPr>
              <w:jc w:val="center"/>
            </w:pPr>
          </w:p>
        </w:tc>
        <w:tc>
          <w:tcPr>
            <w:tcW w:type="dxa" w:w="1309"/>
            <w:tcBorders>
              <w:top w:val="none" w:color="000000" w:sz="4"/>
              <w:left w:val="none" w:color="000000" w:sz="4"/>
              <w:bottom w:val="single" w:color="000000" w:sz="4"/>
              <w:right w:val="single" w:color="000000" w:sz="4"/>
            </w:tcBorders>
            <w:vAlign w:val="top"/>
          </w:tcPr>
          <w:p>
            <w:pPr>
              <w:jc w:val="center"/>
            </w:pPr>
          </w:p>
        </w:tc>
        <w:tc>
          <w:tcPr>
            <w:tcW w:type="dxa" w:w="1309"/>
            <w:tcBorders>
              <w:top w:val="none" w:color="000000" w:sz="4"/>
              <w:left w:val="none" w:color="000000" w:sz="4"/>
              <w:bottom w:val="single" w:color="000000" w:sz="4"/>
              <w:right w:val="single" w:color="000000" w:sz="4"/>
            </w:tcBorders>
            <w:vAlign w:val="top"/>
          </w:tcPr>
          <w:p>
            <w:pPr>
              <w:jc w:val="center"/>
            </w:pPr>
          </w:p>
        </w:tc>
        <w:tc>
          <w:tcPr>
            <w:tcW w:type="dxa" w:w="1600"/>
            <w:tcBorders>
              <w:top w:val="none" w:color="000000" w:sz="4"/>
              <w:left w:val="none" w:color="000000" w:sz="4"/>
              <w:bottom w:val="single" w:color="000000" w:sz="4"/>
              <w:right w:val="single" w:color="000000" w:sz="4"/>
            </w:tcBorders>
            <w:vAlign w:val="top"/>
          </w:tcPr>
          <w:p>
            <w:pPr>
              <w:jc w:val="center"/>
            </w:pPr>
          </w:p>
        </w:tc>
        <w:tc>
          <w:tcPr>
            <w:tcW w:type="dxa" w:w="1309"/>
            <w:tcBorders>
              <w:top w:val="none" w:color="000000" w:sz="4"/>
              <w:left w:val="none" w:color="000000" w:sz="4"/>
              <w:bottom w:val="single" w:color="000000" w:sz="4"/>
              <w:right w:val="single" w:color="000000" w:sz="4"/>
            </w:tcBorders>
            <w:vAlign w:val="top"/>
          </w:tcPr>
          <w:p>
            <w:pPr>
              <w:jc w:val="center"/>
            </w:pPr>
          </w:p>
        </w:tc>
        <w:tc>
          <w:tcPr>
            <w:tcW w:type="dxa" w:w="1309"/>
            <w:tcBorders>
              <w:top w:val="none" w:color="000000" w:sz="4"/>
              <w:left w:val="none" w:color="000000" w:sz="4"/>
              <w:bottom w:val="single" w:color="000000" w:sz="4"/>
              <w:right w:val="single" w:color="000000" w:sz="4"/>
            </w:tcBorders>
            <w:vAlign w:val="top"/>
          </w:tcPr>
          <w:p>
            <w:pPr>
              <w:jc w:val="both"/>
            </w:pPr>
          </w:p>
        </w:tc>
      </w:tr>
      <w:tr>
        <w:tc>
          <w:tcPr>
            <w:tcW w:type="dxa" w:w="916"/>
            <w:tcBorders>
              <w:top w:val="none" w:color="000000" w:sz="4"/>
              <w:left w:val="single" w:color="000000" w:sz="4"/>
              <w:bottom w:val="single" w:color="000000" w:sz="4"/>
              <w:right w:val="single" w:color="000000" w:sz="4"/>
            </w:tcBorders>
            <w:vAlign w:val="top"/>
          </w:tcPr>
          <w:p>
            <w:pPr>
              <w:jc w:val="center"/>
            </w:pPr>
          </w:p>
        </w:tc>
        <w:tc>
          <w:tcPr>
            <w:tcW w:type="dxa" w:w="1309"/>
            <w:tcBorders>
              <w:top w:val="none" w:color="000000" w:sz="4"/>
              <w:left w:val="none" w:color="000000" w:sz="4"/>
              <w:bottom w:val="single" w:color="000000" w:sz="4"/>
              <w:right w:val="single" w:color="000000" w:sz="4"/>
            </w:tcBorders>
            <w:vAlign w:val="top"/>
          </w:tcPr>
          <w:p>
            <w:pPr>
              <w:jc w:val="center"/>
            </w:pPr>
          </w:p>
        </w:tc>
        <w:tc>
          <w:tcPr>
            <w:tcW w:type="dxa" w:w="1309"/>
            <w:tcBorders>
              <w:top w:val="none" w:color="000000" w:sz="4"/>
              <w:left w:val="none" w:color="000000" w:sz="4"/>
              <w:bottom w:val="single" w:color="000000" w:sz="4"/>
              <w:right w:val="single" w:color="000000" w:sz="4"/>
            </w:tcBorders>
            <w:vAlign w:val="top"/>
          </w:tcPr>
          <w:p>
            <w:pPr>
              <w:jc w:val="center"/>
            </w:pPr>
          </w:p>
        </w:tc>
        <w:tc>
          <w:tcPr>
            <w:tcW w:type="dxa" w:w="1309"/>
            <w:tcBorders>
              <w:top w:val="none" w:color="000000" w:sz="4"/>
              <w:left w:val="none" w:color="000000" w:sz="4"/>
              <w:bottom w:val="single" w:color="000000" w:sz="4"/>
              <w:right w:val="single" w:color="000000" w:sz="4"/>
            </w:tcBorders>
            <w:vAlign w:val="top"/>
          </w:tcPr>
          <w:p>
            <w:pPr>
              <w:jc w:val="center"/>
            </w:pPr>
          </w:p>
        </w:tc>
        <w:tc>
          <w:tcPr>
            <w:tcW w:type="dxa" w:w="1309"/>
            <w:tcBorders>
              <w:top w:val="none" w:color="000000" w:sz="4"/>
              <w:left w:val="none" w:color="000000" w:sz="4"/>
              <w:bottom w:val="single" w:color="000000" w:sz="4"/>
              <w:right w:val="single" w:color="000000" w:sz="4"/>
            </w:tcBorders>
            <w:vAlign w:val="top"/>
          </w:tcPr>
          <w:p>
            <w:pPr>
              <w:jc w:val="center"/>
            </w:pPr>
          </w:p>
        </w:tc>
        <w:tc>
          <w:tcPr>
            <w:tcW w:type="dxa" w:w="1600"/>
            <w:tcBorders>
              <w:top w:val="none" w:color="000000" w:sz="4"/>
              <w:left w:val="none" w:color="000000" w:sz="4"/>
              <w:bottom w:val="single" w:color="000000" w:sz="4"/>
              <w:right w:val="single" w:color="000000" w:sz="4"/>
            </w:tcBorders>
            <w:vAlign w:val="top"/>
          </w:tcPr>
          <w:p>
            <w:pPr>
              <w:jc w:val="center"/>
            </w:pPr>
          </w:p>
        </w:tc>
        <w:tc>
          <w:tcPr>
            <w:tcW w:type="dxa" w:w="1309"/>
            <w:tcBorders>
              <w:top w:val="none" w:color="000000" w:sz="4"/>
              <w:left w:val="none" w:color="000000" w:sz="4"/>
              <w:bottom w:val="single" w:color="000000" w:sz="4"/>
              <w:right w:val="single" w:color="000000" w:sz="4"/>
            </w:tcBorders>
            <w:vAlign w:val="top"/>
          </w:tcPr>
          <w:p>
            <w:pPr>
              <w:jc w:val="center"/>
            </w:pPr>
          </w:p>
        </w:tc>
        <w:tc>
          <w:tcPr>
            <w:tcW w:type="dxa" w:w="1309"/>
            <w:tcBorders>
              <w:top w:val="none" w:color="000000" w:sz="4"/>
              <w:left w:val="none" w:color="000000" w:sz="4"/>
              <w:bottom w:val="single" w:color="000000" w:sz="4"/>
              <w:right w:val="single" w:color="000000" w:sz="4"/>
            </w:tcBorders>
            <w:vAlign w:val="top"/>
          </w:tcPr>
          <w:p>
            <w:pPr>
              <w:jc w:val="center"/>
            </w:pPr>
          </w:p>
        </w:tc>
      </w:tr>
    </w:tbl>
    <w:p>
      <w:pPr>
        <w:jc w:val="both"/>
      </w:pPr>
    </w:p>
    <w:p>
      <w:pPr>
        <w:jc w:val="both"/>
      </w:pPr>
      <w:r>
        <w:rPr>
          <w:sz w:val="21"/>
        </w:rPr>
        <w:t>2、</w:t>
      </w:r>
      <w:r>
        <w:rPr>
          <w:b/>
          <w:sz w:val="21"/>
        </w:rPr>
        <w:t>合同金额和供货期</w:t>
      </w:r>
    </w:p>
    <w:p>
      <w:pPr>
        <w:ind w:firstLine="420"/>
        <w:jc w:val="both"/>
      </w:pPr>
      <w:r>
        <w:rPr>
          <w:sz w:val="21"/>
        </w:rPr>
        <w:t>2.1合同总金额为￥****元（人民币****），该合同总金额包括但不限于购买货物的价格、设计、制造、验收、质保期及将货物运至指定地点所发生的运费、装卸费等货物伴随服务的费用和所需缴纳的一切相关税费。</w:t>
      </w:r>
    </w:p>
    <w:p>
      <w:pPr>
        <w:ind w:firstLine="420"/>
        <w:jc w:val="both"/>
      </w:pPr>
      <w:r>
        <w:rPr>
          <w:sz w:val="21"/>
        </w:rPr>
        <w:t>2.2供货期</w:t>
      </w:r>
      <w:r>
        <w:rPr>
          <w:sz w:val="21"/>
          <w:u w:val="single"/>
        </w:rPr>
        <w:t xml:space="preserve"> </w:t>
      </w:r>
      <w:r>
        <w:rPr>
          <w:sz w:val="21"/>
          <w:u w:val="single"/>
        </w:rPr>
        <w:t>*</w:t>
      </w:r>
      <w:r>
        <w:rPr>
          <w:sz w:val="21"/>
        </w:rPr>
        <w:t>年。</w:t>
      </w:r>
      <w:r>
        <w:rPr>
          <w:sz w:val="21"/>
        </w:rPr>
        <w:t>自</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日起至</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日止</w:t>
      </w:r>
      <w:r>
        <w:rPr>
          <w:sz w:val="21"/>
        </w:rPr>
        <w:t>。合同执行期间单价保持不变，甲方按需采购，结算金额按实际采购数量和合同单价进行结算，乙方不得以任何理由调整单价。供货期结束或累计采购金额达到预算金额的，合同自动终止（按先达到的执行）。</w:t>
      </w:r>
    </w:p>
    <w:p>
      <w:pPr>
        <w:jc w:val="both"/>
      </w:pPr>
      <w:r>
        <w:rPr>
          <w:sz w:val="21"/>
        </w:rPr>
        <w:t>3、质量要求</w:t>
      </w:r>
    </w:p>
    <w:p>
      <w:pPr>
        <w:ind w:firstLine="424"/>
        <w:jc w:val="both"/>
      </w:pPr>
      <w:r>
        <w:rPr>
          <w:sz w:val="21"/>
        </w:rPr>
        <w:t>3.1乙方提供的货物质量必须符合国家相关标准、行业标准及采购文件要求</w:t>
      </w:r>
      <w:r>
        <w:rPr>
          <w:sz w:val="21"/>
        </w:rPr>
        <w:t>。</w:t>
      </w:r>
    </w:p>
    <w:p>
      <w:pPr>
        <w:ind w:firstLine="424"/>
        <w:jc w:val="both"/>
      </w:pPr>
      <w:r>
        <w:rPr>
          <w:sz w:val="21"/>
        </w:rPr>
        <w:t>3</w:t>
      </w:r>
      <w:r>
        <w:rPr>
          <w:sz w:val="21"/>
        </w:rPr>
        <w:t>.</w:t>
      </w:r>
      <w:r>
        <w:rPr>
          <w:sz w:val="21"/>
        </w:rPr>
        <w:t>2乙方提供的货物如有质量问题而发生争议，由甲方指定具备相应资质的权威机构进行质量鉴定。鉴定后货物符合质量标准的，鉴定费用由甲方承担。货物不符合质量标准的，鉴定费用由乙方承担。</w:t>
      </w:r>
    </w:p>
    <w:p>
      <w:pPr>
        <w:ind w:firstLine="424"/>
        <w:jc w:val="both"/>
      </w:pPr>
      <w:r>
        <w:rPr>
          <w:sz w:val="21"/>
        </w:rPr>
        <w:t>3.3乙方保证合同项下提供的</w:t>
      </w:r>
      <w:r>
        <w:rPr>
          <w:sz w:val="21"/>
        </w:rPr>
        <w:t>货物</w:t>
      </w:r>
      <w:r>
        <w:rPr>
          <w:sz w:val="21"/>
        </w:rPr>
        <w:t>不侵犯任何第三方的专利、商标或版权。否则，乙方须承担对第三方的专利或版权的侵权责任并承担因此而发生的所有费用。</w:t>
      </w:r>
    </w:p>
    <w:p>
      <w:pPr>
        <w:jc w:val="both"/>
      </w:pPr>
      <w:r>
        <w:rPr>
          <w:sz w:val="21"/>
        </w:rPr>
        <w:t>.......................................</w:t>
      </w:r>
    </w:p>
    <w:p>
      <w:pPr>
        <w:jc w:val="both"/>
      </w:pPr>
      <w:r>
        <w:rPr>
          <w:sz w:val="21"/>
        </w:rPr>
        <w:t>4</w:t>
      </w:r>
      <w:r>
        <w:rPr>
          <w:sz w:val="21"/>
        </w:rPr>
        <w:t>、合同</w:t>
      </w:r>
      <w:r>
        <w:rPr>
          <w:sz w:val="21"/>
        </w:rPr>
        <w:t>期限</w:t>
      </w:r>
      <w:r>
        <w:rPr>
          <w:sz w:val="21"/>
        </w:rPr>
        <w:t>：</w:t>
      </w:r>
      <w:r>
        <w:rPr>
          <w:sz w:val="21"/>
        </w:rPr>
        <w:t>合同签订后</w:t>
      </w:r>
      <w:r>
        <w:rPr>
          <w:sz w:val="21"/>
          <w:u w:val="single"/>
        </w:rPr>
        <w:t xml:space="preserve">    </w:t>
      </w:r>
      <w:r>
        <w:rPr>
          <w:sz w:val="21"/>
        </w:rPr>
        <w:t>年</w:t>
      </w:r>
      <w:r>
        <w:rPr>
          <w:sz w:val="21"/>
        </w:rPr>
        <w:t>。</w:t>
      </w:r>
    </w:p>
    <w:p>
      <w:pPr>
        <w:jc w:val="both"/>
      </w:pPr>
      <w:r>
        <w:rPr>
          <w:sz w:val="21"/>
        </w:rPr>
        <w:t>5</w:t>
      </w:r>
      <w:r>
        <w:rPr>
          <w:sz w:val="21"/>
        </w:rPr>
        <w:t>、</w:t>
      </w:r>
      <w:r>
        <w:rPr>
          <w:sz w:val="21"/>
        </w:rPr>
        <w:t>履行地点和方式</w:t>
      </w:r>
      <w:r>
        <w:rPr>
          <w:sz w:val="21"/>
        </w:rPr>
        <w:t>：乙方必须按甲方指定的交货地点，按时免费送货上门。</w:t>
      </w:r>
    </w:p>
    <w:p>
      <w:pPr>
        <w:jc w:val="both"/>
      </w:pPr>
      <w:r>
        <w:rPr>
          <w:sz w:val="21"/>
        </w:rPr>
        <w:t>6、运输方式、包装及费用</w:t>
      </w:r>
    </w:p>
    <w:p>
      <w:pPr>
        <w:jc w:val="both"/>
      </w:pPr>
      <w:r>
        <w:rPr>
          <w:sz w:val="21"/>
        </w:rPr>
        <w:t xml:space="preserve">   </w:t>
      </w:r>
      <w:r>
        <w:rPr>
          <w:sz w:val="21"/>
        </w:rPr>
        <w:t>乙方应当保证其出售的全部货物按照标准进行包装，以适应于远距离运输、防潮、防震、防锈等要求，确保货物安全无损地运抵交货地点，且所有费用由乙方负责。凡由于包装不良造成的损失和由此产生的费用均由乙方承担。</w:t>
      </w:r>
    </w:p>
    <w:p>
      <w:pPr>
        <w:jc w:val="both"/>
      </w:pPr>
      <w:r>
        <w:rPr>
          <w:sz w:val="21"/>
        </w:rPr>
        <w:t>7、货物验收</w:t>
      </w:r>
    </w:p>
    <w:p>
      <w:pPr>
        <w:ind w:firstLine="630"/>
        <w:jc w:val="both"/>
      </w:pPr>
      <w:r>
        <w:rPr>
          <w:sz w:val="21"/>
        </w:rPr>
        <w:t>.......................................</w:t>
      </w:r>
    </w:p>
    <w:p>
      <w:pPr>
        <w:jc w:val="both"/>
      </w:pPr>
      <w:r>
        <w:rPr>
          <w:sz w:val="21"/>
        </w:rPr>
        <w:t>8</w:t>
      </w:r>
      <w:r>
        <w:rPr>
          <w:sz w:val="21"/>
        </w:rPr>
        <w:t>、</w:t>
      </w:r>
      <w:r>
        <w:rPr>
          <w:sz w:val="21"/>
        </w:rPr>
        <w:t>结算方式</w:t>
      </w:r>
    </w:p>
    <w:p>
      <w:pPr>
        <w:ind w:firstLine="424"/>
        <w:jc w:val="both"/>
      </w:pPr>
      <w:r>
        <w:rPr>
          <w:sz w:val="21"/>
        </w:rPr>
        <w:t>8.1、按实际采购数量和合同单价进行结算。</w:t>
      </w:r>
    </w:p>
    <w:p>
      <w:pPr>
        <w:ind w:firstLine="424"/>
        <w:jc w:val="both"/>
      </w:pPr>
      <w:r>
        <w:rPr>
          <w:sz w:val="21"/>
        </w:rPr>
        <w:t>8.2、按时按量交货并通过验收后，乙方开具相应金额的正规发票，甲方收到发票后</w:t>
      </w:r>
      <w:r>
        <w:rPr>
          <w:sz w:val="21"/>
        </w:rPr>
        <w:t>15</w:t>
      </w:r>
      <w:r>
        <w:rPr>
          <w:sz w:val="21"/>
        </w:rPr>
        <w:t>个自然日内支付相应货款。</w:t>
      </w:r>
    </w:p>
    <w:p>
      <w:pPr>
        <w:jc w:val="both"/>
      </w:pPr>
      <w:r>
        <w:rPr>
          <w:sz w:val="21"/>
        </w:rPr>
        <w:t>9</w:t>
      </w:r>
      <w:r>
        <w:rPr>
          <w:sz w:val="21"/>
        </w:rPr>
        <w:t>、</w:t>
      </w:r>
      <w:r>
        <w:rPr>
          <w:sz w:val="21"/>
        </w:rPr>
        <w:t>质量保证及售后服务</w:t>
      </w:r>
    </w:p>
    <w:p>
      <w:pPr>
        <w:jc w:val="both"/>
      </w:pPr>
      <w:r>
        <w:rPr>
          <w:sz w:val="21"/>
        </w:rPr>
        <w:t>.......................................</w:t>
      </w:r>
    </w:p>
    <w:p>
      <w:pPr>
        <w:jc w:val="both"/>
      </w:pPr>
    </w:p>
    <w:p>
      <w:pPr>
        <w:jc w:val="both"/>
      </w:pPr>
      <w:r>
        <w:rPr>
          <w:sz w:val="21"/>
        </w:rPr>
        <w:t>1</w:t>
      </w:r>
      <w:r>
        <w:rPr>
          <w:sz w:val="21"/>
        </w:rPr>
        <w:t>0</w:t>
      </w:r>
      <w:r>
        <w:rPr>
          <w:sz w:val="21"/>
        </w:rPr>
        <w:t>、</w:t>
      </w:r>
      <w:r>
        <w:rPr>
          <w:sz w:val="21"/>
        </w:rPr>
        <w:t>违约责任</w:t>
      </w:r>
    </w:p>
    <w:p>
      <w:pPr>
        <w:ind w:firstLine="420"/>
        <w:jc w:val="both"/>
      </w:pPr>
      <w:r>
        <w:rPr>
          <w:sz w:val="21"/>
        </w:rPr>
        <w:t>10</w:t>
      </w:r>
      <w:r>
        <w:rPr>
          <w:sz w:val="21"/>
        </w:rPr>
        <w:t>.</w:t>
      </w:r>
      <w:r>
        <w:rPr>
          <w:sz w:val="21"/>
        </w:rPr>
        <w:t>1</w:t>
      </w:r>
      <w:r>
        <w:rPr>
          <w:sz w:val="21"/>
        </w:rPr>
        <w:t>甲方应在合同规定时间内，向乙方支付货款，每拖延一天乙方可向甲方加收拖欠货物金额的</w:t>
      </w:r>
      <w:r>
        <w:rPr>
          <w:sz w:val="21"/>
          <w:u w:val="single"/>
        </w:rPr>
        <w:t>0.3</w:t>
      </w:r>
      <w:r>
        <w:rPr>
          <w:sz w:val="21"/>
          <w:u w:val="single"/>
        </w:rPr>
        <w:t>‰</w:t>
      </w:r>
      <w:r>
        <w:rPr>
          <w:sz w:val="21"/>
        </w:rPr>
        <w:t>的违约金。</w:t>
      </w:r>
    </w:p>
    <w:p>
      <w:pPr>
        <w:ind w:firstLine="420"/>
        <w:jc w:val="both"/>
      </w:pPr>
      <w:r>
        <w:rPr>
          <w:sz w:val="21"/>
        </w:rPr>
        <w:t>10</w:t>
      </w:r>
      <w:r>
        <w:rPr>
          <w:sz w:val="21"/>
        </w:rPr>
        <w:t>.</w:t>
      </w:r>
      <w:r>
        <w:rPr>
          <w:sz w:val="21"/>
        </w:rPr>
        <w:t>2</w:t>
      </w:r>
      <w:r>
        <w:rPr>
          <w:sz w:val="21"/>
        </w:rPr>
        <w:t>乙方未能按时按质按量完成供货的，每拖延一天，须向甲方支付拖欠货物金额的</w:t>
      </w:r>
      <w:r>
        <w:rPr>
          <w:sz w:val="21"/>
          <w:u w:val="single"/>
        </w:rPr>
        <w:t>0.5</w:t>
      </w:r>
      <w:r>
        <w:rPr>
          <w:sz w:val="21"/>
          <w:u w:val="single"/>
        </w:rPr>
        <w:t>‰</w:t>
      </w:r>
      <w:r>
        <w:rPr>
          <w:sz w:val="21"/>
        </w:rPr>
        <w:t>的违约金。乙方逾期超过二十天的，则向甲方支付拖欠货物金额的</w:t>
      </w:r>
      <w:r>
        <w:rPr>
          <w:sz w:val="21"/>
          <w:u w:val="single"/>
        </w:rPr>
        <w:t>10%</w:t>
      </w:r>
      <w:r>
        <w:rPr>
          <w:sz w:val="21"/>
        </w:rPr>
        <w:t>的违约金。超过合同规定的送货时间</w:t>
      </w:r>
      <w:r>
        <w:rPr>
          <w:sz w:val="21"/>
        </w:rPr>
        <w:t>30天以上，甲方有权单方面解除合同，由此造成的一切损失由乙方承担。</w:t>
      </w:r>
    </w:p>
    <w:p>
      <w:pPr>
        <w:ind w:firstLine="420"/>
        <w:jc w:val="both"/>
      </w:pPr>
      <w:r>
        <w:rPr>
          <w:sz w:val="21"/>
        </w:rPr>
        <w:t>10</w:t>
      </w:r>
      <w:r>
        <w:rPr>
          <w:sz w:val="21"/>
        </w:rPr>
        <w:t>.</w:t>
      </w:r>
      <w:r>
        <w:rPr>
          <w:sz w:val="21"/>
        </w:rPr>
        <w:t>3</w:t>
      </w:r>
      <w:r>
        <w:rPr>
          <w:sz w:val="21"/>
        </w:rPr>
        <w:t>乙方交付的货物不符合合同规定的，甲方有权拒收，乙方向甲方支付该批货物金额的</w:t>
      </w:r>
      <w:r>
        <w:rPr>
          <w:sz w:val="21"/>
          <w:u w:val="single"/>
        </w:rPr>
        <w:t xml:space="preserve"> </w:t>
      </w:r>
      <w:r>
        <w:rPr>
          <w:sz w:val="21"/>
          <w:u w:val="single"/>
        </w:rPr>
        <w:t>10%</w:t>
      </w:r>
      <w:r>
        <w:rPr>
          <w:sz w:val="21"/>
        </w:rPr>
        <w:t>的违约金</w:t>
      </w:r>
      <w:r>
        <w:rPr>
          <w:sz w:val="21"/>
        </w:rPr>
        <w:t>,同样情况出现累计达三次的，甲方有权单方面解除合同。</w:t>
      </w:r>
    </w:p>
    <w:p>
      <w:pPr>
        <w:ind w:firstLine="420"/>
        <w:jc w:val="both"/>
      </w:pPr>
      <w:r>
        <w:rPr>
          <w:sz w:val="21"/>
        </w:rPr>
        <w:t>10</w:t>
      </w:r>
      <w:r>
        <w:rPr>
          <w:sz w:val="21"/>
        </w:rPr>
        <w:t>.</w:t>
      </w:r>
      <w:r>
        <w:rPr>
          <w:sz w:val="21"/>
        </w:rPr>
        <w:t>4</w:t>
      </w:r>
      <w:r>
        <w:rPr>
          <w:sz w:val="21"/>
        </w:rPr>
        <w:t>甲方无正当理由拒收合同货物的，甲方向乙方支付该批货物金额的</w:t>
      </w:r>
      <w:r>
        <w:rPr>
          <w:sz w:val="21"/>
          <w:u w:val="single"/>
        </w:rPr>
        <w:t xml:space="preserve"> </w:t>
      </w:r>
      <w:r>
        <w:rPr>
          <w:sz w:val="21"/>
          <w:u w:val="single"/>
        </w:rPr>
        <w:t>10%</w:t>
      </w:r>
      <w:r>
        <w:rPr>
          <w:sz w:val="21"/>
        </w:rPr>
        <w:t>的违约金。</w:t>
      </w:r>
    </w:p>
    <w:p>
      <w:pPr>
        <w:ind w:firstLine="420"/>
        <w:jc w:val="both"/>
      </w:pPr>
      <w:r>
        <w:rPr>
          <w:sz w:val="21"/>
        </w:rPr>
        <w:t>10</w:t>
      </w:r>
      <w:r>
        <w:rPr>
          <w:sz w:val="21"/>
        </w:rPr>
        <w:t>.5</w:t>
      </w:r>
      <w:r>
        <w:rPr>
          <w:sz w:val="21"/>
        </w:rPr>
        <w:t>任何一方违反本</w:t>
      </w:r>
      <w:r>
        <w:rPr>
          <w:sz w:val="21"/>
        </w:rPr>
        <w:t>合同</w:t>
      </w:r>
      <w:r>
        <w:rPr>
          <w:sz w:val="21"/>
        </w:rPr>
        <w:t>导致本</w:t>
      </w:r>
      <w:r>
        <w:rPr>
          <w:sz w:val="21"/>
        </w:rPr>
        <w:t>合同</w:t>
      </w:r>
      <w:r>
        <w:rPr>
          <w:sz w:val="21"/>
        </w:rPr>
        <w:t>无法继续履行的</w:t>
      </w:r>
      <w:r>
        <w:rPr>
          <w:sz w:val="21"/>
        </w:rPr>
        <w:t>，违约方须向守约方支付￥</w:t>
      </w:r>
      <w:r>
        <w:rPr>
          <w:sz w:val="21"/>
        </w:rPr>
        <w:t>**</w:t>
      </w:r>
      <w:r>
        <w:rPr>
          <w:sz w:val="21"/>
        </w:rPr>
        <w:t>元（人民币</w:t>
      </w:r>
      <w:r>
        <w:rPr>
          <w:sz w:val="21"/>
        </w:rPr>
        <w:t>***</w:t>
      </w:r>
      <w:r>
        <w:rPr>
          <w:sz w:val="21"/>
        </w:rPr>
        <w:t>）作为违约金</w:t>
      </w:r>
      <w:r>
        <w:rPr>
          <w:sz w:val="21"/>
        </w:rPr>
        <w:t>(</w:t>
      </w:r>
      <w:r>
        <w:rPr>
          <w:sz w:val="21"/>
        </w:rPr>
        <w:t>为合同总金额的</w:t>
      </w:r>
      <w:r>
        <w:rPr>
          <w:sz w:val="21"/>
        </w:rPr>
        <w:t>3%），</w:t>
      </w:r>
      <w:r>
        <w:rPr>
          <w:sz w:val="21"/>
        </w:rPr>
        <w:t>该违约金不足以弥补守约方实际损失的，违约方应赔偿守约方所有实际损失。</w:t>
      </w:r>
    </w:p>
    <w:p>
      <w:pPr>
        <w:ind w:firstLine="420"/>
        <w:jc w:val="both"/>
      </w:pPr>
      <w:r>
        <w:rPr>
          <w:sz w:val="21"/>
        </w:rPr>
        <w:t>......................................</w:t>
      </w:r>
    </w:p>
    <w:p>
      <w:pPr>
        <w:jc w:val="both"/>
      </w:pPr>
      <w:r>
        <w:rPr>
          <w:sz w:val="21"/>
        </w:rPr>
        <w:t>11合同终止</w:t>
      </w:r>
    </w:p>
    <w:p>
      <w:pPr>
        <w:ind w:firstLine="315"/>
        <w:jc w:val="both"/>
      </w:pPr>
      <w:r>
        <w:rPr>
          <w:sz w:val="21"/>
        </w:rPr>
        <w:t>11.1乙方有下列情形之一的，甲方有权</w:t>
      </w:r>
      <w:r>
        <w:rPr>
          <w:sz w:val="21"/>
        </w:rPr>
        <w:t>单方面</w:t>
      </w:r>
      <w:r>
        <w:rPr>
          <w:sz w:val="21"/>
        </w:rPr>
        <w:t>终止合同</w:t>
      </w:r>
      <w:r>
        <w:rPr>
          <w:sz w:val="21"/>
        </w:rPr>
        <w:t>,给甲方造成实际经济损失的，乙方还应赔偿给甲方造成的损失：</w:t>
      </w:r>
    </w:p>
    <w:p>
      <w:pPr>
        <w:ind w:firstLine="315"/>
        <w:jc w:val="both"/>
      </w:pPr>
      <w:r>
        <w:rPr>
          <w:sz w:val="21"/>
        </w:rPr>
        <w:t>11.1.1未经甲方书面同意，将</w:t>
      </w:r>
      <w:r>
        <w:rPr>
          <w:sz w:val="21"/>
        </w:rPr>
        <w:t>合同的部分和全部转让</w:t>
      </w:r>
      <w:r>
        <w:rPr>
          <w:sz w:val="21"/>
        </w:rPr>
        <w:t>或分包给第三方。</w:t>
      </w:r>
    </w:p>
    <w:p>
      <w:pPr>
        <w:ind w:firstLine="315"/>
        <w:jc w:val="both"/>
      </w:pPr>
      <w:r>
        <w:rPr>
          <w:sz w:val="21"/>
        </w:rPr>
        <w:t>11.1.2合同履行过程中出现侵犯他人合法权益的事项，包括但不限于知识产权、人身财产权益等。</w:t>
      </w:r>
    </w:p>
    <w:p>
      <w:pPr>
        <w:ind w:firstLine="315"/>
        <w:jc w:val="both"/>
      </w:pPr>
      <w:r>
        <w:rPr>
          <w:sz w:val="21"/>
        </w:rPr>
        <w:t>11.1.3未履行本合同约定的其他义务的, 经甲方催告后</w:t>
      </w:r>
      <w:r>
        <w:rPr>
          <w:sz w:val="21"/>
        </w:rPr>
        <w:t>30</w:t>
      </w:r>
      <w:r>
        <w:rPr>
          <w:sz w:val="21"/>
        </w:rPr>
        <w:t>个自然日内仍未整改的。</w:t>
      </w:r>
    </w:p>
    <w:p>
      <w:pPr>
        <w:ind w:firstLine="315"/>
        <w:jc w:val="both"/>
      </w:pPr>
      <w:r>
        <w:rPr>
          <w:sz w:val="21"/>
        </w:rPr>
        <w:t>11.1.4</w:t>
      </w:r>
      <w:r>
        <w:rPr>
          <w:sz w:val="21"/>
        </w:rPr>
        <w:t>乙方丧失实际履约能力</w:t>
      </w:r>
      <w:r>
        <w:rPr>
          <w:sz w:val="21"/>
        </w:rPr>
        <w:t>。</w:t>
      </w:r>
    </w:p>
    <w:p>
      <w:pPr>
        <w:ind w:firstLine="315"/>
        <w:jc w:val="both"/>
      </w:pPr>
      <w:r>
        <w:rPr>
          <w:sz w:val="21"/>
        </w:rPr>
        <w:t>11.1.5</w:t>
      </w:r>
      <w:r>
        <w:rPr>
          <w:sz w:val="21"/>
        </w:rPr>
        <w:t>乙方按照有关规定或者上级命令需要立即停止经营的</w:t>
      </w:r>
      <w:r>
        <w:rPr>
          <w:sz w:val="21"/>
        </w:rPr>
        <w:t>。</w:t>
      </w:r>
    </w:p>
    <w:p>
      <w:pPr>
        <w:ind w:firstLine="315"/>
        <w:jc w:val="both"/>
      </w:pPr>
      <w:r>
        <w:rPr>
          <w:sz w:val="21"/>
        </w:rPr>
        <w:t>11.1.6</w:t>
      </w:r>
      <w:r>
        <w:rPr>
          <w:sz w:val="21"/>
        </w:rPr>
        <w:t>乙方违反本协议约定进行经营，或放弃经营、停止营业的</w:t>
      </w:r>
      <w:r>
        <w:rPr>
          <w:sz w:val="21"/>
        </w:rPr>
        <w:t>(除非有符合本合同规定的理由)</w:t>
      </w:r>
      <w:r>
        <w:rPr>
          <w:sz w:val="21"/>
        </w:rPr>
        <w:t>。</w:t>
      </w:r>
    </w:p>
    <w:p>
      <w:pPr>
        <w:ind w:firstLine="315"/>
        <w:jc w:val="both"/>
      </w:pPr>
      <w:r>
        <w:rPr>
          <w:sz w:val="21"/>
        </w:rPr>
        <w:t>11.1.7</w:t>
      </w:r>
      <w:r>
        <w:rPr>
          <w:sz w:val="21"/>
        </w:rPr>
        <w:t>乙方濒临破产或进行清算程序</w:t>
      </w:r>
      <w:r>
        <w:rPr>
          <w:sz w:val="21"/>
        </w:rPr>
        <w:t>(经甲方同意，因重组或合并原因进行清算者例外)</w:t>
      </w:r>
      <w:r>
        <w:rPr>
          <w:sz w:val="21"/>
        </w:rPr>
        <w:t>。</w:t>
      </w:r>
    </w:p>
    <w:p>
      <w:pPr>
        <w:ind w:firstLine="315"/>
        <w:jc w:val="both"/>
      </w:pPr>
      <w:r>
        <w:rPr>
          <w:sz w:val="21"/>
        </w:rPr>
        <w:t>11.1.8</w:t>
      </w:r>
      <w:r>
        <w:rPr>
          <w:sz w:val="21"/>
        </w:rPr>
        <w:t>发生重大责任事故</w:t>
      </w:r>
      <w:r>
        <w:rPr>
          <w:sz w:val="21"/>
        </w:rPr>
        <w:t>(是否构成重大程度，由甲方认定)，事故原因与乙方有关的</w:t>
      </w:r>
      <w:r>
        <w:rPr>
          <w:sz w:val="21"/>
        </w:rPr>
        <w:t>。</w:t>
      </w:r>
    </w:p>
    <w:p>
      <w:pPr>
        <w:ind w:firstLine="315"/>
        <w:jc w:val="both"/>
      </w:pPr>
      <w:r>
        <w:rPr>
          <w:sz w:val="21"/>
        </w:rPr>
        <w:t>11.1.9</w:t>
      </w:r>
      <w:r>
        <w:rPr>
          <w:sz w:val="21"/>
        </w:rPr>
        <w:t>乙方在合作期限内违反法律法规，给甲方造成不良影响的</w:t>
      </w:r>
      <w:r>
        <w:rPr>
          <w:sz w:val="21"/>
        </w:rPr>
        <w:t>。</w:t>
      </w:r>
    </w:p>
    <w:p>
      <w:pPr>
        <w:ind w:firstLine="315"/>
        <w:jc w:val="both"/>
      </w:pPr>
      <w:r>
        <w:rPr>
          <w:sz w:val="21"/>
        </w:rPr>
        <w:t>11.1.10</w:t>
      </w:r>
      <w:r>
        <w:rPr>
          <w:sz w:val="21"/>
        </w:rPr>
        <w:t>乙方严重不服从甲方监管，违反甲方规章制度，造成恶劣影响的</w:t>
      </w:r>
      <w:r>
        <w:rPr>
          <w:sz w:val="21"/>
        </w:rPr>
        <w:t>(由甲方合理认定)</w:t>
      </w:r>
      <w:r>
        <w:rPr>
          <w:sz w:val="21"/>
        </w:rPr>
        <w:t>。</w:t>
      </w:r>
    </w:p>
    <w:p>
      <w:pPr>
        <w:jc w:val="both"/>
      </w:pPr>
      <w:r>
        <w:rPr>
          <w:sz w:val="21"/>
        </w:rPr>
        <w:t>12不可抗力</w:t>
      </w:r>
    </w:p>
    <w:p>
      <w:pPr>
        <w:ind w:firstLine="315"/>
        <w:jc w:val="both"/>
      </w:pPr>
      <w:r>
        <w:rPr>
          <w:sz w:val="21"/>
        </w:rPr>
        <w:t>1</w:t>
      </w:r>
      <w:r>
        <w:rPr>
          <w:sz w:val="21"/>
        </w:rPr>
        <w:t>2</w:t>
      </w:r>
      <w:r>
        <w:rPr>
          <w:sz w:val="21"/>
        </w:rPr>
        <w:t>.1</w:t>
      </w:r>
      <w:r>
        <w:rPr>
          <w:sz w:val="21"/>
        </w:rPr>
        <w:t>不可抗力指战争、严重火灾、洪水、台风、地震等或其它双方认定的不可抗力事件。</w:t>
      </w:r>
    </w:p>
    <w:p>
      <w:pPr>
        <w:ind w:firstLine="315"/>
        <w:jc w:val="both"/>
      </w:pPr>
      <w:r>
        <w:rPr>
          <w:sz w:val="21"/>
        </w:rPr>
        <w:t xml:space="preserve"> </w:t>
      </w:r>
      <w:r>
        <w:rPr>
          <w:sz w:val="21"/>
        </w:rPr>
        <w:t>1</w:t>
      </w:r>
      <w:r>
        <w:rPr>
          <w:sz w:val="21"/>
        </w:rPr>
        <w:t>2</w:t>
      </w:r>
      <w:r>
        <w:rPr>
          <w:sz w:val="21"/>
        </w:rPr>
        <w:t>.2</w:t>
      </w:r>
      <w:r>
        <w:rPr>
          <w:sz w:val="21"/>
        </w:rPr>
        <w:t>签约双方中任何一方由于不可抗力影响合同执行时，发生不可抗力一方应尽快将事故通知另一方。在此情况下，乙方仍然有责任采取必要的措施加速供货，双方应通过友好协商尽快解决本合同的执行问题。</w:t>
      </w:r>
    </w:p>
    <w:p>
      <w:pPr>
        <w:ind w:firstLine="315"/>
        <w:jc w:val="both"/>
      </w:pPr>
      <w:r>
        <w:rPr>
          <w:sz w:val="21"/>
        </w:rPr>
        <w:t xml:space="preserve"> </w:t>
      </w:r>
      <w:r>
        <w:rPr>
          <w:sz w:val="21"/>
        </w:rPr>
        <w:t>12.3甲</w:t>
      </w:r>
      <w:r>
        <w:rPr>
          <w:sz w:val="21"/>
        </w:rPr>
        <w:t>乙双方同意在合同期内，</w:t>
      </w:r>
      <w:r>
        <w:rPr>
          <w:sz w:val="21"/>
        </w:rPr>
        <w:t>如</w:t>
      </w:r>
      <w:r>
        <w:rPr>
          <w:sz w:val="21"/>
        </w:rPr>
        <w:t>因不可抗力或省市政策调整或医院重大政策调整而不能继续履行合同的</w:t>
      </w:r>
      <w:r>
        <w:rPr>
          <w:sz w:val="21"/>
        </w:rPr>
        <w:t>,本合同终止，双方互不承担责任。</w:t>
      </w:r>
    </w:p>
    <w:p>
      <w:pPr>
        <w:jc w:val="both"/>
      </w:pPr>
      <w:r>
        <w:rPr>
          <w:sz w:val="21"/>
        </w:rPr>
        <w:t>13争议解决的方法</w:t>
      </w:r>
    </w:p>
    <w:p>
      <w:pPr>
        <w:ind w:firstLine="315"/>
        <w:jc w:val="both"/>
      </w:pPr>
      <w:r>
        <w:rPr>
          <w:sz w:val="21"/>
        </w:rPr>
        <w:t xml:space="preserve"> </w:t>
      </w:r>
      <w:r>
        <w:rPr>
          <w:sz w:val="21"/>
        </w:rPr>
        <w:t>签约双方在履约中发生争执和分歧，双方应通过友好协商解决，若经协商不能达成协议时，则依法向甲方所在地人民法院提起诉讼。受理期间，双方应继续执行合同其余无争议部分。</w:t>
      </w:r>
    </w:p>
    <w:p>
      <w:pPr>
        <w:jc w:val="both"/>
      </w:pPr>
      <w:r>
        <w:rPr>
          <w:sz w:val="21"/>
        </w:rPr>
        <w:t>14合同组成部分</w:t>
      </w:r>
    </w:p>
    <w:p>
      <w:pPr>
        <w:ind w:firstLine="315"/>
        <w:jc w:val="both"/>
      </w:pPr>
      <w:r>
        <w:rPr>
          <w:sz w:val="21"/>
        </w:rPr>
        <w:t xml:space="preserve"> </w:t>
      </w:r>
      <w:r>
        <w:rPr>
          <w:sz w:val="21"/>
        </w:rPr>
        <w:t>14.1合同附件、采购文件等均为合同的不可分割的组成部分，与合同具有同等法律效力。</w:t>
      </w:r>
    </w:p>
    <w:p>
      <w:pPr>
        <w:ind w:firstLine="315"/>
        <w:jc w:val="both"/>
      </w:pPr>
      <w:r>
        <w:rPr>
          <w:sz w:val="21"/>
        </w:rPr>
        <w:t xml:space="preserve">  </w:t>
      </w:r>
      <w:r>
        <w:rPr>
          <w:sz w:val="21"/>
        </w:rPr>
        <w:t>14.2在执行本合同的过程中，经双方签署的文件（包括会议纪要、补充协议等）即成为本合同的有效组成部分，其生效日期为双方签字盖章或确认之日期。</w:t>
      </w:r>
    </w:p>
    <w:p>
      <w:pPr>
        <w:jc w:val="both"/>
      </w:pPr>
      <w:r>
        <w:rPr>
          <w:sz w:val="21"/>
        </w:rPr>
        <w:t>15其他</w:t>
      </w:r>
    </w:p>
    <w:p>
      <w:pPr>
        <w:ind w:firstLine="315"/>
        <w:jc w:val="both"/>
      </w:pPr>
      <w:r>
        <w:rPr>
          <w:sz w:val="21"/>
        </w:rPr>
        <w:t xml:space="preserve">  </w:t>
      </w:r>
      <w:r>
        <w:rPr>
          <w:sz w:val="21"/>
        </w:rPr>
        <w:t>15.1本合同未尽事宜，由双方协商解决，并另订补充协议，与本合同具有同等法律效力。</w:t>
      </w:r>
    </w:p>
    <w:p>
      <w:pPr>
        <w:ind w:firstLine="315"/>
        <w:jc w:val="both"/>
      </w:pPr>
      <w:r>
        <w:rPr>
          <w:sz w:val="21"/>
        </w:rPr>
        <w:t xml:space="preserve">  </w:t>
      </w:r>
      <w:r>
        <w:rPr>
          <w:sz w:val="21"/>
        </w:rPr>
        <w:t>15.2本合同壹式伍份，具有同等法律效力，甲方执贰份、乙方执贰份、招标代理机构壹份。本合同经双方签字、盖章后生效。</w:t>
      </w:r>
    </w:p>
    <w:p>
      <w:pPr>
        <w:ind w:firstLine="315"/>
        <w:jc w:val="both"/>
      </w:pPr>
    </w:p>
    <w:p>
      <w:pPr>
        <w:jc w:val="both"/>
      </w:pPr>
      <w:r>
        <w:rPr>
          <w:sz w:val="21"/>
        </w:rPr>
        <w:t>甲方：（章）</w:t>
      </w:r>
      <w:r>
        <w:rPr>
          <w:sz w:val="21"/>
        </w:rPr>
        <w:t xml:space="preserve">             </w:t>
      </w:r>
      <w:r>
        <w:rPr>
          <w:sz w:val="21"/>
        </w:rPr>
        <w:t>乙方：（章）</w:t>
      </w:r>
    </w:p>
    <w:p>
      <w:pPr>
        <w:jc w:val="both"/>
      </w:pPr>
      <w:r>
        <w:rPr>
          <w:sz w:val="21"/>
        </w:rPr>
        <w:t>法定代表人：</w:t>
      </w:r>
      <w:r>
        <w:rPr>
          <w:sz w:val="21"/>
        </w:rPr>
        <w:t xml:space="preserve">             </w:t>
      </w:r>
      <w:r>
        <w:rPr>
          <w:sz w:val="21"/>
        </w:rPr>
        <w:t>法定代表人：</w:t>
      </w:r>
    </w:p>
    <w:p>
      <w:pPr>
        <w:jc w:val="both"/>
      </w:pPr>
      <w:r>
        <w:rPr>
          <w:sz w:val="21"/>
        </w:rPr>
        <w:t>签约日期：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签约日期</w:t>
      </w:r>
      <w:r>
        <w:rPr>
          <w:sz w:val="21"/>
        </w:rPr>
        <w:t>：</w:t>
      </w:r>
      <w:r>
        <w:rPr>
          <w:sz w:val="21"/>
        </w:rPr>
        <w:t xml:space="preserve">    </w:t>
      </w:r>
      <w:r>
        <w:rPr>
          <w:sz w:val="21"/>
        </w:rPr>
        <w:t>年</w:t>
      </w:r>
      <w:r>
        <w:rPr>
          <w:sz w:val="21"/>
        </w:rPr>
        <w:t xml:space="preserve">  </w:t>
      </w:r>
      <w:r>
        <w:rPr>
          <w:sz w:val="21"/>
        </w:rPr>
        <w:t>月</w:t>
      </w:r>
      <w:r>
        <w:rPr>
          <w:sz w:val="21"/>
        </w:rPr>
        <w:t xml:space="preserve"> </w:t>
      </w:r>
      <w:r>
        <w:rPr>
          <w:sz w:val="21"/>
        </w:rPr>
        <w:t>日</w:t>
      </w: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442000-2023-03083</w:t>
      </w:r>
    </w:p>
    <w:p>
      <w:pPr>
        <w:jc w:val="center"/>
      </w:pPr>
      <w:r>
        <w:rPr>
          <w:b/>
          <w:sz w:val="24"/>
        </w:rPr>
        <w:t>采购项目编号：</w:t>
      </w:r>
      <w:r>
        <w:rPr>
          <w:b/>
          <w:sz w:val="24"/>
        </w:rPr>
        <w:t>ZZ22312619</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广东志正招标有限公司中山分公司</w:t>
      </w:r>
    </w:p>
    <w:p>
      <w:pPr>
        <w:ind w:firstLine="480"/>
      </w:pPr>
      <w:r>
        <w:rPr/>
        <w:t>你方组织的</w:t>
      </w:r>
      <w:r>
        <w:rPr>
          <w:u w:val="single"/>
        </w:rPr>
        <w:t>“</w:t>
      </w:r>
      <w:r>
        <w:rPr>
          <w:u w:val="single"/>
        </w:rPr>
        <w:t>中山市中医院工作服采购项目(二次)</w:t>
      </w:r>
      <w:r>
        <w:rPr>
          <w:u w:val="single"/>
        </w:rPr>
        <w:t>”</w:t>
      </w:r>
      <w:r>
        <w:rPr/>
        <w:t>项目的招标[采购项目编号为：</w:t>
      </w:r>
      <w:r>
        <w:rPr>
          <w:u w:val="single"/>
        </w:rPr>
        <w:t>ZZ22312619</w:t>
      </w:r>
      <w:r>
        <w:rPr/>
        <w:t>]，我方愿参与投标。</w:t>
      </w:r>
    </w:p>
    <w:p>
      <w:pPr>
        <w:ind w:firstLine="480"/>
      </w:pPr>
      <w:r>
        <w:rPr/>
        <w:t>我方确认收到贵方提供的</w:t>
      </w:r>
      <w:r>
        <w:rPr>
          <w:u w:val="single"/>
        </w:rPr>
        <w:t>“</w:t>
      </w:r>
      <w:r>
        <w:rPr>
          <w:u w:val="single"/>
        </w:rPr>
        <w:t>中山市中医院工作服采购项目(二次)</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广东志正招标有限公司中山分公司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中山市中医院工作服采购项目(二次)</w:t>
      </w:r>
      <w:r>
        <w:rPr/>
        <w:t>”项目采购[采购项目编号为</w:t>
      </w:r>
      <w:r>
        <w:rPr/>
        <w:t>ZZ22312619</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中山市中医院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广东志正招标有限公司中山分公司</w:t>
      </w:r>
    </w:p>
    <w:p>
      <w:pPr>
        <w:ind w:firstLine="480"/>
      </w:pPr>
      <w:r>
        <w:rPr/>
        <w:t>如果我方在贵采购代理机构组织的</w:t>
      </w:r>
      <w:r>
        <w:rPr/>
        <w:t>中山市中医院工作服采购项目(二次)</w:t>
      </w:r>
      <w:r>
        <w:rPr/>
        <w:t>招标中获中标（采购项目编号：</w:t>
      </w:r>
      <w:r>
        <w:rPr/>
        <w:t>ZZ22312619</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广东志正招标有限公司中山分公司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广东志正招标有限公司中山分公司</w:t>
      </w:r>
    </w:p>
    <w:p>
      <w:pPr>
        <w:ind w:firstLine="480"/>
      </w:pPr>
      <w:r>
        <w:rPr/>
        <w:t>我单位已登记并准备参与“</w:t>
      </w:r>
      <w:r>
        <w:rPr/>
        <w:t>中山市中医院工作服采购项目(二次)</w:t>
      </w:r>
      <w:r>
        <w:rPr/>
        <w:t>”项目（采购项目编号：</w:t>
      </w:r>
      <w:r>
        <w:rPr/>
        <w:t>ZZ22312619</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jpe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