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440701-2023-02175</w:t>
      </w:r>
    </w:p>
    <w:p>
      <w:pPr>
        <w:jc w:val="center"/>
      </w:pPr>
      <w:r>
        <w:rPr>
          <w:b/>
          <w:sz w:val="24"/>
        </w:rPr>
        <w:t>采购项目编号：</w:t>
      </w:r>
      <w:r>
        <w:rPr>
          <w:b/>
          <w:sz w:val="24"/>
        </w:rPr>
        <w:t>0724-2331Z1973912</w:t>
      </w:r>
    </w:p>
    <w:p>
      <w:pPr>
        <w:jc w:val="center"/>
      </w:pPr>
      <w:r>
        <w:rPr>
          <w:b/>
          <w:sz w:val="24"/>
        </w:rPr>
        <w:t>项目名称：</w:t>
      </w:r>
      <w:r>
        <w:rPr>
          <w:b/>
          <w:sz w:val="24"/>
        </w:rPr>
        <w:t>江门市中心医院杂交手术室建设项目</w:t>
      </w:r>
    </w:p>
    <w:p>
      <w:pPr>
        <w:jc w:val="center"/>
      </w:pPr>
      <w:r>
        <w:rPr>
          <w:b/>
          <w:sz w:val="24"/>
        </w:rPr>
        <w:t>采购人：</w:t>
      </w:r>
      <w:r>
        <w:rPr>
          <w:b/>
          <w:sz w:val="24"/>
        </w:rPr>
        <w:t>江门市中心医院</w:t>
      </w:r>
    </w:p>
    <w:p>
      <w:pPr>
        <w:jc w:val="center"/>
      </w:pPr>
      <w:r>
        <w:rPr>
          <w:b/>
          <w:sz w:val="24"/>
        </w:rPr>
        <w:t>采购代理机构：</w:t>
      </w:r>
      <w:r>
        <w:rPr>
          <w:b/>
          <w:sz w:val="24"/>
        </w:rPr>
        <w:t>国义招标股份有限公司</w:t>
      </w:r>
    </w:p>
    <w:p>
      <w:pPr>
        <w:ind w:firstLine="480"/>
      </w:pPr>
    </w:p>
    <w:p>
      <w:r>
        <w:rPr/>
        <w:t xml:space="preserve"> </w:t>
      </w:r>
    </w:p>
    <w:p/>
    <w:p>
      <w:pPr>
        <w:jc w:val="center"/>
      </w:pPr>
      <w:r>
        <w:rPr>
          <w:b/>
          <w:sz w:val="36"/>
        </w:rPr>
        <w:t>第一章投标邀请</w:t>
      </w:r>
    </w:p>
    <w:p>
      <w:pPr>
        <w:ind w:firstLine="480"/>
      </w:pPr>
      <w:r>
        <w:rPr/>
        <w:t>国义招标股份有限公司</w:t>
      </w:r>
      <w:r>
        <w:rPr/>
        <w:t>受</w:t>
      </w:r>
      <w:r>
        <w:rPr/>
        <w:t>江门市中心医院</w:t>
      </w:r>
      <w:r>
        <w:rPr/>
        <w:t>的委托，采用</w:t>
      </w:r>
      <w:r>
        <w:rPr/>
        <w:t>公开招标</w:t>
      </w:r>
      <w:r>
        <w:rPr/>
        <w:t>方式组织采购</w:t>
      </w:r>
      <w:r>
        <w:rPr/>
        <w:t>江门市中心医院杂交手术室建设项目</w:t>
      </w:r>
      <w:r>
        <w:rPr/>
        <w:t>。欢迎符合资格条件的国内供应商参加投标。</w:t>
      </w:r>
    </w:p>
    <w:p>
      <w:r>
        <w:rPr>
          <w:b/>
          <w:sz w:val="28"/>
        </w:rPr>
        <w:t>一.项目概述</w:t>
      </w:r>
    </w:p>
    <w:p>
      <w:r>
        <w:rPr>
          <w:b/>
          <w:sz w:val="24"/>
        </w:rPr>
        <w:t>1.名称与编号</w:t>
      </w:r>
    </w:p>
    <w:p>
      <w:pPr>
        <w:ind w:firstLine="480"/>
      </w:pPr>
      <w:r>
        <w:rPr/>
        <w:t>项目名称：</w:t>
      </w:r>
      <w:r>
        <w:rPr/>
        <w:t>江门市中心医院杂交手术室建设项目</w:t>
      </w:r>
    </w:p>
    <w:p>
      <w:pPr>
        <w:ind w:firstLine="480"/>
      </w:pPr>
      <w:r>
        <w:rPr/>
        <w:t>采购计划编号：</w:t>
      </w:r>
      <w:r>
        <w:rPr/>
        <w:t>440701-2023-02175</w:t>
      </w:r>
    </w:p>
    <w:p>
      <w:pPr>
        <w:ind w:firstLine="480"/>
      </w:pPr>
      <w:r>
        <w:rPr/>
        <w:t>采购项目编号：</w:t>
      </w:r>
      <w:r>
        <w:rPr/>
        <w:t>0724-2331Z1973912</w:t>
      </w:r>
    </w:p>
    <w:p>
      <w:pPr>
        <w:ind w:firstLine="480"/>
      </w:pPr>
      <w:r>
        <w:rPr/>
        <w:t>采购方式：</w:t>
      </w:r>
      <w:r>
        <w:rPr/>
        <w:t>公开招标</w:t>
      </w:r>
    </w:p>
    <w:p>
      <w:pPr>
        <w:ind w:firstLine="480"/>
      </w:pPr>
      <w:r>
        <w:rPr/>
        <w:t>预算金额：</w:t>
      </w:r>
      <w:r>
        <w:rPr/>
        <w:t>27,000,000.00</w:t>
      </w:r>
      <w:r>
        <w:rPr/>
        <w:t>元</w:t>
      </w:r>
    </w:p>
    <w:p>
      <w:r>
        <w:rPr>
          <w:b/>
          <w:sz w:val="24"/>
        </w:rPr>
        <w:t>2.项目内容及需求情况（采购项目技术规格、参数及要求）</w:t>
      </w:r>
    </w:p>
    <w:p>
      <w:pPr>
        <w:ind w:firstLine="480"/>
      </w:pPr>
    </w:p>
    <w:p/>
    <w:p>
      <w:r>
        <w:rPr/>
        <w:t>采购包1(杂交手术室):</w:t>
      </w:r>
    </w:p>
    <w:p>
      <w:r>
        <w:rPr/>
        <w:t>采购包预算金额：27,000,000.00元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 X 线诊断设备</w:t>
            </w:r>
          </w:p>
        </w:tc>
        <w:tc>
          <w:tcPr>
            <w:tcW w:type="dxa" w:w="2136"/>
          </w:tcPr>
          <w:p>
            <w:r>
              <w:rPr/>
              <w:t>杂交手术室</w:t>
            </w:r>
          </w:p>
        </w:tc>
        <w:tc>
          <w:tcPr>
            <w:tcW w:type="dxa" w:w="1187"/>
          </w:tcPr>
          <w:p>
            <w:r>
              <w:rPr/>
              <w:t>1.00(套)</w:t>
            </w:r>
          </w:p>
        </w:tc>
        <w:tc>
          <w:tcPr>
            <w:tcW w:type="dxa" w:w="1187"/>
          </w:tcPr>
          <w:p>
            <w:r>
              <w:rPr/>
              <w:t>详见第二章</w:t>
            </w:r>
          </w:p>
        </w:tc>
        <w:tc>
          <w:tcPr>
            <w:tcW w:type="dxa" w:w="1187"/>
          </w:tcPr>
          <w:p>
            <w:r>
              <w:rPr/>
              <w:t>是</w:t>
            </w:r>
          </w:p>
        </w:tc>
      </w:tr>
    </w:tbl>
    <w:p/>
    <w:p>
      <w:r>
        <w:rPr/>
        <w:t>本采购包不接受联合体投标</w:t>
      </w:r>
    </w:p>
    <w:p/>
    <w:p>
      <w:r>
        <w:rPr/>
        <w:t>合同履行期限：合同所约定的全部义务履行完毕之日止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3）具有良好的商业信誉和健全的财务会计制度：供应商必须具有良好的商业信誉和健全的财务会计制度（提供2021-2022年任意一年财务状况报告或基本开户行出具的资信证明） 。</w:t>
      </w:r>
    </w:p>
    <w:p/>
    <w:p>
      <w:r>
        <w:rPr/>
        <w:t>4）履行合同所必需的设备和专业技术能力：按投标（响应）文件格式填报设备及专业技术能力情况或提供承诺函承诺相关内容。</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
      <w:r>
        <w:rPr>
          <w:b/>
          <w:sz w:val="24"/>
        </w:rPr>
        <w:t>3.本项目特定的资格要求：</w:t>
      </w:r>
    </w:p>
    <w:p>
      <w:pPr>
        <w:ind w:firstLine="480"/>
      </w:pPr>
    </w:p>
    <w:p/>
    <w:p>
      <w:r>
        <w:rPr/>
        <w:t>采购包1（杂交手术室）：</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2)单位负责人为同一人或者存在直接控股、管理关系的不同供应商，不得同时参加本采购项目同一采购包投标（响应）（提供投标（报价）函承诺相关内容）。</w:t>
      </w:r>
    </w:p>
    <w:p/>
    <w:p>
      <w:r>
        <w:rPr/>
        <w:t>3)为本项目提供整体设计、规范编制或者项目管理、监理、检测等服务的供应商，不得再参与本项目投标（响应）（提供投标（报价）函承诺相关内容）。</w:t>
      </w:r>
    </w:p>
    <w:p/>
    <w:p>
      <w:r>
        <w:rPr/>
        <w:t>4)①如供应商为所投产品代理商：所投产品为第二类医疗器械的，须具有第二类医疗器械经营备案凭证或承诺供货前取得第二类医疗器械经营备案凭证；所投产品为第三类医疗器械的，须具有医疗器械经营许可证。②如供应商为所投产品制造商：所投产品为第二类、第三类医疗器械的，须具有医疗器械生产许可证。</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江门市中心医院</w:t>
      </w:r>
    </w:p>
    <w:p>
      <w:pPr>
        <w:ind w:firstLine="480"/>
      </w:pPr>
      <w:r>
        <w:rPr/>
        <w:t>地址：</w:t>
      </w:r>
      <w:r>
        <w:rPr/>
        <w:t>广东省江门市蓬江区海傍街23号</w:t>
      </w:r>
    </w:p>
    <w:p>
      <w:pPr>
        <w:ind w:firstLine="480"/>
      </w:pPr>
      <w:r>
        <w:rPr/>
        <w:t>联系方式：</w:t>
      </w:r>
      <w:r>
        <w:rPr/>
        <w:t>0750-3363721</w:t>
      </w:r>
    </w:p>
    <w:p>
      <w:r>
        <w:rPr>
          <w:b/>
          <w:sz w:val="24"/>
        </w:rPr>
        <w:t>2.采购代理机构信息</w:t>
      </w:r>
    </w:p>
    <w:p>
      <w:pPr>
        <w:ind w:firstLine="480"/>
      </w:pPr>
      <w:r>
        <w:rPr/>
        <w:t>名称：</w:t>
      </w:r>
      <w:r>
        <w:rPr/>
        <w:t>国义招标股份有限公司</w:t>
      </w:r>
    </w:p>
    <w:p>
      <w:pPr>
        <w:ind w:firstLine="480"/>
      </w:pPr>
      <w:r>
        <w:rPr/>
        <w:t>地址：</w:t>
      </w:r>
      <w:r>
        <w:rPr/>
        <w:t>广东省广州市越秀区东风东路726号16-18楼</w:t>
      </w:r>
    </w:p>
    <w:p>
      <w:pPr>
        <w:ind w:firstLine="480"/>
      </w:pPr>
      <w:r>
        <w:rPr/>
        <w:t>联系方式：</w:t>
      </w:r>
      <w:r>
        <w:rPr/>
        <w:t>020-37860545、020-37860519</w:t>
      </w:r>
    </w:p>
    <w:p>
      <w:r>
        <w:rPr>
          <w:b/>
          <w:sz w:val="24"/>
        </w:rPr>
        <w:t>3.项目联系方式</w:t>
      </w:r>
    </w:p>
    <w:p>
      <w:pPr>
        <w:ind w:firstLine="480"/>
      </w:pPr>
      <w:r>
        <w:rPr/>
        <w:t>项目联系人：</w:t>
      </w:r>
      <w:r>
        <w:rPr/>
        <w:t>薛业生、罗海山</w:t>
      </w:r>
    </w:p>
    <w:p>
      <w:pPr>
        <w:ind w:firstLine="480"/>
      </w:pPr>
      <w:r>
        <w:rPr/>
        <w:t>电话：</w:t>
      </w:r>
      <w:r>
        <w:rPr/>
        <w:t>020-37860545、020-37860519</w:t>
      </w:r>
    </w:p>
    <w:p>
      <w:r>
        <w:rPr>
          <w:b/>
          <w:sz w:val="24"/>
        </w:rPr>
        <w:t>4.技术支持联系方式</w:t>
      </w:r>
    </w:p>
    <w:p>
      <w:pPr>
        <w:ind w:firstLine="480"/>
      </w:pPr>
      <w:r>
        <w:rPr/>
        <w:t>云平台联系方式：020-88696588</w:t>
      </w:r>
    </w:p>
    <w:p>
      <w:r>
        <w:rPr/>
        <w:t>采购代理机构：</w:t>
      </w:r>
      <w:r>
        <w:rPr/>
        <w:t>国义招标股份有限公司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tbl>
      <w:tblPr>
        <w:tblW w:w="0" w:type="auto"/>
        <w:tblBorders>
          <w:top w:val="none" w:color="000000" w:sz="4"/>
          <w:left w:val="none" w:color="000000" w:sz="4"/>
          <w:bottom w:val="none" w:color="000000" w:sz="4"/>
          <w:right w:val="none" w:color="000000" w:sz="4"/>
          <w:insideH w:val="none"/>
          <w:insideV w:val="none"/>
        </w:tblBorders>
      </w:tblPr>
      <w:tblGrid>
        <w:gridCol w:w="2550"/>
        <w:gridCol w:w="900"/>
        <w:gridCol w:w="2265"/>
      </w:tblGrid>
      <w:tr>
        <w:tc>
          <w:tcPr>
            <w:tcW w:type="dxa" w:w="2550"/>
            <w:tcBorders>
              <w:top w:val="single" w:color="000000" w:sz="4"/>
              <w:left w:val="single" w:color="000000" w:sz="4"/>
              <w:bottom w:val="single" w:color="000000" w:sz="4"/>
              <w:right w:val="single" w:color="000000" w:sz="4"/>
            </w:tcBorders>
            <w:vAlign w:val="top"/>
          </w:tcPr>
          <w:p>
            <w:pPr>
              <w:jc w:val="center"/>
            </w:pPr>
            <w:r>
              <w:rPr>
                <w:b/>
                <w:sz w:val="20"/>
              </w:rPr>
              <w:t>采购</w:t>
            </w:r>
            <w:r>
              <w:rPr>
                <w:b/>
                <w:sz w:val="20"/>
              </w:rPr>
              <w:t>标的</w:t>
            </w:r>
          </w:p>
        </w:tc>
        <w:tc>
          <w:tcPr>
            <w:tcW w:type="dxa" w:w="900"/>
            <w:tcBorders>
              <w:top w:val="single" w:color="000000" w:sz="4"/>
              <w:left w:val="single" w:color="000000" w:sz="4"/>
              <w:bottom w:val="single" w:color="000000" w:sz="4"/>
              <w:right w:val="single" w:color="000000" w:sz="4"/>
            </w:tcBorders>
            <w:vAlign w:val="top"/>
          </w:tcPr>
          <w:p>
            <w:pPr>
              <w:jc w:val="center"/>
            </w:pPr>
            <w:r>
              <w:rPr>
                <w:b/>
                <w:sz w:val="20"/>
              </w:rPr>
              <w:t>数量</w:t>
            </w:r>
          </w:p>
        </w:tc>
        <w:tc>
          <w:tcPr>
            <w:tcW w:type="dxa" w:w="2265"/>
            <w:tcBorders>
              <w:top w:val="single" w:color="000000" w:sz="4"/>
              <w:left w:val="single" w:color="000000" w:sz="4"/>
              <w:bottom w:val="single" w:color="000000" w:sz="4"/>
              <w:right w:val="single" w:color="000000" w:sz="4"/>
            </w:tcBorders>
            <w:vAlign w:val="top"/>
          </w:tcPr>
          <w:p>
            <w:pPr>
              <w:jc w:val="center"/>
            </w:pPr>
            <w:r>
              <w:rPr>
                <w:b/>
                <w:sz w:val="20"/>
              </w:rPr>
              <w:t>采购</w:t>
            </w:r>
            <w:r>
              <w:rPr>
                <w:b/>
                <w:sz w:val="20"/>
              </w:rPr>
              <w:t>预算</w:t>
            </w:r>
            <w:r>
              <w:rPr>
                <w:b/>
                <w:sz w:val="20"/>
              </w:rPr>
              <w:t>（</w:t>
            </w:r>
            <w:r>
              <w:rPr>
                <w:b/>
                <w:sz w:val="20"/>
              </w:rPr>
              <w:t>元</w:t>
            </w:r>
            <w:r>
              <w:rPr>
                <w:b/>
                <w:sz w:val="20"/>
              </w:rPr>
              <w:t>）</w:t>
            </w:r>
          </w:p>
        </w:tc>
      </w:tr>
      <w:tr>
        <w:tc>
          <w:tcPr>
            <w:tcW w:type="dxa" w:w="2550"/>
            <w:tcBorders>
              <w:top w:val="none" w:color="000000" w:sz="4"/>
              <w:left w:val="single" w:color="000000" w:sz="4"/>
              <w:bottom w:val="single" w:color="000000" w:sz="4"/>
              <w:right w:val="single" w:color="000000" w:sz="4"/>
            </w:tcBorders>
            <w:vAlign w:val="top"/>
          </w:tcPr>
          <w:p>
            <w:pPr>
              <w:jc w:val="center"/>
            </w:pPr>
            <w:r>
              <w:rPr>
                <w:sz w:val="21"/>
              </w:rPr>
              <w:t>杂交手术室</w:t>
            </w:r>
          </w:p>
        </w:tc>
        <w:tc>
          <w:tcPr>
            <w:tcW w:type="dxa" w:w="900"/>
            <w:tcBorders>
              <w:top w:val="none" w:color="000000" w:sz="4"/>
              <w:left w:val="single" w:color="000000" w:sz="4"/>
              <w:bottom w:val="single" w:color="000000" w:sz="4"/>
              <w:right w:val="single" w:color="000000" w:sz="4"/>
            </w:tcBorders>
            <w:vAlign w:val="top"/>
          </w:tcPr>
          <w:p>
            <w:pPr>
              <w:jc w:val="center"/>
            </w:pPr>
            <w:r>
              <w:rPr>
                <w:sz w:val="20"/>
              </w:rPr>
              <w:t>1套</w:t>
            </w:r>
          </w:p>
        </w:tc>
        <w:tc>
          <w:tcPr>
            <w:tcW w:type="dxa" w:w="2265"/>
            <w:tcBorders>
              <w:top w:val="none" w:color="000000" w:sz="4"/>
              <w:left w:val="single" w:color="000000" w:sz="4"/>
              <w:bottom w:val="single" w:color="000000" w:sz="4"/>
              <w:right w:val="single" w:color="000000" w:sz="4"/>
            </w:tcBorders>
            <w:vAlign w:val="top"/>
          </w:tcPr>
          <w:p>
            <w:pPr>
              <w:jc w:val="center"/>
            </w:pPr>
            <w:r>
              <w:rPr>
                <w:sz w:val="20"/>
              </w:rPr>
              <w:t>￥</w:t>
            </w:r>
            <w:r>
              <w:rPr>
                <w:sz w:val="20"/>
              </w:rPr>
              <w:t>27,000,000.00</w:t>
            </w:r>
          </w:p>
        </w:tc>
      </w:tr>
    </w:tbl>
    <w:p>
      <w:pPr>
        <w:ind w:firstLine="402"/>
        <w:jc w:val="both"/>
      </w:pPr>
      <w:r>
        <w:rPr>
          <w:b/>
          <w:sz w:val="20"/>
        </w:rPr>
        <w:t>经政府采购管理部门同意，本项目采购本国产品或不属于国家法律法规政策明确规定限制的进口产品（注：进口产品是指通过中国海关报关验放进入中国境内且产自关境外的产品，含已进入中国境内并在国内市场有销售的进口产品）。</w:t>
      </w:r>
    </w:p>
    <w:p>
      <w:pPr>
        <w:ind w:firstLine="402"/>
        <w:jc w:val="both"/>
      </w:pPr>
      <w:r>
        <w:rPr/>
        <w:t xml:space="preserve"> </w:t>
      </w:r>
    </w:p>
    <w:p>
      <w:pPr>
        <w:ind w:firstLine="422"/>
        <w:jc w:val="left"/>
      </w:pPr>
    </w:p>
    <w:p>
      <w:pPr>
        <w:pBdr>
          <w:bottom w:val="single" w:sz="12" w:space="1"/>
        </w:pBdr>
      </w:pPr>
    </w:p>
    <w:p>
      <w:pPr>
        <w:ind w:firstLine="420"/>
        <w:jc w:val="both"/>
      </w:pPr>
      <w:r>
        <w:rPr/>
        <w:t xml:space="preserve"> </w:t>
      </w:r>
    </w:p>
    <w:p>
      <w:pPr>
        <w:ind w:firstLine="420"/>
        <w:jc w:val="both"/>
      </w:pPr>
      <w:r>
        <w:rPr>
          <w:b/>
          <w:sz w:val="21"/>
        </w:rPr>
        <w:t>二</w:t>
      </w:r>
      <w:r>
        <w:rPr>
          <w:b/>
          <w:sz w:val="21"/>
        </w:rPr>
        <w:t>.</w:t>
      </w:r>
      <w:r>
        <w:rPr>
          <w:b/>
          <w:sz w:val="21"/>
        </w:rPr>
        <w:t>项目采购内容</w:t>
      </w:r>
    </w:p>
    <w:tbl>
      <w:tblPr>
        <w:tblW w:w="0" w:type="auto"/>
        <w:tblBorders>
          <w:top w:val="none" w:color="000000" w:sz="4"/>
          <w:left w:val="none" w:color="000000" w:sz="4"/>
          <w:bottom w:val="none" w:color="000000" w:sz="4"/>
          <w:right w:val="none" w:color="000000" w:sz="4"/>
          <w:insideH w:val="none"/>
          <w:insideV w:val="none"/>
        </w:tblBorders>
      </w:tblPr>
      <w:tblGrid>
        <w:gridCol w:w="1259"/>
        <w:gridCol w:w="7033"/>
      </w:tblGrid>
      <w:tr>
        <w:tc>
          <w:tcPr>
            <w:tcW w:type="dxa" w:w="1259"/>
            <w:tcBorders>
              <w:top w:val="single" w:color="000000" w:sz="4"/>
              <w:left w:val="single" w:color="000000" w:sz="4"/>
              <w:bottom w:val="single" w:color="000000" w:sz="4"/>
              <w:right w:val="single" w:color="000000" w:sz="4"/>
            </w:tcBorders>
            <w:vAlign w:val="top"/>
          </w:tcPr>
          <w:p>
            <w:pPr>
              <w:jc w:val="left"/>
            </w:pPr>
            <w:r>
              <w:rPr>
                <w:b/>
                <w:color w:val="000000"/>
                <w:sz w:val="21"/>
              </w:rPr>
              <w:t>序号</w:t>
            </w:r>
          </w:p>
        </w:tc>
        <w:tc>
          <w:tcPr>
            <w:tcW w:type="dxa" w:w="7033"/>
            <w:tcBorders>
              <w:top w:val="single" w:color="000000" w:sz="4"/>
              <w:left w:val="none" w:color="000000" w:sz="4"/>
              <w:bottom w:val="single" w:color="000000" w:sz="4"/>
              <w:right w:val="single" w:color="000000" w:sz="4"/>
            </w:tcBorders>
            <w:vAlign w:val="top"/>
          </w:tcPr>
          <w:p>
            <w:pPr>
              <w:jc w:val="center"/>
            </w:pPr>
            <w:r>
              <w:rPr>
                <w:b/>
                <w:color w:val="000000"/>
                <w:sz w:val="21"/>
              </w:rPr>
              <w:t>具体技术（参数）要求</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一、</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设备名称</w:t>
            </w:r>
            <w:r>
              <w:rPr>
                <w:b/>
                <w:color w:val="000000"/>
                <w:sz w:val="21"/>
              </w:rPr>
              <w:t>：</w:t>
            </w:r>
            <w:r>
              <w:rPr>
                <w:b/>
                <w:color w:val="000000"/>
                <w:sz w:val="21"/>
              </w:rPr>
              <w:t>杂交手术室（含</w:t>
            </w:r>
            <w:r>
              <w:rPr>
                <w:b/>
                <w:color w:val="000000"/>
                <w:sz w:val="21"/>
              </w:rPr>
              <w:t>DSA、灯、床、塔、一体化手术系统、装修工程</w:t>
            </w:r>
            <w:r>
              <w:rPr>
                <w:b/>
                <w:color w:val="000000"/>
                <w:sz w:val="21"/>
              </w:rPr>
              <w:t>等</w:t>
            </w:r>
            <w:r>
              <w:rPr>
                <w:b/>
                <w:color w:val="000000"/>
                <w:sz w:val="21"/>
              </w:rPr>
              <w:t>）</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二、</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数量</w:t>
            </w:r>
            <w:r>
              <w:rPr>
                <w:b/>
                <w:color w:val="000000"/>
                <w:sz w:val="21"/>
              </w:rPr>
              <w:t>：</w:t>
            </w:r>
            <w:r>
              <w:rPr>
                <w:b/>
                <w:color w:val="000000"/>
                <w:sz w:val="21"/>
              </w:rPr>
              <w:t>一套</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三、</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设备用途</w:t>
            </w:r>
            <w:r>
              <w:rPr>
                <w:b/>
                <w:color w:val="000000"/>
                <w:sz w:val="21"/>
              </w:rPr>
              <w:t>：</w:t>
            </w:r>
            <w:r>
              <w:rPr>
                <w:b/>
                <w:color w:val="000000"/>
                <w:sz w:val="21"/>
              </w:rPr>
              <w:t>杂交</w:t>
            </w:r>
            <w:r>
              <w:rPr>
                <w:b/>
                <w:color w:val="000000"/>
                <w:sz w:val="21"/>
              </w:rPr>
              <w:t>手术室，心、脑、周围血管造影和介入治疗</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四、</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基本</w:t>
            </w:r>
            <w:r>
              <w:rPr>
                <w:b/>
                <w:color w:val="000000"/>
                <w:sz w:val="21"/>
              </w:rPr>
              <w:t>要求</w:t>
            </w:r>
            <w:r>
              <w:rPr>
                <w:b/>
                <w:color w:val="000000"/>
                <w:sz w:val="21"/>
              </w:rPr>
              <w:t>：所投产品是</w:t>
            </w:r>
            <w:r>
              <w:rPr>
                <w:b/>
                <w:color w:val="000000"/>
                <w:sz w:val="21"/>
              </w:rPr>
              <w:t>该生产商数字减影血管造影系统产品在中国境内上市的复合手术室最新机型，最新软件版本</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五、</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技术要求</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w:t>
            </w:r>
            <w:r>
              <w:rPr>
                <w:b/>
                <w:color w:val="000000"/>
                <w:sz w:val="21"/>
              </w:rPr>
              <w:t>一</w:t>
            </w:r>
            <w:r>
              <w:rPr>
                <w:b/>
                <w:color w:val="000000"/>
                <w:sz w:val="21"/>
              </w:rPr>
              <w:t>）</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主要设备</w:t>
            </w:r>
            <w:r>
              <w:rPr>
                <w:b/>
                <w:color w:val="000000"/>
                <w:sz w:val="21"/>
              </w:rPr>
              <w:t>（核心产品）</w:t>
            </w:r>
            <w:r>
              <w:rPr>
                <w:b/>
                <w:color w:val="000000"/>
                <w:sz w:val="21"/>
              </w:rPr>
              <w:t>：</w:t>
            </w:r>
            <w:r>
              <w:rPr>
                <w:b/>
                <w:color w:val="000000"/>
                <w:sz w:val="21"/>
              </w:rPr>
              <w:t>数字减影血管造影系统</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机架系统：满足心、脑、周围血管的造影和介入治疗需要</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用于联合手术室心、脑、周围血管的造影和介入治疗需要，悬吊安装，机架可绕手术床</w:t>
            </w:r>
            <w:r>
              <w:rPr>
                <w:color w:val="000000"/>
                <w:sz w:val="21"/>
              </w:rPr>
              <w:t>360°旋转，能覆盖全身之功能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多轴灵活机架：</w:t>
            </w:r>
            <w:r>
              <w:rPr>
                <w:color w:val="000000"/>
                <w:sz w:val="21"/>
              </w:rPr>
              <w:t>≥8轴</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机架纵向移动范围：</w:t>
            </w:r>
            <w:r>
              <w:rPr>
                <w:color w:val="000000"/>
                <w:sz w:val="21"/>
              </w:rPr>
              <w:t>≥4.5米</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机架横向范围：</w:t>
            </w:r>
            <w:r>
              <w:rPr>
                <w:color w:val="000000"/>
                <w:sz w:val="21"/>
              </w:rPr>
              <w:t>≥2.36米</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机架可进行等中心旋转</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机架运动包括电动和手动两种方式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7</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C型臂旋转速度（非旋转采集）LAO/RAO：≥25°/秒</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8</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C型臂环内滑动速度（非旋转采集）CRAN/CAU：≥25°/秒</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9</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CRA：≥90°</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10</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CAU：≥90°</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11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RAO：≥185°</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12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LAO：≥120°</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13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旋转采集角度</w:t>
            </w:r>
            <w:r>
              <w:rPr>
                <w:color w:val="000000"/>
                <w:sz w:val="21"/>
              </w:rPr>
              <w:t>≥240°</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14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床旁可以单手柄控制、操作</w:t>
            </w:r>
            <w:r>
              <w:rPr>
                <w:color w:val="000000"/>
                <w:sz w:val="21"/>
              </w:rPr>
              <w:t>C型臂机架的运动</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15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C臂的旋转角度：血管检查摆位无死角，C臂旋转至任何角度均可投照</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16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数码显示所有</w:t>
            </w:r>
            <w:r>
              <w:rPr>
                <w:color w:val="000000"/>
                <w:sz w:val="21"/>
              </w:rPr>
              <w:t>C型臂旋转角度信息</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17</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L臂电动速度：≥15cm/s</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18</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C型臂弧深：≥90cm（不包括L臂补偿）</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19</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机架可分别在头位、左侧位、右侧位进行透视和采集</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20</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不动手术床的情况下，机架可在手术床两侧与手术床长轴方向成</w:t>
            </w:r>
            <w:r>
              <w:rPr>
                <w:color w:val="000000"/>
                <w:sz w:val="21"/>
              </w:rPr>
              <w:t>135°角投照</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检查室内控制系统</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2</w:t>
            </w:r>
            <w:r>
              <w:rPr>
                <w:color w:val="000000"/>
                <w:sz w:val="21"/>
              </w:rPr>
              <w:t>.</w:t>
            </w:r>
            <w:r>
              <w:rPr>
                <w:color w:val="000000"/>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提供床旁一套液晶触摸控制屏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2</w:t>
            </w:r>
            <w:r>
              <w:rPr>
                <w:color w:val="000000"/>
                <w:sz w:val="21"/>
              </w:rPr>
              <w:t>.</w:t>
            </w:r>
            <w:r>
              <w:rPr>
                <w:color w:val="000000"/>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控制屏可置于导管床</w:t>
            </w:r>
            <w:r>
              <w:rPr>
                <w:color w:val="000000"/>
                <w:sz w:val="21"/>
              </w:rPr>
              <w:t>3边，或者控制室内，便于医生操作</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2</w:t>
            </w:r>
            <w:r>
              <w:rPr>
                <w:color w:val="000000"/>
                <w:sz w:val="21"/>
              </w:rPr>
              <w:t>.</w:t>
            </w:r>
            <w:r>
              <w:rPr>
                <w:color w:val="000000"/>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可进行图像采集条件控制</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2</w:t>
            </w:r>
            <w:r>
              <w:rPr>
                <w:color w:val="000000"/>
                <w:sz w:val="21"/>
              </w:rPr>
              <w:t>.</w:t>
            </w:r>
            <w:r>
              <w:rPr>
                <w:color w:val="000000"/>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可完成程序卡片操作，包括采集协议</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2</w:t>
            </w:r>
            <w:r>
              <w:rPr>
                <w:color w:val="000000"/>
                <w:sz w:val="21"/>
              </w:rPr>
              <w:t>.</w:t>
            </w:r>
            <w:r>
              <w:rPr>
                <w:color w:val="000000"/>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程序卡片可自行定义和存储</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2</w:t>
            </w:r>
            <w:r>
              <w:rPr>
                <w:color w:val="000000"/>
                <w:sz w:val="21"/>
              </w:rPr>
              <w:t>.</w:t>
            </w:r>
            <w:r>
              <w:rPr>
                <w:color w:val="000000"/>
                <w:sz w:val="21"/>
              </w:rPr>
              <w:t>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程序卡片包括常用协议，默认协议，和特殊协议方便用户选择</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2</w:t>
            </w:r>
            <w:r>
              <w:rPr>
                <w:color w:val="000000"/>
                <w:sz w:val="21"/>
              </w:rPr>
              <w:t>.</w:t>
            </w:r>
            <w:r>
              <w:rPr>
                <w:color w:val="000000"/>
                <w:sz w:val="21"/>
              </w:rPr>
              <w:t>7</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程序卡片可定义手术，使用人或使用科室等类别</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2</w:t>
            </w:r>
            <w:r>
              <w:rPr>
                <w:color w:val="000000"/>
                <w:sz w:val="21"/>
              </w:rPr>
              <w:t>.</w:t>
            </w:r>
            <w:r>
              <w:rPr>
                <w:color w:val="000000"/>
                <w:sz w:val="21"/>
              </w:rPr>
              <w:t>8</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可通过</w:t>
            </w:r>
            <w:r>
              <w:rPr>
                <w:color w:val="000000"/>
                <w:sz w:val="21"/>
              </w:rPr>
              <w:t>RIS/CIS/PACS等编码自动选择正确的程序卡片</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控制室并行处理工作站</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3.1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透视或曝光时可进行图像处理和存档浏览等工作，可独立运行</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3.2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术中可执行像素位移和测量分析功能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3.3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可同时浏览两个序列</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3.4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可同时处理不同病人的信息</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3.5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准备下一个病人的信息输入</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3.6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进行上一个病人的报告编写</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3.7</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进行</w:t>
            </w:r>
            <w:r>
              <w:rPr>
                <w:color w:val="000000"/>
                <w:sz w:val="21"/>
              </w:rPr>
              <w:t>QCA后，可立即与检查室分享</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高压发生器</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4</w:t>
            </w:r>
            <w:r>
              <w:rPr>
                <w:color w:val="000000"/>
                <w:sz w:val="21"/>
              </w:rPr>
              <w:t>.</w:t>
            </w:r>
            <w:r>
              <w:rPr>
                <w:color w:val="000000"/>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高频逆变发生器，功率：</w:t>
            </w:r>
            <w:r>
              <w:rPr>
                <w:color w:val="000000"/>
                <w:sz w:val="21"/>
              </w:rPr>
              <w:t>≥100KW</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4</w:t>
            </w:r>
            <w:r>
              <w:rPr>
                <w:color w:val="000000"/>
                <w:sz w:val="21"/>
              </w:rPr>
              <w:t>.</w:t>
            </w:r>
            <w:r>
              <w:rPr>
                <w:color w:val="000000"/>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最大管电流：</w:t>
            </w:r>
            <w:r>
              <w:rPr>
                <w:color w:val="000000"/>
                <w:sz w:val="21"/>
              </w:rPr>
              <w:t>≥1000mA</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4</w:t>
            </w:r>
            <w:r>
              <w:rPr>
                <w:color w:val="000000"/>
                <w:sz w:val="21"/>
              </w:rPr>
              <w:t>.</w:t>
            </w:r>
            <w:r>
              <w:rPr>
                <w:color w:val="000000"/>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逆变频率：</w:t>
            </w:r>
            <w:r>
              <w:rPr>
                <w:color w:val="000000"/>
                <w:sz w:val="21"/>
              </w:rPr>
              <w:t>≥100kHZ</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4</w:t>
            </w:r>
            <w:r>
              <w:rPr>
                <w:color w:val="000000"/>
                <w:sz w:val="21"/>
              </w:rPr>
              <w:t>.</w:t>
            </w:r>
            <w:r>
              <w:rPr>
                <w:color w:val="000000"/>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最小管电压：</w:t>
            </w:r>
            <w:r>
              <w:rPr>
                <w:color w:val="000000"/>
                <w:sz w:val="21"/>
              </w:rPr>
              <w:t>≤40KV</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4</w:t>
            </w:r>
            <w:r>
              <w:rPr>
                <w:color w:val="000000"/>
                <w:sz w:val="21"/>
              </w:rPr>
              <w:t>.</w:t>
            </w:r>
            <w:r>
              <w:rPr>
                <w:color w:val="000000"/>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最大管电压：</w:t>
            </w:r>
            <w:r>
              <w:rPr>
                <w:color w:val="000000"/>
                <w:sz w:val="21"/>
              </w:rPr>
              <w:t>≥125KV</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4</w:t>
            </w:r>
            <w:r>
              <w:rPr>
                <w:color w:val="000000"/>
                <w:sz w:val="21"/>
              </w:rPr>
              <w:t>.</w:t>
            </w:r>
            <w:r>
              <w:rPr>
                <w:color w:val="000000"/>
                <w:sz w:val="21"/>
              </w:rPr>
              <w:t>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最短曝光时间：</w:t>
            </w:r>
            <w:r>
              <w:rPr>
                <w:color w:val="000000"/>
                <w:sz w:val="21"/>
              </w:rPr>
              <w:t>≤1ms</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4</w:t>
            </w:r>
            <w:r>
              <w:rPr>
                <w:color w:val="000000"/>
                <w:sz w:val="21"/>
              </w:rPr>
              <w:t>.</w:t>
            </w:r>
            <w:r>
              <w:rPr>
                <w:color w:val="000000"/>
                <w:sz w:val="21"/>
              </w:rPr>
              <w:t>7</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自动</w:t>
            </w:r>
            <w:r>
              <w:rPr>
                <w:color w:val="000000"/>
                <w:sz w:val="21"/>
              </w:rPr>
              <w:t>SID跟踪</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4</w:t>
            </w:r>
            <w:r>
              <w:rPr>
                <w:color w:val="000000"/>
                <w:sz w:val="21"/>
              </w:rPr>
              <w:t>.</w:t>
            </w:r>
            <w:r>
              <w:rPr>
                <w:color w:val="000000"/>
                <w:sz w:val="21"/>
              </w:rPr>
              <w:t>8</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全自动曝光控制，无需测试曝光</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X线球管</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球管阳极热容量：</w:t>
            </w:r>
            <w:r>
              <w:rPr>
                <w:color w:val="000000"/>
                <w:sz w:val="21"/>
              </w:rPr>
              <w:t>≥6.0MHU</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球管管套热容量：</w:t>
            </w:r>
            <w:r>
              <w:rPr>
                <w:color w:val="000000"/>
                <w:sz w:val="21"/>
              </w:rPr>
              <w:t>≥9.4MHU</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最大阳极冷却速率：</w:t>
            </w:r>
            <w:r>
              <w:rPr>
                <w:color w:val="000000"/>
                <w:sz w:val="21"/>
              </w:rPr>
              <w:t>≥1750kHU/min</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球管阳极散热率：</w:t>
            </w:r>
            <w:r>
              <w:rPr>
                <w:color w:val="000000"/>
                <w:sz w:val="21"/>
              </w:rPr>
              <w:t>≥20000W</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金属陶瓷外壳</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液态金属轴承球管</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7</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10分钟透视功率：≥4500W</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8</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球管阳极转速：</w:t>
            </w:r>
            <w:r>
              <w:rPr>
                <w:color w:val="000000"/>
                <w:sz w:val="21"/>
              </w:rPr>
              <w:t>≤4200转/分钟</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9</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球管焦点为</w:t>
            </w:r>
            <w:r>
              <w:rPr>
                <w:color w:val="000000"/>
                <w:sz w:val="21"/>
              </w:rPr>
              <w:t>≥2个，最小焦点功率：≥30kW，最大焦点功率：≤65kW</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10</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球管阳极靶边直径：</w:t>
            </w:r>
            <w:r>
              <w:rPr>
                <w:color w:val="000000"/>
                <w:sz w:val="21"/>
              </w:rPr>
              <w:t>≥200mm</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11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球管采用直接油冷技术，即冷却油直达阳极靶面的冷却方式，无需安装水冷系统</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12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球管内置栅控技术，非高压发生器控制脉冲透视，以消除传统脉冲透视产生的软射线</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13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球管内置多档金属铜滤片，最厚达</w:t>
            </w:r>
            <w:r>
              <w:rPr>
                <w:color w:val="000000"/>
                <w:sz w:val="21"/>
              </w:rPr>
              <w:t>1.0mm</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14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配备通用型、虹膜型等多种遮光器</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15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遮光器位置可存储</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16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心脏介入手术中，半透明楔形挡板可根据投照角度自动定位</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17</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透视末帧图像上可实现无射线调节遮光板、滤线器位置</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6、</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平板探测器</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6</w:t>
            </w:r>
            <w:r>
              <w:rPr>
                <w:color w:val="000000"/>
                <w:sz w:val="21"/>
              </w:rPr>
              <w:t>.</w:t>
            </w:r>
            <w:r>
              <w:rPr>
                <w:color w:val="000000"/>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探测器类型：</w:t>
            </w:r>
            <w:r>
              <w:rPr>
                <w:color w:val="000000"/>
                <w:sz w:val="21"/>
              </w:rPr>
              <w:t>≥16bits非晶硅数字化平板探测器</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6</w:t>
            </w:r>
            <w:r>
              <w:rPr>
                <w:color w:val="000000"/>
                <w:sz w:val="21"/>
              </w:rPr>
              <w:t>.</w:t>
            </w:r>
            <w:r>
              <w:rPr>
                <w:color w:val="000000"/>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平板外壳大小（对角线）：</w:t>
            </w:r>
            <w:r>
              <w:rPr>
                <w:color w:val="000000"/>
                <w:sz w:val="21"/>
              </w:rPr>
              <w:t>≤63cm</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▲6</w:t>
            </w:r>
            <w:r>
              <w:rPr>
                <w:color w:val="000000"/>
                <w:sz w:val="21"/>
              </w:rPr>
              <w:t>.</w:t>
            </w:r>
            <w:r>
              <w:rPr>
                <w:color w:val="000000"/>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最大有效成像视野</w:t>
            </w:r>
            <w:r>
              <w:rPr>
                <w:color w:val="000000"/>
                <w:sz w:val="21"/>
              </w:rPr>
              <w:t>(对角线)≥48cm</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▲6</w:t>
            </w:r>
            <w:r>
              <w:rPr>
                <w:color w:val="000000"/>
                <w:sz w:val="21"/>
              </w:rPr>
              <w:t>.</w:t>
            </w:r>
            <w:r>
              <w:rPr>
                <w:color w:val="000000"/>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≥8种物理成像视野，以适应不同部位介入需要</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6</w:t>
            </w:r>
            <w:r>
              <w:rPr>
                <w:color w:val="000000"/>
                <w:sz w:val="21"/>
              </w:rPr>
              <w:t>.</w:t>
            </w:r>
            <w:r>
              <w:rPr>
                <w:color w:val="000000"/>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最大图像矩阵灰阶输出：</w:t>
            </w:r>
            <w:r>
              <w:rPr>
                <w:color w:val="000000"/>
                <w:sz w:val="21"/>
              </w:rPr>
              <w:t>1904</w:t>
            </w:r>
            <w:r>
              <w:rPr>
                <w:color w:val="000000"/>
                <w:sz w:val="21"/>
              </w:rPr>
              <w:t>×</w:t>
            </w:r>
            <w:r>
              <w:rPr>
                <w:color w:val="000000"/>
                <w:sz w:val="21"/>
              </w:rPr>
              <w:t>2586</w:t>
            </w:r>
            <w:r>
              <w:rPr>
                <w:color w:val="000000"/>
                <w:sz w:val="21"/>
              </w:rPr>
              <w:t>×</w:t>
            </w:r>
            <w:r>
              <w:rPr>
                <w:color w:val="000000"/>
                <w:sz w:val="21"/>
              </w:rPr>
              <w:t>16bits</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▲6</w:t>
            </w:r>
            <w:r>
              <w:rPr>
                <w:color w:val="000000"/>
                <w:sz w:val="21"/>
              </w:rPr>
              <w:t>.</w:t>
            </w:r>
            <w:r>
              <w:rPr>
                <w:color w:val="000000"/>
                <w:sz w:val="21"/>
              </w:rPr>
              <w:t>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平板探测器分辨率：</w:t>
            </w:r>
            <w:r>
              <w:rPr>
                <w:color w:val="000000"/>
                <w:sz w:val="21"/>
              </w:rPr>
              <w:t>≥3.25LP／mm</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▲6</w:t>
            </w:r>
            <w:r>
              <w:rPr>
                <w:color w:val="000000"/>
                <w:sz w:val="21"/>
              </w:rPr>
              <w:t>.</w:t>
            </w:r>
            <w:r>
              <w:rPr>
                <w:color w:val="000000"/>
                <w:sz w:val="21"/>
              </w:rPr>
              <w:t>7</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像素尺寸：</w:t>
            </w:r>
            <w:r>
              <w:rPr>
                <w:color w:val="000000"/>
                <w:sz w:val="21"/>
              </w:rPr>
              <w:t>≤154μm</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6</w:t>
            </w:r>
            <w:r>
              <w:rPr>
                <w:color w:val="000000"/>
                <w:sz w:val="21"/>
              </w:rPr>
              <w:t>.</w:t>
            </w:r>
            <w:r>
              <w:rPr>
                <w:color w:val="000000"/>
                <w:sz w:val="21"/>
              </w:rPr>
              <w:t>8</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0</w:t>
            </w:r>
            <w:r>
              <w:rPr>
                <w:sz w:val="21"/>
              </w:rPr>
              <w:t xml:space="preserve"> </w:t>
            </w:r>
            <w:r>
              <w:rPr>
                <w:color w:val="000000"/>
                <w:sz w:val="21"/>
              </w:rPr>
              <w:t>lp/mm时DQE：≥77%</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6</w:t>
            </w:r>
            <w:r>
              <w:rPr>
                <w:color w:val="000000"/>
                <w:sz w:val="21"/>
              </w:rPr>
              <w:t>.</w:t>
            </w:r>
            <w:r>
              <w:rPr>
                <w:color w:val="000000"/>
                <w:sz w:val="21"/>
              </w:rPr>
              <w:t>9</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平板可</w:t>
            </w:r>
            <w:r>
              <w:rPr>
                <w:color w:val="000000"/>
                <w:sz w:val="21"/>
              </w:rPr>
              <w:t>90度旋转</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6</w:t>
            </w:r>
            <w:r>
              <w:rPr>
                <w:color w:val="000000"/>
                <w:sz w:val="21"/>
              </w:rPr>
              <w:t>.</w:t>
            </w:r>
            <w:r>
              <w:rPr>
                <w:color w:val="000000"/>
                <w:sz w:val="21"/>
              </w:rPr>
              <w:t>10</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平板探测器无需水冷装置</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6</w:t>
            </w:r>
            <w:r>
              <w:rPr>
                <w:color w:val="000000"/>
                <w:sz w:val="21"/>
              </w:rPr>
              <w:t>.</w:t>
            </w:r>
            <w:r>
              <w:rPr>
                <w:color w:val="000000"/>
                <w:sz w:val="21"/>
              </w:rPr>
              <w:t>11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平板探测器带有非接触式防碰撞保护装置及防碰撞自动控制</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7、</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图像显示器</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7</w:t>
            </w:r>
            <w:r>
              <w:rPr>
                <w:color w:val="000000"/>
                <w:sz w:val="21"/>
              </w:rPr>
              <w:t>.</w:t>
            </w:r>
            <w:r>
              <w:rPr>
                <w:color w:val="000000"/>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控制室：</w:t>
            </w:r>
            <w:r>
              <w:rPr>
                <w:color w:val="000000"/>
                <w:sz w:val="21"/>
              </w:rPr>
              <w:t>≥24英寸高亮医用高分辨率LCD显示器，≥2台</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7.2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显示矩阵：</w:t>
            </w:r>
            <w:r>
              <w:rPr>
                <w:color w:val="000000"/>
                <w:sz w:val="21"/>
              </w:rPr>
              <w:t>≥1920</w:t>
            </w:r>
            <w:r>
              <w:rPr>
                <w:color w:val="000000"/>
                <w:sz w:val="21"/>
              </w:rPr>
              <w:t>×</w:t>
            </w:r>
            <w:r>
              <w:rPr>
                <w:color w:val="000000"/>
                <w:sz w:val="21"/>
              </w:rPr>
              <w:t>1080，最大视角：≥178°，亮度：≥400Cd/m²</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7</w:t>
            </w:r>
            <w:r>
              <w:rPr>
                <w:color w:val="000000"/>
                <w:sz w:val="21"/>
              </w:rPr>
              <w:t>.</w:t>
            </w:r>
            <w:r>
              <w:rPr>
                <w:color w:val="000000"/>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操作室：</w:t>
            </w:r>
            <w:r>
              <w:rPr>
                <w:color w:val="000000"/>
                <w:sz w:val="21"/>
              </w:rPr>
              <w:t>≥55英寸高亮医用高分辨率宽屏LCD显示器一台</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8、</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图像系统</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外周采集、处理、存储</w:t>
            </w:r>
            <w:r>
              <w:rPr>
                <w:color w:val="000000"/>
                <w:sz w:val="21"/>
              </w:rPr>
              <w:t>2048</w:t>
            </w:r>
            <w:r>
              <w:rPr>
                <w:color w:val="000000"/>
                <w:sz w:val="21"/>
                <w:vertAlign w:val="superscript"/>
              </w:rPr>
              <w:t>2</w:t>
            </w:r>
            <w:r>
              <w:rPr>
                <w:color w:val="000000"/>
                <w:sz w:val="21"/>
              </w:rPr>
              <w:t>矩阵，即提供</w:t>
            </w:r>
            <w:r>
              <w:rPr>
                <w:color w:val="000000"/>
                <w:sz w:val="21"/>
              </w:rPr>
              <w:t>2K影像链配置</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采集帧率：</w:t>
            </w:r>
            <w:r>
              <w:rPr>
                <w:color w:val="000000"/>
                <w:sz w:val="21"/>
              </w:rPr>
              <w:t>0.5-6帧/秒</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心脏采集、处理、存储</w:t>
            </w:r>
            <w:r>
              <w:rPr>
                <w:color w:val="000000"/>
                <w:sz w:val="21"/>
              </w:rPr>
              <w:t>1024</w:t>
            </w:r>
            <w:r>
              <w:rPr>
                <w:color w:val="000000"/>
                <w:sz w:val="21"/>
                <w:vertAlign w:val="superscript"/>
              </w:rPr>
              <w:t>2</w:t>
            </w:r>
            <w:r>
              <w:rPr>
                <w:color w:val="000000"/>
                <w:sz w:val="21"/>
              </w:rPr>
              <w:t>矩阵：</w:t>
            </w:r>
            <w:r>
              <w:rPr>
                <w:color w:val="000000"/>
                <w:sz w:val="21"/>
              </w:rPr>
              <w:t>15-30帧/秒</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实时减影</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脉冲透视</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床旁可直接选择透视剂量：</w:t>
            </w:r>
            <w:r>
              <w:rPr>
                <w:color w:val="000000"/>
                <w:sz w:val="21"/>
              </w:rPr>
              <w:t>≥3档，最小档：≤5伦琴/分钟</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7</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可存储单幅及序列透视图象（单次储存</w:t>
            </w:r>
            <w:r>
              <w:rPr>
                <w:color w:val="000000"/>
                <w:sz w:val="21"/>
              </w:rPr>
              <w:t>≥20S且≥600幅的连续动态透视图象），透视序列可以同屏多幅图像形式显示于参考屏上</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8</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最大脉冲透视速度：</w:t>
            </w:r>
            <w:r>
              <w:rPr>
                <w:color w:val="000000"/>
                <w:sz w:val="21"/>
              </w:rPr>
              <w:t>≥30幅/秒</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9</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最小脉冲透视速度：</w:t>
            </w:r>
            <w:r>
              <w:rPr>
                <w:color w:val="000000"/>
                <w:sz w:val="21"/>
              </w:rPr>
              <w:t>≤3.75幅/秒</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10</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具有透视末帧图像保持功能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11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硬盘图像存储量</w:t>
            </w:r>
            <w:r>
              <w:rPr>
                <w:color w:val="000000"/>
                <w:sz w:val="21"/>
              </w:rPr>
              <w:t>1024矩阵：≥50,000幅，2048矩阵：≥12,500幅</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12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影像数据可从主机在后台向工作站</w:t>
            </w:r>
            <w:r>
              <w:rPr>
                <w:color w:val="000000"/>
                <w:sz w:val="21"/>
              </w:rPr>
              <w:t>/PACS系统自动、连续、快速传递，前台透视、采集曝光不受干扰</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13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后处理功能包括：改变回放速度、选择路标图像、电子遮光器、边缘增强、图像反转、附加注解、快速选择图像、移动放大、可变速度循环放映、造影图像自动窗宽、窗位调节、重定蒙片、手动自动像素移位、最大路径和骨标记</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14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血管序列实时</w:t>
            </w:r>
            <w:r>
              <w:rPr>
                <w:color w:val="000000"/>
                <w:sz w:val="21"/>
              </w:rPr>
              <w:t>DSA功能和DA功能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15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图像显示功能：采集时间、日期显示、图像冻结，灰阶反转，图像标注，左／右标识，文字注释，解剖背景。</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16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路径图造影剂自动峰值保持功能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17</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支持术中事件记录并存储</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18</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具备双透视功能：可并列查看默认的非减影透视和减影透视</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9、</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测量分析（主机系统）</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9</w:t>
            </w:r>
            <w:r>
              <w:rPr>
                <w:color w:val="000000"/>
                <w:sz w:val="21"/>
              </w:rPr>
              <w:t>.</w:t>
            </w:r>
            <w:r>
              <w:rPr>
                <w:color w:val="000000"/>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左心室分析软件，可测量舒张末期和收缩末期容积、射血分数、每博量测定</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9</w:t>
            </w:r>
            <w:r>
              <w:rPr>
                <w:color w:val="000000"/>
                <w:sz w:val="21"/>
              </w:rPr>
              <w:t>.</w:t>
            </w:r>
            <w:r>
              <w:rPr>
                <w:color w:val="000000"/>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三种方法以上室壁运动曲线测量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9</w:t>
            </w:r>
            <w:r>
              <w:rPr>
                <w:color w:val="000000"/>
                <w:sz w:val="21"/>
              </w:rPr>
              <w:t>.</w:t>
            </w:r>
            <w:r>
              <w:rPr>
                <w:color w:val="000000"/>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自动校正分析功能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9</w:t>
            </w:r>
            <w:r>
              <w:rPr>
                <w:color w:val="000000"/>
                <w:sz w:val="21"/>
              </w:rPr>
              <w:t>.</w:t>
            </w:r>
            <w:r>
              <w:rPr>
                <w:color w:val="000000"/>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冠脉分析软件，所选血管段直径、狭窄信息、截面积、狭窄百分比、压力级值等测量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9</w:t>
            </w:r>
            <w:r>
              <w:rPr>
                <w:color w:val="000000"/>
                <w:sz w:val="21"/>
              </w:rPr>
              <w:t>.</w:t>
            </w:r>
            <w:r>
              <w:rPr>
                <w:color w:val="000000"/>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以上定量分析软件均能够在主机上而非工作站上实现，并能够实现机房内的床边测量</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10、</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旋转采集</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▲10</w:t>
            </w:r>
            <w:r>
              <w:rPr>
                <w:color w:val="000000"/>
                <w:sz w:val="21"/>
              </w:rPr>
              <w:t>.</w:t>
            </w:r>
            <w:r>
              <w:rPr>
                <w:color w:val="000000"/>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L臂正位旋转采集C臂旋转速度：≥55度/秒，有效覆盖范围：≥240度</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10</w:t>
            </w:r>
            <w:r>
              <w:rPr>
                <w:color w:val="000000"/>
                <w:sz w:val="21"/>
              </w:rPr>
              <w:t>.</w:t>
            </w:r>
            <w:r>
              <w:rPr>
                <w:color w:val="000000"/>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L臂侧位旋转采集C臂旋转速度：≥40度/秒，有效覆盖范围：≥180度</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10</w:t>
            </w:r>
            <w:r>
              <w:rPr>
                <w:color w:val="000000"/>
                <w:sz w:val="21"/>
              </w:rPr>
              <w:t>.</w:t>
            </w:r>
            <w:r>
              <w:rPr>
                <w:color w:val="000000"/>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1024采集，最快采集速度：≥30幅/秒</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10</w:t>
            </w:r>
            <w:r>
              <w:rPr>
                <w:color w:val="000000"/>
                <w:sz w:val="21"/>
              </w:rPr>
              <w:t>.</w:t>
            </w:r>
            <w:r>
              <w:rPr>
                <w:color w:val="000000"/>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可实时减影</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11、</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网络与接口</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11</w:t>
            </w:r>
            <w:r>
              <w:rPr>
                <w:color w:val="000000"/>
                <w:sz w:val="21"/>
              </w:rPr>
              <w:t>.</w:t>
            </w:r>
            <w:r>
              <w:rPr>
                <w:color w:val="000000"/>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w:t>
            </w:r>
            <w:r>
              <w:rPr>
                <w:color w:val="000000"/>
                <w:sz w:val="21"/>
              </w:rPr>
              <w:t>DICOM Send功能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11</w:t>
            </w:r>
            <w:r>
              <w:rPr>
                <w:color w:val="000000"/>
                <w:sz w:val="21"/>
              </w:rPr>
              <w:t>.</w:t>
            </w:r>
            <w:r>
              <w:rPr>
                <w:color w:val="000000"/>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w:t>
            </w:r>
            <w:r>
              <w:rPr>
                <w:color w:val="000000"/>
                <w:sz w:val="21"/>
              </w:rPr>
              <w:t>DICOM Print功能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11</w:t>
            </w:r>
            <w:r>
              <w:rPr>
                <w:color w:val="000000"/>
                <w:sz w:val="21"/>
              </w:rPr>
              <w:t>.</w:t>
            </w:r>
            <w:r>
              <w:rPr>
                <w:color w:val="000000"/>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w:t>
            </w:r>
            <w:r>
              <w:rPr>
                <w:color w:val="000000"/>
                <w:sz w:val="21"/>
              </w:rPr>
              <w:t>DICOM Query/Retrieve功能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11</w:t>
            </w:r>
            <w:r>
              <w:rPr>
                <w:color w:val="000000"/>
                <w:sz w:val="21"/>
              </w:rPr>
              <w:t>.</w:t>
            </w:r>
            <w:r>
              <w:rPr>
                <w:color w:val="000000"/>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w:t>
            </w:r>
            <w:r>
              <w:rPr>
                <w:color w:val="000000"/>
                <w:sz w:val="21"/>
              </w:rPr>
              <w:t>DICOM Worklist功能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11</w:t>
            </w:r>
            <w:r>
              <w:rPr>
                <w:color w:val="000000"/>
                <w:sz w:val="21"/>
              </w:rPr>
              <w:t>.</w:t>
            </w:r>
            <w:r>
              <w:rPr>
                <w:color w:val="000000"/>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w:t>
            </w:r>
            <w:r>
              <w:rPr>
                <w:color w:val="000000"/>
                <w:sz w:val="21"/>
              </w:rPr>
              <w:t>DICOM MPPS功能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11</w:t>
            </w:r>
            <w:r>
              <w:rPr>
                <w:color w:val="000000"/>
                <w:sz w:val="21"/>
              </w:rPr>
              <w:t>.</w:t>
            </w:r>
            <w:r>
              <w:rPr>
                <w:color w:val="000000"/>
                <w:sz w:val="21"/>
              </w:rPr>
              <w:t>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激光相机接口</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11</w:t>
            </w:r>
            <w:r>
              <w:rPr>
                <w:color w:val="000000"/>
                <w:sz w:val="21"/>
              </w:rPr>
              <w:t>.</w:t>
            </w:r>
            <w:r>
              <w:rPr>
                <w:color w:val="000000"/>
                <w:sz w:val="21"/>
              </w:rPr>
              <w:t>7</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高压注射器接口</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12、</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智能路径图功能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12</w:t>
            </w:r>
            <w:r>
              <w:rPr>
                <w:color w:val="000000"/>
                <w:sz w:val="21"/>
              </w:rPr>
              <w:t>.</w:t>
            </w:r>
            <w:r>
              <w:rPr>
                <w:color w:val="000000"/>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可针对脑血管、胸部、腹部等不同检查部位，设置专门的路径图参数，并可在床旁液晶触摸屏上直接进行参数调整</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12</w:t>
            </w:r>
            <w:r>
              <w:rPr>
                <w:color w:val="000000"/>
                <w:sz w:val="21"/>
              </w:rPr>
              <w:t>.</w:t>
            </w:r>
            <w:r>
              <w:rPr>
                <w:color w:val="000000"/>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可在床旁液晶触摸屏上选择针对导管引导、打胶、放置弹簧圈等不同介入操作的专门路径图模式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12</w:t>
            </w:r>
            <w:r>
              <w:rPr>
                <w:color w:val="000000"/>
                <w:sz w:val="21"/>
              </w:rPr>
              <w:t>.</w:t>
            </w:r>
            <w:r>
              <w:rPr>
                <w:color w:val="000000"/>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医生可自定义针对特殊介入操作类型的路径图显示模式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12</w:t>
            </w:r>
            <w:r>
              <w:rPr>
                <w:color w:val="000000"/>
                <w:sz w:val="21"/>
              </w:rPr>
              <w:t>.</w:t>
            </w:r>
            <w:r>
              <w:rPr>
                <w:color w:val="000000"/>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在不同路径图模式下，可对路径图中的减影血管影像、介入植入物（导丝导管、胶、弹簧圈等）、解剖背景的亮度进行分别的独立调节，以满足复杂介入操作引导的需要</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12</w:t>
            </w:r>
            <w:r>
              <w:rPr>
                <w:color w:val="000000"/>
                <w:sz w:val="21"/>
              </w:rPr>
              <w:t>.</w:t>
            </w:r>
            <w:r>
              <w:rPr>
                <w:color w:val="000000"/>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液晶触摸屏上具有专门的路径图运动伪影自动消除键，可随时对由于病人微小运动导致的路径图伪影（常被误认为漏胶）进行自动实时补偿校正，有效减少运动伪影的影响</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13、</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组合蒙片功能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13</w:t>
            </w:r>
            <w:r>
              <w:rPr>
                <w:color w:val="000000"/>
                <w:sz w:val="21"/>
              </w:rPr>
              <w:t>.</w:t>
            </w:r>
            <w:r>
              <w:rPr>
                <w:color w:val="000000"/>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可对用于实时</w:t>
            </w:r>
            <w:r>
              <w:rPr>
                <w:color w:val="000000"/>
                <w:sz w:val="21"/>
              </w:rPr>
              <w:t>DSA的蒙片数量进行实时组合优化，以明显降低蒙片的背景噪声，显著提高DSA的图像质量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13</w:t>
            </w:r>
            <w:r>
              <w:rPr>
                <w:color w:val="000000"/>
                <w:sz w:val="21"/>
              </w:rPr>
              <w:t>.</w:t>
            </w:r>
            <w:r>
              <w:rPr>
                <w:color w:val="000000"/>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可对用于实时</w:t>
            </w:r>
            <w:r>
              <w:rPr>
                <w:color w:val="000000"/>
                <w:sz w:val="21"/>
              </w:rPr>
              <w:t>DSA的蒙片数量进行实时组合优化，在保持相同噪声水平的前提下，明显降低辐射剂量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13</w:t>
            </w:r>
            <w:r>
              <w:rPr>
                <w:color w:val="000000"/>
                <w:sz w:val="21"/>
              </w:rPr>
              <w:t>.</w:t>
            </w:r>
            <w:r>
              <w:rPr>
                <w:color w:val="000000"/>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在实时</w:t>
            </w:r>
            <w:r>
              <w:rPr>
                <w:color w:val="000000"/>
                <w:sz w:val="21"/>
              </w:rPr>
              <w:t>DSA图像显示前的瞬间，可显示组合蒙片图像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13</w:t>
            </w:r>
            <w:r>
              <w:rPr>
                <w:color w:val="000000"/>
                <w:sz w:val="21"/>
              </w:rPr>
              <w:t>.</w:t>
            </w:r>
            <w:r>
              <w:rPr>
                <w:color w:val="000000"/>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可对组合蒙片的数量调整，最大组合蒙片数量</w:t>
            </w:r>
            <w:r>
              <w:rPr>
                <w:color w:val="000000"/>
                <w:sz w:val="21"/>
              </w:rPr>
              <w:t>≥6幅</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13</w:t>
            </w:r>
            <w:r>
              <w:rPr>
                <w:color w:val="000000"/>
                <w:sz w:val="21"/>
              </w:rPr>
              <w:t>.</w:t>
            </w:r>
            <w:r>
              <w:rPr>
                <w:color w:val="000000"/>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可针对不同检查部位进行蒙片数量的个性化组合，以满足不同部位的成像特点</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14、</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射线剂量防护技术：</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14.1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采用铜滤片自动插入技术消除球管软射线，最厚</w:t>
            </w:r>
            <w:r>
              <w:rPr>
                <w:color w:val="000000"/>
                <w:sz w:val="21"/>
              </w:rPr>
              <w:t>≥1.0mm</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14.2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插入铜滤片数</w:t>
            </w:r>
            <w:r>
              <w:rPr>
                <w:color w:val="000000"/>
                <w:sz w:val="21"/>
              </w:rPr>
              <w:t>≥3片，具备自动和手动两种方式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14.3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具有管球内置栅控技术</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14.4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透视冻结图像上可实现无射线调节遮光器、滤波片位置</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14.5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具有射线剂量监测功能，透视时，表面剂量率显示；透视间期，显示积累剂量，区域剂量和剂量限值</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14.6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无射线下定位功能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14.7</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检查床及平板移动，或改变视野，图像跟随位置变化并指示移动方向</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15、</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智能蒙片功能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15.1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将透视图像实时叠加到选定的参考图像上</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15.2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通过床旁控制，实现参考图像的淡入淡出</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15.3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任何先前获取图像都能作参考图像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15.4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便捷将介入前后做对比来评估治疗结果</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16、</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高级三维图像处理工作站</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16.1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有独立的原装三维重建工作站硬件和软件</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16.2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机架旋转速度：</w:t>
            </w:r>
            <w:r>
              <w:rPr>
                <w:color w:val="000000"/>
                <w:sz w:val="21"/>
              </w:rPr>
              <w:t>≥55度/秒，覆盖范围：≥240度</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16.3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机架可在头位及侧位进行三维采集</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16.4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血管重建速度：自旋转采集起至重建结束的时间：</w:t>
            </w:r>
            <w:r>
              <w:rPr>
                <w:color w:val="000000"/>
                <w:sz w:val="21"/>
              </w:rPr>
              <w:t>≤12秒</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16.5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具有体积</w:t>
            </w:r>
            <w:r>
              <w:rPr>
                <w:color w:val="000000"/>
                <w:sz w:val="21"/>
              </w:rPr>
              <w:t>/表面重建,最大密度投影、虚拟支架、虚拟内窥镜、模拟机架位、钙化斑成像、透明血管成像功能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16.6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具有局部放大重建</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16.7</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具有专用脊柱三维采集程序及脊柱重建功能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16.8</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具有钙化斑块重建</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16.9</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具有距离测量、体积测量功能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16.10</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具有三维自动血管分析</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16.11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具有动脉瘤自动分析、导管头模拟塑形功能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16.12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仅造影序列便可重建出三维图像；无需蒙片序列，减少曝光，加快手术进程</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16.13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可在床旁进行图像浏览和控制</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17、</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实时三维路图</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17.1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原装功能模块，具有二维透视影像与重建三维血管图像实时匹配融合功能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17.2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旋转采集数据能够自动传输至工作站并自动重建，整个过程无需人为参与</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17.3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可在实时的三维透视影像中进行如插入导丝、导管及弹簧圈等复杂介入操作</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17.4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当</w:t>
            </w:r>
            <w:r>
              <w:rPr>
                <w:color w:val="000000"/>
                <w:sz w:val="21"/>
              </w:rPr>
              <w:t>C臂的投照角度，SID，及探测器的视野等改变时，二维透视影像与三维血管图像仍能实时、自动匹配融合，无延迟时间，方便手术操作</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17.5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三维血管图像可随机架角度的变化而相应改变图像观察角度</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18、</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双期类</w:t>
            </w:r>
            <w:r>
              <w:rPr>
                <w:b/>
                <w:color w:val="000000"/>
                <w:sz w:val="21"/>
              </w:rPr>
              <w:t>CT软组织成像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18.1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原装功能模块，能提供类似</w:t>
            </w:r>
            <w:r>
              <w:rPr>
                <w:color w:val="000000"/>
                <w:sz w:val="21"/>
              </w:rPr>
              <w:t>CT的软组织图像，能够进行机架正位和侧位的类CT采集，以满足头部、胸部、腹部、盆腔、脊柱、四肢部分的采集和重建</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18.2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成像采取双期自动往复扫描和双图像并行显示，使医生可以同时观察两个不同时相的三维数据，如肝脏肿瘤增强扫描的动脉期和实质期。采用并行显示功能，可以分割多发肿瘤病灶</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18.3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能在床旁实现任意角度断面的观察，并可调节层厚，窗宽，窗位等</w:t>
            </w:r>
            <w:r>
              <w:rPr>
                <w:color w:val="000000"/>
                <w:sz w:val="21"/>
              </w:rPr>
              <w:t>CT参数</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18.4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单次旋转采集图像：</w:t>
            </w:r>
            <w:r>
              <w:rPr>
                <w:color w:val="000000"/>
                <w:sz w:val="21"/>
              </w:rPr>
              <w:t>≥620幅，有效覆盖范围：≥240度</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18.5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最快采集速率：</w:t>
            </w:r>
            <w:r>
              <w:rPr>
                <w:color w:val="000000"/>
                <w:sz w:val="21"/>
              </w:rPr>
              <w:t>≥60帧/秒</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18.6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最快采集时间：</w:t>
            </w:r>
            <w:r>
              <w:rPr>
                <w:color w:val="000000"/>
                <w:sz w:val="21"/>
              </w:rPr>
              <w:t>≤5秒</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18.7</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类</w:t>
            </w:r>
            <w:r>
              <w:rPr>
                <w:color w:val="000000"/>
                <w:sz w:val="21"/>
              </w:rPr>
              <w:t>CT图像采集，重建到显示全自动运行，无需人工干预</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18.8</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三维重建和类</w:t>
            </w:r>
            <w:r>
              <w:rPr>
                <w:color w:val="000000"/>
                <w:sz w:val="21"/>
              </w:rPr>
              <w:t>CT重建硬件一体化设计，方便实现二者融合匹配显示</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18.9</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仅需一次旋转采集即可实现三维重建和类</w:t>
            </w:r>
            <w:r>
              <w:rPr>
                <w:color w:val="000000"/>
                <w:sz w:val="21"/>
              </w:rPr>
              <w:t>CT重建</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18.10</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旋转采集数据能够自动传输至工作站并自动重建，整个过程无需人为参与</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18.11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具备专用的金属伪影消除采集程序，消除金属植入物和支架的影响</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18.12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具备专用的</w:t>
            </w:r>
            <w:r>
              <w:rPr>
                <w:color w:val="000000"/>
                <w:sz w:val="21"/>
              </w:rPr>
              <w:t>BMI噪声抑制程序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18.13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具有颅内支架精晰显影功能</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19、</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缺血性卒中类</w:t>
            </w:r>
            <w:r>
              <w:rPr>
                <w:b/>
                <w:color w:val="000000"/>
                <w:sz w:val="21"/>
              </w:rPr>
              <w:t>CT成像功能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19.1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用于缺血性脑卒中的介入治疗，经静脉注射程序，具备延时功能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19.2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帮助更快地识别和评估缺血性卒中的大小和程度</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19.3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通过显示血栓前后的血管结构，可以看出脑血管阻塞的位置，长度和大小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19.4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高分辨率颅内评估改善介入的缺血性卒中治疗，空间分辨率：</w:t>
            </w:r>
            <w:r>
              <w:rPr>
                <w:color w:val="000000"/>
                <w:sz w:val="21"/>
              </w:rPr>
              <w:t>≤40微米</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19.5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具备高清颅内支架精显程序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19.6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床旁专用经静脉造影剂注射程序</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20、</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三维与</w:t>
            </w:r>
            <w:r>
              <w:rPr>
                <w:b/>
                <w:color w:val="000000"/>
                <w:sz w:val="21"/>
              </w:rPr>
              <w:t>CT/MR图像融合</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20.1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支持将影像设备</w:t>
            </w:r>
            <w:r>
              <w:rPr>
                <w:color w:val="000000"/>
                <w:sz w:val="21"/>
              </w:rPr>
              <w:t>CT或MR的DICOM影像导入血管机三维工作站，自动或手动与三维血管模型相融合</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20.2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层厚和窗宽</w:t>
            </w:r>
            <w:r>
              <w:rPr>
                <w:color w:val="000000"/>
                <w:sz w:val="21"/>
              </w:rPr>
              <w:t>/窗位可根据需要调整</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20.3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可进行测量分析</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20.4</w:t>
            </w:r>
          </w:p>
        </w:tc>
        <w:tc>
          <w:tcPr>
            <w:tcW w:type="dxa" w:w="7033"/>
            <w:tcBorders>
              <w:top w:val="none" w:color="000000" w:sz="4"/>
              <w:left w:val="none" w:color="000000" w:sz="4"/>
              <w:bottom w:val="single" w:color="000000" w:sz="4"/>
              <w:right w:val="single" w:color="000000" w:sz="4"/>
            </w:tcBorders>
            <w:vAlign w:val="top"/>
          </w:tcPr>
          <w:p>
            <w:pPr>
              <w:jc w:val="both"/>
            </w:pPr>
            <w:r>
              <w:rPr>
                <w:sz w:val="21"/>
              </w:rPr>
              <w:t>从三维图像选取最佳角度时，机架角度自动跟踪到该位置</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21、</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血管腔内修复导航功能</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21.1</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具有分割引导工具，无需</w:t>
            </w:r>
            <w:r>
              <w:rPr>
                <w:sz w:val="21"/>
              </w:rPr>
              <w:t>CTA或MRI工作站的后处理，可在DSA三维后处理工作站进行CTA或MRI的DICOM图像的一键血管提取、分割，并进行3D血管标记</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21.2</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w:t>
            </w:r>
            <w:r>
              <w:rPr>
                <w:sz w:val="21"/>
              </w:rPr>
              <w:t>CTA和MRI的血管影像与实时透视图像融合功能</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21.3</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具备术中手动调整骨性标志与实时透视图像的位置功能</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21.4</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具备手术计划功能，标记血管穿刺部位，对血管入口及终端的位置进行三维环形标记</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21.5</w:t>
            </w:r>
          </w:p>
        </w:tc>
        <w:tc>
          <w:tcPr>
            <w:tcW w:type="dxa" w:w="7033"/>
            <w:tcBorders>
              <w:top w:val="none" w:color="000000" w:sz="4"/>
              <w:left w:val="none" w:color="000000" w:sz="4"/>
              <w:bottom w:val="single" w:color="000000" w:sz="4"/>
              <w:right w:val="single" w:color="000000" w:sz="4"/>
            </w:tcBorders>
            <w:vAlign w:val="top"/>
          </w:tcPr>
          <w:p>
            <w:pPr>
              <w:jc w:val="both"/>
            </w:pPr>
            <w:r>
              <w:rPr>
                <w:sz w:val="21"/>
              </w:rPr>
              <w:t>可标示血管的结构情况，包括血管钙化情况、血管的角度等</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21.6</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具备三维血管的术中最佳角度及机架透视位置的定义和召回，准确定义最佳的透照角度，一键到位实现最佳角度导航</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22、</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动脉瘤血流动力学分析</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22.1</w:t>
            </w:r>
          </w:p>
        </w:tc>
        <w:tc>
          <w:tcPr>
            <w:tcW w:type="dxa" w:w="7033"/>
            <w:tcBorders>
              <w:top w:val="none" w:color="000000" w:sz="4"/>
              <w:left w:val="none" w:color="000000" w:sz="4"/>
              <w:bottom w:val="single" w:color="000000" w:sz="4"/>
              <w:right w:val="single" w:color="000000" w:sz="4"/>
            </w:tcBorders>
            <w:vAlign w:val="top"/>
          </w:tcPr>
          <w:p>
            <w:pPr>
              <w:jc w:val="both"/>
            </w:pPr>
            <w:r>
              <w:rPr>
                <w:sz w:val="21"/>
              </w:rPr>
              <w:t>血流转向装置植入后即刻定量分析动脉瘤内血流变化</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22.2</w:t>
            </w:r>
          </w:p>
        </w:tc>
        <w:tc>
          <w:tcPr>
            <w:tcW w:type="dxa" w:w="7033"/>
            <w:tcBorders>
              <w:top w:val="none" w:color="000000" w:sz="4"/>
              <w:left w:val="none" w:color="000000" w:sz="4"/>
              <w:bottom w:val="single" w:color="000000" w:sz="4"/>
              <w:right w:val="single" w:color="000000" w:sz="4"/>
            </w:tcBorders>
            <w:vAlign w:val="top"/>
          </w:tcPr>
          <w:p>
            <w:pPr>
              <w:jc w:val="both"/>
            </w:pPr>
            <w:r>
              <w:rPr>
                <w:sz w:val="21"/>
              </w:rPr>
              <w:t>数据基于三维采集和二维</w:t>
            </w:r>
            <w:r>
              <w:rPr>
                <w:sz w:val="21"/>
              </w:rPr>
              <w:t>DSA采集</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22.3</w:t>
            </w:r>
          </w:p>
        </w:tc>
        <w:tc>
          <w:tcPr>
            <w:tcW w:type="dxa" w:w="7033"/>
            <w:tcBorders>
              <w:top w:val="none" w:color="000000" w:sz="4"/>
              <w:left w:val="none" w:color="000000" w:sz="4"/>
              <w:bottom w:val="single" w:color="000000" w:sz="4"/>
              <w:right w:val="single" w:color="000000" w:sz="4"/>
            </w:tcBorders>
            <w:vAlign w:val="top"/>
          </w:tcPr>
          <w:p>
            <w:pPr>
              <w:jc w:val="both"/>
            </w:pPr>
            <w:r>
              <w:rPr>
                <w:sz w:val="21"/>
              </w:rPr>
              <w:t>数据采集：</w:t>
            </w:r>
            <w:r>
              <w:rPr>
                <w:sz w:val="21"/>
              </w:rPr>
              <w:t>≥60幅/秒</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22.4</w:t>
            </w:r>
          </w:p>
        </w:tc>
        <w:tc>
          <w:tcPr>
            <w:tcW w:type="dxa" w:w="7033"/>
            <w:tcBorders>
              <w:top w:val="none" w:color="000000" w:sz="4"/>
              <w:left w:val="none" w:color="000000" w:sz="4"/>
              <w:bottom w:val="single" w:color="000000" w:sz="4"/>
              <w:right w:val="single" w:color="000000" w:sz="4"/>
            </w:tcBorders>
            <w:vAlign w:val="top"/>
          </w:tcPr>
          <w:p>
            <w:pPr>
              <w:jc w:val="both"/>
            </w:pPr>
            <w:r>
              <w:rPr>
                <w:sz w:val="21"/>
              </w:rPr>
              <w:t>彩色显示血管内流动，并可表示出速度差异</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22.5</w:t>
            </w:r>
          </w:p>
        </w:tc>
        <w:tc>
          <w:tcPr>
            <w:tcW w:type="dxa" w:w="7033"/>
            <w:tcBorders>
              <w:top w:val="none" w:color="000000" w:sz="4"/>
              <w:left w:val="none" w:color="000000" w:sz="4"/>
              <w:bottom w:val="single" w:color="000000" w:sz="4"/>
              <w:right w:val="single" w:color="000000" w:sz="4"/>
            </w:tcBorders>
            <w:vAlign w:val="top"/>
          </w:tcPr>
          <w:p>
            <w:pPr>
              <w:jc w:val="both"/>
            </w:pPr>
            <w:r>
              <w:rPr>
                <w:sz w:val="21"/>
              </w:rPr>
              <w:t>矢量场使用箭头来显示在动脉瘤和血管内移动的血液的速度和方向</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22.6</w:t>
            </w:r>
          </w:p>
        </w:tc>
        <w:tc>
          <w:tcPr>
            <w:tcW w:type="dxa" w:w="7033"/>
            <w:tcBorders>
              <w:top w:val="none" w:color="000000" w:sz="4"/>
              <w:left w:val="none" w:color="000000" w:sz="4"/>
              <w:bottom w:val="single" w:color="000000" w:sz="4"/>
              <w:right w:val="single" w:color="000000" w:sz="4"/>
            </w:tcBorders>
            <w:vAlign w:val="top"/>
          </w:tcPr>
          <w:p>
            <w:pPr>
              <w:jc w:val="both"/>
            </w:pPr>
            <w:r>
              <w:rPr>
                <w:sz w:val="21"/>
              </w:rPr>
              <w:t>计算术前术后的平均动脉瘤血流幅度（比率值）</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22.7</w:t>
            </w:r>
          </w:p>
        </w:tc>
        <w:tc>
          <w:tcPr>
            <w:tcW w:type="dxa" w:w="7033"/>
            <w:tcBorders>
              <w:top w:val="none" w:color="000000" w:sz="4"/>
              <w:left w:val="none" w:color="000000" w:sz="4"/>
              <w:bottom w:val="single" w:color="000000" w:sz="4"/>
              <w:right w:val="single" w:color="000000" w:sz="4"/>
            </w:tcBorders>
            <w:vAlign w:val="top"/>
          </w:tcPr>
          <w:p>
            <w:pPr>
              <w:jc w:val="both"/>
            </w:pPr>
            <w:r>
              <w:rPr>
                <w:sz w:val="21"/>
              </w:rPr>
              <w:t>即刻评价瘤体内血流的减少或改变</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22.8</w:t>
            </w:r>
          </w:p>
        </w:tc>
        <w:tc>
          <w:tcPr>
            <w:tcW w:type="dxa" w:w="7033"/>
            <w:tcBorders>
              <w:top w:val="none" w:color="000000" w:sz="4"/>
              <w:left w:val="none" w:color="000000" w:sz="4"/>
              <w:bottom w:val="single" w:color="000000" w:sz="4"/>
              <w:right w:val="single" w:color="000000" w:sz="4"/>
            </w:tcBorders>
            <w:vAlign w:val="top"/>
          </w:tcPr>
          <w:p>
            <w:pPr>
              <w:jc w:val="both"/>
            </w:pPr>
            <w:r>
              <w:rPr>
                <w:sz w:val="21"/>
              </w:rPr>
              <w:t>可视化和量化血流导向装置（密网支架）植入前后的母体血管和动脉瘤中的流量变化</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w:t>
            </w:r>
            <w:r>
              <w:rPr>
                <w:b/>
                <w:sz w:val="21"/>
              </w:rPr>
              <w:t>二</w:t>
            </w:r>
            <w:r>
              <w:rPr>
                <w:b/>
                <w:sz w:val="21"/>
              </w:rPr>
              <w:t>）</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其他配套设备</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23</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悬吊式射线防护屏，一套</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2</w:t>
            </w:r>
            <w:r>
              <w:rPr>
                <w:b/>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床旁射线防护帘，一套</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2</w:t>
            </w:r>
            <w:r>
              <w:rPr>
                <w:b/>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高压注射器，一套</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2</w:t>
            </w:r>
            <w:r>
              <w:rPr>
                <w:b/>
                <w:sz w:val="21"/>
              </w:rPr>
              <w:t>6</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除颤监护仪，一套</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2</w:t>
            </w:r>
            <w:r>
              <w:rPr>
                <w:b/>
                <w:sz w:val="21"/>
              </w:rPr>
              <w:t>7</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铅衣，六套</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2</w:t>
            </w:r>
            <w:r>
              <w:rPr>
                <w:b/>
                <w:sz w:val="21"/>
              </w:rPr>
              <w:t>8</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手术灯，两套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w:t>
            </w:r>
            <w:r>
              <w:rPr>
                <w:sz w:val="21"/>
              </w:rPr>
              <w:t>8</w:t>
            </w:r>
            <w:r>
              <w:rPr>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具备荧光激发</w:t>
            </w:r>
            <w:r>
              <w:rPr>
                <w:sz w:val="21"/>
              </w:rPr>
              <w:t>LED驱动技术</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w:t>
            </w:r>
            <w:r>
              <w:rPr>
                <w:sz w:val="21"/>
              </w:rPr>
              <w:t>8</w:t>
            </w:r>
            <w:r>
              <w:rPr>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sz w:val="21"/>
              </w:rPr>
              <w:t>LED模块寿命≥60000小时</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w:t>
            </w:r>
            <w:r>
              <w:rPr>
                <w:sz w:val="21"/>
              </w:rPr>
              <w:t>8</w:t>
            </w:r>
            <w:r>
              <w:rPr>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sz w:val="21"/>
              </w:rPr>
              <w:t>母灯最大照度</w:t>
            </w:r>
            <w:r>
              <w:rPr>
                <w:sz w:val="21"/>
              </w:rPr>
              <w:t>≥160000Lux</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w:t>
            </w:r>
            <w:r>
              <w:rPr>
                <w:sz w:val="21"/>
              </w:rPr>
              <w:t>8</w:t>
            </w:r>
            <w:r>
              <w:rPr>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sz w:val="21"/>
              </w:rPr>
              <w:t>母灯灯盘直径</w:t>
            </w:r>
            <w:r>
              <w:rPr>
                <w:sz w:val="21"/>
              </w:rPr>
              <w:t>≥70cm</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w:t>
            </w:r>
            <w:r>
              <w:rPr>
                <w:sz w:val="21"/>
              </w:rPr>
              <w:t>8</w:t>
            </w:r>
            <w:r>
              <w:rPr>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sz w:val="21"/>
              </w:rPr>
              <w:t>母灯均具备照度稳定功能</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w:t>
            </w:r>
            <w:r>
              <w:rPr>
                <w:sz w:val="21"/>
              </w:rPr>
              <w:t>8</w:t>
            </w:r>
            <w:r>
              <w:rPr>
                <w:sz w:val="21"/>
              </w:rPr>
              <w:t>.6</w:t>
            </w:r>
          </w:p>
        </w:tc>
        <w:tc>
          <w:tcPr>
            <w:tcW w:type="dxa" w:w="7033"/>
            <w:tcBorders>
              <w:top w:val="none" w:color="000000" w:sz="4"/>
              <w:left w:val="none" w:color="000000" w:sz="4"/>
              <w:bottom w:val="single" w:color="000000" w:sz="4"/>
              <w:right w:val="single" w:color="000000" w:sz="4"/>
            </w:tcBorders>
            <w:vAlign w:val="top"/>
          </w:tcPr>
          <w:p>
            <w:pPr>
              <w:jc w:val="both"/>
            </w:pPr>
            <w:r>
              <w:rPr>
                <w:sz w:val="21"/>
              </w:rPr>
              <w:t>母灯均具备自动照度调节功能</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2</w:t>
            </w:r>
            <w:r>
              <w:rPr>
                <w:b/>
                <w:sz w:val="21"/>
              </w:rPr>
              <w:t>9</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显示器吊塔，一套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w:t>
            </w:r>
            <w:r>
              <w:rPr>
                <w:sz w:val="21"/>
              </w:rPr>
              <w:t>9</w:t>
            </w:r>
            <w:r>
              <w:rPr>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sz w:val="21"/>
              </w:rPr>
              <w:t>吊杆具备灵活的监视器定位</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w:t>
            </w:r>
            <w:r>
              <w:rPr>
                <w:sz w:val="21"/>
              </w:rPr>
              <w:t>9</w:t>
            </w:r>
            <w:r>
              <w:rPr>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sz w:val="21"/>
              </w:rPr>
              <w:t>总臂长</w:t>
            </w:r>
            <w:r>
              <w:rPr>
                <w:sz w:val="21"/>
              </w:rPr>
              <w:t>≥2400mm</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w:t>
            </w:r>
            <w:r>
              <w:rPr>
                <w:sz w:val="21"/>
              </w:rPr>
              <w:t>9</w:t>
            </w:r>
            <w:r>
              <w:rPr>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sz w:val="21"/>
              </w:rPr>
              <w:t>吊杆可旋转</w:t>
            </w:r>
            <w:r>
              <w:rPr>
                <w:sz w:val="21"/>
              </w:rPr>
              <w:t>≥350度</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w:t>
            </w:r>
            <w:r>
              <w:rPr>
                <w:sz w:val="21"/>
              </w:rPr>
              <w:t>9</w:t>
            </w:r>
            <w:r>
              <w:rPr>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具备高度运动机械平衡</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w:t>
            </w:r>
            <w:r>
              <w:rPr>
                <w:sz w:val="21"/>
              </w:rPr>
              <w:t>9</w:t>
            </w:r>
            <w:r>
              <w:rPr>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具备旋转点有电气刹车</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30</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机械腔镜塔，一套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30</w:t>
            </w:r>
            <w:r>
              <w:rPr>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具备双悬臂机械塔</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30</w:t>
            </w:r>
            <w:r>
              <w:rPr>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sz w:val="21"/>
              </w:rPr>
              <w:t>臂长</w:t>
            </w:r>
            <w:r>
              <w:rPr>
                <w:sz w:val="21"/>
              </w:rPr>
              <w:t>≥1500mm</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30</w:t>
            </w:r>
            <w:r>
              <w:rPr>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sz w:val="21"/>
              </w:rPr>
              <w:t>各关节旋转角度</w:t>
            </w:r>
            <w:r>
              <w:rPr>
                <w:sz w:val="21"/>
              </w:rPr>
              <w:t>≥330°</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30</w:t>
            </w:r>
            <w:r>
              <w:rPr>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sz w:val="21"/>
              </w:rPr>
              <w:t>最大承重量</w:t>
            </w:r>
            <w:r>
              <w:rPr>
                <w:sz w:val="21"/>
              </w:rPr>
              <w:t>≥350kg</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30</w:t>
            </w:r>
            <w:r>
              <w:rPr>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具备机械刹车功能</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31</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麻醉塔，一套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31</w:t>
            </w:r>
            <w:r>
              <w:rPr>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具备双悬臂机械塔</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31</w:t>
            </w:r>
            <w:r>
              <w:rPr>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sz w:val="21"/>
              </w:rPr>
              <w:t>臂长</w:t>
            </w:r>
            <w:r>
              <w:rPr>
                <w:sz w:val="21"/>
              </w:rPr>
              <w:t>≥1200mm</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31</w:t>
            </w:r>
            <w:r>
              <w:rPr>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sz w:val="21"/>
              </w:rPr>
              <w:t>各关节旋转角度</w:t>
            </w:r>
            <w:r>
              <w:rPr>
                <w:sz w:val="21"/>
              </w:rPr>
              <w:t>≥330°</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31</w:t>
            </w:r>
            <w:r>
              <w:rPr>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sz w:val="21"/>
              </w:rPr>
              <w:t>最大承重量</w:t>
            </w:r>
            <w:r>
              <w:rPr>
                <w:sz w:val="21"/>
              </w:rPr>
              <w:t>≥350kg</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31</w:t>
            </w:r>
            <w:r>
              <w:rPr>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具备机械刹车功能</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32</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外科手术床，一套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32</w:t>
            </w:r>
            <w:r>
              <w:rPr>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具备和</w:t>
            </w:r>
            <w:r>
              <w:rPr>
                <w:sz w:val="21"/>
              </w:rPr>
              <w:t>DSA联动功能</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32</w:t>
            </w:r>
            <w:r>
              <w:rPr>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具备模块化全碳纤维床面，固定模式床柱，通过转运车更换床面功能</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32</w:t>
            </w:r>
            <w:r>
              <w:rPr>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具备电动液压和电动机械两种驱动模式</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32</w:t>
            </w:r>
            <w:r>
              <w:rPr>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sz w:val="21"/>
              </w:rPr>
              <w:t>手术床最大承载重量：</w:t>
            </w:r>
            <w:r>
              <w:rPr>
                <w:sz w:val="21"/>
              </w:rPr>
              <w:t>≥350kg</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32</w:t>
            </w:r>
            <w:r>
              <w:rPr>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sz w:val="21"/>
              </w:rPr>
              <w:t>手术床长度</w:t>
            </w:r>
            <w:r>
              <w:rPr>
                <w:sz w:val="21"/>
              </w:rPr>
              <w:t>≥1800</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32</w:t>
            </w:r>
            <w:r>
              <w:rPr>
                <w:sz w:val="21"/>
              </w:rPr>
              <w:t>.6</w:t>
            </w:r>
          </w:p>
        </w:tc>
        <w:tc>
          <w:tcPr>
            <w:tcW w:type="dxa" w:w="7033"/>
            <w:tcBorders>
              <w:top w:val="none" w:color="000000" w:sz="4"/>
              <w:left w:val="none" w:color="000000" w:sz="4"/>
              <w:bottom w:val="single" w:color="000000" w:sz="4"/>
              <w:right w:val="single" w:color="000000" w:sz="4"/>
            </w:tcBorders>
            <w:vAlign w:val="top"/>
          </w:tcPr>
          <w:p>
            <w:pPr>
              <w:jc w:val="both"/>
            </w:pPr>
            <w:r>
              <w:rPr>
                <w:sz w:val="21"/>
              </w:rPr>
              <w:t>手术床宽度</w:t>
            </w:r>
            <w:r>
              <w:rPr>
                <w:sz w:val="21"/>
              </w:rPr>
              <w:t>≥500mm</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32</w:t>
            </w:r>
            <w:r>
              <w:rPr>
                <w:sz w:val="21"/>
              </w:rPr>
              <w:t>.7</w:t>
            </w:r>
          </w:p>
        </w:tc>
        <w:tc>
          <w:tcPr>
            <w:tcW w:type="dxa" w:w="7033"/>
            <w:tcBorders>
              <w:top w:val="none" w:color="000000" w:sz="4"/>
              <w:left w:val="none" w:color="000000" w:sz="4"/>
              <w:bottom w:val="single" w:color="000000" w:sz="4"/>
              <w:right w:val="single" w:color="000000" w:sz="4"/>
            </w:tcBorders>
            <w:vAlign w:val="top"/>
          </w:tcPr>
          <w:p>
            <w:pPr>
              <w:jc w:val="both"/>
            </w:pPr>
            <w:r>
              <w:rPr>
                <w:sz w:val="21"/>
              </w:rPr>
              <w:t>床面水平移动</w:t>
            </w:r>
            <w:r>
              <w:rPr>
                <w:sz w:val="21"/>
              </w:rPr>
              <w:t>≥460mm</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32</w:t>
            </w:r>
            <w:r>
              <w:rPr>
                <w:sz w:val="21"/>
              </w:rPr>
              <w:t>.8</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具备碳纤维头架适配器</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33</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磁控胶囊式内窥镜系统，一套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33.1</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设备名称：</w:t>
            </w:r>
            <w:r>
              <w:rPr>
                <w:sz w:val="21"/>
              </w:rPr>
              <w:t>磁控胶囊式内窥镜系统</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w:t>
            </w:r>
            <w:r>
              <w:rPr>
                <w:sz w:val="21"/>
              </w:rPr>
              <w:t>33.2</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功能要求：</w:t>
            </w:r>
            <w:r>
              <w:rPr>
                <w:sz w:val="21"/>
              </w:rPr>
              <w:t>能够实现胃和小肠胶囊式内窥镜检查，完成检查和出具报告</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33.3</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胶囊式内窥镜耗材要求：</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3.1</w:t>
            </w:r>
          </w:p>
        </w:tc>
        <w:tc>
          <w:tcPr>
            <w:tcW w:type="dxa" w:w="7033"/>
            <w:tcBorders>
              <w:top w:val="none" w:color="000000" w:sz="4"/>
              <w:left w:val="none" w:color="000000" w:sz="4"/>
              <w:bottom w:val="single" w:color="000000" w:sz="4"/>
              <w:right w:val="single" w:color="000000" w:sz="4"/>
            </w:tcBorders>
            <w:vAlign w:val="top"/>
          </w:tcPr>
          <w:p>
            <w:pPr>
              <w:jc w:val="both"/>
            </w:pPr>
            <w:r>
              <w:rPr>
                <w:sz w:val="21"/>
              </w:rPr>
              <w:t>材质</w:t>
            </w:r>
            <w:r>
              <w:rPr>
                <w:sz w:val="21"/>
              </w:rPr>
              <w:t>：</w:t>
            </w:r>
            <w:r>
              <w:rPr>
                <w:sz w:val="21"/>
              </w:rPr>
              <w:t>符合生物相容性的</w:t>
            </w:r>
            <w:r>
              <w:rPr>
                <w:sz w:val="21"/>
              </w:rPr>
              <w:t>PC材料或医用高分子材料</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3.2</w:t>
            </w:r>
          </w:p>
        </w:tc>
        <w:tc>
          <w:tcPr>
            <w:tcW w:type="dxa" w:w="7033"/>
            <w:tcBorders>
              <w:top w:val="none" w:color="000000" w:sz="4"/>
              <w:left w:val="none" w:color="000000" w:sz="4"/>
              <w:bottom w:val="single" w:color="000000" w:sz="4"/>
              <w:right w:val="single" w:color="000000" w:sz="4"/>
            </w:tcBorders>
            <w:vAlign w:val="top"/>
          </w:tcPr>
          <w:p>
            <w:pPr>
              <w:jc w:val="both"/>
            </w:pPr>
            <w:r>
              <w:rPr>
                <w:sz w:val="21"/>
              </w:rPr>
              <w:t>照明</w:t>
            </w:r>
            <w:r>
              <w:rPr>
                <w:sz w:val="21"/>
              </w:rPr>
              <w:t>：</w:t>
            </w:r>
            <w:r>
              <w:rPr>
                <w:sz w:val="21"/>
              </w:rPr>
              <w:t>≥4个超高亮度发光二极管</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3.3</w:t>
            </w:r>
          </w:p>
        </w:tc>
        <w:tc>
          <w:tcPr>
            <w:tcW w:type="dxa" w:w="7033"/>
            <w:tcBorders>
              <w:top w:val="none" w:color="000000" w:sz="4"/>
              <w:left w:val="none" w:color="000000" w:sz="4"/>
              <w:bottom w:val="single" w:color="000000" w:sz="4"/>
              <w:right w:val="single" w:color="000000" w:sz="4"/>
            </w:tcBorders>
            <w:vAlign w:val="top"/>
          </w:tcPr>
          <w:p>
            <w:pPr>
              <w:jc w:val="both"/>
            </w:pPr>
            <w:r>
              <w:rPr>
                <w:sz w:val="21"/>
              </w:rPr>
              <w:t>摄像头数量</w:t>
            </w:r>
            <w:r>
              <w:rPr>
                <w:sz w:val="21"/>
              </w:rPr>
              <w:t>：</w:t>
            </w:r>
            <w:r>
              <w:rPr>
                <w:sz w:val="21"/>
              </w:rPr>
              <w:t>≥1个</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3.4</w:t>
            </w:r>
          </w:p>
        </w:tc>
        <w:tc>
          <w:tcPr>
            <w:tcW w:type="dxa" w:w="7033"/>
            <w:tcBorders>
              <w:top w:val="none" w:color="000000" w:sz="4"/>
              <w:left w:val="none" w:color="000000" w:sz="4"/>
              <w:bottom w:val="single" w:color="000000" w:sz="4"/>
              <w:right w:val="single" w:color="000000" w:sz="4"/>
            </w:tcBorders>
            <w:vAlign w:val="top"/>
          </w:tcPr>
          <w:p>
            <w:pPr>
              <w:jc w:val="both"/>
            </w:pPr>
            <w:r>
              <w:rPr>
                <w:sz w:val="21"/>
              </w:rPr>
              <w:t>直径</w:t>
            </w:r>
            <w:r>
              <w:rPr>
                <w:sz w:val="21"/>
              </w:rPr>
              <w:t>：</w:t>
            </w:r>
            <w:r>
              <w:rPr>
                <w:sz w:val="21"/>
              </w:rPr>
              <w:t>≤12mm</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3.5</w:t>
            </w:r>
          </w:p>
        </w:tc>
        <w:tc>
          <w:tcPr>
            <w:tcW w:type="dxa" w:w="7033"/>
            <w:tcBorders>
              <w:top w:val="none" w:color="000000" w:sz="4"/>
              <w:left w:val="none" w:color="000000" w:sz="4"/>
              <w:bottom w:val="single" w:color="000000" w:sz="4"/>
              <w:right w:val="single" w:color="000000" w:sz="4"/>
            </w:tcBorders>
            <w:vAlign w:val="top"/>
          </w:tcPr>
          <w:p>
            <w:pPr>
              <w:jc w:val="both"/>
            </w:pPr>
            <w:r>
              <w:rPr>
                <w:sz w:val="21"/>
              </w:rPr>
              <w:t>长度</w:t>
            </w:r>
            <w:r>
              <w:rPr>
                <w:sz w:val="21"/>
              </w:rPr>
              <w:t>：</w:t>
            </w:r>
            <w:r>
              <w:rPr>
                <w:sz w:val="21"/>
              </w:rPr>
              <w:t>≤31mm</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3.6</w:t>
            </w:r>
          </w:p>
        </w:tc>
        <w:tc>
          <w:tcPr>
            <w:tcW w:type="dxa" w:w="7033"/>
            <w:tcBorders>
              <w:top w:val="none" w:color="000000" w:sz="4"/>
              <w:left w:val="none" w:color="000000" w:sz="4"/>
              <w:bottom w:val="single" w:color="000000" w:sz="4"/>
              <w:right w:val="single" w:color="000000" w:sz="4"/>
            </w:tcBorders>
            <w:vAlign w:val="top"/>
          </w:tcPr>
          <w:p>
            <w:pPr>
              <w:jc w:val="both"/>
            </w:pPr>
            <w:r>
              <w:rPr>
                <w:sz w:val="21"/>
              </w:rPr>
              <w:t>质量</w:t>
            </w:r>
            <w:r>
              <w:rPr>
                <w:sz w:val="21"/>
              </w:rPr>
              <w:t>：</w:t>
            </w:r>
            <w:r>
              <w:rPr>
                <w:sz w:val="21"/>
              </w:rPr>
              <w:t>≤6g</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3.7</w:t>
            </w:r>
          </w:p>
        </w:tc>
        <w:tc>
          <w:tcPr>
            <w:tcW w:type="dxa" w:w="7033"/>
            <w:tcBorders>
              <w:top w:val="none" w:color="000000" w:sz="4"/>
              <w:left w:val="none" w:color="000000" w:sz="4"/>
              <w:bottom w:val="single" w:color="000000" w:sz="4"/>
              <w:right w:val="single" w:color="000000" w:sz="4"/>
            </w:tcBorders>
            <w:vAlign w:val="top"/>
          </w:tcPr>
          <w:p>
            <w:pPr>
              <w:jc w:val="both"/>
            </w:pPr>
            <w:r>
              <w:rPr>
                <w:sz w:val="21"/>
              </w:rPr>
              <w:t>视场角</w:t>
            </w:r>
            <w:r>
              <w:rPr>
                <w:sz w:val="21"/>
              </w:rPr>
              <w:t>：</w:t>
            </w:r>
            <w:r>
              <w:rPr>
                <w:sz w:val="21"/>
              </w:rPr>
              <w:t>≥160°</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3.8</w:t>
            </w:r>
          </w:p>
        </w:tc>
        <w:tc>
          <w:tcPr>
            <w:tcW w:type="dxa" w:w="7033"/>
            <w:tcBorders>
              <w:top w:val="none" w:color="000000" w:sz="4"/>
              <w:left w:val="none" w:color="000000" w:sz="4"/>
              <w:bottom w:val="single" w:color="000000" w:sz="4"/>
              <w:right w:val="single" w:color="000000" w:sz="4"/>
            </w:tcBorders>
            <w:vAlign w:val="top"/>
          </w:tcPr>
          <w:p>
            <w:pPr>
              <w:jc w:val="both"/>
            </w:pPr>
            <w:r>
              <w:rPr>
                <w:sz w:val="21"/>
              </w:rPr>
              <w:t>景深</w:t>
            </w:r>
            <w:r>
              <w:rPr>
                <w:sz w:val="21"/>
              </w:rPr>
              <w:t>：</w:t>
            </w:r>
            <w:r>
              <w:rPr>
                <w:sz w:val="21"/>
              </w:rPr>
              <w:t>≥35mm</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3.9</w:t>
            </w:r>
          </w:p>
        </w:tc>
        <w:tc>
          <w:tcPr>
            <w:tcW w:type="dxa" w:w="7033"/>
            <w:tcBorders>
              <w:top w:val="none" w:color="000000" w:sz="4"/>
              <w:left w:val="none" w:color="000000" w:sz="4"/>
              <w:bottom w:val="single" w:color="000000" w:sz="4"/>
              <w:right w:val="single" w:color="000000" w:sz="4"/>
            </w:tcBorders>
            <w:vAlign w:val="top"/>
          </w:tcPr>
          <w:p>
            <w:pPr>
              <w:jc w:val="both"/>
            </w:pPr>
            <w:r>
              <w:rPr>
                <w:sz w:val="21"/>
              </w:rPr>
              <w:t>分辨力</w:t>
            </w:r>
            <w:r>
              <w:rPr>
                <w:sz w:val="21"/>
              </w:rPr>
              <w:t>：</w:t>
            </w:r>
            <w:r>
              <w:rPr>
                <w:sz w:val="21"/>
              </w:rPr>
              <w:t>≥8lp/mm</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3.10</w:t>
            </w:r>
          </w:p>
        </w:tc>
        <w:tc>
          <w:tcPr>
            <w:tcW w:type="dxa" w:w="7033"/>
            <w:tcBorders>
              <w:top w:val="none" w:color="000000" w:sz="4"/>
              <w:left w:val="none" w:color="000000" w:sz="4"/>
              <w:bottom w:val="single" w:color="000000" w:sz="4"/>
              <w:right w:val="single" w:color="000000" w:sz="4"/>
            </w:tcBorders>
            <w:vAlign w:val="top"/>
          </w:tcPr>
          <w:p>
            <w:pPr>
              <w:jc w:val="both"/>
            </w:pPr>
            <w:r>
              <w:rPr>
                <w:sz w:val="21"/>
              </w:rPr>
              <w:t>分辨率</w:t>
            </w:r>
            <w:r>
              <w:rPr>
                <w:sz w:val="21"/>
              </w:rPr>
              <w:t>：</w:t>
            </w:r>
            <w:r>
              <w:rPr>
                <w:sz w:val="21"/>
              </w:rPr>
              <w:t>≥512×512</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3.11</w:t>
            </w:r>
          </w:p>
        </w:tc>
        <w:tc>
          <w:tcPr>
            <w:tcW w:type="dxa" w:w="7033"/>
            <w:tcBorders>
              <w:top w:val="none" w:color="000000" w:sz="4"/>
              <w:left w:val="none" w:color="000000" w:sz="4"/>
              <w:bottom w:val="single" w:color="000000" w:sz="4"/>
              <w:right w:val="single" w:color="000000" w:sz="4"/>
            </w:tcBorders>
            <w:vAlign w:val="top"/>
          </w:tcPr>
          <w:p>
            <w:pPr>
              <w:jc w:val="both"/>
            </w:pPr>
            <w:r>
              <w:rPr>
                <w:sz w:val="21"/>
              </w:rPr>
              <w:t>拍照速率</w:t>
            </w:r>
            <w:r>
              <w:rPr>
                <w:sz w:val="21"/>
              </w:rPr>
              <w:t>：</w:t>
            </w:r>
            <w:r>
              <w:rPr>
                <w:sz w:val="21"/>
              </w:rPr>
              <w:t>≥5fps</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3.12</w:t>
            </w:r>
          </w:p>
        </w:tc>
        <w:tc>
          <w:tcPr>
            <w:tcW w:type="dxa" w:w="7033"/>
            <w:tcBorders>
              <w:top w:val="none" w:color="000000" w:sz="4"/>
              <w:left w:val="none" w:color="000000" w:sz="4"/>
              <w:bottom w:val="single" w:color="000000" w:sz="4"/>
              <w:right w:val="single" w:color="000000" w:sz="4"/>
            </w:tcBorders>
            <w:vAlign w:val="top"/>
          </w:tcPr>
          <w:p>
            <w:pPr>
              <w:jc w:val="both"/>
            </w:pPr>
            <w:r>
              <w:rPr>
                <w:sz w:val="21"/>
              </w:rPr>
              <w:t>胶囊磁场强度</w:t>
            </w:r>
            <w:r>
              <w:rPr>
                <w:sz w:val="21"/>
              </w:rPr>
              <w:t>：</w:t>
            </w:r>
            <w:r>
              <w:rPr>
                <w:sz w:val="21"/>
              </w:rPr>
              <w:t>≤30mT</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w:t>
            </w:r>
            <w:r>
              <w:rPr>
                <w:sz w:val="21"/>
              </w:rPr>
              <w:t>33.</w:t>
            </w:r>
            <w:r>
              <w:rPr>
                <w:sz w:val="21"/>
              </w:rPr>
              <w:t>3.14</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w:t>
            </w:r>
            <w:r>
              <w:rPr>
                <w:sz w:val="21"/>
              </w:rPr>
              <w:t>磁场强度测量功能</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3.15</w:t>
            </w:r>
          </w:p>
        </w:tc>
        <w:tc>
          <w:tcPr>
            <w:tcW w:type="dxa" w:w="7033"/>
            <w:tcBorders>
              <w:top w:val="none" w:color="000000" w:sz="4"/>
              <w:left w:val="none" w:color="000000" w:sz="4"/>
              <w:bottom w:val="single" w:color="000000" w:sz="4"/>
              <w:right w:val="single" w:color="000000" w:sz="4"/>
            </w:tcBorders>
            <w:vAlign w:val="top"/>
          </w:tcPr>
          <w:p>
            <w:pPr>
              <w:jc w:val="both"/>
            </w:pPr>
            <w:r>
              <w:rPr>
                <w:sz w:val="21"/>
              </w:rPr>
              <w:t>电池类型</w:t>
            </w:r>
            <w:r>
              <w:rPr>
                <w:sz w:val="21"/>
              </w:rPr>
              <w:t>：</w:t>
            </w:r>
            <w:r>
              <w:rPr>
                <w:sz w:val="21"/>
              </w:rPr>
              <w:t>锂二氧化锰电池</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3.16</w:t>
            </w:r>
          </w:p>
        </w:tc>
        <w:tc>
          <w:tcPr>
            <w:tcW w:type="dxa" w:w="7033"/>
            <w:tcBorders>
              <w:top w:val="none" w:color="000000" w:sz="4"/>
              <w:left w:val="none" w:color="000000" w:sz="4"/>
              <w:bottom w:val="single" w:color="000000" w:sz="4"/>
              <w:right w:val="single" w:color="000000" w:sz="4"/>
            </w:tcBorders>
            <w:vAlign w:val="top"/>
          </w:tcPr>
          <w:p>
            <w:pPr>
              <w:jc w:val="both"/>
            </w:pPr>
            <w:r>
              <w:rPr>
                <w:sz w:val="21"/>
              </w:rPr>
              <w:t>工作时间</w:t>
            </w:r>
            <w:r>
              <w:rPr>
                <w:sz w:val="21"/>
              </w:rPr>
              <w:t>：</w:t>
            </w:r>
            <w:r>
              <w:rPr>
                <w:sz w:val="21"/>
              </w:rPr>
              <w:t>≥11小时</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3.17</w:t>
            </w:r>
          </w:p>
        </w:tc>
        <w:tc>
          <w:tcPr>
            <w:tcW w:type="dxa" w:w="7033"/>
            <w:tcBorders>
              <w:top w:val="none" w:color="000000" w:sz="4"/>
              <w:left w:val="none" w:color="000000" w:sz="4"/>
              <w:bottom w:val="single" w:color="000000" w:sz="4"/>
              <w:right w:val="single" w:color="000000" w:sz="4"/>
            </w:tcBorders>
            <w:vAlign w:val="top"/>
          </w:tcPr>
          <w:p>
            <w:pPr>
              <w:jc w:val="both"/>
            </w:pPr>
            <w:r>
              <w:rPr>
                <w:sz w:val="21"/>
              </w:rPr>
              <w:t>电池电压</w:t>
            </w:r>
            <w:r>
              <w:rPr>
                <w:sz w:val="21"/>
              </w:rPr>
              <w:t>：</w:t>
            </w:r>
            <w:r>
              <w:rPr>
                <w:sz w:val="21"/>
              </w:rPr>
              <w:t>≥3Vd.c</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3.18</w:t>
            </w:r>
          </w:p>
        </w:tc>
        <w:tc>
          <w:tcPr>
            <w:tcW w:type="dxa" w:w="7033"/>
            <w:tcBorders>
              <w:top w:val="none" w:color="000000" w:sz="4"/>
              <w:left w:val="none" w:color="000000" w:sz="4"/>
              <w:bottom w:val="single" w:color="000000" w:sz="4"/>
              <w:right w:val="single" w:color="000000" w:sz="4"/>
            </w:tcBorders>
            <w:vAlign w:val="top"/>
          </w:tcPr>
          <w:p>
            <w:pPr>
              <w:jc w:val="both"/>
            </w:pPr>
            <w:r>
              <w:rPr>
                <w:sz w:val="21"/>
              </w:rPr>
              <w:t>密封性</w:t>
            </w:r>
            <w:r>
              <w:rPr>
                <w:sz w:val="21"/>
              </w:rPr>
              <w:t>：</w:t>
            </w:r>
            <w:r>
              <w:rPr>
                <w:sz w:val="21"/>
              </w:rPr>
              <w:t>≥IPX8</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33.</w:t>
            </w:r>
            <w:r>
              <w:rPr>
                <w:b/>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图像记录仪要求：</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33.4.1</w:t>
            </w:r>
          </w:p>
        </w:tc>
        <w:tc>
          <w:tcPr>
            <w:tcW w:type="dxa" w:w="7033"/>
            <w:tcBorders>
              <w:top w:val="none" w:color="000000" w:sz="4"/>
              <w:left w:val="none" w:color="000000" w:sz="4"/>
              <w:bottom w:val="single" w:color="000000" w:sz="4"/>
              <w:right w:val="single" w:color="000000" w:sz="4"/>
            </w:tcBorders>
            <w:vAlign w:val="top"/>
          </w:tcPr>
          <w:p>
            <w:pPr>
              <w:jc w:val="both"/>
            </w:pPr>
            <w:r>
              <w:rPr>
                <w:sz w:val="21"/>
              </w:rPr>
              <w:t>工作时间</w:t>
            </w:r>
            <w:r>
              <w:rPr>
                <w:sz w:val="21"/>
              </w:rPr>
              <w:t>：</w:t>
            </w:r>
            <w:r>
              <w:rPr>
                <w:sz w:val="21"/>
              </w:rPr>
              <w:t>≥14小时</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4.2</w:t>
            </w:r>
          </w:p>
        </w:tc>
        <w:tc>
          <w:tcPr>
            <w:tcW w:type="dxa" w:w="7033"/>
            <w:tcBorders>
              <w:top w:val="none" w:color="000000" w:sz="4"/>
              <w:left w:val="none" w:color="000000" w:sz="4"/>
              <w:bottom w:val="single" w:color="000000" w:sz="4"/>
              <w:right w:val="single" w:color="000000" w:sz="4"/>
            </w:tcBorders>
            <w:vAlign w:val="top"/>
          </w:tcPr>
          <w:p>
            <w:pPr>
              <w:jc w:val="both"/>
            </w:pPr>
            <w:r>
              <w:rPr>
                <w:sz w:val="21"/>
              </w:rPr>
              <w:t>至少具备一种实时显示功能，方便实时查看胶囊图片</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4.3</w:t>
            </w:r>
          </w:p>
        </w:tc>
        <w:tc>
          <w:tcPr>
            <w:tcW w:type="dxa" w:w="7033"/>
            <w:tcBorders>
              <w:top w:val="none" w:color="000000" w:sz="4"/>
              <w:left w:val="none" w:color="000000" w:sz="4"/>
              <w:bottom w:val="single" w:color="000000" w:sz="4"/>
              <w:right w:val="single" w:color="000000" w:sz="4"/>
            </w:tcBorders>
            <w:vAlign w:val="top"/>
          </w:tcPr>
          <w:p>
            <w:pPr>
              <w:jc w:val="both"/>
            </w:pPr>
            <w:r>
              <w:rPr>
                <w:sz w:val="21"/>
              </w:rPr>
              <w:t>存储容量</w:t>
            </w:r>
            <w:r>
              <w:rPr>
                <w:sz w:val="21"/>
              </w:rPr>
              <w:t>：</w:t>
            </w:r>
            <w:r>
              <w:rPr>
                <w:sz w:val="21"/>
              </w:rPr>
              <w:t>≥16GB</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4.4</w:t>
            </w:r>
          </w:p>
        </w:tc>
        <w:tc>
          <w:tcPr>
            <w:tcW w:type="dxa" w:w="7033"/>
            <w:tcBorders>
              <w:top w:val="none" w:color="000000" w:sz="4"/>
              <w:left w:val="none" w:color="000000" w:sz="4"/>
              <w:bottom w:val="single" w:color="000000" w:sz="4"/>
              <w:right w:val="single" w:color="000000" w:sz="4"/>
            </w:tcBorders>
            <w:vAlign w:val="top"/>
          </w:tcPr>
          <w:p>
            <w:pPr>
              <w:jc w:val="both"/>
            </w:pPr>
            <w:r>
              <w:rPr>
                <w:sz w:val="21"/>
              </w:rPr>
              <w:t>电池容量</w:t>
            </w:r>
            <w:r>
              <w:rPr>
                <w:sz w:val="21"/>
              </w:rPr>
              <w:t>：</w:t>
            </w:r>
            <w:r>
              <w:rPr>
                <w:sz w:val="21"/>
              </w:rPr>
              <w:t>≥9000mAh</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4.5</w:t>
            </w:r>
          </w:p>
        </w:tc>
        <w:tc>
          <w:tcPr>
            <w:tcW w:type="dxa" w:w="7033"/>
            <w:tcBorders>
              <w:top w:val="none" w:color="000000" w:sz="4"/>
              <w:left w:val="none" w:color="000000" w:sz="4"/>
              <w:bottom w:val="single" w:color="000000" w:sz="4"/>
              <w:right w:val="single" w:color="000000" w:sz="4"/>
            </w:tcBorders>
            <w:vAlign w:val="top"/>
          </w:tcPr>
          <w:p>
            <w:pPr>
              <w:jc w:val="both"/>
            </w:pPr>
            <w:r>
              <w:rPr>
                <w:sz w:val="21"/>
              </w:rPr>
              <w:t>电源：内置锂充电电池</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4.6</w:t>
            </w:r>
          </w:p>
        </w:tc>
        <w:tc>
          <w:tcPr>
            <w:tcW w:type="dxa" w:w="7033"/>
            <w:tcBorders>
              <w:top w:val="none" w:color="000000" w:sz="4"/>
              <w:left w:val="none" w:color="000000" w:sz="4"/>
              <w:bottom w:val="single" w:color="000000" w:sz="4"/>
              <w:right w:val="single" w:color="000000" w:sz="4"/>
            </w:tcBorders>
            <w:vAlign w:val="top"/>
          </w:tcPr>
          <w:p>
            <w:pPr>
              <w:jc w:val="both"/>
            </w:pPr>
            <w:r>
              <w:rPr>
                <w:sz w:val="21"/>
              </w:rPr>
              <w:t>数据接口需要有</w:t>
            </w:r>
            <w:r>
              <w:rPr>
                <w:sz w:val="21"/>
              </w:rPr>
              <w:t>USB接口</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w:t>
            </w:r>
            <w:r>
              <w:rPr>
                <w:sz w:val="21"/>
              </w:rPr>
              <w:t>33.</w:t>
            </w:r>
            <w:r>
              <w:rPr>
                <w:sz w:val="21"/>
              </w:rPr>
              <w:t>4.7</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w:t>
            </w:r>
            <w:r>
              <w:rPr>
                <w:sz w:val="21"/>
              </w:rPr>
              <w:t>数据防误删除功能</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33.5</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胶囊式内窥镜控制器要求</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5.1</w:t>
            </w:r>
          </w:p>
        </w:tc>
        <w:tc>
          <w:tcPr>
            <w:tcW w:type="dxa" w:w="7033"/>
            <w:tcBorders>
              <w:top w:val="none" w:color="000000" w:sz="4"/>
              <w:left w:val="none" w:color="000000" w:sz="4"/>
              <w:bottom w:val="single" w:color="000000" w:sz="4"/>
              <w:right w:val="single" w:color="000000" w:sz="4"/>
            </w:tcBorders>
            <w:vAlign w:val="top"/>
          </w:tcPr>
          <w:p>
            <w:pPr>
              <w:jc w:val="both"/>
            </w:pPr>
            <w:r>
              <w:rPr>
                <w:sz w:val="21"/>
              </w:rPr>
              <w:t>磁场强度</w:t>
            </w:r>
            <w:r>
              <w:rPr>
                <w:sz w:val="21"/>
              </w:rPr>
              <w:t>：</w:t>
            </w:r>
            <w:r>
              <w:rPr>
                <w:sz w:val="21"/>
              </w:rPr>
              <w:t>≤400mT</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5.2</w:t>
            </w:r>
          </w:p>
        </w:tc>
        <w:tc>
          <w:tcPr>
            <w:tcW w:type="dxa" w:w="7033"/>
            <w:tcBorders>
              <w:top w:val="none" w:color="000000" w:sz="4"/>
              <w:left w:val="none" w:color="000000" w:sz="4"/>
              <w:bottom w:val="single" w:color="000000" w:sz="4"/>
              <w:right w:val="single" w:color="000000" w:sz="4"/>
            </w:tcBorders>
            <w:vAlign w:val="top"/>
          </w:tcPr>
          <w:p>
            <w:pPr>
              <w:jc w:val="both"/>
            </w:pPr>
            <w:r>
              <w:rPr>
                <w:sz w:val="21"/>
              </w:rPr>
              <w:t>控制器对在体外时的胶囊的控制距离：</w:t>
            </w:r>
            <w:r>
              <w:rPr>
                <w:sz w:val="21"/>
              </w:rPr>
              <w:t>0mm～350mm</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5.3</w:t>
            </w:r>
          </w:p>
        </w:tc>
        <w:tc>
          <w:tcPr>
            <w:tcW w:type="dxa" w:w="7033"/>
            <w:tcBorders>
              <w:top w:val="none" w:color="000000" w:sz="4"/>
              <w:left w:val="none" w:color="000000" w:sz="4"/>
              <w:bottom w:val="single" w:color="000000" w:sz="4"/>
              <w:right w:val="single" w:color="000000" w:sz="4"/>
            </w:tcBorders>
            <w:vAlign w:val="top"/>
          </w:tcPr>
          <w:p>
            <w:pPr>
              <w:jc w:val="both"/>
            </w:pPr>
            <w:r>
              <w:rPr>
                <w:sz w:val="21"/>
              </w:rPr>
              <w:t>磁体数量</w:t>
            </w:r>
            <w:r>
              <w:rPr>
                <w:sz w:val="21"/>
              </w:rPr>
              <w:t>：</w:t>
            </w:r>
            <w:r>
              <w:rPr>
                <w:sz w:val="21"/>
              </w:rPr>
              <w:t>≥2个</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5.4</w:t>
            </w:r>
          </w:p>
        </w:tc>
        <w:tc>
          <w:tcPr>
            <w:tcW w:type="dxa" w:w="7033"/>
            <w:tcBorders>
              <w:top w:val="none" w:color="000000" w:sz="4"/>
              <w:left w:val="none" w:color="000000" w:sz="4"/>
              <w:bottom w:val="single" w:color="000000" w:sz="4"/>
              <w:right w:val="single" w:color="000000" w:sz="4"/>
            </w:tcBorders>
            <w:vAlign w:val="top"/>
          </w:tcPr>
          <w:p>
            <w:pPr>
              <w:jc w:val="both"/>
            </w:pPr>
            <w:r>
              <w:rPr>
                <w:sz w:val="21"/>
              </w:rPr>
              <w:t>控制方式：能实施手动检查</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33.6</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软件要求</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6.1</w:t>
            </w:r>
          </w:p>
        </w:tc>
        <w:tc>
          <w:tcPr>
            <w:tcW w:type="dxa" w:w="7033"/>
            <w:tcBorders>
              <w:top w:val="none" w:color="000000" w:sz="4"/>
              <w:left w:val="none" w:color="000000" w:sz="4"/>
              <w:bottom w:val="single" w:color="000000" w:sz="4"/>
              <w:right w:val="single" w:color="000000" w:sz="4"/>
            </w:tcBorders>
            <w:vAlign w:val="top"/>
          </w:tcPr>
          <w:p>
            <w:pPr>
              <w:jc w:val="both"/>
            </w:pPr>
            <w:r>
              <w:rPr>
                <w:sz w:val="21"/>
              </w:rPr>
              <w:t>软件语言：简体中文，英文</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6.2</w:t>
            </w:r>
          </w:p>
        </w:tc>
        <w:tc>
          <w:tcPr>
            <w:tcW w:type="dxa" w:w="7033"/>
            <w:tcBorders>
              <w:top w:val="none" w:color="000000" w:sz="4"/>
              <w:left w:val="none" w:color="000000" w:sz="4"/>
              <w:bottom w:val="single" w:color="000000" w:sz="4"/>
              <w:right w:val="single" w:color="000000" w:sz="4"/>
            </w:tcBorders>
            <w:vAlign w:val="top"/>
          </w:tcPr>
          <w:p>
            <w:pPr>
              <w:jc w:val="both"/>
            </w:pPr>
            <w:r>
              <w:rPr>
                <w:sz w:val="21"/>
              </w:rPr>
              <w:t>控制功能：复位、停止、移至工作区、胶囊旋转、胶囊斜向、自动</w:t>
            </w:r>
            <w:r>
              <w:rPr>
                <w:sz w:val="21"/>
              </w:rPr>
              <w:t>/手动切换、胶囊镜头方向控制、寻找胶囊、截图</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w:t>
            </w:r>
            <w:r>
              <w:rPr>
                <w:sz w:val="21"/>
              </w:rPr>
              <w:t>33.</w:t>
            </w:r>
            <w:r>
              <w:rPr>
                <w:sz w:val="21"/>
              </w:rPr>
              <w:t>6.3</w:t>
            </w:r>
          </w:p>
        </w:tc>
        <w:tc>
          <w:tcPr>
            <w:tcW w:type="dxa" w:w="7033"/>
            <w:tcBorders>
              <w:top w:val="none" w:color="000000" w:sz="4"/>
              <w:left w:val="none" w:color="000000" w:sz="4"/>
              <w:bottom w:val="single" w:color="000000" w:sz="4"/>
              <w:right w:val="single" w:color="000000" w:sz="4"/>
            </w:tcBorders>
            <w:vAlign w:val="top"/>
          </w:tcPr>
          <w:p>
            <w:pPr>
              <w:jc w:val="both"/>
            </w:pPr>
            <w:r>
              <w:rPr>
                <w:sz w:val="21"/>
              </w:rPr>
              <w:t>安全功能：自动抬起、限位、紧急制动</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6.4</w:t>
            </w:r>
          </w:p>
        </w:tc>
        <w:tc>
          <w:tcPr>
            <w:tcW w:type="dxa" w:w="7033"/>
            <w:tcBorders>
              <w:top w:val="none" w:color="000000" w:sz="4"/>
              <w:left w:val="none" w:color="000000" w:sz="4"/>
              <w:bottom w:val="single" w:color="000000" w:sz="4"/>
              <w:right w:val="single" w:color="000000" w:sz="4"/>
            </w:tcBorders>
            <w:vAlign w:val="top"/>
          </w:tcPr>
          <w:p>
            <w:pPr>
              <w:jc w:val="both"/>
            </w:pPr>
            <w:r>
              <w:rPr>
                <w:sz w:val="21"/>
              </w:rPr>
              <w:t>运动限制：控制磁体行程范围限制，防止磁体运动过远对胃部控制无效</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6.5</w:t>
            </w:r>
          </w:p>
        </w:tc>
        <w:tc>
          <w:tcPr>
            <w:tcW w:type="dxa" w:w="7033"/>
            <w:tcBorders>
              <w:top w:val="none" w:color="000000" w:sz="4"/>
              <w:left w:val="none" w:color="000000" w:sz="4"/>
              <w:bottom w:val="single" w:color="000000" w:sz="4"/>
              <w:right w:val="single" w:color="000000" w:sz="4"/>
            </w:tcBorders>
            <w:vAlign w:val="top"/>
          </w:tcPr>
          <w:p>
            <w:pPr>
              <w:jc w:val="both"/>
            </w:pPr>
            <w:r>
              <w:rPr>
                <w:sz w:val="21"/>
              </w:rPr>
              <w:t>实时查看：可实时查看胶囊拍摄图像，显示胶囊的姿态；可显示当前控制状态；可显示自动检查时间</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6.6</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具有能够输出图片或视频的功能</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6.7</w:t>
            </w:r>
          </w:p>
        </w:tc>
        <w:tc>
          <w:tcPr>
            <w:tcW w:type="dxa" w:w="7033"/>
            <w:tcBorders>
              <w:top w:val="none" w:color="000000" w:sz="4"/>
              <w:left w:val="none" w:color="000000" w:sz="4"/>
              <w:bottom w:val="single" w:color="000000" w:sz="4"/>
              <w:right w:val="single" w:color="000000" w:sz="4"/>
            </w:tcBorders>
            <w:vAlign w:val="top"/>
          </w:tcPr>
          <w:p>
            <w:pPr>
              <w:jc w:val="both"/>
            </w:pPr>
            <w:r>
              <w:rPr>
                <w:sz w:val="21"/>
              </w:rPr>
              <w:t>能够调整阅片播放的速率</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6.8</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具有单幅和多幅图片播放功能</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6.9</w:t>
            </w:r>
          </w:p>
        </w:tc>
        <w:tc>
          <w:tcPr>
            <w:tcW w:type="dxa" w:w="7033"/>
            <w:tcBorders>
              <w:top w:val="none" w:color="000000" w:sz="4"/>
              <w:left w:val="none" w:color="000000" w:sz="4"/>
              <w:bottom w:val="single" w:color="000000" w:sz="4"/>
              <w:right w:val="single" w:color="000000" w:sz="4"/>
            </w:tcBorders>
            <w:vAlign w:val="top"/>
          </w:tcPr>
          <w:p>
            <w:pPr>
              <w:jc w:val="both"/>
            </w:pPr>
            <w:r>
              <w:rPr>
                <w:sz w:val="21"/>
              </w:rPr>
              <w:t>可录入患者信息，对图像记录仪进行设置和校正</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6.10</w:t>
            </w:r>
          </w:p>
        </w:tc>
        <w:tc>
          <w:tcPr>
            <w:tcW w:type="dxa" w:w="7033"/>
            <w:tcBorders>
              <w:top w:val="none" w:color="000000" w:sz="4"/>
              <w:left w:val="none" w:color="000000" w:sz="4"/>
              <w:bottom w:val="single" w:color="000000" w:sz="4"/>
              <w:right w:val="single" w:color="000000" w:sz="4"/>
            </w:tcBorders>
            <w:vAlign w:val="top"/>
          </w:tcPr>
          <w:p>
            <w:pPr>
              <w:jc w:val="both"/>
            </w:pPr>
            <w:r>
              <w:rPr>
                <w:sz w:val="21"/>
              </w:rPr>
              <w:t>检查过程中可对智能胶囊进行实时观察，控制胶囊的工作状态</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6.11</w:t>
            </w:r>
          </w:p>
        </w:tc>
        <w:tc>
          <w:tcPr>
            <w:tcW w:type="dxa" w:w="7033"/>
            <w:tcBorders>
              <w:top w:val="none" w:color="000000" w:sz="4"/>
              <w:left w:val="none" w:color="000000" w:sz="4"/>
              <w:bottom w:val="single" w:color="000000" w:sz="4"/>
              <w:right w:val="single" w:color="000000" w:sz="4"/>
            </w:tcBorders>
            <w:vAlign w:val="top"/>
          </w:tcPr>
          <w:p>
            <w:pPr>
              <w:jc w:val="both"/>
            </w:pPr>
            <w:r>
              <w:rPr>
                <w:sz w:val="21"/>
              </w:rPr>
              <w:t>图像数据处理快捷，具备重复图像自动筛除功能，减少图像下载时间，提升阅片效率</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6.12</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具有图像处理技术，可对胶囊拍摄的图片进行图像处理</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6.13</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具有休眠胶囊的功能。可在不使用胶囊时，将胶囊设置为休眠状态，避免耗电</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6.14</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w:t>
            </w:r>
            <w:r>
              <w:rPr>
                <w:sz w:val="21"/>
              </w:rPr>
              <w:t>LEWIS评分功能</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6.15</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具有图谱功能</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33.7</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医用显示器要求</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7.1</w:t>
            </w:r>
          </w:p>
        </w:tc>
        <w:tc>
          <w:tcPr>
            <w:tcW w:type="dxa" w:w="7033"/>
            <w:tcBorders>
              <w:top w:val="none" w:color="000000" w:sz="4"/>
              <w:left w:val="none" w:color="000000" w:sz="4"/>
              <w:bottom w:val="single" w:color="000000" w:sz="4"/>
              <w:right w:val="single" w:color="000000" w:sz="4"/>
            </w:tcBorders>
            <w:vAlign w:val="top"/>
          </w:tcPr>
          <w:p>
            <w:pPr>
              <w:jc w:val="both"/>
            </w:pPr>
            <w:r>
              <w:rPr>
                <w:sz w:val="21"/>
              </w:rPr>
              <w:t>屏幕尺寸</w:t>
            </w:r>
            <w:r>
              <w:rPr>
                <w:sz w:val="21"/>
              </w:rPr>
              <w:t>：</w:t>
            </w:r>
            <w:r>
              <w:rPr>
                <w:sz w:val="21"/>
              </w:rPr>
              <w:t>≥24英寸</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7.2</w:t>
            </w:r>
          </w:p>
        </w:tc>
        <w:tc>
          <w:tcPr>
            <w:tcW w:type="dxa" w:w="7033"/>
            <w:tcBorders>
              <w:top w:val="none" w:color="000000" w:sz="4"/>
              <w:left w:val="none" w:color="000000" w:sz="4"/>
              <w:bottom w:val="single" w:color="000000" w:sz="4"/>
              <w:right w:val="single" w:color="000000" w:sz="4"/>
            </w:tcBorders>
            <w:vAlign w:val="top"/>
          </w:tcPr>
          <w:p>
            <w:pPr>
              <w:jc w:val="both"/>
            </w:pPr>
            <w:r>
              <w:rPr>
                <w:sz w:val="21"/>
              </w:rPr>
              <w:t>最大分辨率</w:t>
            </w:r>
            <w:r>
              <w:rPr>
                <w:sz w:val="21"/>
              </w:rPr>
              <w:t>：</w:t>
            </w:r>
            <w:r>
              <w:rPr>
                <w:sz w:val="21"/>
              </w:rPr>
              <w:t>≥1920</w:t>
            </w:r>
            <w:r>
              <w:rPr>
                <w:sz w:val="21"/>
              </w:rPr>
              <w:t>×</w:t>
            </w:r>
            <w:r>
              <w:rPr>
                <w:sz w:val="21"/>
              </w:rPr>
              <w:t>1200</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7.3</w:t>
            </w:r>
          </w:p>
        </w:tc>
        <w:tc>
          <w:tcPr>
            <w:tcW w:type="dxa" w:w="7033"/>
            <w:tcBorders>
              <w:top w:val="none" w:color="000000" w:sz="4"/>
              <w:left w:val="none" w:color="000000" w:sz="4"/>
              <w:bottom w:val="single" w:color="000000" w:sz="4"/>
              <w:right w:val="single" w:color="000000" w:sz="4"/>
            </w:tcBorders>
            <w:vAlign w:val="top"/>
          </w:tcPr>
          <w:p>
            <w:pPr>
              <w:jc w:val="both"/>
            </w:pPr>
            <w:r>
              <w:rPr>
                <w:sz w:val="21"/>
              </w:rPr>
              <w:t>对比度</w:t>
            </w:r>
            <w:r>
              <w:rPr>
                <w:sz w:val="21"/>
              </w:rPr>
              <w:t>：</w:t>
            </w:r>
            <w:r>
              <w:rPr>
                <w:sz w:val="21"/>
              </w:rPr>
              <w:t>≥1000:1</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7.4</w:t>
            </w:r>
          </w:p>
        </w:tc>
        <w:tc>
          <w:tcPr>
            <w:tcW w:type="dxa" w:w="7033"/>
            <w:tcBorders>
              <w:top w:val="none" w:color="000000" w:sz="4"/>
              <w:left w:val="none" w:color="000000" w:sz="4"/>
              <w:bottom w:val="single" w:color="000000" w:sz="4"/>
              <w:right w:val="single" w:color="000000" w:sz="4"/>
            </w:tcBorders>
            <w:vAlign w:val="top"/>
          </w:tcPr>
          <w:p>
            <w:pPr>
              <w:jc w:val="both"/>
            </w:pPr>
            <w:r>
              <w:rPr>
                <w:sz w:val="21"/>
              </w:rPr>
              <w:t>响应时间</w:t>
            </w:r>
            <w:r>
              <w:rPr>
                <w:sz w:val="21"/>
              </w:rPr>
              <w:t>：</w:t>
            </w:r>
            <w:r>
              <w:rPr>
                <w:sz w:val="21"/>
              </w:rPr>
              <w:t>≤10ms</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33.8</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配置要求</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33.8.1</w:t>
            </w:r>
          </w:p>
        </w:tc>
        <w:tc>
          <w:tcPr>
            <w:tcW w:type="dxa" w:w="7033"/>
            <w:tcBorders>
              <w:top w:val="none" w:color="000000" w:sz="4"/>
              <w:left w:val="none" w:color="000000" w:sz="4"/>
              <w:bottom w:val="single" w:color="000000" w:sz="4"/>
              <w:right w:val="single" w:color="000000" w:sz="4"/>
            </w:tcBorders>
            <w:vAlign w:val="top"/>
          </w:tcPr>
          <w:tbl>
            <w:tblPr>
              <w:tblBorders>
                <w:top w:val="none" w:color="000000" w:sz="4"/>
                <w:left w:val="none" w:color="000000" w:sz="4"/>
                <w:bottom w:val="none" w:color="000000" w:sz="4"/>
                <w:right w:val="none" w:color="000000" w:sz="4"/>
                <w:insideH w:val="none"/>
                <w:insideV w:val="none"/>
              </w:tblBorders>
            </w:tblPr>
            <w:tblGrid>
              <w:gridCol w:w="1324"/>
              <w:gridCol w:w="4170"/>
              <w:gridCol w:w="1324"/>
            </w:tblGrid>
            <w:tr>
              <w:tc>
                <w:tcPr>
                  <w:tcW w:type="dxa" w:w="132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4170"/>
                  <w:tcBorders>
                    <w:top w:val="single" w:color="000000" w:sz="4"/>
                    <w:left w:val="single" w:color="000000" w:sz="4"/>
                    <w:bottom w:val="single" w:color="000000" w:sz="4"/>
                    <w:right w:val="single" w:color="000000" w:sz="4"/>
                  </w:tcBorders>
                  <w:vAlign w:val="top"/>
                </w:tcPr>
                <w:p>
                  <w:pPr>
                    <w:jc w:val="center"/>
                  </w:pPr>
                  <w:r>
                    <w:rPr>
                      <w:sz w:val="21"/>
                    </w:rPr>
                    <w:t>名称</w:t>
                  </w:r>
                </w:p>
              </w:tc>
              <w:tc>
                <w:tcPr>
                  <w:tcW w:type="dxa" w:w="1324"/>
                  <w:tcBorders>
                    <w:top w:val="single" w:color="000000" w:sz="4"/>
                    <w:left w:val="single" w:color="000000" w:sz="4"/>
                    <w:bottom w:val="single" w:color="000000" w:sz="4"/>
                    <w:right w:val="single" w:color="000000" w:sz="4"/>
                  </w:tcBorders>
                  <w:vAlign w:val="top"/>
                </w:tcPr>
                <w:p>
                  <w:pPr>
                    <w:jc w:val="center"/>
                  </w:pPr>
                  <w:r>
                    <w:rPr>
                      <w:sz w:val="21"/>
                    </w:rPr>
                    <w:t>数量</w:t>
                  </w:r>
                </w:p>
              </w:tc>
            </w:tr>
            <w:tr>
              <w:tc>
                <w:tcPr>
                  <w:tcW w:type="dxa" w:w="132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70"/>
                  <w:tcBorders>
                    <w:top w:val="none" w:color="000000" w:sz="4"/>
                    <w:left w:val="single" w:color="000000" w:sz="4"/>
                    <w:bottom w:val="single" w:color="000000" w:sz="4"/>
                    <w:right w:val="single" w:color="000000" w:sz="4"/>
                  </w:tcBorders>
                  <w:vAlign w:val="top"/>
                </w:tcPr>
                <w:p>
                  <w:pPr>
                    <w:jc w:val="center"/>
                  </w:pPr>
                  <w:r>
                    <w:rPr>
                      <w:sz w:val="21"/>
                    </w:rPr>
                    <w:t>图像记录仪</w:t>
                  </w:r>
                </w:p>
              </w:tc>
              <w:tc>
                <w:tcPr>
                  <w:tcW w:type="dxa" w:w="1324"/>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132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70"/>
                  <w:tcBorders>
                    <w:top w:val="none" w:color="000000" w:sz="4"/>
                    <w:left w:val="single" w:color="000000" w:sz="4"/>
                    <w:bottom w:val="single" w:color="000000" w:sz="4"/>
                    <w:right w:val="single" w:color="000000" w:sz="4"/>
                  </w:tcBorders>
                  <w:vAlign w:val="top"/>
                </w:tcPr>
                <w:p>
                  <w:pPr>
                    <w:jc w:val="center"/>
                  </w:pPr>
                  <w:r>
                    <w:rPr>
                      <w:sz w:val="21"/>
                    </w:rPr>
                    <w:t>电源适配器</w:t>
                  </w:r>
                </w:p>
              </w:tc>
              <w:tc>
                <w:tcPr>
                  <w:tcW w:type="dxa" w:w="1324"/>
                  <w:tcBorders>
                    <w:top w:val="none" w:color="000000" w:sz="4"/>
                    <w:left w:val="single" w:color="000000" w:sz="4"/>
                    <w:bottom w:val="single" w:color="000000" w:sz="4"/>
                    <w:right w:val="single" w:color="000000" w:sz="4"/>
                  </w:tcBorders>
                  <w:vAlign w:val="top"/>
                </w:tcPr>
                <w:p>
                  <w:pPr>
                    <w:jc w:val="center"/>
                  </w:pPr>
                  <w:r>
                    <w:rPr>
                      <w:sz w:val="21"/>
                    </w:rPr>
                    <w:t>3</w:t>
                  </w:r>
                  <w:r>
                    <w:rPr>
                      <w:sz w:val="21"/>
                    </w:rPr>
                    <w:t>个</w:t>
                  </w:r>
                </w:p>
              </w:tc>
            </w:tr>
            <w:tr>
              <w:tc>
                <w:tcPr>
                  <w:tcW w:type="dxa" w:w="132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170"/>
                  <w:tcBorders>
                    <w:top w:val="none" w:color="000000" w:sz="4"/>
                    <w:left w:val="single" w:color="000000" w:sz="4"/>
                    <w:bottom w:val="single" w:color="000000" w:sz="4"/>
                    <w:right w:val="single" w:color="000000" w:sz="4"/>
                  </w:tcBorders>
                  <w:vAlign w:val="top"/>
                </w:tcPr>
                <w:p>
                  <w:pPr>
                    <w:jc w:val="center"/>
                  </w:pPr>
                  <w:r>
                    <w:rPr>
                      <w:sz w:val="21"/>
                    </w:rPr>
                    <w:t>USB数据线</w:t>
                  </w:r>
                </w:p>
              </w:tc>
              <w:tc>
                <w:tcPr>
                  <w:tcW w:type="dxa" w:w="1324"/>
                  <w:tcBorders>
                    <w:top w:val="none" w:color="000000" w:sz="4"/>
                    <w:left w:val="single" w:color="000000" w:sz="4"/>
                    <w:bottom w:val="single" w:color="000000" w:sz="4"/>
                    <w:right w:val="single" w:color="000000" w:sz="4"/>
                  </w:tcBorders>
                  <w:vAlign w:val="top"/>
                </w:tcPr>
                <w:p>
                  <w:pPr>
                    <w:jc w:val="center"/>
                  </w:pPr>
                  <w:r>
                    <w:rPr>
                      <w:sz w:val="21"/>
                    </w:rPr>
                    <w:t>3</w:t>
                  </w:r>
                  <w:r>
                    <w:rPr>
                      <w:sz w:val="21"/>
                    </w:rPr>
                    <w:t>根</w:t>
                  </w:r>
                </w:p>
              </w:tc>
            </w:tr>
            <w:tr>
              <w:tc>
                <w:tcPr>
                  <w:tcW w:type="dxa" w:w="132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170"/>
                  <w:tcBorders>
                    <w:top w:val="none" w:color="000000" w:sz="4"/>
                    <w:left w:val="single" w:color="000000" w:sz="4"/>
                    <w:bottom w:val="single" w:color="000000" w:sz="4"/>
                    <w:right w:val="single" w:color="000000" w:sz="4"/>
                  </w:tcBorders>
                  <w:vAlign w:val="top"/>
                </w:tcPr>
                <w:p>
                  <w:pPr>
                    <w:jc w:val="center"/>
                  </w:pPr>
                  <w:r>
                    <w:rPr>
                      <w:sz w:val="21"/>
                    </w:rPr>
                    <w:t>图像记录仪腰带</w:t>
                  </w:r>
                </w:p>
              </w:tc>
              <w:tc>
                <w:tcPr>
                  <w:tcW w:type="dxa" w:w="1324"/>
                  <w:tcBorders>
                    <w:top w:val="none" w:color="000000" w:sz="4"/>
                    <w:left w:val="single" w:color="000000" w:sz="4"/>
                    <w:bottom w:val="single" w:color="000000" w:sz="4"/>
                    <w:right w:val="single" w:color="000000" w:sz="4"/>
                  </w:tcBorders>
                  <w:vAlign w:val="top"/>
                </w:tcPr>
                <w:p>
                  <w:pPr>
                    <w:jc w:val="center"/>
                  </w:pPr>
                  <w:r>
                    <w:rPr>
                      <w:sz w:val="21"/>
                    </w:rPr>
                    <w:t>3</w:t>
                  </w:r>
                  <w:r>
                    <w:rPr>
                      <w:sz w:val="21"/>
                    </w:rPr>
                    <w:t>件</w:t>
                  </w:r>
                </w:p>
              </w:tc>
            </w:tr>
            <w:tr>
              <w:tc>
                <w:tcPr>
                  <w:tcW w:type="dxa" w:w="132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170"/>
                  <w:tcBorders>
                    <w:top w:val="none" w:color="000000" w:sz="4"/>
                    <w:left w:val="single" w:color="000000" w:sz="4"/>
                    <w:bottom w:val="single" w:color="000000" w:sz="4"/>
                    <w:right w:val="single" w:color="000000" w:sz="4"/>
                  </w:tcBorders>
                  <w:vAlign w:val="top"/>
                </w:tcPr>
                <w:p>
                  <w:pPr>
                    <w:jc w:val="center"/>
                  </w:pPr>
                  <w:r>
                    <w:rPr>
                      <w:sz w:val="21"/>
                    </w:rPr>
                    <w:t>腰带内袋</w:t>
                  </w:r>
                </w:p>
              </w:tc>
              <w:tc>
                <w:tcPr>
                  <w:tcW w:type="dxa" w:w="1324"/>
                  <w:tcBorders>
                    <w:top w:val="none" w:color="000000" w:sz="4"/>
                    <w:left w:val="single" w:color="000000" w:sz="4"/>
                    <w:bottom w:val="single" w:color="000000" w:sz="4"/>
                    <w:right w:val="single" w:color="000000" w:sz="4"/>
                  </w:tcBorders>
                  <w:vAlign w:val="top"/>
                </w:tcPr>
                <w:p>
                  <w:pPr>
                    <w:jc w:val="center"/>
                  </w:pPr>
                  <w:r>
                    <w:rPr>
                      <w:sz w:val="21"/>
                    </w:rPr>
                    <w:t>3</w:t>
                  </w:r>
                  <w:r>
                    <w:rPr>
                      <w:sz w:val="21"/>
                    </w:rPr>
                    <w:t>个</w:t>
                  </w:r>
                </w:p>
              </w:tc>
            </w:tr>
            <w:tr>
              <w:tc>
                <w:tcPr>
                  <w:tcW w:type="dxa" w:w="132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170"/>
                  <w:tcBorders>
                    <w:top w:val="none" w:color="000000" w:sz="4"/>
                    <w:left w:val="single" w:color="000000" w:sz="4"/>
                    <w:bottom w:val="single" w:color="000000" w:sz="4"/>
                    <w:right w:val="single" w:color="000000" w:sz="4"/>
                  </w:tcBorders>
                  <w:vAlign w:val="top"/>
                </w:tcPr>
                <w:p>
                  <w:pPr>
                    <w:jc w:val="center"/>
                  </w:pPr>
                  <w:r>
                    <w:rPr>
                      <w:sz w:val="21"/>
                    </w:rPr>
                    <w:t>胶囊式内窥镜控制器</w:t>
                  </w:r>
                </w:p>
              </w:tc>
              <w:tc>
                <w:tcPr>
                  <w:tcW w:type="dxa" w:w="1324"/>
                  <w:tcBorders>
                    <w:top w:val="none" w:color="000000" w:sz="4"/>
                    <w:left w:val="single" w:color="000000" w:sz="4"/>
                    <w:bottom w:val="single" w:color="000000" w:sz="4"/>
                    <w:right w:val="single" w:color="000000" w:sz="4"/>
                  </w:tcBorders>
                  <w:vAlign w:val="top"/>
                </w:tcPr>
                <w:p>
                  <w:pPr>
                    <w:jc w:val="center"/>
                  </w:pPr>
                  <w:r>
                    <w:rPr>
                      <w:sz w:val="21"/>
                    </w:rPr>
                    <w:t>1台</w:t>
                  </w:r>
                </w:p>
              </w:tc>
            </w:tr>
            <w:tr>
              <w:tc>
                <w:tcPr>
                  <w:tcW w:type="dxa" w:w="132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170"/>
                  <w:tcBorders>
                    <w:top w:val="none" w:color="000000" w:sz="4"/>
                    <w:left w:val="single" w:color="000000" w:sz="4"/>
                    <w:bottom w:val="single" w:color="000000" w:sz="4"/>
                    <w:right w:val="single" w:color="000000" w:sz="4"/>
                  </w:tcBorders>
                  <w:vAlign w:val="top"/>
                </w:tcPr>
                <w:p>
                  <w:pPr>
                    <w:jc w:val="center"/>
                  </w:pPr>
                  <w:r>
                    <w:rPr>
                      <w:sz w:val="21"/>
                    </w:rPr>
                    <w:t>手提箱</w:t>
                  </w:r>
                </w:p>
              </w:tc>
              <w:tc>
                <w:tcPr>
                  <w:tcW w:type="dxa" w:w="1324"/>
                  <w:tcBorders>
                    <w:top w:val="none" w:color="000000" w:sz="4"/>
                    <w:left w:val="single" w:color="000000" w:sz="4"/>
                    <w:bottom w:val="single" w:color="000000" w:sz="4"/>
                    <w:right w:val="single" w:color="000000" w:sz="4"/>
                  </w:tcBorders>
                  <w:vAlign w:val="top"/>
                </w:tcPr>
                <w:p>
                  <w:pPr>
                    <w:jc w:val="center"/>
                  </w:pPr>
                  <w:r>
                    <w:rPr>
                      <w:sz w:val="21"/>
                    </w:rPr>
                    <w:t>1个</w:t>
                  </w:r>
                </w:p>
              </w:tc>
            </w:tr>
            <w:tr>
              <w:tc>
                <w:tcPr>
                  <w:tcW w:type="dxa" w:w="132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170"/>
                  <w:tcBorders>
                    <w:top w:val="none" w:color="000000" w:sz="4"/>
                    <w:left w:val="single" w:color="000000" w:sz="4"/>
                    <w:bottom w:val="single" w:color="000000" w:sz="4"/>
                    <w:right w:val="single" w:color="000000" w:sz="4"/>
                  </w:tcBorders>
                  <w:vAlign w:val="top"/>
                </w:tcPr>
                <w:p>
                  <w:pPr>
                    <w:jc w:val="center"/>
                  </w:pPr>
                  <w:r>
                    <w:rPr>
                      <w:sz w:val="21"/>
                    </w:rPr>
                    <w:t>说明书</w:t>
                  </w:r>
                </w:p>
              </w:tc>
              <w:tc>
                <w:tcPr>
                  <w:tcW w:type="dxa" w:w="1324"/>
                  <w:tcBorders>
                    <w:top w:val="none" w:color="000000" w:sz="4"/>
                    <w:left w:val="single" w:color="000000" w:sz="4"/>
                    <w:bottom w:val="single" w:color="000000" w:sz="4"/>
                    <w:right w:val="single" w:color="000000" w:sz="4"/>
                  </w:tcBorders>
                  <w:vAlign w:val="top"/>
                </w:tcPr>
                <w:p>
                  <w:pPr>
                    <w:jc w:val="center"/>
                  </w:pPr>
                  <w:r>
                    <w:rPr>
                      <w:sz w:val="21"/>
                    </w:rPr>
                    <w:t>1本</w:t>
                  </w:r>
                </w:p>
              </w:tc>
            </w:tr>
            <w:tr>
              <w:tc>
                <w:tcPr>
                  <w:tcW w:type="dxa" w:w="132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4170"/>
                  <w:tcBorders>
                    <w:top w:val="none" w:color="000000" w:sz="4"/>
                    <w:left w:val="single" w:color="000000" w:sz="4"/>
                    <w:bottom w:val="single" w:color="000000" w:sz="4"/>
                    <w:right w:val="single" w:color="000000" w:sz="4"/>
                  </w:tcBorders>
                  <w:vAlign w:val="top"/>
                </w:tcPr>
                <w:p>
                  <w:pPr>
                    <w:jc w:val="center"/>
                  </w:pPr>
                  <w:r>
                    <w:rPr>
                      <w:sz w:val="21"/>
                    </w:rPr>
                    <w:t>快速操作指南</w:t>
                  </w:r>
                </w:p>
              </w:tc>
              <w:tc>
                <w:tcPr>
                  <w:tcW w:type="dxa" w:w="1324"/>
                  <w:tcBorders>
                    <w:top w:val="none" w:color="000000" w:sz="4"/>
                    <w:left w:val="single" w:color="000000" w:sz="4"/>
                    <w:bottom w:val="single" w:color="000000" w:sz="4"/>
                    <w:right w:val="single" w:color="000000" w:sz="4"/>
                  </w:tcBorders>
                  <w:vAlign w:val="top"/>
                </w:tcPr>
                <w:p>
                  <w:pPr>
                    <w:jc w:val="center"/>
                  </w:pPr>
                  <w:r>
                    <w:rPr>
                      <w:sz w:val="21"/>
                    </w:rPr>
                    <w:t>1张</w:t>
                  </w:r>
                </w:p>
              </w:tc>
            </w:tr>
            <w:tr>
              <w:tc>
                <w:tcPr>
                  <w:tcW w:type="dxa" w:w="132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170"/>
                  <w:tcBorders>
                    <w:top w:val="none" w:color="000000" w:sz="4"/>
                    <w:left w:val="single" w:color="000000" w:sz="4"/>
                    <w:bottom w:val="single" w:color="000000" w:sz="4"/>
                    <w:right w:val="single" w:color="000000" w:sz="4"/>
                  </w:tcBorders>
                  <w:vAlign w:val="top"/>
                </w:tcPr>
                <w:p>
                  <w:pPr>
                    <w:jc w:val="center"/>
                  </w:pPr>
                  <w:r>
                    <w:rPr>
                      <w:sz w:val="21"/>
                    </w:rPr>
                    <w:t>保修卡</w:t>
                  </w:r>
                </w:p>
              </w:tc>
              <w:tc>
                <w:tcPr>
                  <w:tcW w:type="dxa" w:w="1324"/>
                  <w:tcBorders>
                    <w:top w:val="none" w:color="000000" w:sz="4"/>
                    <w:left w:val="single" w:color="000000" w:sz="4"/>
                    <w:bottom w:val="single" w:color="000000" w:sz="4"/>
                    <w:right w:val="single" w:color="000000" w:sz="4"/>
                  </w:tcBorders>
                  <w:vAlign w:val="top"/>
                </w:tcPr>
                <w:p>
                  <w:pPr>
                    <w:jc w:val="center"/>
                  </w:pPr>
                  <w:r>
                    <w:rPr>
                      <w:sz w:val="21"/>
                    </w:rPr>
                    <w:t>1张</w:t>
                  </w:r>
                </w:p>
              </w:tc>
            </w:tr>
            <w:tr>
              <w:tc>
                <w:tcPr>
                  <w:tcW w:type="dxa" w:w="1324"/>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4170"/>
                  <w:tcBorders>
                    <w:top w:val="none" w:color="000000" w:sz="4"/>
                    <w:left w:val="single" w:color="000000" w:sz="4"/>
                    <w:bottom w:val="single" w:color="000000" w:sz="4"/>
                    <w:right w:val="single" w:color="000000" w:sz="4"/>
                  </w:tcBorders>
                  <w:vAlign w:val="top"/>
                </w:tcPr>
                <w:p>
                  <w:pPr>
                    <w:jc w:val="center"/>
                  </w:pPr>
                  <w:r>
                    <w:rPr>
                      <w:sz w:val="21"/>
                    </w:rPr>
                    <w:t>打印机</w:t>
                  </w:r>
                </w:p>
              </w:tc>
              <w:tc>
                <w:tcPr>
                  <w:tcW w:type="dxa" w:w="1324"/>
                  <w:tcBorders>
                    <w:top w:val="none" w:color="000000" w:sz="4"/>
                    <w:left w:val="single" w:color="000000" w:sz="4"/>
                    <w:bottom w:val="single" w:color="000000" w:sz="4"/>
                    <w:right w:val="single" w:color="000000" w:sz="4"/>
                  </w:tcBorders>
                  <w:vAlign w:val="top"/>
                </w:tcPr>
                <w:p>
                  <w:pPr>
                    <w:jc w:val="center"/>
                  </w:pPr>
                  <w:r>
                    <w:rPr>
                      <w:sz w:val="21"/>
                    </w:rPr>
                    <w:t>1台</w:t>
                  </w:r>
                </w:p>
              </w:tc>
            </w:tr>
            <w:tr>
              <w:tc>
                <w:tcPr>
                  <w:tcW w:type="dxa" w:w="132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4170"/>
                  <w:tcBorders>
                    <w:top w:val="none" w:color="000000" w:sz="4"/>
                    <w:left w:val="single" w:color="000000" w:sz="4"/>
                    <w:bottom w:val="single" w:color="000000" w:sz="4"/>
                    <w:right w:val="single" w:color="000000" w:sz="4"/>
                  </w:tcBorders>
                  <w:vAlign w:val="top"/>
                </w:tcPr>
                <w:p>
                  <w:pPr>
                    <w:jc w:val="center"/>
                  </w:pPr>
                  <w:r>
                    <w:rPr>
                      <w:sz w:val="21"/>
                    </w:rPr>
                    <w:t>拓展</w:t>
                  </w:r>
                  <w:r>
                    <w:rPr>
                      <w:sz w:val="21"/>
                    </w:rPr>
                    <w:t>5G+AI功能</w:t>
                  </w:r>
                </w:p>
              </w:tc>
              <w:tc>
                <w:tcPr>
                  <w:tcW w:type="dxa" w:w="1324"/>
                  <w:tcBorders>
                    <w:top w:val="none" w:color="000000" w:sz="4"/>
                    <w:left w:val="single" w:color="000000" w:sz="4"/>
                    <w:bottom w:val="single" w:color="000000" w:sz="4"/>
                    <w:right w:val="single" w:color="000000" w:sz="4"/>
                  </w:tcBorders>
                  <w:vAlign w:val="top"/>
                </w:tcPr>
                <w:p>
                  <w:pPr>
                    <w:jc w:val="center"/>
                  </w:pPr>
                  <w:r>
                    <w:rPr>
                      <w:sz w:val="21"/>
                    </w:rPr>
                    <w:t>1项</w:t>
                  </w:r>
                </w:p>
              </w:tc>
            </w:tr>
          </w:tbl>
          <w:p>
            <w:pPr>
              <w:jc w:val="both"/>
            </w:pP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34</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复合一体化手术室，一套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34.</w:t>
            </w:r>
            <w:r>
              <w:rPr>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具有智能运维平台一套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34.</w:t>
            </w:r>
            <w:r>
              <w:rPr>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具有一体式机柜模块一套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34.</w:t>
            </w:r>
            <w:r>
              <w:rPr>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具有中央控制终端一套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34.</w:t>
            </w:r>
            <w:r>
              <w:rPr>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具有全景摄像机模块一套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34.</w:t>
            </w:r>
            <w:r>
              <w:rPr>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具有无线麦克风模块一套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34.</w:t>
            </w:r>
            <w:r>
              <w:rPr>
                <w:sz w:val="21"/>
              </w:rPr>
              <w:t>6</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具有吸顶音箱模块一套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34.</w:t>
            </w:r>
            <w:r>
              <w:rPr>
                <w:sz w:val="21"/>
              </w:rPr>
              <w:t>7</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w:t>
            </w:r>
            <w:r>
              <w:rPr>
                <w:sz w:val="21"/>
              </w:rPr>
              <w:t>4K医用监视器模块两套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34.</w:t>
            </w:r>
            <w:r>
              <w:rPr>
                <w:sz w:val="21"/>
              </w:rPr>
              <w:t>8</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w:t>
            </w:r>
            <w:r>
              <w:rPr>
                <w:sz w:val="21"/>
              </w:rPr>
              <w:t>4K商用显示器模块一套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34.</w:t>
            </w:r>
            <w:r>
              <w:rPr>
                <w:sz w:val="21"/>
              </w:rPr>
              <w:t>9</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w:t>
            </w:r>
            <w:r>
              <w:rPr>
                <w:sz w:val="21"/>
              </w:rPr>
              <w:t>≥65寸数字多维智慧终端显示器一套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34.</w:t>
            </w:r>
            <w:r>
              <w:rPr>
                <w:sz w:val="21"/>
              </w:rPr>
              <w:t>10</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w:t>
            </w:r>
            <w:r>
              <w:rPr>
                <w:sz w:val="21"/>
              </w:rPr>
              <w:t>DSA信号接入模块一套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34.</w:t>
            </w:r>
            <w:r>
              <w:rPr>
                <w:sz w:val="21"/>
              </w:rPr>
              <w:t>11</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具有高清术野摄像机模块一套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34.</w:t>
            </w:r>
            <w:r>
              <w:rPr>
                <w:sz w:val="21"/>
              </w:rPr>
              <w:t>12</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具有环境氛围模块一套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34.</w:t>
            </w:r>
            <w:r>
              <w:rPr>
                <w:sz w:val="21"/>
              </w:rPr>
              <w:t>13</w:t>
            </w:r>
          </w:p>
        </w:tc>
        <w:tc>
          <w:tcPr>
            <w:tcW w:type="dxa" w:w="7033"/>
            <w:tcBorders>
              <w:top w:val="none" w:color="000000" w:sz="4"/>
              <w:left w:val="none" w:color="000000" w:sz="4"/>
              <w:bottom w:val="single" w:color="000000" w:sz="4"/>
              <w:right w:val="single" w:color="000000" w:sz="4"/>
            </w:tcBorders>
            <w:vAlign w:val="top"/>
          </w:tcPr>
          <w:p>
            <w:pPr>
              <w:jc w:val="both"/>
            </w:pPr>
            <w:r>
              <w:rPr>
                <w:sz w:val="21"/>
              </w:rPr>
              <w:t>提供安装及项目管理服务</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3</w:t>
            </w:r>
            <w:r>
              <w:rPr>
                <w:b/>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负压辅助静脉引流控制器</w:t>
            </w:r>
            <w:r>
              <w:rPr>
                <w:b/>
                <w:sz w:val="21"/>
              </w:rPr>
              <w:t>，</w:t>
            </w:r>
            <w:r>
              <w:rPr>
                <w:b/>
                <w:sz w:val="21"/>
              </w:rPr>
              <w:t>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w:t>
            </w:r>
            <w:r>
              <w:rPr>
                <w:sz w:val="21"/>
              </w:rPr>
              <w:t>5</w:t>
            </w:r>
            <w:r>
              <w:rPr>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具备双向模式选择旋钮</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w:t>
            </w:r>
            <w:r>
              <w:rPr>
                <w:sz w:val="21"/>
              </w:rPr>
              <w:t>5</w:t>
            </w:r>
            <w:r>
              <w:rPr>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具备负压源监测表</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w:t>
            </w:r>
            <w:r>
              <w:rPr>
                <w:sz w:val="21"/>
              </w:rPr>
              <w:t>5</w:t>
            </w:r>
            <w:r>
              <w:rPr>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具备压力传感器接口</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w:t>
            </w:r>
            <w:r>
              <w:rPr>
                <w:sz w:val="21"/>
              </w:rPr>
              <w:t>5</w:t>
            </w:r>
            <w:r>
              <w:rPr>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具备额外安全装置</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36</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机房防护净化装修工程，一</w:t>
            </w:r>
            <w:r>
              <w:rPr>
                <w:b/>
                <w:sz w:val="21"/>
              </w:rPr>
              <w:t>项</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w:t>
            </w:r>
            <w:r>
              <w:rPr>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sz w:val="21"/>
              </w:rPr>
              <w:t>投标人负责</w:t>
            </w:r>
            <w:r>
              <w:rPr>
                <w:sz w:val="21"/>
              </w:rPr>
              <w:t>两间外科手术室改造工程，按建设单位确定的方案面积约</w:t>
            </w:r>
            <w:r>
              <w:rPr>
                <w:sz w:val="21"/>
              </w:rPr>
              <w:t>90m²</w:t>
            </w:r>
            <w:r>
              <w:rPr>
                <w:sz w:val="21"/>
              </w:rPr>
              <w:t>，</w:t>
            </w:r>
            <w:r>
              <w:rPr>
                <w:sz w:val="21"/>
              </w:rPr>
              <w:t>包括拆除原来两间手术室间墙和天花工程</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w:t>
            </w:r>
            <w:r>
              <w:rPr>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sz w:val="21"/>
              </w:rPr>
              <w:t>投标人需</w:t>
            </w:r>
            <w:r>
              <w:rPr>
                <w:sz w:val="21"/>
              </w:rPr>
              <w:t>配置设备专用电箱</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w:t>
            </w:r>
            <w:r>
              <w:rPr>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sz w:val="21"/>
              </w:rPr>
              <w:t>投标人需</w:t>
            </w:r>
            <w:r>
              <w:rPr>
                <w:sz w:val="21"/>
              </w:rPr>
              <w:t>接通原有医气管</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w:t>
            </w:r>
            <w:r>
              <w:rPr>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sz w:val="21"/>
              </w:rPr>
              <w:t>投标人需</w:t>
            </w:r>
            <w:r>
              <w:rPr>
                <w:sz w:val="21"/>
              </w:rPr>
              <w:t>按相关设备的要求安装吊架设施</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w:t>
            </w:r>
            <w:r>
              <w:rPr>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sz w:val="21"/>
              </w:rPr>
              <w:t>投标人需</w:t>
            </w:r>
            <w:r>
              <w:rPr>
                <w:sz w:val="21"/>
              </w:rPr>
              <w:t>做好现场保护工程</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36.7</w:t>
            </w:r>
          </w:p>
        </w:tc>
        <w:tc>
          <w:tcPr>
            <w:tcW w:type="dxa" w:w="7033"/>
            <w:tcBorders>
              <w:top w:val="none" w:color="000000" w:sz="4"/>
              <w:left w:val="none" w:color="000000" w:sz="4"/>
              <w:bottom w:val="single" w:color="000000" w:sz="4"/>
              <w:right w:val="single" w:color="000000" w:sz="4"/>
            </w:tcBorders>
            <w:vAlign w:val="top"/>
          </w:tcPr>
          <w:p>
            <w:pPr>
              <w:jc w:val="both"/>
            </w:pPr>
            <w:r>
              <w:rPr>
                <w:sz w:val="21"/>
              </w:rPr>
              <w:t>投标人</w:t>
            </w:r>
            <w:r>
              <w:rPr>
                <w:sz w:val="21"/>
              </w:rPr>
              <w:t>自行考虑设备吊装问题</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36.8</w:t>
            </w:r>
          </w:p>
        </w:tc>
        <w:tc>
          <w:tcPr>
            <w:tcW w:type="dxa" w:w="7033"/>
            <w:tcBorders>
              <w:top w:val="none" w:color="000000" w:sz="4"/>
              <w:left w:val="none" w:color="000000" w:sz="4"/>
              <w:bottom w:val="single" w:color="000000" w:sz="4"/>
              <w:right w:val="single" w:color="000000" w:sz="4"/>
            </w:tcBorders>
            <w:vAlign w:val="top"/>
          </w:tcPr>
          <w:p>
            <w:pPr>
              <w:jc w:val="both"/>
            </w:pPr>
            <w:r>
              <w:rPr>
                <w:sz w:val="21"/>
              </w:rPr>
              <w:t>采购人</w:t>
            </w:r>
            <w:r>
              <w:rPr>
                <w:sz w:val="21"/>
              </w:rPr>
              <w:t>只提供电梯</w:t>
            </w:r>
            <w:r>
              <w:rPr>
                <w:sz w:val="21"/>
              </w:rPr>
              <w:t>用</w:t>
            </w:r>
            <w:r>
              <w:rPr>
                <w:sz w:val="21"/>
              </w:rPr>
              <w:t>作材料运输，</w:t>
            </w:r>
            <w:r>
              <w:rPr>
                <w:sz w:val="21"/>
              </w:rPr>
              <w:t>其余</w:t>
            </w:r>
            <w:r>
              <w:rPr>
                <w:sz w:val="21"/>
              </w:rPr>
              <w:t>不能</w:t>
            </w:r>
            <w:r>
              <w:rPr>
                <w:sz w:val="21"/>
              </w:rPr>
              <w:t>采用</w:t>
            </w:r>
            <w:r>
              <w:rPr>
                <w:sz w:val="21"/>
              </w:rPr>
              <w:t>电梯运输的</w:t>
            </w:r>
            <w:r>
              <w:rPr>
                <w:sz w:val="21"/>
              </w:rPr>
              <w:t>，</w:t>
            </w:r>
            <w:r>
              <w:rPr>
                <w:sz w:val="21"/>
              </w:rPr>
              <w:t>投标人</w:t>
            </w:r>
            <w:r>
              <w:rPr>
                <w:sz w:val="21"/>
              </w:rPr>
              <w:t>需</w:t>
            </w:r>
            <w:r>
              <w:rPr>
                <w:sz w:val="21"/>
              </w:rPr>
              <w:t>自行考虑，并承担费用</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36.9</w:t>
            </w:r>
          </w:p>
        </w:tc>
        <w:tc>
          <w:tcPr>
            <w:tcW w:type="dxa" w:w="7033"/>
            <w:tcBorders>
              <w:top w:val="none" w:color="000000" w:sz="4"/>
              <w:left w:val="none" w:color="000000" w:sz="4"/>
              <w:bottom w:val="single" w:color="000000" w:sz="4"/>
              <w:right w:val="single" w:color="000000" w:sz="4"/>
            </w:tcBorders>
            <w:vAlign w:val="top"/>
          </w:tcPr>
          <w:p>
            <w:pPr>
              <w:jc w:val="both"/>
            </w:pPr>
            <w:r>
              <w:rPr>
                <w:sz w:val="21"/>
              </w:rPr>
              <w:t>现场保护及密封性围护工程，不得影响手术室的运作</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36.10</w:t>
            </w:r>
          </w:p>
        </w:tc>
        <w:tc>
          <w:tcPr>
            <w:tcW w:type="dxa" w:w="7033"/>
            <w:tcBorders>
              <w:top w:val="none" w:color="000000" w:sz="4"/>
              <w:left w:val="none" w:color="000000" w:sz="4"/>
              <w:bottom w:val="single" w:color="000000" w:sz="4"/>
              <w:right w:val="single" w:color="000000" w:sz="4"/>
            </w:tcBorders>
            <w:vAlign w:val="top"/>
          </w:tcPr>
          <w:p>
            <w:pPr>
              <w:jc w:val="both"/>
            </w:pPr>
            <w:r>
              <w:rPr>
                <w:sz w:val="21"/>
              </w:rPr>
              <w:t>装修使用的材料需要满足环保和</w:t>
            </w:r>
            <w:r>
              <w:rPr>
                <w:sz w:val="21"/>
              </w:rPr>
              <w:t>A级防火等级</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36.11</w:t>
            </w:r>
          </w:p>
        </w:tc>
        <w:tc>
          <w:tcPr>
            <w:tcW w:type="dxa" w:w="7033"/>
            <w:tcBorders>
              <w:top w:val="none" w:color="000000" w:sz="4"/>
              <w:left w:val="none" w:color="000000" w:sz="4"/>
              <w:bottom w:val="single" w:color="000000" w:sz="4"/>
              <w:right w:val="single" w:color="000000" w:sz="4"/>
            </w:tcBorders>
            <w:vAlign w:val="top"/>
          </w:tcPr>
          <w:p>
            <w:pPr>
              <w:jc w:val="both"/>
            </w:pPr>
            <w:r>
              <w:rPr>
                <w:sz w:val="21"/>
              </w:rPr>
              <w:t>采购人</w:t>
            </w:r>
            <w:r>
              <w:rPr>
                <w:sz w:val="21"/>
              </w:rPr>
              <w:t>只提供水源接点，其他安装由投标人负责</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36.12</w:t>
            </w:r>
          </w:p>
        </w:tc>
        <w:tc>
          <w:tcPr>
            <w:tcW w:type="dxa" w:w="7033"/>
            <w:tcBorders>
              <w:top w:val="none" w:color="000000" w:sz="4"/>
              <w:left w:val="none" w:color="000000" w:sz="4"/>
              <w:bottom w:val="single" w:color="000000" w:sz="4"/>
              <w:right w:val="single" w:color="000000" w:sz="4"/>
            </w:tcBorders>
            <w:vAlign w:val="top"/>
          </w:tcPr>
          <w:p>
            <w:pPr>
              <w:jc w:val="both"/>
            </w:pPr>
            <w:r>
              <w:rPr>
                <w:sz w:val="21"/>
              </w:rPr>
              <w:t>施工产生垃圾清理服务，</w:t>
            </w:r>
            <w:r>
              <w:rPr>
                <w:sz w:val="21"/>
              </w:rPr>
              <w:t>投标人</w:t>
            </w:r>
            <w:r>
              <w:rPr>
                <w:sz w:val="21"/>
              </w:rPr>
              <w:t>需每天清理干净</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36.13</w:t>
            </w:r>
          </w:p>
        </w:tc>
        <w:tc>
          <w:tcPr>
            <w:tcW w:type="dxa" w:w="7033"/>
            <w:tcBorders>
              <w:top w:val="none" w:color="000000" w:sz="4"/>
              <w:left w:val="none" w:color="000000" w:sz="4"/>
              <w:bottom w:val="single" w:color="000000" w:sz="4"/>
              <w:right w:val="single" w:color="000000" w:sz="4"/>
            </w:tcBorders>
            <w:vAlign w:val="top"/>
          </w:tcPr>
          <w:p>
            <w:pPr>
              <w:jc w:val="both"/>
            </w:pPr>
            <w:r>
              <w:rPr>
                <w:sz w:val="21"/>
              </w:rPr>
              <w:t>投标人</w:t>
            </w:r>
            <w:r>
              <w:rPr>
                <w:sz w:val="21"/>
              </w:rPr>
              <w:t>需</w:t>
            </w:r>
            <w:r>
              <w:rPr>
                <w:sz w:val="21"/>
              </w:rPr>
              <w:t>提供三个角度的效果图和满足施工要求的施工图纸</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36.14</w:t>
            </w:r>
          </w:p>
        </w:tc>
        <w:tc>
          <w:tcPr>
            <w:tcW w:type="dxa" w:w="7033"/>
            <w:tcBorders>
              <w:top w:val="none" w:color="000000" w:sz="4"/>
              <w:left w:val="none" w:color="000000" w:sz="4"/>
              <w:bottom w:val="single" w:color="000000" w:sz="4"/>
              <w:right w:val="single" w:color="000000" w:sz="4"/>
            </w:tcBorders>
            <w:vAlign w:val="top"/>
          </w:tcPr>
          <w:p>
            <w:pPr>
              <w:jc w:val="both"/>
            </w:pPr>
            <w:r>
              <w:rPr>
                <w:sz w:val="21"/>
              </w:rPr>
              <w:t>拆除手术室时不能影响关联手术室使用，并修复与周边的衔接工作</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36.15</w:t>
            </w:r>
          </w:p>
        </w:tc>
        <w:tc>
          <w:tcPr>
            <w:tcW w:type="dxa" w:w="7033"/>
            <w:tcBorders>
              <w:top w:val="none" w:color="000000" w:sz="4"/>
              <w:left w:val="none" w:color="000000" w:sz="4"/>
              <w:bottom w:val="single" w:color="000000" w:sz="4"/>
              <w:right w:val="single" w:color="000000" w:sz="4"/>
            </w:tcBorders>
            <w:vAlign w:val="top"/>
          </w:tcPr>
          <w:p>
            <w:pPr>
              <w:jc w:val="both"/>
            </w:pPr>
            <w:r>
              <w:rPr>
                <w:sz w:val="21"/>
              </w:rPr>
              <w:t>投标人需负责杂交手术室</w:t>
            </w:r>
            <w:r>
              <w:rPr>
                <w:sz w:val="21"/>
              </w:rPr>
              <w:t>DSA机房环评和卫评项目</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36.16</w:t>
            </w:r>
          </w:p>
        </w:tc>
        <w:tc>
          <w:tcPr>
            <w:tcW w:type="dxa" w:w="7033"/>
            <w:tcBorders>
              <w:top w:val="none" w:color="000000" w:sz="4"/>
              <w:left w:val="none" w:color="000000" w:sz="4"/>
              <w:bottom w:val="single" w:color="000000" w:sz="4"/>
              <w:right w:val="single" w:color="000000" w:sz="4"/>
            </w:tcBorders>
            <w:vAlign w:val="top"/>
          </w:tcPr>
          <w:p>
            <w:pPr>
              <w:jc w:val="both"/>
            </w:pPr>
            <w:r>
              <w:rPr>
                <w:sz w:val="21"/>
              </w:rPr>
              <w:t>投标人需负责杂交手术室</w:t>
            </w:r>
            <w:r>
              <w:rPr>
                <w:sz w:val="21"/>
              </w:rPr>
              <w:t>DSA机房防护工程</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36.17</w:t>
            </w:r>
          </w:p>
        </w:tc>
        <w:tc>
          <w:tcPr>
            <w:tcW w:type="dxa" w:w="7033"/>
            <w:tcBorders>
              <w:top w:val="none" w:color="000000" w:sz="4"/>
              <w:left w:val="none" w:color="000000" w:sz="4"/>
              <w:bottom w:val="single" w:color="000000" w:sz="4"/>
              <w:right w:val="single" w:color="000000" w:sz="4"/>
            </w:tcBorders>
            <w:vAlign w:val="top"/>
          </w:tcPr>
          <w:p>
            <w:pPr>
              <w:jc w:val="both"/>
            </w:pPr>
            <w:r>
              <w:rPr>
                <w:sz w:val="21"/>
              </w:rPr>
              <w:t>投标人</w:t>
            </w:r>
            <w:r>
              <w:rPr>
                <w:sz w:val="21"/>
              </w:rPr>
              <w:t>需</w:t>
            </w:r>
            <w:r>
              <w:rPr>
                <w:sz w:val="21"/>
              </w:rPr>
              <w:t>负责杂交手术室</w:t>
            </w:r>
            <w:r>
              <w:rPr>
                <w:sz w:val="21"/>
              </w:rPr>
              <w:t>DSA机房净化工程</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36.18</w:t>
            </w:r>
          </w:p>
        </w:tc>
        <w:tc>
          <w:tcPr>
            <w:tcW w:type="dxa" w:w="7033"/>
            <w:tcBorders>
              <w:top w:val="none" w:color="000000" w:sz="4"/>
              <w:left w:val="none" w:color="000000" w:sz="4"/>
              <w:bottom w:val="single" w:color="000000" w:sz="4"/>
              <w:right w:val="single" w:color="000000" w:sz="4"/>
            </w:tcBorders>
            <w:vAlign w:val="top"/>
          </w:tcPr>
          <w:p>
            <w:pPr>
              <w:jc w:val="both"/>
            </w:pPr>
            <w:r>
              <w:rPr>
                <w:sz w:val="21"/>
              </w:rPr>
              <w:t>投标人</w:t>
            </w:r>
            <w:r>
              <w:rPr>
                <w:sz w:val="21"/>
              </w:rPr>
              <w:t>需</w:t>
            </w:r>
            <w:r>
              <w:rPr>
                <w:sz w:val="21"/>
              </w:rPr>
              <w:t>负责</w:t>
            </w:r>
            <w:r>
              <w:rPr>
                <w:sz w:val="21"/>
              </w:rPr>
              <w:t>杂交手术室</w:t>
            </w:r>
            <w:r>
              <w:rPr>
                <w:sz w:val="21"/>
              </w:rPr>
              <w:t>DSA机房装修工程</w:t>
            </w:r>
          </w:p>
        </w:tc>
      </w:tr>
    </w:tbl>
    <w:p>
      <w:pPr>
        <w:ind w:firstLine="420"/>
        <w:jc w:val="both"/>
      </w:pPr>
    </w:p>
    <w:p/>
    <w:p>
      <w:pPr>
        <w:ind w:firstLine="480"/>
      </w:pPr>
    </w:p>
    <w:p/>
    <w:p>
      <w:r>
        <w:rPr/>
        <w:t>采购包1（杂交手术室）</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合同签订后的90个日历日内交货</w:t>
            </w:r>
          </w:p>
        </w:tc>
      </w:tr>
      <w:tr>
        <w:tc>
          <w:tcPr>
            <w:tcW w:type="dxa" w:w="4153"/>
          </w:tcPr>
          <w:p>
            <w:r>
              <w:rPr/>
              <w:t>标的提供的地点</w:t>
            </w:r>
          </w:p>
        </w:tc>
        <w:tc>
          <w:tcPr>
            <w:tcW w:type="dxa" w:w="4153"/>
          </w:tcPr>
          <w:p/>
          <w:p>
            <w:r>
              <w:rPr/>
              <w:t>江门市中心医院指定地点</w:t>
            </w:r>
          </w:p>
        </w:tc>
      </w:tr>
      <w:tr>
        <w:tc>
          <w:tcPr>
            <w:tcW w:type="dxa" w:w="4153"/>
          </w:tcPr>
          <w:p>
            <w:r>
              <w:rPr/>
              <w:t>付款方式</w:t>
            </w:r>
          </w:p>
        </w:tc>
        <w:tc>
          <w:tcPr>
            <w:tcW w:type="dxa" w:w="4153"/>
          </w:tcPr>
          <w:p/>
          <w:p/>
          <w:p>
            <w:r>
              <w:rPr/>
              <w:t>1期：支付比例30%,合同签订生效后的30个工作日内，将合同总金额的30%支付给中标人。</w:t>
            </w:r>
          </w:p>
          <w:p/>
          <w:p>
            <w:r>
              <w:rPr/>
              <w:t>2期：支付比例70%,设备运到指定地点，安装调试完毕并验收合格入库后且中标人完成履约保证金相关手续后的30个工作日内将合同总金额的70%支付给中标人。</w:t>
            </w:r>
          </w:p>
        </w:tc>
      </w:tr>
      <w:tr>
        <w:tc>
          <w:tcPr>
            <w:tcW w:type="dxa" w:w="4153"/>
          </w:tcPr>
          <w:p>
            <w:r>
              <w:rPr/>
              <w:t>验收要求</w:t>
            </w:r>
          </w:p>
        </w:tc>
        <w:tc>
          <w:tcPr>
            <w:tcW w:type="dxa" w:w="4153"/>
          </w:tcPr>
          <w:p/>
          <w:p/>
          <w:p/>
          <w:p>
            <w:r>
              <w:rPr/>
              <w:t>1期：（1）验收时间：设备安装调试完毕正常运行后1个月内。 （2）验收方法：采购人派遣有经验有能力的人员检验产品和工程的质量和指标。 （3）验收标准：符合本合同约定、招标文件、中标人的投标文件、澄清文件和中标通知书（以上文件发生冲突时以较高标准为准）的要求；单证齐全，有产品合格证（或质量保证书）、发票和其它应当具有单证文件。</w:t>
            </w:r>
          </w:p>
        </w:tc>
      </w:tr>
      <w:tr>
        <w:tc>
          <w:tcPr>
            <w:tcW w:type="dxa" w:w="4153"/>
          </w:tcPr>
          <w:p>
            <w:r>
              <w:rPr/>
              <w:t>履约保证金</w:t>
            </w:r>
          </w:p>
        </w:tc>
        <w:tc>
          <w:tcPr>
            <w:tcW w:type="dxa" w:w="4153"/>
          </w:tcPr>
          <w:p/>
          <w:p/>
          <w:p/>
          <w:p/>
          <w:p>
            <w:r>
              <w:rPr/>
              <w:t>收取比例：5%,说明：中标人须在收到第一期货款后的5个工作日内向采购人支付合同总金额的5%作为履约保证金，可转账或采取银行保函形式，银行保函有效期至合同履约结束；如转账支付履约保证金的，2年保修期满后的60日内由采购人不计利息退还履约保证金，保修期依然生效。</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授权书</w:t>
            </w:r>
          </w:p>
        </w:tc>
        <w:tc>
          <w:tcPr>
            <w:tcW w:type="dxa" w:w="2076"/>
          </w:tcPr>
          <w:p>
            <w:pPr>
              <w:jc w:val="left"/>
            </w:pPr>
            <w:r>
              <w:rPr/>
              <w:t>如投标人所投的产品不是投标人自己制造的，投标人应得到制造商同意其在本次投标中提供该货物的正式授权书。</w:t>
            </w:r>
          </w:p>
        </w:tc>
      </w:tr>
      <w:tr>
        <w:tc>
          <w:tcPr>
            <w:tcW w:type="dxa" w:w="2076"/>
          </w:tcPr>
          <w:p>
            <w:pPr>
              <w:jc w:val="center"/>
            </w:pPr>
            <w:r>
              <w:rPr/>
              <w:t>★</w:t>
            </w:r>
          </w:p>
        </w:tc>
        <w:tc>
          <w:tcPr>
            <w:tcW w:type="dxa" w:w="2076"/>
          </w:tcPr>
          <w:p>
            <w:pPr>
              <w:jc w:val="center"/>
            </w:pPr>
            <w:r>
              <w:rPr/>
              <w:t>2</w:t>
            </w:r>
          </w:p>
        </w:tc>
        <w:tc>
          <w:tcPr>
            <w:tcW w:type="dxa" w:w="2076"/>
          </w:tcPr>
          <w:p>
            <w:pPr>
              <w:jc w:val="left"/>
            </w:pPr>
            <w:r>
              <w:rPr/>
              <w:t>配置清单</w:t>
            </w:r>
          </w:p>
        </w:tc>
        <w:tc>
          <w:tcPr>
            <w:tcW w:type="dxa" w:w="2076"/>
          </w:tcPr>
          <w:p>
            <w:pPr>
              <w:jc w:val="left"/>
            </w:pPr>
            <w:r>
              <w:rPr/>
              <w:t>投标人须提供所投产品完整的配置清单。</w:t>
            </w:r>
          </w:p>
        </w:tc>
      </w:tr>
      <w:tr>
        <w:tc>
          <w:tcPr>
            <w:tcW w:type="dxa" w:w="2076"/>
          </w:tcPr>
          <w:p>
            <w:pPr>
              <w:jc w:val="center"/>
            </w:pPr>
            <w:r>
              <w:rPr/>
              <w:t>★</w:t>
            </w:r>
          </w:p>
        </w:tc>
        <w:tc>
          <w:tcPr>
            <w:tcW w:type="dxa" w:w="2076"/>
          </w:tcPr>
          <w:p>
            <w:pPr>
              <w:jc w:val="center"/>
            </w:pPr>
            <w:r>
              <w:rPr/>
              <w:t>3</w:t>
            </w:r>
          </w:p>
        </w:tc>
        <w:tc>
          <w:tcPr>
            <w:tcW w:type="dxa" w:w="2076"/>
          </w:tcPr>
          <w:p>
            <w:pPr>
              <w:jc w:val="left"/>
            </w:pPr>
            <w:r>
              <w:rPr/>
              <w:t>配套耗材</w:t>
            </w:r>
          </w:p>
        </w:tc>
        <w:tc>
          <w:tcPr>
            <w:tcW w:type="dxa" w:w="2076"/>
          </w:tcPr>
          <w:p>
            <w:pPr>
              <w:jc w:val="left"/>
            </w:pPr>
            <w:r>
              <w:rPr/>
              <w:t>如投标人所投产品含有配套耗材，须提供配套耗材的报价明细，该报价将作为后期采购的参考价格，但不包括在本次投标报价中；如投标人所投产品不含有配套耗材，提供不需要配套耗材的声明函。（格式详见公告附件）</w:t>
            </w:r>
          </w:p>
        </w:tc>
      </w:tr>
      <w:tr>
        <w:tc>
          <w:tcPr>
            <w:tcW w:type="dxa" w:w="2076"/>
          </w:tcPr>
          <w:p>
            <w:pPr>
              <w:jc w:val="center"/>
            </w:pPr>
            <w:r>
              <w:rPr/>
              <w:t>★</w:t>
            </w:r>
          </w:p>
        </w:tc>
        <w:tc>
          <w:tcPr>
            <w:tcW w:type="dxa" w:w="2076"/>
          </w:tcPr>
          <w:p>
            <w:pPr>
              <w:jc w:val="center"/>
            </w:pPr>
            <w:r>
              <w:rPr/>
              <w:t>4</w:t>
            </w:r>
          </w:p>
        </w:tc>
        <w:tc>
          <w:tcPr>
            <w:tcW w:type="dxa" w:w="2076"/>
          </w:tcPr>
          <w:p>
            <w:pPr>
              <w:jc w:val="left"/>
            </w:pPr>
            <w:r>
              <w:rPr/>
              <w:t>保修期</w:t>
            </w:r>
          </w:p>
        </w:tc>
        <w:tc>
          <w:tcPr>
            <w:tcW w:type="dxa" w:w="2076"/>
          </w:tcPr>
          <w:p>
            <w:pPr>
              <w:jc w:val="left"/>
            </w:pPr>
            <w:r>
              <w:rPr/>
              <w:t>保修期自本项目设备经双方验收合格次日起计算，中标人须负责本项目所有设备保修不少于3年，保修范围包括但不限于更换零件费用及维修工时费等。保修期内，中标人须提供7*24小时服务。所有保修费用已含在投标报价中。</w:t>
            </w:r>
          </w:p>
        </w:tc>
      </w:tr>
      <w:tr>
        <w:tc>
          <w:tcPr>
            <w:tcW w:type="dxa" w:w="2076"/>
          </w:tcPr>
          <w:p>
            <w:pPr>
              <w:jc w:val="center"/>
            </w:pPr>
            <w:r>
              <w:rPr/>
              <w:t>★</w:t>
            </w:r>
          </w:p>
        </w:tc>
        <w:tc>
          <w:tcPr>
            <w:tcW w:type="dxa" w:w="2076"/>
          </w:tcPr>
          <w:p>
            <w:pPr>
              <w:jc w:val="center"/>
            </w:pPr>
            <w:r>
              <w:rPr/>
              <w:t>5</w:t>
            </w:r>
          </w:p>
        </w:tc>
        <w:tc>
          <w:tcPr>
            <w:tcW w:type="dxa" w:w="2076"/>
          </w:tcPr>
          <w:p>
            <w:pPr>
              <w:jc w:val="left"/>
            </w:pPr>
            <w:r>
              <w:rPr/>
              <w:t>医疗器械注册/备案</w:t>
            </w:r>
          </w:p>
        </w:tc>
        <w:tc>
          <w:tcPr>
            <w:tcW w:type="dxa" w:w="2076"/>
          </w:tcPr>
          <w:p>
            <w:pPr>
              <w:jc w:val="left"/>
            </w:pPr>
            <w:r>
              <w:rPr/>
              <w:t>①如所投产品为第一类医疗器械，须具有第一类医疗器械产品备案凭证。 ②如所投产品为第二类、第三类医疗器械，须具有中华人民共和国医疗器械注册证。 ③如所投产品不属于医疗器械，须提供不作为医疗器械管理的药监部门分类界定批文或不作为医疗器械管理的说明函。</w:t>
            </w:r>
          </w:p>
        </w:tc>
      </w:tr>
      <w:tr>
        <w:tc>
          <w:tcPr>
            <w:tcW w:type="dxa" w:w="2076"/>
          </w:tcPr>
          <w:p>
            <w:pPr>
              <w:jc w:val="center"/>
            </w:pPr>
            <w:r>
              <w:rPr/>
              <w:t>★</w:t>
            </w:r>
          </w:p>
        </w:tc>
        <w:tc>
          <w:tcPr>
            <w:tcW w:type="dxa" w:w="2076"/>
          </w:tcPr>
          <w:p>
            <w:pPr>
              <w:jc w:val="center"/>
            </w:pPr>
            <w:r>
              <w:rPr/>
              <w:t>6</w:t>
            </w:r>
          </w:p>
        </w:tc>
        <w:tc>
          <w:tcPr>
            <w:tcW w:type="dxa" w:w="2076"/>
          </w:tcPr>
          <w:p>
            <w:pPr>
              <w:jc w:val="left"/>
            </w:pPr>
            <w:r>
              <w:rPr/>
              <w:t>付款方式</w:t>
            </w:r>
          </w:p>
        </w:tc>
        <w:tc>
          <w:tcPr>
            <w:tcW w:type="dxa" w:w="2076"/>
          </w:tcPr>
          <w:p>
            <w:pPr>
              <w:jc w:val="left"/>
            </w:pPr>
            <w:r>
              <w:rPr/>
              <w:t>1期：支付比例30%，合同签订生效后的30个工作日内，将合同总金额的30%支付给中标人。 2期：支付比例70%，设备运到指定地点，安装调试完毕并验收合格入库后且中标人完成履约保证金相关手续后的30个工作日内将合同总金额的70%支付给中标人。</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医用 X 线诊断设备</w:t>
            </w:r>
          </w:p>
        </w:tc>
        <w:tc>
          <w:tcPr>
            <w:tcW w:type="dxa" w:w="831"/>
          </w:tcPr>
          <w:p>
            <w:pPr>
              <w:jc w:val="left"/>
            </w:pPr>
            <w:r>
              <w:rPr/>
              <w:t>杂交手术室</w:t>
            </w:r>
          </w:p>
        </w:tc>
        <w:tc>
          <w:tcPr>
            <w:tcW w:type="dxa" w:w="831"/>
          </w:tcPr>
          <w:p>
            <w:pPr>
              <w:jc w:val="left"/>
            </w:pPr>
            <w:r>
              <w:rPr/>
              <w:t>套</w:t>
            </w:r>
          </w:p>
        </w:tc>
        <w:tc>
          <w:tcPr>
            <w:tcW w:type="dxa" w:w="831"/>
          </w:tcPr>
          <w:p>
            <w:pPr>
              <w:jc w:val="right"/>
            </w:pPr>
            <w:r>
              <w:rPr/>
              <w:t>1.00</w:t>
            </w:r>
          </w:p>
        </w:tc>
        <w:tc>
          <w:tcPr>
            <w:tcW w:type="dxa" w:w="831"/>
          </w:tcPr>
          <w:p>
            <w:pPr>
              <w:jc w:val="right"/>
            </w:pPr>
            <w:r>
              <w:rPr/>
              <w:t>27,000,000.00</w:t>
            </w:r>
          </w:p>
        </w:tc>
        <w:tc>
          <w:tcPr>
            <w:tcW w:type="dxa" w:w="831"/>
          </w:tcPr>
          <w:p>
            <w:pPr>
              <w:jc w:val="right"/>
            </w:pPr>
            <w:r>
              <w:rPr/>
              <w:t>27,000,000.00</w:t>
            </w:r>
          </w:p>
        </w:tc>
        <w:tc>
          <w:tcPr>
            <w:tcW w:type="dxa" w:w="831"/>
          </w:tcPr>
          <w:p>
            <w:r>
              <w:rPr/>
              <w:t>工业</w:t>
            </w:r>
          </w:p>
        </w:tc>
        <w:tc>
          <w:tcPr>
            <w:tcW w:type="dxa" w:w="831"/>
          </w:tcPr>
          <w:p>
            <w:r>
              <w:rPr/>
              <w:t>详见附表一</w:t>
            </w:r>
          </w:p>
        </w:tc>
      </w:tr>
    </w:tbl>
    <w:p/>
    <w:p>
      <w:r>
        <w:rPr>
          <w:b/>
        </w:rPr>
        <w:t>附表</w:t>
      </w:r>
      <w:r>
        <w:rPr>
          <w:b/>
        </w:rPr>
        <w:t>一</w:t>
      </w:r>
      <w:r>
        <w:rPr>
          <w:b/>
        </w:rPr>
        <w:t>：</w:t>
      </w:r>
      <w:r>
        <w:rPr>
          <w:b/>
        </w:rPr>
        <w:t>杂交手术室</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详见项目采购内容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1.采购代理机构：本项目是指国义招标股份有限公司 ，负责整个采购活动的组织，依法负责编制和发布招标文件，对招标文件拥有最终的解释权，不以任何身份出任评标委员会成员。</w:t>
      </w:r>
    </w:p>
    <w:p>
      <w:pPr>
        <w:ind w:firstLine="480"/>
      </w:pPr>
      <w:r>
        <w:rPr/>
        <w:t>2.采购人：本项目是指</w:t>
      </w:r>
      <w:r>
        <w:rPr/>
        <w:t>江门市中心医院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以本项目的中标金额作为计算基数，参照原国家计委颁发的计价[2002]1980号文《招标代理服务收费管理暂行办法》及国家发改委颁发的发改价[2011]534号文《国家发改委关于降低部分建设项目收费标准规范收费行为等有关问题的通知》的有关规定执行，按差额定率累进法计算并下浮20%收取（货物类）</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请按公告附件格式填写《中标服务费开票信息确认函》，以便我司向中标人开具中标服务费发票。</w:t>
            </w:r>
          </w:p>
        </w:tc>
      </w:tr>
      <w:tr>
        <w:tc>
          <w:tcPr>
            <w:tcW w:type="dxa" w:w="1051"/>
          </w:tcPr>
          <w:p>
            <w:r>
              <w:rPr/>
              <w:t>19</w:t>
            </w:r>
          </w:p>
        </w:tc>
        <w:tc>
          <w:tcPr>
            <w:tcW w:type="dxa" w:w="2252"/>
          </w:tcPr>
          <w:p>
            <w:r>
              <w:rPr/>
              <w:t>开标解密时长</w:t>
            </w:r>
          </w:p>
        </w:tc>
        <w:tc>
          <w:tcPr>
            <w:tcW w:type="dxa" w:w="5004"/>
          </w:tcPr>
          <w:p>
            <w:r>
              <w:rPr/>
              <w:t>根据实际情况填写。具体情况根据开标（开启）时现场代理机构人员设 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国义招标股份有限公司</w:t>
      </w:r>
      <w:r>
        <w:rPr/>
        <w:t>代收。具体操作要求详见</w:t>
      </w:r>
      <w:r>
        <w:rPr/>
        <w:t>国义招标股份有限公司</w:t>
      </w:r>
      <w:r>
        <w:rPr/>
        <w:t>有关指引，递交事宜请自行咨询</w:t>
      </w:r>
      <w:r>
        <w:rPr/>
        <w:t>国义招标股份有限公司</w:t>
      </w:r>
      <w:r>
        <w:rPr/>
        <w:t>；请各投标人在投标文件递交截止时间前按须知前附表规定的金额递交至</w:t>
      </w:r>
      <w:r>
        <w:rPr/>
        <w:t>国义招标股份有限公司</w:t>
      </w:r>
      <w:r>
        <w:rPr/>
        <w:t>，到账情况以开标时</w:t>
      </w:r>
      <w:r>
        <w:rPr/>
        <w:t>国义招标股份有限公司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郭春曦</w:t>
      </w:r>
    </w:p>
    <w:p>
      <w:pPr>
        <w:ind w:firstLine="480"/>
      </w:pPr>
      <w:r>
        <w:rPr/>
        <w:t>电话：</w:t>
      </w:r>
      <w:r>
        <w:rPr/>
        <w:t>020-37860711</w:t>
      </w:r>
    </w:p>
    <w:p>
      <w:pPr>
        <w:ind w:firstLine="480"/>
      </w:pPr>
      <w:r>
        <w:rPr/>
        <w:t>传真：</w:t>
      </w:r>
      <w:r>
        <w:rPr/>
        <w:t>020-37860699</w:t>
      </w:r>
    </w:p>
    <w:p>
      <w:pPr>
        <w:ind w:firstLine="480"/>
      </w:pPr>
      <w:r>
        <w:rPr/>
        <w:t>邮箱：</w:t>
      </w:r>
      <w:r>
        <w:rPr/>
        <w:t>guochunxi@ebidding.com</w:t>
      </w:r>
    </w:p>
    <w:p>
      <w:pPr>
        <w:ind w:firstLine="480"/>
      </w:pPr>
      <w:r>
        <w:rPr/>
        <w:t>地址：</w:t>
      </w:r>
      <w:r>
        <w:rPr/>
        <w:t>广州市越秀区东风东路726号9楼</w:t>
      </w:r>
    </w:p>
    <w:p>
      <w:pPr>
        <w:ind w:firstLine="480"/>
      </w:pPr>
      <w:r>
        <w:rPr/>
        <w:t>邮编：</w:t>
      </w:r>
      <w:r>
        <w:rPr/>
        <w:t>510020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政府采购监督管理机构名称：江门市财政局</w:t>
      </w:r>
    </w:p>
    <w:p>
      <w:r>
        <w:rPr/>
        <w:t>地  址：江门市蓬江区华园中路21-23号</w:t>
      </w:r>
    </w:p>
    <w:p>
      <w:r>
        <w:rPr/>
        <w:t>电  话：0750-3507009</w:t>
      </w:r>
    </w:p>
    <w:p>
      <w:r>
        <w:rPr/>
        <w:t>邮  编：529000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采购包1(杂交手术室)：综合评分法,是指投标文件满足招标文件全部实质性要求，且按照评审因素的量化指标评审得分最高的投标人为中标候选人的评标方法。（最低报价不是中标的唯一依据。）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国义招标股份有限公司</w:t>
      </w:r>
      <w:r>
        <w:rPr/>
        <w:t>统一对外发布。</w:t>
      </w:r>
    </w:p>
    <w:p>
      <w:pPr>
        <w:ind w:firstLine="480"/>
      </w:pPr>
      <w:r>
        <w:rPr/>
        <w:t>（2）对</w:t>
      </w:r>
      <w:r>
        <w:rPr/>
        <w:t>国义招标股份有限公司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采购包1（杂交手术室）：</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采购包1（杂交手术室）：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供应商必须具有良好的商业信誉和健全的财务会计制度（提供2021-2022年任意一年财务状况报告或基本开户行出具的资信证明）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按投标（响应）文件格式填报设备及专业技术能力情况或提供承诺函承诺相关内容。</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供应商必须符合法律、行政法规规定的其他条件1</w:t>
            </w:r>
          </w:p>
        </w:tc>
        <w:tc>
          <w:tcPr>
            <w:tcW w:type="dxa" w:w="4238"/>
          </w:tcPr>
          <w:p>
            <w:r>
              <w:rPr/>
              <w:t>单位负责人为同一人或者存在直接控股、管理关系的不同供应商，不得同时参加本采购项目同一采购包投标（响应）（提供投标（报价）函承诺相关内容）。</w:t>
            </w:r>
          </w:p>
        </w:tc>
      </w:tr>
      <w:tr>
        <w:tc>
          <w:tcPr>
            <w:tcW w:type="dxa" w:w="890"/>
          </w:tcPr>
          <w:p>
            <w:r>
              <w:rPr/>
              <w:t>8</w:t>
            </w:r>
          </w:p>
        </w:tc>
        <w:tc>
          <w:tcPr>
            <w:tcW w:type="dxa" w:w="3178"/>
          </w:tcPr>
          <w:p>
            <w:r>
              <w:rPr/>
              <w:t>供应商必须符合法律、行政法规规定的其他条件2</w:t>
            </w:r>
          </w:p>
        </w:tc>
        <w:tc>
          <w:tcPr>
            <w:tcW w:type="dxa" w:w="4238"/>
          </w:tcPr>
          <w:p>
            <w:r>
              <w:rPr/>
              <w:t>为本项目提供整体设计、规范编制或者项目管理、监理、检测等服务的供应商，不得再参与本项目投标（响应）（提供投标（报价）函承诺相关内容）。</w:t>
            </w:r>
          </w:p>
        </w:tc>
      </w:tr>
      <w:tr>
        <w:tc>
          <w:tcPr>
            <w:tcW w:type="dxa" w:w="890"/>
          </w:tcPr>
          <w:p>
            <w:r>
              <w:rPr/>
              <w:t>9</w:t>
            </w:r>
          </w:p>
        </w:tc>
        <w:tc>
          <w:tcPr>
            <w:tcW w:type="dxa" w:w="3178"/>
          </w:tcPr>
          <w:p>
            <w:r>
              <w:rPr/>
              <w:t>医疗器械经营要求</w:t>
            </w:r>
          </w:p>
        </w:tc>
        <w:tc>
          <w:tcPr>
            <w:tcW w:type="dxa" w:w="4238"/>
          </w:tcPr>
          <w:p>
            <w:r>
              <w:rPr/>
              <w:t>①如供应商为所投产品代理商：所投产品为第二类医疗器械的，须具有第二类医疗器械经营备案凭证或承诺供货前取得第二类医疗器械经营备案凭证；所投产品为第三类医疗器械的，须具有医疗器械经营许可证。②如供应商为所投产品制造商：所投产品为第二类、第三类医疗器械的，须具有医疗器械生产许可证。</w:t>
            </w:r>
          </w:p>
        </w:tc>
      </w:tr>
    </w:tbl>
    <w:p/>
    <w:p>
      <w:pPr>
        <w:ind w:firstLine="480"/>
      </w:pPr>
      <w:r>
        <w:rPr/>
        <w:t>表二符合性审查表：</w:t>
      </w:r>
    </w:p>
    <w:p>
      <w:pPr>
        <w:ind w:firstLine="480"/>
      </w:pPr>
    </w:p>
    <w:p/>
    <w:p>
      <w:r>
        <w:rPr/>
        <w:t>采购包1（杂交手术室）：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从提交投标（响应）文件的截止之日起不少于90日历天。</w:t>
            </w:r>
          </w:p>
        </w:tc>
      </w:tr>
      <w:tr>
        <w:tc>
          <w:tcPr>
            <w:tcW w:type="dxa" w:w="890"/>
          </w:tcPr>
          <w:p>
            <w:r>
              <w:rPr/>
              <w:t>2</w:t>
            </w:r>
          </w:p>
        </w:tc>
        <w:tc>
          <w:tcPr>
            <w:tcW w:type="dxa" w:w="3178"/>
          </w:tcPr>
          <w:p>
            <w:r>
              <w:rPr/>
              <w:t>投标报价</w:t>
            </w:r>
          </w:p>
        </w:tc>
        <w:tc>
          <w:tcPr>
            <w:tcW w:type="dxa" w:w="4238"/>
          </w:tcPr>
          <w:p>
            <w:r>
              <w:rPr/>
              <w:t>（1）对本采购包全部内容进行报价；（2）投标报价是唯一确定的；（3）投标报价不超过采购预算；（4）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r>
              <w:rPr/>
              <w:t>3</w:t>
            </w:r>
          </w:p>
        </w:tc>
        <w:tc>
          <w:tcPr>
            <w:tcW w:type="dxa" w:w="3178"/>
          </w:tcPr>
          <w:p>
            <w:r>
              <w:rPr/>
              <w:t>投标函</w:t>
            </w:r>
          </w:p>
        </w:tc>
        <w:tc>
          <w:tcPr>
            <w:tcW w:type="dxa" w:w="4238"/>
          </w:tcPr>
          <w:p>
            <w:r>
              <w:rPr/>
              <w:t>提交《投标函》，并按要求签署、盖章。</w:t>
            </w:r>
          </w:p>
        </w:tc>
      </w:tr>
      <w:tr>
        <w:tc>
          <w:tcPr>
            <w:tcW w:type="dxa" w:w="890"/>
          </w:tcPr>
          <w:p>
            <w:r>
              <w:rPr/>
              <w:t>4</w:t>
            </w:r>
          </w:p>
        </w:tc>
        <w:tc>
          <w:tcPr>
            <w:tcW w:type="dxa" w:w="3178"/>
          </w:tcPr>
          <w:p>
            <w:r>
              <w:rPr/>
              <w:t>法定代表人证明书及授权委托书</w:t>
            </w:r>
          </w:p>
        </w:tc>
        <w:tc>
          <w:tcPr>
            <w:tcW w:type="dxa" w:w="4238"/>
          </w:tcPr>
          <w:p>
            <w:r>
              <w:rPr/>
              <w:t>提交法定代表人证明书及授权委托书，并按要求签署、盖章。</w:t>
            </w:r>
          </w:p>
        </w:tc>
      </w:tr>
      <w:tr>
        <w:tc>
          <w:tcPr>
            <w:tcW w:type="dxa" w:w="890"/>
          </w:tcPr>
          <w:p>
            <w:r>
              <w:rPr/>
              <w:t>5</w:t>
            </w:r>
          </w:p>
        </w:tc>
        <w:tc>
          <w:tcPr>
            <w:tcW w:type="dxa" w:w="3178"/>
          </w:tcPr>
          <w:p>
            <w:r>
              <w:rPr/>
              <w:t>“★”号条款</w:t>
            </w:r>
          </w:p>
        </w:tc>
        <w:tc>
          <w:tcPr>
            <w:tcW w:type="dxa" w:w="4238"/>
          </w:tcPr>
          <w:p>
            <w:r>
              <w:rPr/>
              <w:t>招标文件中，凡标有“★”的地方均为实质性响应条款，投标人若有一项带“★”的条款未响应或不满足，将按无效投标处理。</w:t>
            </w:r>
          </w:p>
        </w:tc>
      </w:tr>
      <w:tr>
        <w:tc>
          <w:tcPr>
            <w:tcW w:type="dxa" w:w="890"/>
          </w:tcPr>
          <w:p>
            <w:r>
              <w:rPr/>
              <w:t>6</w:t>
            </w:r>
          </w:p>
        </w:tc>
        <w:tc>
          <w:tcPr>
            <w:tcW w:type="dxa" w:w="3178"/>
          </w:tcPr>
          <w:p>
            <w:r>
              <w:rPr/>
              <w:t>产品来源</w:t>
            </w:r>
          </w:p>
        </w:tc>
        <w:tc>
          <w:tcPr>
            <w:tcW w:type="dxa" w:w="4238"/>
          </w:tcPr>
          <w:p>
            <w:r>
              <w:rPr/>
              <w:t>本项目允许采购进口产品，投标人所投产品为国产产品或进口产品。</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采购包1(杂交手术室):</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用户需求书中带“▲”号的重要条款的响应情况 (30.0分)</w:t>
            </w:r>
          </w:p>
        </w:tc>
        <w:tc>
          <w:tcPr>
            <w:tcW w:type="dxa" w:w="5076"/>
          </w:tcPr>
          <w:p>
            <w:pPr>
              <w:jc w:val="left"/>
            </w:pPr>
            <w:r>
              <w:rPr/>
              <w:t>投标人所投产品全部满足用户需求书中带“▲”的重要条款，得30分；有1项条款为负偏离或不响应，得24分；有2项条款为负偏离或不响应，得18分；有3项条款为负偏离或不响应，得12分；有4项条款为负偏离或不响应，得6分；有5项（含）以上条款为负偏离或不响应，得0分。【注：按以下要求提供证明材料：①用户需求书有要求的按用户需求书要求提供证明材料；②用户需求书中无要求的提供所投产品彩页、技术白皮书、图片或制造商针对本项目所作的技术参数说明或国家认可的第三方检测机构出具的检测报告复印件（投标人须按货物实际参数进行响应，否则视为提供虚假材料谋取中标资格）】</w:t>
            </w:r>
          </w:p>
        </w:tc>
      </w:tr>
      <w:tr>
        <w:tc>
          <w:tcPr>
            <w:tcW w:type="dxa" w:w="922"/>
            <w:gridSpan w:val="2"/>
            <w:vMerge/>
          </w:tcPr>
          <w:p/>
        </w:tc>
        <w:tc>
          <w:tcPr>
            <w:tcW w:type="dxa" w:w="2307"/>
          </w:tcPr>
          <w:p>
            <w:pPr>
              <w:jc w:val="left"/>
            </w:pPr>
            <w:r>
              <w:rPr/>
              <w:t>用户需求书中不带“▲”“★”号的一般条款的响应情况 (20.0分)</w:t>
            </w:r>
          </w:p>
        </w:tc>
        <w:tc>
          <w:tcPr>
            <w:tcW w:type="dxa" w:w="5076"/>
          </w:tcPr>
          <w:p>
            <w:pPr>
              <w:jc w:val="left"/>
            </w:pPr>
            <w:r>
              <w:rPr/>
              <w:t>投标人所投产品全部满足用户需求书中不带“▲”“★”的一般条款，得20分；有1项条款为负偏离或不响应，得17.5分；有2项条款为负偏离或不响应，得15分；有3项条款为负偏离或不响应，得12.5分；有4项条款为负偏离或不响应，得10分；有5项条款为负偏离或不响应，得7.5分；有6项条款为负偏离或不响应，得5分；有7项条款为负偏离或不响应，得2.5分；有8项（含）以上条款为负偏离或不响应，得0分。</w:t>
            </w:r>
          </w:p>
        </w:tc>
      </w:tr>
      <w:tr>
        <w:tc>
          <w:tcPr>
            <w:tcW w:type="dxa" w:w="922"/>
            <w:gridSpan w:val="2"/>
            <w:vMerge/>
          </w:tcPr>
          <w:p/>
        </w:tc>
        <w:tc>
          <w:tcPr>
            <w:tcW w:type="dxa" w:w="2307"/>
          </w:tcPr>
          <w:p>
            <w:pPr>
              <w:jc w:val="left"/>
            </w:pPr>
            <w:r>
              <w:rPr/>
              <w:t>与所投产品同类型或同系列的产品在国内的销售情况 (5.0分)</w:t>
            </w:r>
          </w:p>
        </w:tc>
        <w:tc>
          <w:tcPr>
            <w:tcW w:type="dxa" w:w="5076"/>
          </w:tcPr>
          <w:p>
            <w:pPr>
              <w:jc w:val="left"/>
            </w:pPr>
            <w:r>
              <w:rPr/>
              <w:t>考察与所投产品同类型或同系列的产品在国内的销售情况，提供销售客户清单等情况介绍材料。销售客户20家（含）或以上，得5分；销售客户10家（含）至19家（含），得3分；销售客户1家（含）至9家（含），得1分；其他或无清单等介绍材料，得0分。投标人对各自提供的业绩材料的真实性负责，如存在提供虚假材料情况，将承担相应的法律责任。</w:t>
            </w:r>
          </w:p>
        </w:tc>
      </w:tr>
      <w:tr>
        <w:tc>
          <w:tcPr>
            <w:tcW w:type="dxa" w:w="922"/>
            <w:gridSpan w:val="2"/>
            <w:vMerge/>
          </w:tcPr>
          <w:p/>
        </w:tc>
        <w:tc>
          <w:tcPr>
            <w:tcW w:type="dxa" w:w="2307"/>
          </w:tcPr>
          <w:p>
            <w:pPr>
              <w:jc w:val="left"/>
            </w:pPr>
            <w:r>
              <w:rPr/>
              <w:t>售后服务内容 (5.0分)</w:t>
            </w:r>
            <w:r>
              <w:rPr/>
              <w:t>，（等次分值选择：</w:t>
            </w:r>
            <w:r>
              <w:rPr/>
              <w:t>0.0;</w:t>
            </w:r>
            <w:r>
              <w:rPr/>
              <w:t>1.0;</w:t>
            </w:r>
            <w:r>
              <w:rPr/>
              <w:t>3.0;</w:t>
            </w:r>
            <w:r>
              <w:rPr/>
              <w:t>5.0;</w:t>
            </w:r>
            <w:r>
              <w:rPr/>
              <w:t>）</w:t>
            </w:r>
          </w:p>
        </w:tc>
        <w:tc>
          <w:tcPr>
            <w:tcW w:type="dxa" w:w="5076"/>
          </w:tcPr>
          <w:p>
            <w:pPr>
              <w:jc w:val="left"/>
            </w:pPr>
            <w:r>
              <w:rPr/>
              <w:t>投标人提供详细的售后服务方案，方案包括交货及安装内容、服务响应时间、零配件供应情况、维保服务内容、培训内容等：具有完善具体可行的售后服务方案，售后服务便捷、响应速度快，各阶段服务方案详尽，满足采购人需求，得5分；有提供售后服务方案，且有一定的可行性，售后服务较便捷，响应及时，各阶段服务方案完整，基本满足采购人需求，得3分；有提供售后服务方案，但可行性不强，售后服务内容及各阶段服务计划完整性有缺漏，得1分；其它情况，得0分。</w:t>
            </w:r>
          </w:p>
        </w:tc>
      </w:tr>
      <w:tr>
        <w:tc>
          <w:tcPr>
            <w:tcW w:type="dxa" w:w="922"/>
            <w:gridSpan w:val="2"/>
            <w:vMerge w:val="restart"/>
          </w:tcPr>
          <w:p>
            <w:pPr>
              <w:jc w:val="center"/>
            </w:pPr>
            <w:r>
              <w:rPr/>
              <w:t>商务部分</w:t>
            </w:r>
          </w:p>
        </w:tc>
        <w:tc>
          <w:tcPr>
            <w:tcW w:type="dxa" w:w="2307"/>
          </w:tcPr>
          <w:p>
            <w:pPr>
              <w:jc w:val="left"/>
            </w:pPr>
            <w:r>
              <w:rPr/>
              <w:t>投标人的履约评价 (2.0分)</w:t>
            </w:r>
          </w:p>
        </w:tc>
        <w:tc>
          <w:tcPr>
            <w:tcW w:type="dxa" w:w="5076"/>
          </w:tcPr>
          <w:p>
            <w:pPr>
              <w:jc w:val="left"/>
            </w:pPr>
            <w:r>
              <w:rPr/>
              <w:t>投标人具有以下其中任意一种证书或评价得2分，满分2分。1、职业健康安全管理体系认证证书；2、环境管理体系认证证书；3、质量管理体系认证证书；4、用户满意度调查表或用户评价（评价需为正面，同一客户/同一项目多份评价只计一份）。【注：提供有效期内的证书复印件，无提供不得分】</w:t>
            </w:r>
          </w:p>
        </w:tc>
      </w:tr>
      <w:tr>
        <w:tc>
          <w:tcPr>
            <w:tcW w:type="dxa" w:w="922"/>
            <w:gridSpan w:val="2"/>
            <w:vMerge/>
          </w:tcPr>
          <w:p/>
        </w:tc>
        <w:tc>
          <w:tcPr>
            <w:tcW w:type="dxa" w:w="2307"/>
          </w:tcPr>
          <w:p>
            <w:pPr>
              <w:jc w:val="left"/>
            </w:pPr>
            <w:r>
              <w:rPr/>
              <w:t>投标人的供货能力 (4.0分)</w:t>
            </w:r>
          </w:p>
        </w:tc>
        <w:tc>
          <w:tcPr>
            <w:tcW w:type="dxa" w:w="5076"/>
          </w:tcPr>
          <w:p>
            <w:pPr>
              <w:jc w:val="left"/>
            </w:pPr>
            <w:r>
              <w:rPr/>
              <w:t>投标人2020年1月以来具有医疗设备供货的业绩，每个得2分，最高得4分。【注：提供以投标人名义签订的合同复印件作为评价证明资料】</w:t>
            </w:r>
          </w:p>
        </w:tc>
      </w:tr>
      <w:tr>
        <w:tc>
          <w:tcPr>
            <w:tcW w:type="dxa" w:w="922"/>
            <w:gridSpan w:val="2"/>
            <w:vMerge/>
          </w:tcPr>
          <w:p/>
        </w:tc>
        <w:tc>
          <w:tcPr>
            <w:tcW w:type="dxa" w:w="2307"/>
          </w:tcPr>
          <w:p>
            <w:pPr>
              <w:jc w:val="left"/>
            </w:pPr>
            <w:r>
              <w:rPr/>
              <w:t>合同条款的响应情况 (4.0分)</w:t>
            </w:r>
          </w:p>
        </w:tc>
        <w:tc>
          <w:tcPr>
            <w:tcW w:type="dxa" w:w="5076"/>
          </w:tcPr>
          <w:p>
            <w:pPr>
              <w:jc w:val="left"/>
            </w:pPr>
            <w:r>
              <w:rPr/>
              <w:t>投标人全部满足合同条款，得4分；有1项条款为负偏离或不响应，得3分；有2项条款为负偏离或不响应，得2分；有3项条款为负偏离或不响应，得1分；有4项（含）以上条款为负偏离或不响应，得0分。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按以下顺序排列：（1）技术得分由高到低；（2）商务得分由高到低；（3）小型、微型企业，监狱企业，残疾人福利性单位；（4）节能、环保产品。如以上都相同，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p>
    <w:p>
      <w:pPr>
        <w:jc w:val="center"/>
      </w:pPr>
      <w:r>
        <w:rPr>
          <w:b/>
          <w:sz w:val="44"/>
        </w:rPr>
        <w:t>江门市中心医院医疗设备采购</w:t>
      </w:r>
      <w:r>
        <w:rPr>
          <w:b/>
          <w:sz w:val="44"/>
        </w:rPr>
        <w:t>合同</w:t>
      </w:r>
    </w:p>
    <w:p>
      <w:pPr>
        <w:jc w:val="center"/>
      </w:pPr>
    </w:p>
    <w:p>
      <w:pPr>
        <w:jc w:val="both"/>
      </w:pPr>
      <w:r>
        <w:rPr/>
        <w:t xml:space="preserve"> </w:t>
      </w:r>
    </w:p>
    <w:p>
      <w:pPr>
        <w:jc w:val="both"/>
      </w:pPr>
      <w:r>
        <w:rPr>
          <w:sz w:val="24"/>
        </w:rPr>
        <w:t>购货单位：江门市中心医院（以下简称甲方）</w:t>
      </w:r>
    </w:p>
    <w:p>
      <w:pPr>
        <w:jc w:val="both"/>
      </w:pPr>
      <w:r>
        <w:rPr>
          <w:sz w:val="24"/>
        </w:rPr>
        <w:t>供货单位：</w:t>
      </w:r>
      <w:r>
        <w:rPr>
          <w:sz w:val="21"/>
          <w:u w:val="single"/>
        </w:rPr>
        <w:t xml:space="preserve">              </w:t>
      </w:r>
      <w:r>
        <w:rPr>
          <w:sz w:val="24"/>
        </w:rPr>
        <w:t>（以下简称乙方）</w:t>
      </w:r>
    </w:p>
    <w:p>
      <w:pPr>
        <w:jc w:val="both"/>
      </w:pPr>
      <w:r>
        <w:rPr/>
        <w:t xml:space="preserve"> </w:t>
      </w:r>
    </w:p>
    <w:p>
      <w:pPr>
        <w:ind w:firstLine="480"/>
        <w:jc w:val="both"/>
      </w:pPr>
    </w:p>
    <w:p>
      <w:pPr>
        <w:ind w:firstLine="480"/>
        <w:jc w:val="both"/>
      </w:pPr>
      <w:r>
        <w:rPr>
          <w:sz w:val="24"/>
        </w:rPr>
        <w:t>甲乙双方根据《中华人民共和国民法典》、《中华人民共和国政府采购法》等有关法律法规的规定，按照</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日江门市中心医院医疗设备采购项目的采购结果、招标文件、乙方的投标文件及澄清文件和中标通知书（以上文件发生冲突时以较高标准为准）的要求，经双方协商一致，订立合同如下：</w:t>
      </w:r>
    </w:p>
    <w:p>
      <w:pPr>
        <w:ind w:firstLine="482"/>
        <w:jc w:val="left"/>
      </w:pPr>
      <w:r>
        <w:rPr>
          <w:b/>
          <w:sz w:val="24"/>
        </w:rPr>
        <w:t>第一条</w:t>
      </w:r>
      <w:r>
        <w:rPr>
          <w:b/>
          <w:sz w:val="24"/>
        </w:rPr>
        <w:t xml:space="preserve"> </w:t>
      </w:r>
      <w:r>
        <w:rPr>
          <w:b/>
          <w:sz w:val="24"/>
        </w:rPr>
        <w:t>项目的名称、项目总价和项目货物的清单（如名称、数量、规格、单价、型号、品牌和技术指标等）</w:t>
      </w:r>
    </w:p>
    <w:p>
      <w:pPr>
        <w:ind w:firstLine="480"/>
        <w:jc w:val="both"/>
      </w:pPr>
      <w:r>
        <w:rPr>
          <w:sz w:val="24"/>
        </w:rPr>
        <w:t>（一）项目名称：</w:t>
      </w:r>
      <w:r>
        <w:rPr>
          <w:sz w:val="21"/>
          <w:u w:val="single"/>
        </w:rPr>
        <w:t xml:space="preserve">                      </w:t>
      </w:r>
      <w:r>
        <w:rPr>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569"/>
        <w:gridCol w:w="1002"/>
        <w:gridCol w:w="1200"/>
        <w:gridCol w:w="1770"/>
        <w:gridCol w:w="1114"/>
        <w:gridCol w:w="618"/>
        <w:gridCol w:w="990"/>
        <w:gridCol w:w="1002"/>
      </w:tblGrid>
      <w:tr>
        <w:tc>
          <w:tcPr>
            <w:tcW w:type="dxa" w:w="569"/>
            <w:tcBorders>
              <w:top w:val="single" w:color="000000" w:sz="4"/>
              <w:left w:val="single" w:color="000000" w:sz="4"/>
              <w:bottom w:val="single" w:color="000000" w:sz="4"/>
              <w:right w:val="single" w:color="000000" w:sz="4"/>
            </w:tcBorders>
            <w:vAlign w:val="top"/>
          </w:tcPr>
          <w:p>
            <w:pPr>
              <w:jc w:val="center"/>
            </w:pPr>
            <w:r>
              <w:rPr>
                <w:b/>
                <w:sz w:val="24"/>
              </w:rPr>
              <w:t>序号</w:t>
            </w:r>
          </w:p>
        </w:tc>
        <w:tc>
          <w:tcPr>
            <w:tcW w:type="dxa" w:w="1002"/>
            <w:tcBorders>
              <w:top w:val="single" w:color="000000" w:sz="4"/>
              <w:left w:val="single" w:color="000000" w:sz="4"/>
              <w:bottom w:val="single" w:color="000000" w:sz="4"/>
              <w:right w:val="single" w:color="000000" w:sz="4"/>
            </w:tcBorders>
            <w:vAlign w:val="top"/>
          </w:tcPr>
          <w:p>
            <w:pPr>
              <w:jc w:val="center"/>
            </w:pPr>
            <w:r>
              <w:rPr>
                <w:b/>
                <w:sz w:val="24"/>
              </w:rPr>
              <w:t>货物名称</w:t>
            </w:r>
          </w:p>
        </w:tc>
        <w:tc>
          <w:tcPr>
            <w:tcW w:type="dxa" w:w="1200"/>
            <w:tcBorders>
              <w:top w:val="single" w:color="000000" w:sz="4"/>
              <w:left w:val="single" w:color="000000" w:sz="4"/>
              <w:bottom w:val="single" w:color="000000" w:sz="4"/>
              <w:right w:val="single" w:color="000000" w:sz="4"/>
            </w:tcBorders>
            <w:vAlign w:val="top"/>
          </w:tcPr>
          <w:p>
            <w:pPr>
              <w:jc w:val="center"/>
            </w:pPr>
            <w:r>
              <w:rPr>
                <w:b/>
                <w:sz w:val="24"/>
              </w:rPr>
              <w:t>注册证名称</w:t>
            </w:r>
          </w:p>
        </w:tc>
        <w:tc>
          <w:tcPr>
            <w:tcW w:type="dxa" w:w="1770"/>
            <w:tcBorders>
              <w:top w:val="single" w:color="000000" w:sz="4"/>
              <w:left w:val="single" w:color="000000" w:sz="4"/>
              <w:bottom w:val="single" w:color="000000" w:sz="4"/>
              <w:right w:val="single" w:color="000000" w:sz="4"/>
            </w:tcBorders>
            <w:vAlign w:val="top"/>
          </w:tcPr>
          <w:p>
            <w:pPr>
              <w:jc w:val="center"/>
            </w:pPr>
            <w:r>
              <w:rPr>
                <w:b/>
                <w:sz w:val="24"/>
              </w:rPr>
              <w:t>产地和制造商名称</w:t>
            </w:r>
          </w:p>
        </w:tc>
        <w:tc>
          <w:tcPr>
            <w:tcW w:type="dxa" w:w="1114"/>
            <w:tcBorders>
              <w:top w:val="single" w:color="000000" w:sz="4"/>
              <w:left w:val="single" w:color="000000" w:sz="4"/>
              <w:bottom w:val="single" w:color="000000" w:sz="4"/>
              <w:right w:val="single" w:color="000000" w:sz="4"/>
            </w:tcBorders>
            <w:vAlign w:val="top"/>
          </w:tcPr>
          <w:p>
            <w:pPr>
              <w:jc w:val="center"/>
            </w:pPr>
            <w:r>
              <w:rPr>
                <w:b/>
                <w:sz w:val="24"/>
              </w:rPr>
              <w:t>规格、型号</w:t>
            </w:r>
          </w:p>
        </w:tc>
        <w:tc>
          <w:tcPr>
            <w:tcW w:type="dxa" w:w="618"/>
            <w:tcBorders>
              <w:top w:val="single" w:color="000000" w:sz="4"/>
              <w:left w:val="single" w:color="000000" w:sz="4"/>
              <w:bottom w:val="single" w:color="000000" w:sz="4"/>
              <w:right w:val="single" w:color="000000" w:sz="4"/>
            </w:tcBorders>
            <w:vAlign w:val="top"/>
          </w:tcPr>
          <w:p>
            <w:pPr>
              <w:jc w:val="center"/>
            </w:pPr>
            <w:r>
              <w:rPr>
                <w:b/>
                <w:sz w:val="24"/>
              </w:rPr>
              <w:t>数量</w:t>
            </w:r>
          </w:p>
        </w:tc>
        <w:tc>
          <w:tcPr>
            <w:tcW w:type="dxa" w:w="990"/>
            <w:tcBorders>
              <w:top w:val="single" w:color="000000" w:sz="4"/>
              <w:left w:val="single" w:color="000000" w:sz="4"/>
              <w:bottom w:val="single" w:color="000000" w:sz="4"/>
              <w:right w:val="single" w:color="000000" w:sz="4"/>
            </w:tcBorders>
            <w:vAlign w:val="top"/>
          </w:tcPr>
          <w:p>
            <w:pPr>
              <w:jc w:val="center"/>
            </w:pPr>
            <w:r>
              <w:rPr>
                <w:b/>
                <w:sz w:val="24"/>
              </w:rPr>
              <w:t>单价（元）</w:t>
            </w:r>
          </w:p>
        </w:tc>
        <w:tc>
          <w:tcPr>
            <w:tcW w:type="dxa" w:w="1002"/>
            <w:tcBorders>
              <w:top w:val="single" w:color="000000" w:sz="4"/>
              <w:left w:val="single" w:color="000000" w:sz="4"/>
              <w:bottom w:val="single" w:color="000000" w:sz="4"/>
              <w:right w:val="single" w:color="000000" w:sz="4"/>
            </w:tcBorders>
            <w:vAlign w:val="top"/>
          </w:tcPr>
          <w:p>
            <w:pPr>
              <w:jc w:val="center"/>
            </w:pPr>
            <w:r>
              <w:rPr>
                <w:b/>
                <w:sz w:val="24"/>
              </w:rPr>
              <w:t>总价（</w:t>
            </w:r>
            <w:r>
              <w:rPr>
                <w:b/>
                <w:sz w:val="24"/>
              </w:rPr>
              <w:t>元）</w:t>
            </w:r>
          </w:p>
        </w:tc>
      </w:tr>
      <w:tr>
        <w:tc>
          <w:tcPr>
            <w:tcW w:type="dxa" w:w="569"/>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002"/>
            <w:tcBorders>
              <w:top w:val="none" w:color="000000" w:sz="4"/>
              <w:left w:val="single" w:color="000000" w:sz="4"/>
              <w:bottom w:val="single" w:color="000000" w:sz="4"/>
              <w:right w:val="single" w:color="000000" w:sz="4"/>
            </w:tcBorders>
            <w:vAlign w:val="top"/>
          </w:tcPr>
          <w:p>
            <w:pPr>
              <w:jc w:val="center"/>
            </w:pPr>
          </w:p>
        </w:tc>
        <w:tc>
          <w:tcPr>
            <w:tcW w:type="dxa" w:w="1200"/>
            <w:tcBorders>
              <w:top w:val="none" w:color="000000" w:sz="4"/>
              <w:left w:val="single" w:color="000000" w:sz="4"/>
              <w:bottom w:val="single" w:color="000000" w:sz="4"/>
              <w:right w:val="single" w:color="000000" w:sz="4"/>
            </w:tcBorders>
            <w:vAlign w:val="top"/>
          </w:tcPr>
          <w:p>
            <w:pPr>
              <w:jc w:val="center"/>
            </w:pPr>
          </w:p>
        </w:tc>
        <w:tc>
          <w:tcPr>
            <w:tcW w:type="dxa" w:w="1770"/>
            <w:tcBorders>
              <w:top w:val="none" w:color="000000" w:sz="4"/>
              <w:left w:val="single" w:color="000000" w:sz="4"/>
              <w:bottom w:val="single" w:color="000000" w:sz="4"/>
              <w:right w:val="single" w:color="000000" w:sz="4"/>
            </w:tcBorders>
            <w:vAlign w:val="top"/>
          </w:tcPr>
          <w:p>
            <w:pPr>
              <w:jc w:val="center"/>
            </w:pPr>
          </w:p>
        </w:tc>
        <w:tc>
          <w:tcPr>
            <w:tcW w:type="dxa" w:w="1114"/>
            <w:tcBorders>
              <w:top w:val="none" w:color="000000" w:sz="4"/>
              <w:left w:val="single" w:color="000000" w:sz="4"/>
              <w:bottom w:val="single" w:color="000000" w:sz="4"/>
              <w:right w:val="single" w:color="000000" w:sz="4"/>
            </w:tcBorders>
            <w:vAlign w:val="top"/>
          </w:tcPr>
          <w:p>
            <w:pPr>
              <w:jc w:val="center"/>
            </w:pPr>
          </w:p>
        </w:tc>
        <w:tc>
          <w:tcPr>
            <w:tcW w:type="dxa" w:w="618"/>
            <w:tcBorders>
              <w:top w:val="none" w:color="000000" w:sz="4"/>
              <w:left w:val="single" w:color="000000" w:sz="4"/>
              <w:bottom w:val="single" w:color="000000" w:sz="4"/>
              <w:right w:val="single" w:color="000000" w:sz="4"/>
            </w:tcBorders>
            <w:vAlign w:val="top"/>
          </w:tcPr>
          <w:p>
            <w:pPr>
              <w:jc w:val="center"/>
            </w:pPr>
          </w:p>
        </w:tc>
        <w:tc>
          <w:tcPr>
            <w:tcW w:type="dxa" w:w="990"/>
            <w:tcBorders>
              <w:top w:val="none" w:color="000000" w:sz="4"/>
              <w:left w:val="single" w:color="000000" w:sz="4"/>
              <w:bottom w:val="single" w:color="000000" w:sz="4"/>
              <w:right w:val="single" w:color="000000" w:sz="4"/>
            </w:tcBorders>
            <w:vAlign w:val="top"/>
          </w:tcPr>
          <w:p>
            <w:pPr>
              <w:jc w:val="center"/>
            </w:pPr>
          </w:p>
        </w:tc>
        <w:tc>
          <w:tcPr>
            <w:tcW w:type="dxa" w:w="1002"/>
            <w:tcBorders>
              <w:top w:val="none" w:color="000000" w:sz="4"/>
              <w:left w:val="single" w:color="000000" w:sz="4"/>
              <w:bottom w:val="single" w:color="000000" w:sz="4"/>
              <w:right w:val="single" w:color="000000" w:sz="4"/>
            </w:tcBorders>
            <w:vAlign w:val="top"/>
          </w:tcPr>
          <w:p>
            <w:pPr>
              <w:jc w:val="center"/>
            </w:pPr>
          </w:p>
        </w:tc>
      </w:tr>
      <w:tr>
        <w:tc>
          <w:tcPr>
            <w:tcW w:type="dxa" w:w="8265"/>
            <w:gridSpan w:val="8"/>
            <w:tcBorders>
              <w:top w:val="none" w:color="000000" w:sz="4"/>
              <w:left w:val="single" w:color="000000" w:sz="4"/>
              <w:bottom w:val="single" w:color="000000" w:sz="4"/>
              <w:right w:val="single" w:color="000000" w:sz="4"/>
            </w:tcBorders>
            <w:vAlign w:val="top"/>
          </w:tcPr>
          <w:p>
            <w:pPr>
              <w:jc w:val="both"/>
            </w:pPr>
            <w:r>
              <w:rPr>
                <w:sz w:val="24"/>
              </w:rPr>
              <w:t>项目总价：人民币（大写）：</w:t>
            </w:r>
            <w:r>
              <w:rPr>
                <w:sz w:val="21"/>
                <w:u w:val="single"/>
              </w:rPr>
              <w:t xml:space="preserve">              </w:t>
            </w:r>
            <w:r>
              <w:rPr>
                <w:sz w:val="21"/>
                <w:u w:val="single"/>
              </w:rPr>
              <w:t xml:space="preserve"> </w:t>
            </w:r>
            <w:r>
              <w:rPr>
                <w:sz w:val="24"/>
              </w:rPr>
              <w:t>；（小写）</w:t>
            </w:r>
            <w:r>
              <w:rPr>
                <w:sz w:val="24"/>
                <w:u w:val="single"/>
              </w:rPr>
              <w:t xml:space="preserve">¥             </w:t>
            </w:r>
            <w:r>
              <w:rPr>
                <w:sz w:val="24"/>
              </w:rPr>
              <w:t>。</w:t>
            </w:r>
          </w:p>
        </w:tc>
      </w:tr>
      <w:tr>
        <w:tc>
          <w:tcPr>
            <w:tcW w:type="dxa" w:w="8265"/>
            <w:gridSpan w:val="8"/>
            <w:tcBorders>
              <w:top w:val="none" w:color="000000" w:sz="4"/>
              <w:left w:val="single" w:color="000000" w:sz="4"/>
              <w:bottom w:val="single" w:color="000000" w:sz="4"/>
              <w:right w:val="single" w:color="000000" w:sz="4"/>
            </w:tcBorders>
            <w:vAlign w:val="top"/>
          </w:tcPr>
          <w:p>
            <w:pPr>
              <w:jc w:val="left"/>
            </w:pPr>
            <w:r>
              <w:rPr>
                <w:sz w:val="24"/>
              </w:rPr>
              <w:t>备注：</w:t>
            </w:r>
            <w:r>
              <w:rPr>
                <w:sz w:val="24"/>
              </w:rPr>
              <w:t>注册证编号：</w:t>
            </w:r>
            <w:r>
              <w:rPr>
                <w:sz w:val="21"/>
                <w:u w:val="single"/>
              </w:rPr>
              <w:t xml:space="preserve">                </w:t>
            </w:r>
            <w:r>
              <w:rPr>
                <w:sz w:val="24"/>
              </w:rPr>
              <w:t>。</w:t>
            </w:r>
          </w:p>
        </w:tc>
      </w:tr>
    </w:tbl>
    <w:p>
      <w:pPr>
        <w:ind w:firstLine="480"/>
        <w:jc w:val="both"/>
      </w:pPr>
      <w:r>
        <w:rPr>
          <w:sz w:val="24"/>
        </w:rPr>
        <w:t>（二）项目总价是完成项目的含税全包价，</w:t>
      </w:r>
      <w:r>
        <w:rPr>
          <w:sz w:val="24"/>
        </w:rPr>
        <w:t>即包括但不限于连接甲方医院系统的接口费用，</w:t>
      </w:r>
      <w:r>
        <w:rPr>
          <w:sz w:val="24"/>
        </w:rPr>
        <w:t>所有价格变动的风险均由乙方承担，甲方不需再向乙方支付任何其他费用。</w:t>
      </w:r>
    </w:p>
    <w:p>
      <w:pPr>
        <w:ind w:firstLine="480"/>
        <w:jc w:val="both"/>
      </w:pPr>
      <w:r>
        <w:rPr>
          <w:sz w:val="24"/>
        </w:rPr>
        <w:t>（三）货物清单：详见合同附后配置清单。</w:t>
      </w:r>
    </w:p>
    <w:p>
      <w:pPr>
        <w:ind w:firstLine="480"/>
        <w:jc w:val="both"/>
      </w:pPr>
      <w:r>
        <w:rPr>
          <w:sz w:val="24"/>
        </w:rPr>
        <w:t>（四）服务内容：按照本合同约定、招标文件、乙方的投标文件（以上文件发生冲突时以较高标准为准）执行。</w:t>
      </w:r>
    </w:p>
    <w:p>
      <w:pPr>
        <w:ind w:firstLine="482"/>
        <w:jc w:val="left"/>
      </w:pPr>
      <w:r>
        <w:rPr>
          <w:b/>
          <w:sz w:val="24"/>
        </w:rPr>
        <w:t>第二条</w:t>
      </w:r>
      <w:r>
        <w:rPr>
          <w:b/>
          <w:sz w:val="24"/>
        </w:rPr>
        <w:t xml:space="preserve"> </w:t>
      </w:r>
      <w:r>
        <w:rPr>
          <w:b/>
          <w:sz w:val="24"/>
        </w:rPr>
        <w:t>货物的质量要求、售后服务及损害赔偿</w:t>
      </w:r>
    </w:p>
    <w:p>
      <w:pPr>
        <w:ind w:firstLine="480"/>
        <w:jc w:val="both"/>
      </w:pPr>
      <w:r>
        <w:rPr>
          <w:sz w:val="24"/>
        </w:rPr>
        <w:t>（一）货物的质量要求：符合国家有关标准、制造厂家标准，按照本合同约定、招标文件、乙方的投标文件、澄清文件和中标通知书（以上文件发生冲突时以较高标准为准）的要求执行。</w:t>
      </w:r>
    </w:p>
    <w:p>
      <w:pPr>
        <w:ind w:firstLine="480"/>
        <w:jc w:val="both"/>
      </w:pPr>
      <w:r>
        <w:rPr>
          <w:sz w:val="24"/>
        </w:rPr>
        <w:t>（二）售后服务要求：</w:t>
      </w:r>
    </w:p>
    <w:p>
      <w:pPr>
        <w:ind w:firstLine="480"/>
        <w:jc w:val="both"/>
      </w:pPr>
      <w:r>
        <w:rPr>
          <w:sz w:val="24"/>
        </w:rPr>
        <w:t>乙方按照甲方招标文件、乙方投标文件执行，包括但不限于以下要求：</w:t>
      </w:r>
    </w:p>
    <w:p>
      <w:pPr>
        <w:ind w:firstLine="480"/>
        <w:jc w:val="both"/>
      </w:pPr>
      <w:r>
        <w:rPr>
          <w:sz w:val="24"/>
        </w:rPr>
        <w:t>1、乙方须有属本公司的可随时上门作维修及检测的工程师，设备出现故障时能在</w:t>
      </w:r>
      <w:r>
        <w:rPr>
          <w:sz w:val="21"/>
          <w:u w:val="single"/>
        </w:rPr>
        <w:t xml:space="preserve">    </w:t>
      </w:r>
      <w:r>
        <w:rPr>
          <w:sz w:val="24"/>
        </w:rPr>
        <w:t>小时内响应，</w:t>
      </w:r>
      <w:r>
        <w:rPr>
          <w:sz w:val="21"/>
          <w:u w:val="single"/>
        </w:rPr>
        <w:t xml:space="preserve">    </w:t>
      </w:r>
      <w:r>
        <w:rPr>
          <w:sz w:val="24"/>
        </w:rPr>
        <w:t>小时内上门维修，</w:t>
      </w:r>
      <w:r>
        <w:rPr>
          <w:sz w:val="21"/>
          <w:u w:val="single"/>
        </w:rPr>
        <w:t xml:space="preserve">    </w:t>
      </w:r>
      <w:r>
        <w:rPr>
          <w:sz w:val="24"/>
        </w:rPr>
        <w:t>小时内处理完毕。若在规定时间内，乙方仍未能有效解决，甲方有权另行委托第三方提供服务或要求乙方提供同档次的设备或零部件予甲方临时使用，由此产生的相关费用由乙方承担。</w:t>
      </w:r>
    </w:p>
    <w:p>
      <w:pPr>
        <w:ind w:firstLine="480"/>
        <w:jc w:val="both"/>
      </w:pPr>
      <w:r>
        <w:rPr>
          <w:sz w:val="24"/>
        </w:rPr>
        <w:t>2、乙方须负责本合同下所有设备保修</w:t>
      </w:r>
      <w:r>
        <w:rPr>
          <w:sz w:val="21"/>
          <w:u w:val="single"/>
        </w:rPr>
        <w:t xml:space="preserve">    </w:t>
      </w:r>
      <w:r>
        <w:rPr>
          <w:sz w:val="24"/>
        </w:rPr>
        <w:t>年，</w:t>
      </w:r>
      <w:r>
        <w:rPr>
          <w:sz w:val="24"/>
        </w:rPr>
        <w:t>保</w:t>
      </w:r>
      <w:r>
        <w:rPr>
          <w:sz w:val="24"/>
        </w:rPr>
        <w:t>修的范围包括但不限于更换零件费用及维修工时费等；保修期自本合同项下的设备经甲乙双方验收合格之日起计算。保修期内，乙方须提供</w:t>
      </w:r>
      <w:r>
        <w:rPr>
          <w:sz w:val="24"/>
        </w:rPr>
        <w:t>7*24小时服务。乙方维修热线：</w:t>
      </w:r>
      <w:r>
        <w:rPr>
          <w:sz w:val="21"/>
          <w:u w:val="single"/>
        </w:rPr>
        <w:t xml:space="preserve">             </w:t>
      </w:r>
      <w:r>
        <w:rPr>
          <w:sz w:val="24"/>
        </w:rPr>
        <w:t>。本合同期内乙方不得擅自变更或取消服务热线，如须变更或取消的，应提前</w:t>
      </w:r>
      <w:r>
        <w:rPr>
          <w:sz w:val="24"/>
        </w:rPr>
        <w:t>5个工作日以书面形式通知甲方，否则乙方应承担因服务热线变更或取消造成的一切不利后果。</w:t>
      </w:r>
    </w:p>
    <w:p>
      <w:pPr>
        <w:ind w:firstLine="480"/>
        <w:jc w:val="both"/>
      </w:pPr>
      <w:r>
        <w:rPr>
          <w:sz w:val="24"/>
        </w:rPr>
        <w:t>3、乙方负责现场或厂家培训甲方有关技术人员，直至掌握操作技术为止。</w:t>
      </w:r>
    </w:p>
    <w:p>
      <w:pPr>
        <w:ind w:firstLine="480"/>
        <w:jc w:val="both"/>
      </w:pPr>
      <w:r>
        <w:rPr>
          <w:sz w:val="24"/>
        </w:rPr>
        <w:t>（三）如因乙方货物质量或设计原因，导致甲方损失，乙方应予以赔偿。</w:t>
      </w:r>
    </w:p>
    <w:p>
      <w:pPr>
        <w:ind w:firstLine="482"/>
        <w:jc w:val="left"/>
      </w:pPr>
      <w:r>
        <w:rPr>
          <w:b/>
          <w:sz w:val="24"/>
        </w:rPr>
        <w:t>第三条</w:t>
      </w:r>
      <w:r>
        <w:rPr>
          <w:b/>
          <w:sz w:val="24"/>
        </w:rPr>
        <w:t xml:space="preserve"> </w:t>
      </w:r>
      <w:r>
        <w:rPr>
          <w:b/>
          <w:sz w:val="24"/>
        </w:rPr>
        <w:t>交货和安装</w:t>
      </w:r>
    </w:p>
    <w:p>
      <w:pPr>
        <w:ind w:firstLine="480"/>
        <w:jc w:val="both"/>
      </w:pPr>
      <w:r>
        <w:rPr>
          <w:sz w:val="24"/>
        </w:rPr>
        <w:t>（一）交货期：所有货物须在合同签订后</w:t>
      </w:r>
      <w:r>
        <w:rPr>
          <w:sz w:val="21"/>
          <w:u w:val="single"/>
        </w:rPr>
        <w:t xml:space="preserve">    </w:t>
      </w:r>
      <w:r>
        <w:rPr>
          <w:sz w:val="24"/>
        </w:rPr>
        <w:t>内安装、调试完毕，能够投入使用并且通过验收。</w:t>
      </w:r>
    </w:p>
    <w:p>
      <w:pPr>
        <w:ind w:firstLine="480"/>
        <w:jc w:val="both"/>
      </w:pPr>
      <w:r>
        <w:rPr>
          <w:sz w:val="24"/>
        </w:rPr>
        <w:t>（二）交货方式：乙方负责将货物送至江门市中心医院指定地点。</w:t>
      </w:r>
    </w:p>
    <w:p>
      <w:pPr>
        <w:ind w:firstLine="480"/>
        <w:jc w:val="both"/>
      </w:pPr>
      <w:r>
        <w:rPr>
          <w:sz w:val="24"/>
        </w:rPr>
        <w:t>（三）设备的安装：由乙方负责。</w:t>
      </w:r>
    </w:p>
    <w:p>
      <w:pPr>
        <w:ind w:firstLine="482"/>
        <w:jc w:val="left"/>
      </w:pPr>
      <w:r>
        <w:rPr>
          <w:b/>
          <w:sz w:val="24"/>
        </w:rPr>
        <w:t>第四条</w:t>
      </w:r>
      <w:r>
        <w:rPr>
          <w:b/>
          <w:sz w:val="24"/>
        </w:rPr>
        <w:t xml:space="preserve"> </w:t>
      </w:r>
      <w:r>
        <w:rPr>
          <w:b/>
          <w:sz w:val="24"/>
        </w:rPr>
        <w:t>货款的结算</w:t>
      </w:r>
    </w:p>
    <w:p>
      <w:pPr>
        <w:ind w:firstLine="480"/>
        <w:jc w:val="both"/>
      </w:pPr>
      <w:r>
        <w:rPr>
          <w:sz w:val="24"/>
        </w:rPr>
        <w:t>（</w:t>
      </w:r>
      <w:r>
        <w:rPr>
          <w:sz w:val="24"/>
        </w:rPr>
        <w:t>一</w:t>
      </w:r>
      <w:r>
        <w:rPr>
          <w:sz w:val="24"/>
        </w:rPr>
        <w:t>）</w:t>
      </w:r>
      <w:r>
        <w:rPr>
          <w:sz w:val="24"/>
        </w:rPr>
        <w:t>具体结算</w:t>
      </w:r>
      <w:r>
        <w:rPr>
          <w:sz w:val="24"/>
        </w:rPr>
        <w:t>方</w:t>
      </w:r>
      <w:r>
        <w:rPr>
          <w:sz w:val="24"/>
        </w:rPr>
        <w:t>式：</w:t>
      </w:r>
    </w:p>
    <w:p>
      <w:pPr>
        <w:ind w:firstLine="480"/>
        <w:jc w:val="left"/>
      </w:pPr>
      <w:r>
        <w:rPr>
          <w:sz w:val="24"/>
        </w:rPr>
        <w:t>1.第一期：合同签订生效后的30个工作日内，将合同总金额的30%（即</w:t>
      </w:r>
      <w:r>
        <w:rPr>
          <w:sz w:val="24"/>
        </w:rPr>
        <w:t>￥</w:t>
      </w:r>
      <w:r>
        <w:rPr>
          <w:sz w:val="21"/>
          <w:u w:val="single"/>
        </w:rPr>
        <w:t xml:space="preserve">      </w:t>
      </w:r>
      <w:r>
        <w:rPr>
          <w:sz w:val="24"/>
        </w:rPr>
        <w:t>）支付给乙方。</w:t>
      </w:r>
    </w:p>
    <w:p>
      <w:pPr>
        <w:ind w:firstLine="480"/>
        <w:jc w:val="left"/>
      </w:pPr>
      <w:r>
        <w:rPr>
          <w:sz w:val="24"/>
        </w:rPr>
        <w:t>2.乙方须在收到第一期货款后的5个工作日内向甲方支付合同总金额的5%（即</w:t>
      </w:r>
      <w:r>
        <w:rPr>
          <w:sz w:val="24"/>
        </w:rPr>
        <w:t>￥</w:t>
      </w:r>
      <w:r>
        <w:rPr>
          <w:sz w:val="21"/>
          <w:u w:val="single"/>
        </w:rPr>
        <w:t xml:space="preserve">      </w:t>
      </w:r>
      <w:r>
        <w:rPr>
          <w:sz w:val="24"/>
        </w:rPr>
        <w:t>）作为履约保证金，可转账或采取银行保函形式，银行保函有效期至合同履约结束；如转账支付履约保证金的，</w:t>
      </w:r>
      <w:r>
        <w:rPr>
          <w:sz w:val="24"/>
        </w:rPr>
        <w:t>2年免费保修期满后的60日内由甲方不计利息退还履约保证金，免费保修期依然生效。</w:t>
      </w:r>
    </w:p>
    <w:p>
      <w:pPr>
        <w:ind w:firstLine="480"/>
        <w:jc w:val="left"/>
      </w:pPr>
      <w:r>
        <w:rPr>
          <w:sz w:val="24"/>
        </w:rPr>
        <w:t>3.第二期：设备运到指定地点，安装调试完毕并验收合格入库后且乙方完成履约保证金相关手续后30个工作日内将合同总金额的70%（即</w:t>
      </w:r>
      <w:r>
        <w:rPr>
          <w:sz w:val="24"/>
        </w:rPr>
        <w:t>￥</w:t>
      </w:r>
      <w:r>
        <w:rPr>
          <w:sz w:val="21"/>
          <w:u w:val="single"/>
        </w:rPr>
        <w:t xml:space="preserve">      </w:t>
      </w:r>
      <w:r>
        <w:rPr>
          <w:sz w:val="24"/>
        </w:rPr>
        <w:t>）支付给乙方。</w:t>
      </w:r>
    </w:p>
    <w:p>
      <w:pPr>
        <w:ind w:firstLine="480"/>
        <w:jc w:val="left"/>
      </w:pPr>
      <w:r>
        <w:rPr>
          <w:sz w:val="24"/>
        </w:rPr>
        <w:t>4.乙方质保期违反合同及其附件约定的任何义务，甲方有权在履约保证金中直接扣除乙方应向甲方支付的违约金或损失赔偿额，如有不足的，乙方应按照甲方要求对超过的部分予以赔偿。甲方扣除履约保证金后，乙方应按照甲方要求补足履约保证金。</w:t>
      </w:r>
    </w:p>
    <w:p>
      <w:pPr>
        <w:ind w:firstLine="480"/>
        <w:jc w:val="left"/>
      </w:pPr>
      <w:r>
        <w:rPr>
          <w:sz w:val="24"/>
        </w:rPr>
        <w:t>（</w:t>
      </w:r>
      <w:r>
        <w:rPr>
          <w:sz w:val="24"/>
        </w:rPr>
        <w:t>二</w:t>
      </w:r>
      <w:r>
        <w:rPr>
          <w:sz w:val="24"/>
        </w:rPr>
        <w:t>）乙方须在第二期付款时间前</w:t>
      </w:r>
      <w:r>
        <w:rPr>
          <w:sz w:val="24"/>
        </w:rPr>
        <w:t>30日提供合法有效的全额发票给甲方。</w:t>
      </w:r>
    </w:p>
    <w:p>
      <w:pPr>
        <w:ind w:firstLine="482"/>
        <w:jc w:val="left"/>
      </w:pPr>
      <w:r>
        <w:rPr>
          <w:b/>
          <w:sz w:val="24"/>
        </w:rPr>
        <w:t>第五条</w:t>
      </w:r>
      <w:r>
        <w:rPr>
          <w:b/>
          <w:sz w:val="24"/>
        </w:rPr>
        <w:t xml:space="preserve"> </w:t>
      </w:r>
      <w:r>
        <w:rPr>
          <w:b/>
          <w:sz w:val="24"/>
        </w:rPr>
        <w:t>验收方式</w:t>
      </w:r>
    </w:p>
    <w:p>
      <w:pPr>
        <w:ind w:firstLine="480"/>
        <w:jc w:val="both"/>
      </w:pPr>
      <w:r>
        <w:rPr>
          <w:sz w:val="24"/>
        </w:rPr>
        <w:t>（一）验收时间：设备安装调试完毕正常运行后</w:t>
      </w:r>
      <w:r>
        <w:rPr>
          <w:sz w:val="24"/>
        </w:rPr>
        <w:t>1个月内。</w:t>
      </w:r>
    </w:p>
    <w:p>
      <w:pPr>
        <w:ind w:firstLine="480"/>
        <w:jc w:val="both"/>
      </w:pPr>
      <w:r>
        <w:rPr>
          <w:sz w:val="24"/>
        </w:rPr>
        <w:t>（二）验收方法：甲方派遣有经验有能力的人员检验产品和工程的质量和指标。</w:t>
      </w:r>
    </w:p>
    <w:p>
      <w:pPr>
        <w:ind w:firstLine="480"/>
        <w:jc w:val="both"/>
      </w:pPr>
      <w:r>
        <w:rPr>
          <w:sz w:val="24"/>
        </w:rPr>
        <w:t>（三）验收标准：符合本合同约定、招标文件、乙方的投标文件、澄清文件和中标通知书（以上文件发生冲突时以较高标准为准）的要求；单证齐全，有产品合格证（或质量保证书）、发票和其它应当具有单证文件。</w:t>
      </w:r>
    </w:p>
    <w:p>
      <w:pPr>
        <w:ind w:firstLine="482"/>
        <w:jc w:val="left"/>
      </w:pPr>
      <w:r>
        <w:rPr>
          <w:b/>
          <w:sz w:val="24"/>
        </w:rPr>
        <w:t>第六条</w:t>
      </w:r>
      <w:r>
        <w:rPr>
          <w:b/>
          <w:sz w:val="24"/>
        </w:rPr>
        <w:t xml:space="preserve"> </w:t>
      </w:r>
      <w:r>
        <w:rPr>
          <w:b/>
          <w:sz w:val="24"/>
        </w:rPr>
        <w:t>对产品异议的时间和办法</w:t>
      </w:r>
    </w:p>
    <w:p>
      <w:pPr>
        <w:ind w:firstLine="480"/>
        <w:jc w:val="both"/>
      </w:pPr>
      <w:r>
        <w:rPr>
          <w:sz w:val="24"/>
        </w:rPr>
        <w:t>（一）甲方在验收中，如果发现货物的品种、型号、数量、规格、质量或有关服务、软件及有关工程不合规定的，应妥为保管，并在三十日内向乙方提出书面异议。甲方怠于通知或者自货物收到之日起三个月内未通知乙方的，视为货物合乎规定。</w:t>
      </w:r>
    </w:p>
    <w:p>
      <w:pPr>
        <w:ind w:firstLine="480"/>
        <w:jc w:val="both"/>
      </w:pPr>
      <w:r>
        <w:rPr>
          <w:sz w:val="24"/>
        </w:rPr>
        <w:t>（二）乙方在接到甲方书面异议后，应在十天内处理，否则，视为乙方承认该货物存在甲方所指出的瑕疵并同意甲方提出的处理意见。</w:t>
      </w:r>
    </w:p>
    <w:p>
      <w:pPr>
        <w:ind w:firstLine="482"/>
        <w:jc w:val="left"/>
      </w:pPr>
      <w:r>
        <w:rPr>
          <w:b/>
          <w:sz w:val="24"/>
        </w:rPr>
        <w:t>第七条</w:t>
      </w:r>
      <w:r>
        <w:rPr>
          <w:b/>
          <w:sz w:val="24"/>
        </w:rPr>
        <w:t xml:space="preserve"> </w:t>
      </w:r>
      <w:r>
        <w:rPr>
          <w:b/>
          <w:sz w:val="24"/>
        </w:rPr>
        <w:t>乙方的违约责任</w:t>
      </w:r>
    </w:p>
    <w:p>
      <w:pPr>
        <w:ind w:firstLine="480"/>
        <w:jc w:val="left"/>
      </w:pPr>
      <w:r>
        <w:rPr>
          <w:sz w:val="24"/>
        </w:rPr>
        <w:t>（一）乙方不能交货的，甲方不向乙方付款。甲方有权解除本合同，乙方应向甲方偿付合同总价的百分之</w:t>
      </w:r>
      <w:r>
        <w:rPr>
          <w:sz w:val="24"/>
        </w:rPr>
        <w:t>15作为违约金，违约金不足以弥补甲方损失的，乙方应赔偿甲方实际损失。</w:t>
      </w:r>
    </w:p>
    <w:p>
      <w:pPr>
        <w:ind w:firstLine="480"/>
        <w:jc w:val="left"/>
      </w:pPr>
      <w:r>
        <w:rPr>
          <w:sz w:val="24"/>
        </w:rPr>
        <w:t>（二）乙方所交设备种类、数量、规格、质量和技术性能等不符合合同规定的，由乙方负责包换或包修，并承担修理、调换或退货而支付的实际费用，并向甲方偿付合同总价的百分之</w:t>
      </w:r>
      <w:r>
        <w:rPr>
          <w:sz w:val="24"/>
        </w:rPr>
        <w:t>10作为违约金。如乙方换货或修理后，设备仍不能达到合同约定或乙方不按上述规定整改的，甲方有权解除本合同，甲方解除本合同的，乙方应当退还甲方已经支付的款项，乙方还应向甲方支付合同总价的百分之20作为违约金，违约金不足以弥补甲方损失的，乙方应赔偿甲方实际损失。</w:t>
      </w:r>
    </w:p>
    <w:p>
      <w:pPr>
        <w:ind w:firstLine="480"/>
        <w:jc w:val="left"/>
      </w:pPr>
      <w:r>
        <w:rPr>
          <w:sz w:val="24"/>
        </w:rPr>
        <w:t>（三）乙方逾期交货的，每日应向甲方偿付合同总额的百分之</w:t>
      </w:r>
      <w:r>
        <w:rPr>
          <w:sz w:val="24"/>
        </w:rPr>
        <w:t>0.1作为违约金，逾期达到30天及以上的，视为不能交货。</w:t>
      </w:r>
    </w:p>
    <w:p>
      <w:pPr>
        <w:ind w:firstLine="480"/>
        <w:jc w:val="left"/>
      </w:pPr>
      <w:r>
        <w:rPr>
          <w:sz w:val="24"/>
        </w:rPr>
        <w:t>（四）除本合同另有约定外，乙方每次违反本合同约定的，须按照合同总价的</w:t>
      </w:r>
      <w:r>
        <w:rPr>
          <w:sz w:val="24"/>
        </w:rPr>
        <w:t>3%向甲方支付违约金，违约金不足以弥补甲方损失的，乙方应赔偿甲方实际损失。</w:t>
      </w:r>
    </w:p>
    <w:p>
      <w:pPr>
        <w:ind w:firstLine="482"/>
        <w:jc w:val="left"/>
      </w:pPr>
      <w:r>
        <w:rPr>
          <w:b/>
          <w:sz w:val="24"/>
        </w:rPr>
        <w:t>第八条</w:t>
      </w:r>
      <w:r>
        <w:rPr>
          <w:b/>
          <w:sz w:val="24"/>
        </w:rPr>
        <w:t xml:space="preserve"> </w:t>
      </w:r>
      <w:r>
        <w:rPr>
          <w:b/>
          <w:sz w:val="24"/>
        </w:rPr>
        <w:t>甲方的违约责任</w:t>
      </w:r>
    </w:p>
    <w:p>
      <w:pPr>
        <w:ind w:firstLine="480"/>
        <w:jc w:val="left"/>
      </w:pPr>
      <w:r>
        <w:rPr>
          <w:sz w:val="24"/>
        </w:rPr>
        <w:t>（一）甲</w:t>
      </w:r>
      <w:r>
        <w:rPr>
          <w:sz w:val="24"/>
        </w:rPr>
        <w:t>方逾期付款的，每日应向乙方偿付</w:t>
      </w:r>
      <w:r>
        <w:rPr>
          <w:sz w:val="24"/>
        </w:rPr>
        <w:t>逾期</w:t>
      </w:r>
      <w:r>
        <w:rPr>
          <w:sz w:val="24"/>
        </w:rPr>
        <w:t>总额的百分之</w:t>
      </w:r>
      <w:r>
        <w:rPr>
          <w:sz w:val="24"/>
        </w:rPr>
        <w:t>0.1作为违约金，违约金上限不超过合同总金额的10%。</w:t>
      </w:r>
    </w:p>
    <w:p>
      <w:pPr>
        <w:ind w:firstLine="480"/>
        <w:jc w:val="left"/>
      </w:pPr>
      <w:r>
        <w:rPr>
          <w:sz w:val="24"/>
        </w:rPr>
        <w:t>（二）甲方违反合同规定拒绝接受货物的，应当承担由此而对乙方造成的损失，违约金上限不超过合同总金额的</w:t>
      </w:r>
      <w:r>
        <w:rPr>
          <w:sz w:val="24"/>
        </w:rPr>
        <w:t>10%。</w:t>
      </w:r>
    </w:p>
    <w:p>
      <w:pPr>
        <w:ind w:firstLine="482"/>
        <w:jc w:val="left"/>
      </w:pPr>
      <w:r>
        <w:rPr>
          <w:b/>
          <w:sz w:val="24"/>
        </w:rPr>
        <w:t>第九条</w:t>
      </w:r>
      <w:r>
        <w:rPr>
          <w:b/>
          <w:sz w:val="24"/>
        </w:rPr>
        <w:t xml:space="preserve"> </w:t>
      </w:r>
      <w:r>
        <w:rPr>
          <w:b/>
          <w:sz w:val="24"/>
        </w:rPr>
        <w:t>不可抗力</w:t>
      </w:r>
    </w:p>
    <w:p>
      <w:pPr>
        <w:ind w:firstLine="480"/>
        <w:jc w:val="left"/>
      </w:pPr>
      <w:r>
        <w:rPr>
          <w:sz w:val="24"/>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pPr>
        <w:ind w:firstLine="482"/>
        <w:jc w:val="left"/>
      </w:pPr>
      <w:r>
        <w:rPr>
          <w:b/>
          <w:sz w:val="24"/>
        </w:rPr>
        <w:t>第十条</w:t>
      </w:r>
      <w:r>
        <w:rPr>
          <w:b/>
          <w:sz w:val="24"/>
        </w:rPr>
        <w:t xml:space="preserve"> </w:t>
      </w:r>
      <w:r>
        <w:rPr>
          <w:b/>
          <w:sz w:val="24"/>
        </w:rPr>
        <w:t>争议的解决</w:t>
      </w:r>
    </w:p>
    <w:p>
      <w:pPr>
        <w:ind w:firstLine="480"/>
        <w:jc w:val="left"/>
      </w:pPr>
      <w:r>
        <w:rPr>
          <w:sz w:val="24"/>
        </w:rPr>
        <w:t>（一）如因货物的质量问题发生争议，由法定的质量技术鉴定机构进行质量鉴定，双方应当服从该鉴定的结论。</w:t>
      </w:r>
    </w:p>
    <w:p>
      <w:pPr>
        <w:ind w:firstLine="480"/>
        <w:jc w:val="left"/>
      </w:pPr>
      <w:r>
        <w:rPr>
          <w:sz w:val="24"/>
        </w:rPr>
        <w:t>（二）若执行本合同的过程中发生纠纷，双方当事人应当及时协商解决；协商不成时，可向合同签订地人民法院提起诉讼。</w:t>
      </w:r>
    </w:p>
    <w:p>
      <w:pPr>
        <w:ind w:firstLine="482"/>
        <w:jc w:val="left"/>
      </w:pPr>
      <w:r>
        <w:rPr>
          <w:b/>
          <w:sz w:val="24"/>
        </w:rPr>
        <w:t>第十一条</w:t>
      </w:r>
      <w:r>
        <w:rPr>
          <w:b/>
          <w:sz w:val="24"/>
        </w:rPr>
        <w:t xml:space="preserve"> </w:t>
      </w:r>
      <w:r>
        <w:rPr>
          <w:b/>
          <w:sz w:val="24"/>
        </w:rPr>
        <w:t>监督和管理</w:t>
      </w:r>
    </w:p>
    <w:p>
      <w:pPr>
        <w:ind w:firstLine="480"/>
        <w:jc w:val="left"/>
      </w:pPr>
      <w:r>
        <w:rPr>
          <w:sz w:val="24"/>
        </w:rPr>
        <w:t>（一）甲乙双方经协商一致需变更合同实质性条款或订立补充合同的，应先取得甲方管理部门和监督部门的同意，并将相关资料备案。</w:t>
      </w:r>
    </w:p>
    <w:p>
      <w:pPr>
        <w:ind w:firstLine="480"/>
        <w:jc w:val="left"/>
      </w:pPr>
      <w:r>
        <w:rPr>
          <w:sz w:val="24"/>
        </w:rPr>
        <w:t>（二）甲乙双方均应自觉配合甲方管理部门和监督部门对合同履行情况的监督检查，如实反映情况，提供有关资料。否则，将对有关单位、当事人按照有关规定予以处罚。</w:t>
      </w:r>
    </w:p>
    <w:p>
      <w:pPr>
        <w:ind w:firstLine="482"/>
        <w:jc w:val="left"/>
      </w:pPr>
      <w:r>
        <w:rPr>
          <w:b/>
          <w:sz w:val="24"/>
        </w:rPr>
        <w:t>第十二条</w:t>
      </w:r>
      <w:r>
        <w:rPr>
          <w:b/>
          <w:sz w:val="24"/>
        </w:rPr>
        <w:t xml:space="preserve"> </w:t>
      </w:r>
      <w:r>
        <w:rPr>
          <w:b/>
          <w:sz w:val="24"/>
        </w:rPr>
        <w:t>无效合同</w:t>
      </w:r>
    </w:p>
    <w:p>
      <w:pPr>
        <w:ind w:firstLine="480"/>
        <w:jc w:val="left"/>
      </w:pPr>
      <w:r>
        <w:rPr>
          <w:sz w:val="24"/>
        </w:rPr>
        <w:t>甲乙双方如因违反法律和有关规定，合同被宣告无效的，有过错的一方应当承担赔偿责任，双方都有过错的，各自承担相应的责任。</w:t>
      </w:r>
    </w:p>
    <w:p>
      <w:pPr>
        <w:ind w:firstLine="482"/>
        <w:jc w:val="left"/>
      </w:pPr>
      <w:r>
        <w:rPr>
          <w:b/>
          <w:sz w:val="24"/>
        </w:rPr>
        <w:t>第十三条</w:t>
      </w:r>
      <w:r>
        <w:rPr>
          <w:b/>
          <w:sz w:val="24"/>
        </w:rPr>
        <w:t xml:space="preserve"> </w:t>
      </w:r>
      <w:r>
        <w:rPr>
          <w:b/>
          <w:sz w:val="24"/>
        </w:rPr>
        <w:t>投诉</w:t>
      </w:r>
    </w:p>
    <w:p>
      <w:pPr>
        <w:ind w:firstLine="480"/>
        <w:jc w:val="left"/>
      </w:pPr>
      <w:r>
        <w:rPr>
          <w:sz w:val="24"/>
        </w:rPr>
        <w:t>甲方如对乙方所提供的货物质量及服务提出投诉，经核查如属有效投诉并超过三次，甲方管理部门和监督部门有权取消乙方的中标资格，并按有关规定接受处理。</w:t>
      </w:r>
    </w:p>
    <w:p>
      <w:pPr>
        <w:ind w:firstLine="482"/>
        <w:jc w:val="left"/>
      </w:pPr>
      <w:r>
        <w:rPr>
          <w:b/>
          <w:sz w:val="24"/>
        </w:rPr>
        <w:t>第十四条</w:t>
      </w:r>
      <w:r>
        <w:rPr>
          <w:b/>
          <w:sz w:val="24"/>
        </w:rPr>
        <w:t xml:space="preserve"> </w:t>
      </w:r>
      <w:r>
        <w:rPr>
          <w:b/>
          <w:sz w:val="24"/>
        </w:rPr>
        <w:t>附则</w:t>
      </w:r>
    </w:p>
    <w:p>
      <w:pPr>
        <w:ind w:firstLine="480"/>
        <w:jc w:val="left"/>
      </w:pPr>
      <w:r>
        <w:rPr>
          <w:sz w:val="24"/>
        </w:rPr>
        <w:t>（一）本合同一式</w:t>
      </w:r>
      <w:r>
        <w:rPr>
          <w:sz w:val="24"/>
        </w:rPr>
        <w:t>四</w:t>
      </w:r>
      <w:r>
        <w:rPr>
          <w:sz w:val="24"/>
        </w:rPr>
        <w:t>份，甲</w:t>
      </w:r>
      <w:r>
        <w:rPr>
          <w:sz w:val="24"/>
        </w:rPr>
        <w:t>方执两份，</w:t>
      </w:r>
      <w:r>
        <w:rPr>
          <w:sz w:val="24"/>
        </w:rPr>
        <w:t>乙方各一份，一份</w:t>
      </w:r>
      <w:r>
        <w:rPr>
          <w:sz w:val="21"/>
          <w:u w:val="single"/>
        </w:rPr>
        <w:t xml:space="preserve">            </w:t>
      </w:r>
      <w:r>
        <w:rPr>
          <w:sz w:val="24"/>
        </w:rPr>
        <w:t>招标公司存档，具有同等法律效力。合同附件为本合同的组成部分，与本合同正文具有同等法律效力。</w:t>
      </w:r>
    </w:p>
    <w:p>
      <w:pPr>
        <w:ind w:firstLine="480"/>
        <w:jc w:val="left"/>
      </w:pPr>
      <w:r>
        <w:rPr>
          <w:sz w:val="24"/>
        </w:rPr>
        <w:t>（二）本合同自甲乙双方签字盖章后生效。</w:t>
      </w:r>
    </w:p>
    <w:p>
      <w:pPr>
        <w:ind w:firstLine="480"/>
        <w:jc w:val="left"/>
      </w:pPr>
      <w:r>
        <w:rPr/>
        <w:t xml:space="preserve"> </w:t>
      </w:r>
    </w:p>
    <w:p>
      <w:pPr>
        <w:ind w:firstLine="140"/>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sz w:val="24"/>
              </w:rPr>
              <w:t>购货单位（甲方）：</w:t>
            </w:r>
          </w:p>
        </w:tc>
        <w:tc>
          <w:tcPr>
            <w:tcW w:type="dxa" w:w="4153"/>
            <w:tcBorders>
              <w:top w:val="none" w:color="000000" w:sz="4"/>
              <w:left w:val="none" w:color="000000" w:sz="4"/>
              <w:bottom w:val="none" w:color="000000" w:sz="4"/>
              <w:right w:val="none" w:color="000000" w:sz="4"/>
            </w:tcBorders>
            <w:vAlign w:val="top"/>
          </w:tcPr>
          <w:p>
            <w:pPr>
              <w:jc w:val="both"/>
            </w:pPr>
            <w:r>
              <w:rPr>
                <w:sz w:val="24"/>
              </w:rPr>
              <w:t>供货单位（乙方）：</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江门市中心医院</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both"/>
            </w:pPr>
            <w:r>
              <w:rPr>
                <w:sz w:val="24"/>
              </w:rPr>
              <w:t>法定代表人：</w:t>
            </w:r>
          </w:p>
        </w:tc>
        <w:tc>
          <w:tcPr>
            <w:tcW w:type="dxa" w:w="4153"/>
            <w:tcBorders>
              <w:top w:val="none" w:color="000000" w:sz="4"/>
              <w:left w:val="none" w:color="000000" w:sz="4"/>
              <w:bottom w:val="none" w:color="000000" w:sz="4"/>
              <w:right w:val="none" w:color="000000" w:sz="4"/>
            </w:tcBorders>
            <w:vAlign w:val="top"/>
          </w:tcPr>
          <w:p>
            <w:pPr>
              <w:jc w:val="both"/>
            </w:pPr>
            <w:r>
              <w:rPr>
                <w:sz w:val="24"/>
              </w:rPr>
              <w:t>法定代表人：</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委托代理人：</w:t>
            </w:r>
          </w:p>
        </w:tc>
        <w:tc>
          <w:tcPr>
            <w:tcW w:type="dxa" w:w="4153"/>
            <w:tcBorders>
              <w:top w:val="none" w:color="000000" w:sz="4"/>
              <w:left w:val="none" w:color="000000" w:sz="4"/>
              <w:bottom w:val="none" w:color="000000" w:sz="4"/>
              <w:right w:val="none" w:color="000000" w:sz="4"/>
            </w:tcBorders>
            <w:vAlign w:val="top"/>
          </w:tcPr>
          <w:p>
            <w:pPr>
              <w:jc w:val="both"/>
            </w:pPr>
            <w:r>
              <w:rPr>
                <w:sz w:val="24"/>
              </w:rPr>
              <w:t>委托代理人：</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地址：</w:t>
            </w:r>
          </w:p>
        </w:tc>
        <w:tc>
          <w:tcPr>
            <w:tcW w:type="dxa" w:w="4153"/>
            <w:tcBorders>
              <w:top w:val="none" w:color="000000" w:sz="4"/>
              <w:left w:val="none" w:color="000000" w:sz="4"/>
              <w:bottom w:val="none" w:color="000000" w:sz="4"/>
              <w:right w:val="none" w:color="000000" w:sz="4"/>
            </w:tcBorders>
            <w:vAlign w:val="top"/>
          </w:tcPr>
          <w:p>
            <w:pPr>
              <w:jc w:val="both"/>
            </w:pPr>
            <w:r>
              <w:rPr>
                <w:sz w:val="24"/>
              </w:rPr>
              <w:t>地址：</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开户银行：</w:t>
            </w:r>
          </w:p>
        </w:tc>
        <w:tc>
          <w:tcPr>
            <w:tcW w:type="dxa" w:w="4153"/>
            <w:tcBorders>
              <w:top w:val="none" w:color="000000" w:sz="4"/>
              <w:left w:val="none" w:color="000000" w:sz="4"/>
              <w:bottom w:val="none" w:color="000000" w:sz="4"/>
              <w:right w:val="none" w:color="000000" w:sz="4"/>
            </w:tcBorders>
            <w:vAlign w:val="top"/>
          </w:tcPr>
          <w:p>
            <w:pPr>
              <w:jc w:val="both"/>
            </w:pPr>
            <w:r>
              <w:rPr>
                <w:sz w:val="24"/>
              </w:rPr>
              <w:t>开户银行：</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账号：</w:t>
            </w:r>
          </w:p>
        </w:tc>
        <w:tc>
          <w:tcPr>
            <w:tcW w:type="dxa" w:w="4153"/>
            <w:tcBorders>
              <w:top w:val="none" w:color="000000" w:sz="4"/>
              <w:left w:val="none" w:color="000000" w:sz="4"/>
              <w:bottom w:val="none" w:color="000000" w:sz="4"/>
              <w:right w:val="none" w:color="000000" w:sz="4"/>
            </w:tcBorders>
            <w:vAlign w:val="top"/>
          </w:tcPr>
          <w:p>
            <w:pPr>
              <w:jc w:val="both"/>
            </w:pPr>
            <w:r>
              <w:rPr>
                <w:sz w:val="24"/>
              </w:rPr>
              <w:t>账号：</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电话：</w:t>
            </w:r>
          </w:p>
        </w:tc>
        <w:tc>
          <w:tcPr>
            <w:tcW w:type="dxa" w:w="4153"/>
            <w:tcBorders>
              <w:top w:val="none" w:color="000000" w:sz="4"/>
              <w:left w:val="none" w:color="000000" w:sz="4"/>
              <w:bottom w:val="none" w:color="000000" w:sz="4"/>
              <w:right w:val="none" w:color="000000" w:sz="4"/>
            </w:tcBorders>
            <w:vAlign w:val="top"/>
          </w:tcPr>
          <w:p>
            <w:pPr>
              <w:jc w:val="both"/>
            </w:pPr>
            <w:r>
              <w:rPr>
                <w:sz w:val="24"/>
              </w:rPr>
              <w:t>电话：</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签约时间：</w:t>
            </w:r>
            <w:r>
              <w:rPr>
                <w:sz w:val="24"/>
              </w:rPr>
              <w:t xml:space="preserve">   </w:t>
            </w:r>
            <w:r>
              <w:rPr>
                <w:sz w:val="24"/>
              </w:rPr>
              <w:t>年</w:t>
            </w:r>
            <w:r>
              <w:rPr>
                <w:sz w:val="24"/>
              </w:rPr>
              <w:t xml:space="preserve"> </w:t>
            </w:r>
            <w:r>
              <w:rPr>
                <w:sz w:val="21"/>
              </w:rPr>
              <w:t xml:space="preserve"> </w:t>
            </w:r>
            <w:r>
              <w:rPr>
                <w:sz w:val="24"/>
              </w:rPr>
              <w:t xml:space="preserve"> </w:t>
            </w:r>
            <w:r>
              <w:rPr>
                <w:sz w:val="24"/>
              </w:rPr>
              <w:t>月</w:t>
            </w:r>
            <w:r>
              <w:rPr>
                <w:sz w:val="24"/>
              </w:rPr>
              <w:t xml:space="preserve">  </w:t>
            </w:r>
            <w:r>
              <w:rPr>
                <w:sz w:val="21"/>
              </w:rPr>
              <w:t xml:space="preserve"> </w:t>
            </w:r>
            <w:r>
              <w:rPr>
                <w:sz w:val="24"/>
              </w:rPr>
              <w:t>日</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both"/>
            </w:pPr>
            <w:r>
              <w:rPr>
                <w:sz w:val="24"/>
              </w:rPr>
              <w:t>签约地点：江门市中心医院</w:t>
            </w:r>
          </w:p>
        </w:tc>
        <w:tc>
          <w:tcPr>
            <w:tcW w:type="dxa" w:w="4153"/>
            <w:tcBorders>
              <w:top w:val="none" w:color="000000" w:sz="4"/>
              <w:left w:val="none" w:color="000000" w:sz="4"/>
              <w:bottom w:val="none" w:color="000000" w:sz="4"/>
              <w:right w:val="none" w:color="000000" w:sz="4"/>
            </w:tcBorders>
            <w:vAlign w:val="top"/>
          </w:tcPr>
          <w:p>
            <w:pPr>
              <w:jc w:val="both"/>
            </w:pPr>
          </w:p>
        </w:tc>
      </w:tr>
    </w:tbl>
    <w:p>
      <w:pPr>
        <w:ind w:firstLine="560"/>
        <w:jc w:val="both"/>
      </w:pPr>
    </w:p>
    <w:p>
      <w:pPr>
        <w:jc w:val="both"/>
      </w:pPr>
      <w:r>
        <w:rPr/>
        <w:t xml:space="preserve"> </w:t>
      </w:r>
    </w:p>
    <w:p>
      <w:pPr>
        <w:jc w:val="both"/>
      </w:pPr>
      <w:r>
        <w:rPr>
          <w:sz w:val="24"/>
        </w:rPr>
        <w:t>以下为配置清单：</w:t>
      </w:r>
    </w:p>
    <w:p>
      <w:pPr>
        <w:jc w:val="center"/>
      </w:pPr>
      <w:r>
        <w:rPr>
          <w:sz w:val="24"/>
        </w:rPr>
        <w:t>项目名称：</w:t>
      </w:r>
      <w:r>
        <w:rPr>
          <w:sz w:val="21"/>
          <w:u w:val="single"/>
        </w:rPr>
        <w:t xml:space="preserve">                 </w:t>
      </w:r>
      <w:r>
        <w:rPr>
          <w:sz w:val="24"/>
        </w:rPr>
        <w:t>。</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440701-2023-02175</w:t>
      </w:r>
    </w:p>
    <w:p>
      <w:pPr>
        <w:jc w:val="center"/>
      </w:pPr>
      <w:r>
        <w:rPr>
          <w:b/>
          <w:sz w:val="24"/>
        </w:rPr>
        <w:t>采购项目编号：</w:t>
      </w:r>
      <w:r>
        <w:rPr>
          <w:b/>
          <w:sz w:val="24"/>
        </w:rPr>
        <w:t>0724-2331Z1973912</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国义招标股份有限公司</w:t>
      </w:r>
    </w:p>
    <w:p>
      <w:pPr>
        <w:ind w:firstLine="480"/>
      </w:pPr>
      <w:r>
        <w:rPr/>
        <w:t>你方组织的</w:t>
      </w:r>
      <w:r>
        <w:rPr>
          <w:u w:val="single"/>
        </w:rPr>
        <w:t>“</w:t>
      </w:r>
      <w:r>
        <w:rPr>
          <w:u w:val="single"/>
        </w:rPr>
        <w:t>江门市中心医院杂交手术室建设项目</w:t>
      </w:r>
      <w:r>
        <w:rPr>
          <w:u w:val="single"/>
        </w:rPr>
        <w:t>”</w:t>
      </w:r>
      <w:r>
        <w:rPr/>
        <w:t>项目的招标[采购项目编号为：</w:t>
      </w:r>
      <w:r>
        <w:rPr>
          <w:u w:val="single"/>
        </w:rPr>
        <w:t>0724-2331Z1973912</w:t>
      </w:r>
      <w:r>
        <w:rPr/>
        <w:t>]，我方愿参与投标。</w:t>
      </w:r>
    </w:p>
    <w:p>
      <w:pPr>
        <w:ind w:firstLine="480"/>
      </w:pPr>
      <w:r>
        <w:rPr/>
        <w:t>我方确认收到贵方提供的</w:t>
      </w:r>
      <w:r>
        <w:rPr>
          <w:u w:val="single"/>
        </w:rPr>
        <w:t>“</w:t>
      </w:r>
      <w:r>
        <w:rPr>
          <w:u w:val="single"/>
        </w:rPr>
        <w:t>江门市中心医院杂交手术室建设项目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国义招标股份有限公司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江门市中心医院杂交手术室建设项目</w:t>
      </w:r>
      <w:r>
        <w:rPr/>
        <w:t>”项目采购[采购项目编号为</w:t>
      </w:r>
      <w:r>
        <w:rPr/>
        <w:t>0724-2331Z1973912</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江门市中心医院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国义招标股份有限公司</w:t>
      </w:r>
    </w:p>
    <w:p>
      <w:pPr>
        <w:ind w:firstLine="480"/>
      </w:pPr>
      <w:r>
        <w:rPr/>
        <w:t>如果我方在贵采购代理机构组织的</w:t>
      </w:r>
      <w:r>
        <w:rPr/>
        <w:t>江门市中心医院杂交手术室建设项目</w:t>
      </w:r>
      <w:r>
        <w:rPr/>
        <w:t>招标中获中标（采购项目编号：</w:t>
      </w:r>
      <w:r>
        <w:rPr/>
        <w:t>0724-2331Z1973912</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国义招标股份有限公司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国义招标股份有限公司</w:t>
      </w:r>
    </w:p>
    <w:p>
      <w:pPr>
        <w:ind w:firstLine="480"/>
      </w:pPr>
      <w:r>
        <w:rPr/>
        <w:t>我单位已登记并准备参与“</w:t>
      </w:r>
      <w:r>
        <w:rPr/>
        <w:t>江门市中心医院杂交手术室建设项目</w:t>
      </w:r>
      <w:r>
        <w:rPr/>
        <w:t>”项目（采购项目编号：</w:t>
      </w:r>
      <w:r>
        <w:rPr/>
        <w:t>0724-2331Z1973912</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