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440701-2023-02434</w:t>
      </w:r>
    </w:p>
    <w:p>
      <w:pPr>
        <w:jc w:val="center"/>
      </w:pPr>
      <w:r>
        <w:rPr>
          <w:b/>
          <w:sz w:val="24"/>
        </w:rPr>
        <w:t>采购项目编号：</w:t>
      </w:r>
      <w:r>
        <w:rPr>
          <w:b/>
          <w:sz w:val="24"/>
        </w:rPr>
        <w:t>CLF0123JM00ZC60</w:t>
      </w:r>
    </w:p>
    <w:p>
      <w:pPr>
        <w:jc w:val="center"/>
      </w:pPr>
      <w:r>
        <w:rPr>
          <w:b/>
          <w:sz w:val="24"/>
        </w:rPr>
        <w:t>项目名称：</w:t>
      </w:r>
      <w:r>
        <w:rPr>
          <w:b/>
          <w:sz w:val="24"/>
        </w:rPr>
        <w:t>江门市中心医院内窥镜手术控制系统及附件采购项目</w:t>
      </w:r>
    </w:p>
    <w:p>
      <w:pPr>
        <w:jc w:val="center"/>
      </w:pPr>
      <w:r>
        <w:rPr>
          <w:b/>
          <w:sz w:val="24"/>
        </w:rPr>
        <w:t>采购人：</w:t>
      </w:r>
      <w:r>
        <w:rPr>
          <w:b/>
          <w:sz w:val="24"/>
        </w:rPr>
        <w:t>江门市中心医院</w:t>
      </w:r>
    </w:p>
    <w:p>
      <w:pPr>
        <w:jc w:val="center"/>
      </w:pPr>
      <w:r>
        <w:rPr>
          <w:b/>
          <w:sz w:val="24"/>
        </w:rPr>
        <w:t>采购代理机构：</w:t>
      </w:r>
      <w:r>
        <w:rPr>
          <w:b/>
          <w:sz w:val="24"/>
        </w:rPr>
        <w:t>采联国际招标采购集团有限公司</w:t>
      </w:r>
    </w:p>
    <w:p>
      <w:pPr>
        <w:ind w:firstLine="480"/>
      </w:pPr>
    </w:p>
    <w:p>
      <w:r>
        <w:rPr/>
        <w:t xml:space="preserve"> </w:t>
      </w:r>
    </w:p>
    <w:p/>
    <w:p>
      <w:pPr>
        <w:jc w:val="center"/>
      </w:pPr>
      <w:r>
        <w:rPr>
          <w:b/>
          <w:sz w:val="36"/>
        </w:rPr>
        <w:t>第一章投标邀请</w:t>
      </w:r>
    </w:p>
    <w:p>
      <w:pPr>
        <w:ind w:firstLine="480"/>
      </w:pPr>
      <w:r>
        <w:rPr/>
        <w:t>采联国际招标采购集团有限公司</w:t>
      </w:r>
      <w:r>
        <w:rPr/>
        <w:t>受</w:t>
      </w:r>
      <w:r>
        <w:rPr/>
        <w:t>江门市中心医院</w:t>
      </w:r>
      <w:r>
        <w:rPr/>
        <w:t>的委托，采用</w:t>
      </w:r>
      <w:r>
        <w:rPr/>
        <w:t>公开招标</w:t>
      </w:r>
      <w:r>
        <w:rPr/>
        <w:t>方式组织采购</w:t>
      </w:r>
      <w:r>
        <w:rPr/>
        <w:t>江门市中心医院内窥镜手术控制系统及附件采购项目</w:t>
      </w:r>
      <w:r>
        <w:rPr/>
        <w:t>。欢迎符合资格条件的国内供应商参加投标。</w:t>
      </w:r>
    </w:p>
    <w:p>
      <w:r>
        <w:rPr>
          <w:b/>
          <w:sz w:val="28"/>
        </w:rPr>
        <w:t>一.项目概述</w:t>
      </w:r>
    </w:p>
    <w:p>
      <w:r>
        <w:rPr>
          <w:b/>
          <w:sz w:val="24"/>
        </w:rPr>
        <w:t>1.名称与编号</w:t>
      </w:r>
    </w:p>
    <w:p>
      <w:pPr>
        <w:ind w:firstLine="480"/>
      </w:pPr>
      <w:r>
        <w:rPr/>
        <w:t>项目名称：</w:t>
      </w:r>
      <w:r>
        <w:rPr/>
        <w:t>江门市中心医院内窥镜手术控制系统及附件采购项目</w:t>
      </w:r>
    </w:p>
    <w:p>
      <w:pPr>
        <w:ind w:firstLine="480"/>
      </w:pPr>
      <w:r>
        <w:rPr/>
        <w:t>采购计划编号：</w:t>
      </w:r>
      <w:r>
        <w:rPr/>
        <w:t>440701-2023-02434</w:t>
      </w:r>
    </w:p>
    <w:p>
      <w:pPr>
        <w:ind w:firstLine="480"/>
      </w:pPr>
      <w:r>
        <w:rPr/>
        <w:t>采购项目编号：</w:t>
      </w:r>
      <w:r>
        <w:rPr/>
        <w:t>CLF0123JM00ZC60</w:t>
      </w:r>
    </w:p>
    <w:p>
      <w:pPr>
        <w:ind w:firstLine="480"/>
      </w:pPr>
      <w:r>
        <w:rPr/>
        <w:t>采购方式：</w:t>
      </w:r>
      <w:r>
        <w:rPr/>
        <w:t>公开招标</w:t>
      </w:r>
    </w:p>
    <w:p>
      <w:pPr>
        <w:ind w:firstLine="480"/>
      </w:pPr>
      <w:r>
        <w:rPr/>
        <w:t>预算金额：</w:t>
      </w:r>
      <w:r>
        <w:rPr/>
        <w:t>14,000,000.00</w:t>
      </w:r>
      <w:r>
        <w:rPr/>
        <w:t>元</w:t>
      </w:r>
    </w:p>
    <w:p>
      <w:r>
        <w:rPr>
          <w:b/>
          <w:sz w:val="24"/>
        </w:rPr>
        <w:t>2.项目内容及需求情况（采购项目技术规格、参数及要求）</w:t>
      </w:r>
    </w:p>
    <w:p>
      <w:pPr>
        <w:ind w:firstLine="480"/>
      </w:pPr>
    </w:p>
    <w:p/>
    <w:p>
      <w:r>
        <w:rPr/>
        <w:t>采购包1(内窥镜手术控制系统及附件):</w:t>
      </w:r>
    </w:p>
    <w:p>
      <w:r>
        <w:rPr/>
        <w:t>采购包预算金额：14,000,000.00元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医疗设备</w:t>
            </w:r>
          </w:p>
        </w:tc>
        <w:tc>
          <w:tcPr>
            <w:tcW w:type="dxa" w:w="2136"/>
          </w:tcPr>
          <w:p>
            <w:r>
              <w:rPr/>
              <w:t>内窥镜手术控制系统及附件</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合同履行期限：合同签订后60日历日内安装调试完毕，能够投入使用并且通过验收</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提供在中华人民共和国境内注册的法人或其他组织的营业执照或事业单位法人证书或社会团体法人登记证书复印件，如投标人为自然人的提供自然人身份证明复印件；如国家另有规定的，则从其定。（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
      <w:r>
        <w:rPr/>
        <w:t>2）有依法缴纳税收和社会保障资金的良好记录：提供2023年至今任意1个月缴纳税收凭据证明材料复印件；如依法免税的，应提供相应文件证明；提供2023年至今任意1个月缴纳社会保险的凭据证明材料复印件；如依法不需要缴纳社会保障资金的，应提供相应文件证明。</w:t>
      </w:r>
    </w:p>
    <w:p/>
    <w:p>
      <w:r>
        <w:rPr/>
        <w:t>3）具有良好的商业信誉和健全的财务会计制度：提供2022年度财务状况报告或2023年至今任意1个月的财务状况报告复印件，或银行出具的资信证明材料复印件</w:t>
      </w:r>
    </w:p>
    <w:p/>
    <w:p>
      <w:r>
        <w:rPr/>
        <w:t>4）履行合同所必需的设备和专业技术能力：提供承诺函并加盖投标人公章，承诺函格式自拟</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采购包1（内窥镜手术控制系统及附件）：</w:t>
      </w:r>
      <w:r>
        <w:rPr/>
        <w:t>无</w:t>
      </w:r>
    </w:p>
    <w:p/>
    <w:p>
      <w:r>
        <w:rPr>
          <w:b/>
          <w:sz w:val="24"/>
        </w:rPr>
        <w:t>3.本项目特定的资格要求：</w:t>
      </w:r>
    </w:p>
    <w:p>
      <w:pPr>
        <w:ind w:firstLine="480"/>
      </w:pPr>
    </w:p>
    <w:p/>
    <w:p>
      <w:r>
        <w:rPr/>
        <w:t>采购包1（内窥镜手术控制系统及附件）：</w:t>
      </w:r>
    </w:p>
    <w:p/>
    <w:p>
      <w:r>
        <w:rPr/>
        <w:t>1)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 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3)1）如投标人为生产企业：所投产品为第二、三类医疗器械，提供监督管理部门签发的有效的《医疗器械生产许可证》复印件；（如国家另有规定，则适用其规定） 2）如投标人为经营企业：所投产品为第三类医疗器械，提供监督管理部门签发的有效的《医疗器械经营许可证》复印件；（如国家另有规定，则适用其规定）</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采联国际招标采购集团有限公司（ http://www.chinapsp.cn/）</w:t>
      </w:r>
    </w:p>
    <w:p>
      <w:r>
        <w:rPr>
          <w:b/>
          <w:sz w:val="28"/>
        </w:rPr>
        <w:t>六.本项目联系方式：</w:t>
      </w:r>
    </w:p>
    <w:p>
      <w:r>
        <w:rPr>
          <w:b/>
          <w:sz w:val="24"/>
        </w:rPr>
        <w:t>1.采购人信息</w:t>
      </w:r>
    </w:p>
    <w:p>
      <w:pPr>
        <w:ind w:firstLine="480"/>
      </w:pPr>
      <w:r>
        <w:rPr/>
        <w:t>名称：</w:t>
      </w:r>
      <w:r>
        <w:rPr/>
        <w:t>江门市中心医院</w:t>
      </w:r>
    </w:p>
    <w:p>
      <w:pPr>
        <w:ind w:firstLine="480"/>
      </w:pPr>
      <w:r>
        <w:rPr/>
        <w:t>地址：</w:t>
      </w:r>
      <w:r>
        <w:rPr/>
        <w:t>广东省江门市蓬江区海傍街23号</w:t>
      </w:r>
    </w:p>
    <w:p>
      <w:pPr>
        <w:ind w:firstLine="480"/>
      </w:pPr>
      <w:r>
        <w:rPr/>
        <w:t>联系方式：</w:t>
      </w:r>
      <w:r>
        <w:rPr/>
        <w:t>0750-3165989</w:t>
      </w:r>
    </w:p>
    <w:p>
      <w:r>
        <w:rPr>
          <w:b/>
          <w:sz w:val="24"/>
        </w:rPr>
        <w:t>2.采购代理机构信息</w:t>
      </w:r>
    </w:p>
    <w:p>
      <w:pPr>
        <w:ind w:firstLine="480"/>
      </w:pPr>
      <w:r>
        <w:rPr/>
        <w:t>名称：</w:t>
      </w:r>
      <w:r>
        <w:rPr/>
        <w:t>采联国际招标采购集团有限公司</w:t>
      </w:r>
    </w:p>
    <w:p>
      <w:pPr>
        <w:ind w:firstLine="480"/>
      </w:pPr>
      <w:r>
        <w:rPr/>
        <w:t>地址：</w:t>
      </w:r>
      <w:r>
        <w:rPr/>
        <w:t>广州市越秀区环市东路472号粤海大厦7、23楼</w:t>
      </w:r>
    </w:p>
    <w:p>
      <w:pPr>
        <w:ind w:firstLine="480"/>
      </w:pPr>
      <w:r>
        <w:rPr/>
        <w:t>联系方式：</w:t>
      </w:r>
      <w:r>
        <w:rPr/>
        <w:t>0750-3390080-609/606</w:t>
      </w:r>
    </w:p>
    <w:p>
      <w:r>
        <w:rPr>
          <w:b/>
          <w:sz w:val="24"/>
        </w:rPr>
        <w:t>3.项目联系方式</w:t>
      </w:r>
    </w:p>
    <w:p>
      <w:pPr>
        <w:ind w:firstLine="480"/>
      </w:pPr>
      <w:r>
        <w:rPr/>
        <w:t>项目联系人：</w:t>
      </w:r>
      <w:r>
        <w:rPr/>
        <w:t>谢女士/刘女士</w:t>
      </w:r>
    </w:p>
    <w:p>
      <w:pPr>
        <w:ind w:firstLine="480"/>
      </w:pPr>
      <w:r>
        <w:rPr/>
        <w:t>电话：</w:t>
      </w:r>
      <w:r>
        <w:rPr/>
        <w:t>0750-3390080-609/606</w:t>
      </w:r>
    </w:p>
    <w:p>
      <w:r>
        <w:rPr>
          <w:b/>
          <w:sz w:val="24"/>
        </w:rPr>
        <w:t>4.技术支持联系方式</w:t>
      </w:r>
    </w:p>
    <w:p>
      <w:pPr>
        <w:ind w:firstLine="480"/>
      </w:pPr>
      <w:r>
        <w:rPr/>
        <w:t>云平台联系方式：020-88696588</w:t>
      </w:r>
    </w:p>
    <w:p>
      <w:r>
        <w:rPr/>
        <w:t>采购代理机构：</w:t>
      </w:r>
      <w:r>
        <w:rPr/>
        <w:t>采联国际招标采购集团有限公司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color w:val="000000"/>
          <w:sz w:val="24"/>
        </w:rPr>
        <w:t>1.投标人须对本项目的采购标的进行整体投标，任何只对本项目采购标的其中一部分内容、数量进行的投标都被视为无</w:t>
      </w:r>
      <w:r>
        <w:rPr>
          <w:color w:val="000000"/>
          <w:sz w:val="24"/>
        </w:rPr>
        <w:t>效投标。</w:t>
      </w:r>
    </w:p>
    <w:p>
      <w:r>
        <w:rPr/>
        <w:t xml:space="preserve"> </w:t>
      </w:r>
    </w:p>
    <w:p/>
    <w:p>
      <w:pPr>
        <w:ind w:firstLine="480"/>
      </w:pPr>
    </w:p>
    <w:p/>
    <w:p>
      <w:r>
        <w:rPr/>
        <w:t>采购包1（内窥镜手术控制系统及附件）</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合同签订后60日历日内安装调试完毕，能够投入使用并且通过验收。</w:t>
            </w:r>
          </w:p>
        </w:tc>
      </w:tr>
      <w:tr>
        <w:tc>
          <w:tcPr>
            <w:tcW w:type="dxa" w:w="4153"/>
          </w:tcPr>
          <w:p>
            <w:r>
              <w:rPr/>
              <w:t>标的提供的地点</w:t>
            </w:r>
          </w:p>
        </w:tc>
        <w:tc>
          <w:tcPr>
            <w:tcW w:type="dxa" w:w="4153"/>
          </w:tcPr>
          <w:p/>
          <w:p>
            <w:r>
              <w:rPr/>
              <w:t>江门市中心医院，采购人指定地点</w:t>
            </w:r>
          </w:p>
        </w:tc>
      </w:tr>
      <w:tr>
        <w:tc>
          <w:tcPr>
            <w:tcW w:type="dxa" w:w="4153"/>
          </w:tcPr>
          <w:p>
            <w:r>
              <w:rPr/>
              <w:t>付款方式</w:t>
            </w:r>
          </w:p>
        </w:tc>
        <w:tc>
          <w:tcPr>
            <w:tcW w:type="dxa" w:w="4153"/>
          </w:tcPr>
          <w:p/>
          <w:p/>
          <w:p>
            <w:r>
              <w:rPr/>
              <w:t>1期：支付比例30%,1.第一期：合同签订生效后的30个工作日内，将合同总金额的30%支付给中标人。 2.中标人须在收到第一期货款后的5个工作日内向采购人支付合同总金额的5%作为履约保证金，可转账或采取银行保函形式，银行保函有效期至合同履约结束；如转账支付履约保证金的，2年免费保修期满后的60日内由采购人不计利息退还履约保证金，免费保修期依然生效。</w:t>
            </w:r>
          </w:p>
          <w:p/>
          <w:p>
            <w:r>
              <w:rPr/>
              <w:t>2期：支付比例70%,3.第二期：设备运到指定地点，安装调试完毕并验收合格入库后且中标人完成履约保证金相关手续后30个工作日内将合同总金额的70%支付给中标人。 4.中标人保修期违反合同及其附件约定的任何义务，采购人有权在履约保证金中直接扣除中标人应向采购人支付的违约金或损失赔偿额，如有不足的，中标人应按照采购人要求对超过的部分予以赔偿。采购人扣除履约保证金后，中标人应按照采购人要求补足履约保证金。 5.中标人须在第二期付款时间前30日提供合法有效的全额发票给采购人。</w:t>
            </w:r>
          </w:p>
        </w:tc>
      </w:tr>
      <w:tr>
        <w:tc>
          <w:tcPr>
            <w:tcW w:type="dxa" w:w="4153"/>
          </w:tcPr>
          <w:p>
            <w:r>
              <w:rPr/>
              <w:t>验收要求</w:t>
            </w:r>
          </w:p>
        </w:tc>
        <w:tc>
          <w:tcPr>
            <w:tcW w:type="dxa" w:w="4153"/>
          </w:tcPr>
          <w:p/>
          <w:p/>
          <w:p/>
          <w:p>
            <w:r>
              <w:rPr/>
              <w:t>1期：1.完成全部合同约定的服务内容且采购人收到验收申请后1个月内进行验收； 2.设备验收在采购人和中标人双方共同参与下按国家有关的规定、规范进行； 3.验收时如发现所交付的设备有短装、次品、损坏或其它不符合本合同规定之情形者，采购人应作出详尽的现场记录，或由采购人、中标人双方签署备忘录。此现场记录或备忘录可用作补充、缺失和更换损坏部件的有效证据。因此产生的有关费用由中标人承担； 4.如果合同设备运输和安装过程中因事故造成货物短缺、损坏，中标人应及时安排补货、换货，以保证合同设备安装的成功完成。换货的相关费用由中标人承担； 5.中标人保证合同项下提供的设备不侵犯任何第三方的专利、商标或版权。否则，中标人须承担对第三方的专利或版权的侵权责任并承担因此而发生的所有费用。</w:t>
            </w:r>
          </w:p>
        </w:tc>
      </w:tr>
      <w:tr>
        <w:tc>
          <w:tcPr>
            <w:tcW w:type="dxa" w:w="4153"/>
          </w:tcPr>
          <w:p>
            <w:r>
              <w:rPr/>
              <w:t>履约保证金</w:t>
            </w:r>
          </w:p>
        </w:tc>
        <w:tc>
          <w:tcPr>
            <w:tcW w:type="dxa" w:w="4153"/>
          </w:tcPr>
          <w:p/>
          <w:p/>
          <w:p/>
          <w:p/>
          <w:p>
            <w:r>
              <w:rPr/>
              <w:t>收取比例：5%,说明：1.提交说明： （1）时间：中标人收到第一期货款后的5个工作日内； （2）金额：合同总金额的5%； （3）方式：可转账或采取银行保函形式 2. 退还说明： （1）时间、方式和条件：银行保函有效期至合同履约结束；如转账支付履约保证金的，2年免费保修期满后的60日内由采购人不计利息退还履约保证金，免费保修期依然生效。 中标人保修期违反合同及其附件约定的任何义务，采购人有权在履约保证金中直接扣除中标人应向采购人支付的违约金或损失赔偿额，如有不足的，中标人应按照采购人要求对超过的部分予以赔偿。采购人扣除履约保证金后，中标人应按照采购人要求补足履约保证金。</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p>
      <w:r>
        <w:rPr/>
        <w:t>其他商务需求</w:t>
      </w:r>
    </w:p>
    <w:p/>
    <w:p/>
    <w:p/>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付款方式</w:t>
            </w:r>
          </w:p>
        </w:tc>
        <w:tc>
          <w:tcPr>
            <w:tcW w:type="dxa" w:w="2076"/>
          </w:tcPr>
          <w:p>
            <w:pPr>
              <w:jc w:val="left"/>
            </w:pPr>
            <w:r>
              <w:rPr/>
              <w:t>1.第一期：合同签订生效后的30个工作日内，将合同总金额的30%支付给中标人。 2.中标人须在收到第一期货款后的5个工作日内向采购人支付合同总金额的5%作为履约保证金，可转账或采取银行保函形式，银行保函有效期至合同履约结束；如转账支付履约保证金的，2年免费保修期满后的60日内由采购人不计利息退还履约保证金，免费保修期依然生效。 3.第二期：设备运到指定地点，安装调试完毕并验收合格入库后且中标人完成履约保证金相关手续后30个工作日内将合同总金额的70%支付给中标人。 4.中标人保修期违反合同及其附件约定的任何义务，采购人有权在履约保证金中直接扣除中标人应向采购人支付的违约金或损失赔偿额，如有不足的，中标人应按照采购人要求对超过的部分予以赔偿。采购人扣除履约保证金后，中标人应按照采购人要求补足履约保证金。 5.中标人须在第二期付款时间前30日提供合法有效的全额发票给采购人。</w:t>
            </w:r>
          </w:p>
        </w:tc>
      </w:tr>
      <w:tr>
        <w:tc>
          <w:tcPr>
            <w:tcW w:type="dxa" w:w="2076"/>
          </w:tcPr>
          <w:p>
            <w:pPr>
              <w:jc w:val="center"/>
            </w:pPr>
            <w:r>
              <w:rPr/>
              <w:t>★</w:t>
            </w:r>
          </w:p>
        </w:tc>
        <w:tc>
          <w:tcPr>
            <w:tcW w:type="dxa" w:w="2076"/>
          </w:tcPr>
          <w:p>
            <w:pPr>
              <w:jc w:val="center"/>
            </w:pPr>
            <w:r>
              <w:rPr/>
              <w:t>2</w:t>
            </w:r>
          </w:p>
        </w:tc>
        <w:tc>
          <w:tcPr>
            <w:tcW w:type="dxa" w:w="2076"/>
          </w:tcPr>
          <w:p>
            <w:pPr>
              <w:jc w:val="left"/>
            </w:pPr>
            <w:r>
              <w:rPr/>
              <w:t>履约保证金</w:t>
            </w:r>
          </w:p>
        </w:tc>
        <w:tc>
          <w:tcPr>
            <w:tcW w:type="dxa" w:w="2076"/>
          </w:tcPr>
          <w:p>
            <w:pPr>
              <w:jc w:val="left"/>
            </w:pPr>
            <w:r>
              <w:rPr/>
              <w:t>收取比例：5%, 1.提交说明： （1）时间：中标人收到第一期货款后的5个工作日内； （2）金额：合同总金额的5%； （3）方式：可转账或采取银行保函形式 2. 退还说明： （1）时间、方式和条件：银行保函有效期至合同履约结束；如转账支付履约保证金的，2年免费保修期满后的60日内由采购人不计利息退还履约保证金，免费保修期依然生效。 （2）中标人保修期违反合同及其附件约定的任何义务，采购人有权在履约保证金中直接扣除中标人应向采购人支付的违约金或损失赔偿额，如有不足的，中标人应按照采购人要求对超过的部分予以赔偿。采购人扣除履约保证金后，中标人应按照采购人要求补足履约保证金。</w:t>
            </w:r>
          </w:p>
        </w:tc>
      </w:tr>
      <w:tr>
        <w:tc>
          <w:tcPr>
            <w:tcW w:type="dxa" w:w="2076"/>
          </w:tcPr>
          <w:p>
            <w:pPr>
              <w:jc w:val="center"/>
            </w:pPr>
          </w:p>
        </w:tc>
        <w:tc>
          <w:tcPr>
            <w:tcW w:type="dxa" w:w="2076"/>
          </w:tcPr>
          <w:p>
            <w:pPr>
              <w:jc w:val="center"/>
            </w:pPr>
            <w:r>
              <w:rPr/>
              <w:t>3</w:t>
            </w:r>
          </w:p>
        </w:tc>
        <w:tc>
          <w:tcPr>
            <w:tcW w:type="dxa" w:w="2076"/>
          </w:tcPr>
          <w:p>
            <w:pPr>
              <w:jc w:val="left"/>
            </w:pPr>
            <w:r>
              <w:rPr/>
              <w:t>交付验收标准依次序对照适用标准</w:t>
            </w:r>
          </w:p>
        </w:tc>
        <w:tc>
          <w:tcPr>
            <w:tcW w:type="dxa" w:w="2076"/>
          </w:tcPr>
          <w:p>
            <w:pPr>
              <w:jc w:val="left"/>
            </w:pPr>
            <w:r>
              <w:rPr/>
              <w:t>（1）符合中华人民共和国国家安全质量标准、环保标准或行业标准； （2）符合招标文件和响应承诺中采购人认可的合理最佳配置、参数及各项要求；</w:t>
            </w:r>
          </w:p>
        </w:tc>
      </w:tr>
      <w:tr>
        <w:tc>
          <w:tcPr>
            <w:tcW w:type="dxa" w:w="2076"/>
          </w:tcPr>
          <w:p>
            <w:pPr>
              <w:jc w:val="center"/>
            </w:pPr>
            <w:r>
              <w:rPr/>
              <w:t>★</w:t>
            </w:r>
          </w:p>
        </w:tc>
        <w:tc>
          <w:tcPr>
            <w:tcW w:type="dxa" w:w="2076"/>
          </w:tcPr>
          <w:p>
            <w:pPr>
              <w:jc w:val="center"/>
            </w:pPr>
            <w:r>
              <w:rPr/>
              <w:t>4</w:t>
            </w:r>
          </w:p>
        </w:tc>
        <w:tc>
          <w:tcPr>
            <w:tcW w:type="dxa" w:w="2076"/>
          </w:tcPr>
          <w:p>
            <w:pPr>
              <w:jc w:val="left"/>
            </w:pPr>
            <w:r>
              <w:rPr/>
              <w:t>保修期</w:t>
            </w:r>
          </w:p>
        </w:tc>
        <w:tc>
          <w:tcPr>
            <w:tcW w:type="dxa" w:w="2076"/>
          </w:tcPr>
          <w:p>
            <w:pPr>
              <w:jc w:val="left"/>
            </w:pPr>
            <w:r>
              <w:rPr/>
              <w:t>保修期为3年，保修期自设备经采购人和中标人双方验收合格之日起计算。保修期内中标人对所供货物实行包修、包换、包退、包维护保养，期满后可同时提供终身维修保养服务。</w:t>
            </w:r>
          </w:p>
        </w:tc>
      </w:tr>
      <w:tr>
        <w:tc>
          <w:tcPr>
            <w:tcW w:type="dxa" w:w="2076"/>
          </w:tcPr>
          <w:p>
            <w:pPr>
              <w:jc w:val="center"/>
            </w:pPr>
          </w:p>
        </w:tc>
        <w:tc>
          <w:tcPr>
            <w:tcW w:type="dxa" w:w="2076"/>
          </w:tcPr>
          <w:p>
            <w:pPr>
              <w:jc w:val="center"/>
            </w:pPr>
            <w:r>
              <w:rPr/>
              <w:t>5</w:t>
            </w:r>
          </w:p>
        </w:tc>
        <w:tc>
          <w:tcPr>
            <w:tcW w:type="dxa" w:w="2076"/>
          </w:tcPr>
          <w:p>
            <w:pPr>
              <w:jc w:val="left"/>
            </w:pPr>
            <w:r>
              <w:rPr/>
              <w:t>保修期</w:t>
            </w:r>
          </w:p>
        </w:tc>
        <w:tc>
          <w:tcPr>
            <w:tcW w:type="dxa" w:w="2076"/>
          </w:tcPr>
          <w:p>
            <w:pPr>
              <w:jc w:val="left"/>
            </w:pPr>
            <w:r>
              <w:rPr/>
              <w:t>对采购人的服务通知，中标人在接报后1小时内响应，4小时内到达现场，48小时内处理完毕。若在48小时内仍未能有效解决，中标人须免费提供同档次的设备予采购人临时使用。</w:t>
            </w:r>
          </w:p>
        </w:tc>
      </w:tr>
      <w:tr>
        <w:tc>
          <w:tcPr>
            <w:tcW w:type="dxa" w:w="2076"/>
          </w:tcPr>
          <w:p>
            <w:pPr>
              <w:jc w:val="center"/>
            </w:pPr>
          </w:p>
        </w:tc>
        <w:tc>
          <w:tcPr>
            <w:tcW w:type="dxa" w:w="2076"/>
          </w:tcPr>
          <w:p>
            <w:pPr>
              <w:jc w:val="center"/>
            </w:pPr>
            <w:r>
              <w:rPr/>
              <w:t>6</w:t>
            </w:r>
          </w:p>
        </w:tc>
        <w:tc>
          <w:tcPr>
            <w:tcW w:type="dxa" w:w="2076"/>
          </w:tcPr>
          <w:p>
            <w:pPr>
              <w:jc w:val="left"/>
            </w:pPr>
            <w:r>
              <w:rPr/>
              <w:t>安装与调试</w:t>
            </w:r>
          </w:p>
        </w:tc>
        <w:tc>
          <w:tcPr>
            <w:tcW w:type="dxa" w:w="2076"/>
          </w:tcPr>
          <w:p>
            <w:pPr>
              <w:jc w:val="left"/>
            </w:pPr>
            <w:r>
              <w:rPr/>
              <w:t>(1)中标人必须依照招标文件的要求和投标文件的承诺，将设备、系统安装并调试至正常运行的最佳状态。 (2)合同设备安装：中标人负责合同设备的安装，一切费用由中标人负责。中标人安装时须对各安装场地内的其他设备、设施有良好保护措施。</w:t>
            </w:r>
          </w:p>
        </w:tc>
      </w:tr>
      <w:tr>
        <w:tc>
          <w:tcPr>
            <w:tcW w:type="dxa" w:w="2076"/>
          </w:tcPr>
          <w:p>
            <w:pPr>
              <w:jc w:val="center"/>
            </w:pPr>
          </w:p>
        </w:tc>
        <w:tc>
          <w:tcPr>
            <w:tcW w:type="dxa" w:w="2076"/>
          </w:tcPr>
          <w:p>
            <w:pPr>
              <w:jc w:val="center"/>
            </w:pPr>
            <w:r>
              <w:rPr/>
              <w:t>7</w:t>
            </w:r>
          </w:p>
        </w:tc>
        <w:tc>
          <w:tcPr>
            <w:tcW w:type="dxa" w:w="2076"/>
          </w:tcPr>
          <w:p>
            <w:pPr>
              <w:jc w:val="left"/>
            </w:pPr>
            <w:r>
              <w:rPr/>
              <w:t>培训要求</w:t>
            </w:r>
          </w:p>
        </w:tc>
        <w:tc>
          <w:tcPr>
            <w:tcW w:type="dxa" w:w="2076"/>
          </w:tcPr>
          <w:p>
            <w:pPr>
              <w:jc w:val="left"/>
            </w:pPr>
            <w:r>
              <w:rPr/>
              <w:t>(1)在设备安装和调试完成后，中标人应提供培训服务，提供专业技术人员对采购人科室使用设备人员和相关管理人员进行一周培训，并保证两名以上操作人员熟练掌握操作技术为止。 (2)中标人需制定详细的培训内容和培训计划。 (3)如遇设备升级更新，中标人需及时提供更新操作指导。</w:t>
            </w:r>
          </w:p>
        </w:tc>
      </w:tr>
      <w:tr>
        <w:tc>
          <w:tcPr>
            <w:tcW w:type="dxa" w:w="2076"/>
          </w:tcPr>
          <w:p>
            <w:pPr>
              <w:jc w:val="center"/>
            </w:pPr>
          </w:p>
        </w:tc>
        <w:tc>
          <w:tcPr>
            <w:tcW w:type="dxa" w:w="2076"/>
          </w:tcPr>
          <w:p>
            <w:pPr>
              <w:jc w:val="center"/>
            </w:pPr>
            <w:r>
              <w:rPr/>
              <w:t>8</w:t>
            </w:r>
          </w:p>
        </w:tc>
        <w:tc>
          <w:tcPr>
            <w:tcW w:type="dxa" w:w="2076"/>
          </w:tcPr>
          <w:p>
            <w:pPr>
              <w:jc w:val="left"/>
            </w:pPr>
            <w:r>
              <w:rPr/>
              <w:t>包装和运输</w:t>
            </w:r>
          </w:p>
        </w:tc>
        <w:tc>
          <w:tcPr>
            <w:tcW w:type="dxa" w:w="2076"/>
          </w:tcPr>
          <w:p>
            <w:pPr>
              <w:jc w:val="left"/>
            </w:pPr>
            <w:r>
              <w:rPr/>
              <w:t>(1)中标人应提供运至交付地点所需要的包装，包装应符合经济、牢固、美观的要求，采取防潮、防晒、防锈、防振及防止其它损坏的必要措施，以防止货物在运转中损坏或变质。 (2)包装必须要符合相关法律、法规的要求，包括与环境、职业健康和安全有关的法律、法规标准。 (3)运输包装应根据产品的特点及国家相关标准标注有相应的运输标志。 (4)中标人负责将货物运输并卸载到采购人指定地点。</w:t>
            </w:r>
          </w:p>
        </w:tc>
      </w:tr>
      <w:tr>
        <w:tc>
          <w:tcPr>
            <w:tcW w:type="dxa" w:w="2076"/>
          </w:tcPr>
          <w:p>
            <w:pPr>
              <w:jc w:val="center"/>
            </w:pPr>
          </w:p>
        </w:tc>
        <w:tc>
          <w:tcPr>
            <w:tcW w:type="dxa" w:w="2076"/>
          </w:tcPr>
          <w:p>
            <w:pPr>
              <w:jc w:val="center"/>
            </w:pPr>
            <w:r>
              <w:rPr/>
              <w:t>9</w:t>
            </w:r>
          </w:p>
        </w:tc>
        <w:tc>
          <w:tcPr>
            <w:tcW w:type="dxa" w:w="2076"/>
          </w:tcPr>
          <w:p>
            <w:pPr>
              <w:jc w:val="left"/>
            </w:pPr>
            <w:r>
              <w:rPr/>
              <w:t>保险</w:t>
            </w:r>
          </w:p>
        </w:tc>
        <w:tc>
          <w:tcPr>
            <w:tcW w:type="dxa" w:w="2076"/>
          </w:tcPr>
          <w:p>
            <w:pPr>
              <w:jc w:val="left"/>
            </w:pPr>
            <w:r>
              <w:rPr/>
              <w:t>货物交付运输前，采购人已经支付部分或全部款项的，中标人应当办理以采购人为受益人的货物“一切险”，投保金额不少于采购人已经支付款项总额，保险保至项目最终交货地点。</w:t>
            </w:r>
          </w:p>
        </w:tc>
      </w:tr>
      <w:tr>
        <w:tc>
          <w:tcPr>
            <w:tcW w:type="dxa" w:w="2076"/>
          </w:tcPr>
          <w:p>
            <w:pPr>
              <w:jc w:val="center"/>
            </w:pPr>
          </w:p>
        </w:tc>
        <w:tc>
          <w:tcPr>
            <w:tcW w:type="dxa" w:w="2076"/>
          </w:tcPr>
          <w:p>
            <w:pPr>
              <w:jc w:val="center"/>
            </w:pPr>
            <w:r>
              <w:rPr/>
              <w:t>10</w:t>
            </w:r>
          </w:p>
        </w:tc>
        <w:tc>
          <w:tcPr>
            <w:tcW w:type="dxa" w:w="2076"/>
          </w:tcPr>
          <w:p>
            <w:pPr>
              <w:jc w:val="left"/>
            </w:pPr>
            <w:r>
              <w:rPr/>
              <w:t>设备要求</w:t>
            </w:r>
          </w:p>
        </w:tc>
        <w:tc>
          <w:tcPr>
            <w:tcW w:type="dxa" w:w="2076"/>
          </w:tcPr>
          <w:p>
            <w:pPr>
              <w:jc w:val="left"/>
            </w:pPr>
            <w:r>
              <w:rPr/>
              <w:t>(1)货物为原制造商制造的全新产品，整机无污染，无侵权行为、表面无划损、无任何缺陷隐患，在中国境内可依常规安全合法使用。 (2)货物为原厂商未启封全新包装，具出厂合格证，序列号、包装箱号与出厂批号一致，并可追索查阅。 (3)有关键主机设备的用户手册、保修手册、有关单证资料及配备件、随机工具等，使用操作及安全 须知等重要资料应附有中文说明。 (4)如投标人为经营企业，提供制造商对其在本次投标中提供该货物的正式授权书。</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医疗设备</w:t>
            </w:r>
          </w:p>
        </w:tc>
        <w:tc>
          <w:tcPr>
            <w:tcW w:type="dxa" w:w="831"/>
          </w:tcPr>
          <w:p>
            <w:pPr>
              <w:jc w:val="left"/>
            </w:pPr>
            <w:r>
              <w:rPr/>
              <w:t>内窥镜手术控制系统及附件</w:t>
            </w:r>
          </w:p>
        </w:tc>
        <w:tc>
          <w:tcPr>
            <w:tcW w:type="dxa" w:w="831"/>
          </w:tcPr>
          <w:p>
            <w:pPr>
              <w:jc w:val="left"/>
            </w:pPr>
            <w:r>
              <w:rPr/>
              <w:t>套</w:t>
            </w:r>
          </w:p>
        </w:tc>
        <w:tc>
          <w:tcPr>
            <w:tcW w:type="dxa" w:w="831"/>
          </w:tcPr>
          <w:p>
            <w:pPr>
              <w:jc w:val="right"/>
            </w:pPr>
            <w:r>
              <w:rPr/>
              <w:t>1.00</w:t>
            </w:r>
          </w:p>
        </w:tc>
        <w:tc>
          <w:tcPr>
            <w:tcW w:type="dxa" w:w="831"/>
          </w:tcPr>
          <w:p>
            <w:pPr>
              <w:jc w:val="right"/>
            </w:pPr>
            <w:r>
              <w:rPr/>
              <w:t>14,000,000.00</w:t>
            </w:r>
          </w:p>
        </w:tc>
        <w:tc>
          <w:tcPr>
            <w:tcW w:type="dxa" w:w="831"/>
          </w:tcPr>
          <w:p>
            <w:pPr>
              <w:jc w:val="right"/>
            </w:pPr>
            <w:r>
              <w:rPr/>
              <w:t>14,000,000.00</w:t>
            </w:r>
          </w:p>
        </w:tc>
        <w:tc>
          <w:tcPr>
            <w:tcW w:type="dxa" w:w="831"/>
          </w:tcPr>
          <w:p>
            <w:r>
              <w:rPr/>
              <w:t>工业</w:t>
            </w:r>
          </w:p>
        </w:tc>
        <w:tc>
          <w:tcPr>
            <w:tcW w:type="dxa" w:w="831"/>
          </w:tcPr>
          <w:p>
            <w:r>
              <w:rPr/>
              <w:t>详见附表一</w:t>
            </w:r>
          </w:p>
        </w:tc>
      </w:tr>
    </w:tbl>
    <w:p/>
    <w:p>
      <w:r>
        <w:rPr>
          <w:b/>
        </w:rPr>
        <w:t>附表</w:t>
      </w:r>
      <w:r>
        <w:rPr>
          <w:b/>
        </w:rPr>
        <w:t>一</w:t>
      </w:r>
      <w:r>
        <w:rPr>
          <w:b/>
        </w:rPr>
        <w:t>：</w:t>
      </w:r>
      <w:r>
        <w:rPr>
          <w:b/>
        </w:rPr>
        <w:t>内窥镜手术控制系统及附件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color w:val="000000"/>
                <w:sz w:val="24"/>
              </w:rPr>
              <w:t>1医生控制台</w:t>
            </w:r>
          </w:p>
          <w:p>
            <w:r>
              <w:rPr>
                <w:color w:val="000000"/>
                <w:sz w:val="24"/>
              </w:rPr>
              <w:t>1.1主控制器</w:t>
            </w:r>
          </w:p>
          <w:p>
            <w:r>
              <w:rPr>
                <w:color w:val="000000"/>
                <w:sz w:val="24"/>
              </w:rPr>
              <w:t>1.1.1主控制器数量≥2个，左右各一个</w:t>
            </w:r>
          </w:p>
        </w:tc>
      </w:tr>
      <w:tr>
        <w:tc>
          <w:tcPr>
            <w:tcW w:type="dxa" w:w="2076"/>
          </w:tcPr>
          <w:p>
            <w:r>
              <w:rPr/>
              <w:t>▲</w:t>
            </w:r>
          </w:p>
        </w:tc>
        <w:tc>
          <w:tcPr>
            <w:tcW w:type="dxa" w:w="415"/>
          </w:tcPr>
          <w:p>
            <w:r>
              <w:rPr/>
              <w:t>2</w:t>
            </w:r>
          </w:p>
        </w:tc>
        <w:tc>
          <w:tcPr>
            <w:tcW w:type="dxa" w:w="5814"/>
          </w:tcPr>
          <w:p>
            <w:r>
              <w:rPr>
                <w:color w:val="000000"/>
                <w:sz w:val="24"/>
              </w:rPr>
              <w:t>1.1.2主控制器操作手柄应配备指压离合器，可实现单个控制手柄的舒适位置调整</w:t>
            </w:r>
          </w:p>
        </w:tc>
      </w:tr>
      <w:tr>
        <w:tc>
          <w:tcPr>
            <w:tcW w:type="dxa" w:w="2076"/>
          </w:tcPr>
          <w:p>
            <w:r>
              <w:rPr/>
              <w:t>▲</w:t>
            </w:r>
          </w:p>
        </w:tc>
        <w:tc>
          <w:tcPr>
            <w:tcW w:type="dxa" w:w="415"/>
          </w:tcPr>
          <w:p>
            <w:r>
              <w:rPr/>
              <w:t>3</w:t>
            </w:r>
          </w:p>
        </w:tc>
        <w:tc>
          <w:tcPr>
            <w:tcW w:type="dxa" w:w="5814"/>
          </w:tcPr>
          <w:p>
            <w:r>
              <w:rPr>
                <w:color w:val="000000"/>
                <w:sz w:val="24"/>
              </w:rPr>
              <w:t>1.1.3指压离合器数量≥4个，左右上下各一个</w:t>
            </w:r>
          </w:p>
        </w:tc>
      </w:tr>
      <w:tr>
        <w:tc>
          <w:tcPr>
            <w:tcW w:type="dxa" w:w="2076"/>
          </w:tcPr>
          <w:p/>
        </w:tc>
        <w:tc>
          <w:tcPr>
            <w:tcW w:type="dxa" w:w="415"/>
          </w:tcPr>
          <w:p>
            <w:r>
              <w:rPr/>
              <w:t>4</w:t>
            </w:r>
          </w:p>
        </w:tc>
        <w:tc>
          <w:tcPr>
            <w:tcW w:type="dxa" w:w="5814"/>
          </w:tcPr>
          <w:p>
            <w:r>
              <w:rPr>
                <w:color w:val="000000"/>
                <w:sz w:val="24"/>
              </w:rPr>
              <w:t>1.1.4具备等比例缩放运动幅度功能，缩放比例选项≥3种</w:t>
            </w:r>
          </w:p>
        </w:tc>
      </w:tr>
      <w:tr>
        <w:tc>
          <w:tcPr>
            <w:tcW w:type="dxa" w:w="2076"/>
          </w:tcPr>
          <w:p/>
        </w:tc>
        <w:tc>
          <w:tcPr>
            <w:tcW w:type="dxa" w:w="415"/>
          </w:tcPr>
          <w:p>
            <w:r>
              <w:rPr/>
              <w:t>5</w:t>
            </w:r>
          </w:p>
        </w:tc>
        <w:tc>
          <w:tcPr>
            <w:tcW w:type="dxa" w:w="5814"/>
          </w:tcPr>
          <w:p>
            <w:r>
              <w:rPr>
                <w:color w:val="000000"/>
                <w:sz w:val="24"/>
              </w:rPr>
              <w:t>1.1.5注册证要求具备完整的手术机器人结构组成，至少包含医生控制台，患者手术平台及影像系统</w:t>
            </w:r>
          </w:p>
        </w:tc>
      </w:tr>
      <w:tr>
        <w:tc>
          <w:tcPr>
            <w:tcW w:type="dxa" w:w="2076"/>
          </w:tcPr>
          <w:p/>
        </w:tc>
        <w:tc>
          <w:tcPr>
            <w:tcW w:type="dxa" w:w="415"/>
          </w:tcPr>
          <w:p>
            <w:r>
              <w:rPr/>
              <w:t>6</w:t>
            </w:r>
          </w:p>
        </w:tc>
        <w:tc>
          <w:tcPr>
            <w:tcW w:type="dxa" w:w="5814"/>
          </w:tcPr>
          <w:p>
            <w:pPr>
              <w:jc w:val="both"/>
            </w:pPr>
            <w:r>
              <w:rPr>
                <w:color w:val="000000"/>
                <w:sz w:val="24"/>
              </w:rPr>
              <w:t>1.2观察窗</w:t>
            </w:r>
          </w:p>
          <w:p>
            <w:r>
              <w:rPr>
                <w:color w:val="000000"/>
                <w:sz w:val="24"/>
              </w:rPr>
              <w:t>1.2.1术者无需佩戴3D眼镜，即可实现裸眼直视三维的高清视野</w:t>
            </w:r>
          </w:p>
        </w:tc>
      </w:tr>
      <w:tr>
        <w:tc>
          <w:tcPr>
            <w:tcW w:type="dxa" w:w="2076"/>
          </w:tcPr>
          <w:p/>
        </w:tc>
        <w:tc>
          <w:tcPr>
            <w:tcW w:type="dxa" w:w="415"/>
          </w:tcPr>
          <w:p>
            <w:r>
              <w:rPr/>
              <w:t>7</w:t>
            </w:r>
          </w:p>
        </w:tc>
        <w:tc>
          <w:tcPr>
            <w:tcW w:type="dxa" w:w="5814"/>
          </w:tcPr>
          <w:p>
            <w:r>
              <w:rPr>
                <w:color w:val="000000"/>
                <w:sz w:val="24"/>
              </w:rPr>
              <w:t>1.2.2左右各一个视窗，实现三维立体影像</w:t>
            </w:r>
          </w:p>
        </w:tc>
      </w:tr>
      <w:tr>
        <w:tc>
          <w:tcPr>
            <w:tcW w:type="dxa" w:w="2076"/>
          </w:tcPr>
          <w:p/>
        </w:tc>
        <w:tc>
          <w:tcPr>
            <w:tcW w:type="dxa" w:w="415"/>
          </w:tcPr>
          <w:p>
            <w:r>
              <w:rPr/>
              <w:t>8</w:t>
            </w:r>
          </w:p>
        </w:tc>
        <w:tc>
          <w:tcPr>
            <w:tcW w:type="dxa" w:w="5814"/>
          </w:tcPr>
          <w:p>
            <w:r>
              <w:rPr>
                <w:color w:val="000000"/>
                <w:sz w:val="24"/>
              </w:rPr>
              <w:t>1.2.3分辨率≥1920×1080p</w:t>
            </w:r>
          </w:p>
        </w:tc>
      </w:tr>
      <w:tr>
        <w:tc>
          <w:tcPr>
            <w:tcW w:type="dxa" w:w="2076"/>
          </w:tcPr>
          <w:p>
            <w:r>
              <w:rPr/>
              <w:t>▲</w:t>
            </w:r>
          </w:p>
        </w:tc>
        <w:tc>
          <w:tcPr>
            <w:tcW w:type="dxa" w:w="415"/>
          </w:tcPr>
          <w:p>
            <w:r>
              <w:rPr/>
              <w:t>9</w:t>
            </w:r>
          </w:p>
        </w:tc>
        <w:tc>
          <w:tcPr>
            <w:tcW w:type="dxa" w:w="5814"/>
          </w:tcPr>
          <w:p>
            <w:r>
              <w:rPr>
                <w:color w:val="000000"/>
                <w:sz w:val="24"/>
              </w:rPr>
              <w:t>1.2.4流畅度≥60fps</w:t>
            </w:r>
          </w:p>
        </w:tc>
      </w:tr>
      <w:tr>
        <w:tc>
          <w:tcPr>
            <w:tcW w:type="dxa" w:w="2076"/>
          </w:tcPr>
          <w:p>
            <w:r>
              <w:rPr/>
              <w:t>▲</w:t>
            </w:r>
          </w:p>
        </w:tc>
        <w:tc>
          <w:tcPr>
            <w:tcW w:type="dxa" w:w="415"/>
          </w:tcPr>
          <w:p>
            <w:r>
              <w:rPr/>
              <w:t>10</w:t>
            </w:r>
          </w:p>
        </w:tc>
        <w:tc>
          <w:tcPr>
            <w:tcW w:type="dxa" w:w="5814"/>
          </w:tcPr>
          <w:p>
            <w:r>
              <w:rPr>
                <w:color w:val="000000"/>
                <w:sz w:val="24"/>
              </w:rPr>
              <w:t>1.2.5器械使用状态提示≥4种，至少包含器械编号、名称、是否激活、当前激活功能</w:t>
            </w:r>
          </w:p>
        </w:tc>
      </w:tr>
      <w:tr>
        <w:tc>
          <w:tcPr>
            <w:tcW w:type="dxa" w:w="2076"/>
          </w:tcPr>
          <w:p>
            <w:r>
              <w:rPr/>
              <w:t>▲</w:t>
            </w:r>
          </w:p>
        </w:tc>
        <w:tc>
          <w:tcPr>
            <w:tcW w:type="dxa" w:w="415"/>
          </w:tcPr>
          <w:p>
            <w:r>
              <w:rPr/>
              <w:t>11</w:t>
            </w:r>
          </w:p>
        </w:tc>
        <w:tc>
          <w:tcPr>
            <w:tcW w:type="dxa" w:w="5814"/>
          </w:tcPr>
          <w:p>
            <w:r>
              <w:rPr>
                <w:color w:val="000000"/>
                <w:sz w:val="24"/>
              </w:rPr>
              <w:t>1.2.6内镜使用状态提示≥4种，至少包含内窥镜视向角、旋转角度、数字变焦、左右眼</w:t>
            </w:r>
          </w:p>
        </w:tc>
      </w:tr>
      <w:tr>
        <w:tc>
          <w:tcPr>
            <w:tcW w:type="dxa" w:w="2076"/>
          </w:tcPr>
          <w:p>
            <w:r>
              <w:rPr/>
              <w:t>▲</w:t>
            </w:r>
          </w:p>
        </w:tc>
        <w:tc>
          <w:tcPr>
            <w:tcW w:type="dxa" w:w="415"/>
          </w:tcPr>
          <w:p>
            <w:r>
              <w:rPr/>
              <w:t>12</w:t>
            </w:r>
          </w:p>
        </w:tc>
        <w:tc>
          <w:tcPr>
            <w:tcW w:type="dxa" w:w="5814"/>
          </w:tcPr>
          <w:p>
            <w:r>
              <w:rPr>
                <w:color w:val="000000"/>
                <w:sz w:val="24"/>
              </w:rPr>
              <w:t>1.2.7观察窗中具备器械使用寿命提示</w:t>
            </w:r>
          </w:p>
        </w:tc>
      </w:tr>
      <w:tr>
        <w:tc>
          <w:tcPr>
            <w:tcW w:type="dxa" w:w="2076"/>
          </w:tcPr>
          <w:p>
            <w:r>
              <w:rPr/>
              <w:t>▲</w:t>
            </w:r>
          </w:p>
        </w:tc>
        <w:tc>
          <w:tcPr>
            <w:tcW w:type="dxa" w:w="415"/>
          </w:tcPr>
          <w:p>
            <w:r>
              <w:rPr/>
              <w:t>13</w:t>
            </w:r>
          </w:p>
        </w:tc>
        <w:tc>
          <w:tcPr>
            <w:tcW w:type="dxa" w:w="5814"/>
          </w:tcPr>
          <w:p>
            <w:r>
              <w:rPr>
                <w:color w:val="000000"/>
                <w:sz w:val="24"/>
              </w:rPr>
              <w:t>1.2.8观察窗中具备器械移动范围提示，进度条显示当前器械移动的范围，到达极限时会示警</w:t>
            </w:r>
          </w:p>
        </w:tc>
      </w:tr>
      <w:tr>
        <w:tc>
          <w:tcPr>
            <w:tcW w:type="dxa" w:w="2076"/>
          </w:tcPr>
          <w:p/>
        </w:tc>
        <w:tc>
          <w:tcPr>
            <w:tcW w:type="dxa" w:w="415"/>
          </w:tcPr>
          <w:p>
            <w:r>
              <w:rPr/>
              <w:t>14</w:t>
            </w:r>
          </w:p>
        </w:tc>
        <w:tc>
          <w:tcPr>
            <w:tcW w:type="dxa" w:w="5814"/>
          </w:tcPr>
          <w:p>
            <w:pPr>
              <w:jc w:val="both"/>
            </w:pPr>
            <w:r>
              <w:rPr>
                <w:color w:val="000000"/>
                <w:sz w:val="24"/>
              </w:rPr>
              <w:t>1.3主控台触摸屏控制面板</w:t>
            </w:r>
          </w:p>
          <w:p>
            <w:r>
              <w:rPr>
                <w:color w:val="000000"/>
                <w:sz w:val="24"/>
              </w:rPr>
              <w:t>1.3.1控制面板具备中文操作界面</w:t>
            </w:r>
          </w:p>
        </w:tc>
      </w:tr>
      <w:tr>
        <w:tc>
          <w:tcPr>
            <w:tcW w:type="dxa" w:w="2076"/>
          </w:tcPr>
          <w:p/>
        </w:tc>
        <w:tc>
          <w:tcPr>
            <w:tcW w:type="dxa" w:w="415"/>
          </w:tcPr>
          <w:p>
            <w:r>
              <w:rPr/>
              <w:t>15</w:t>
            </w:r>
          </w:p>
        </w:tc>
        <w:tc>
          <w:tcPr>
            <w:tcW w:type="dxa" w:w="5814"/>
          </w:tcPr>
          <w:p>
            <w:r>
              <w:rPr>
                <w:color w:val="000000"/>
                <w:sz w:val="24"/>
              </w:rPr>
              <w:t>1.3.2可显示手术器械信息</w:t>
            </w:r>
          </w:p>
        </w:tc>
      </w:tr>
      <w:tr>
        <w:tc>
          <w:tcPr>
            <w:tcW w:type="dxa" w:w="2076"/>
          </w:tcPr>
          <w:p/>
        </w:tc>
        <w:tc>
          <w:tcPr>
            <w:tcW w:type="dxa" w:w="415"/>
          </w:tcPr>
          <w:p>
            <w:r>
              <w:rPr/>
              <w:t>16</w:t>
            </w:r>
          </w:p>
        </w:tc>
        <w:tc>
          <w:tcPr>
            <w:tcW w:type="dxa" w:w="5814"/>
          </w:tcPr>
          <w:p>
            <w:r>
              <w:rPr>
                <w:color w:val="000000"/>
                <w:sz w:val="24"/>
              </w:rPr>
              <w:t>1.3.3可对图像进行二维、三维图像转换</w:t>
            </w:r>
          </w:p>
        </w:tc>
      </w:tr>
      <w:tr>
        <w:tc>
          <w:tcPr>
            <w:tcW w:type="dxa" w:w="2076"/>
          </w:tcPr>
          <w:p/>
        </w:tc>
        <w:tc>
          <w:tcPr>
            <w:tcW w:type="dxa" w:w="415"/>
          </w:tcPr>
          <w:p>
            <w:r>
              <w:rPr/>
              <w:t>17</w:t>
            </w:r>
          </w:p>
        </w:tc>
        <w:tc>
          <w:tcPr>
            <w:tcW w:type="dxa" w:w="5814"/>
          </w:tcPr>
          <w:p>
            <w:r>
              <w:rPr>
                <w:color w:val="000000"/>
                <w:sz w:val="24"/>
              </w:rPr>
              <w:t>1.3.4可以通过触摸控制面板设定视频、音频、系统功能</w:t>
            </w:r>
          </w:p>
        </w:tc>
      </w:tr>
      <w:tr>
        <w:tc>
          <w:tcPr>
            <w:tcW w:type="dxa" w:w="2076"/>
          </w:tcPr>
          <w:p/>
        </w:tc>
        <w:tc>
          <w:tcPr>
            <w:tcW w:type="dxa" w:w="415"/>
          </w:tcPr>
          <w:p>
            <w:r>
              <w:rPr/>
              <w:t>18</w:t>
            </w:r>
          </w:p>
        </w:tc>
        <w:tc>
          <w:tcPr>
            <w:tcW w:type="dxa" w:w="5814"/>
          </w:tcPr>
          <w:p>
            <w:r>
              <w:rPr>
                <w:color w:val="000000"/>
                <w:sz w:val="24"/>
              </w:rPr>
              <w:t>1.3.5具备主视眼切换功能，支持医生自行选择当前图像是左眼或右眼</w:t>
            </w:r>
          </w:p>
        </w:tc>
      </w:tr>
      <w:tr>
        <w:tc>
          <w:tcPr>
            <w:tcW w:type="dxa" w:w="2076"/>
          </w:tcPr>
          <w:p>
            <w:r>
              <w:rPr/>
              <w:t>▲</w:t>
            </w:r>
          </w:p>
        </w:tc>
        <w:tc>
          <w:tcPr>
            <w:tcW w:type="dxa" w:w="415"/>
          </w:tcPr>
          <w:p>
            <w:r>
              <w:rPr/>
              <w:t>19</w:t>
            </w:r>
          </w:p>
        </w:tc>
        <w:tc>
          <w:tcPr>
            <w:tcW w:type="dxa" w:w="5814"/>
          </w:tcPr>
          <w:p>
            <w:r>
              <w:rPr>
                <w:color w:val="000000"/>
                <w:sz w:val="24"/>
              </w:rPr>
              <w:t>1.3.6控制面板提供一键自动180°翻转内窥镜功能</w:t>
            </w:r>
          </w:p>
        </w:tc>
      </w:tr>
      <w:tr>
        <w:tc>
          <w:tcPr>
            <w:tcW w:type="dxa" w:w="2076"/>
          </w:tcPr>
          <w:p/>
        </w:tc>
        <w:tc>
          <w:tcPr>
            <w:tcW w:type="dxa" w:w="415"/>
          </w:tcPr>
          <w:p>
            <w:r>
              <w:rPr/>
              <w:t>20</w:t>
            </w:r>
          </w:p>
        </w:tc>
        <w:tc>
          <w:tcPr>
            <w:tcW w:type="dxa" w:w="5814"/>
          </w:tcPr>
          <w:p>
            <w:pPr>
              <w:jc w:val="both"/>
            </w:pPr>
            <w:r>
              <w:rPr>
                <w:color w:val="000000"/>
                <w:sz w:val="24"/>
              </w:rPr>
              <w:t>1.4左右侧控制单元</w:t>
            </w:r>
          </w:p>
          <w:p>
            <w:r>
              <w:rPr>
                <w:color w:val="000000"/>
                <w:sz w:val="24"/>
              </w:rPr>
              <w:t>1.4.1具备电源开关键</w:t>
            </w:r>
          </w:p>
        </w:tc>
      </w:tr>
      <w:tr>
        <w:tc>
          <w:tcPr>
            <w:tcW w:type="dxa" w:w="2076"/>
          </w:tcPr>
          <w:p/>
        </w:tc>
        <w:tc>
          <w:tcPr>
            <w:tcW w:type="dxa" w:w="415"/>
          </w:tcPr>
          <w:p>
            <w:r>
              <w:rPr/>
              <w:t>21</w:t>
            </w:r>
          </w:p>
        </w:tc>
        <w:tc>
          <w:tcPr>
            <w:tcW w:type="dxa" w:w="5814"/>
          </w:tcPr>
          <w:p>
            <w:r>
              <w:rPr>
                <w:color w:val="000000"/>
                <w:sz w:val="24"/>
              </w:rPr>
              <w:t>1.4.2具备紧急停止键</w:t>
            </w:r>
          </w:p>
        </w:tc>
      </w:tr>
      <w:tr>
        <w:tc>
          <w:tcPr>
            <w:tcW w:type="dxa" w:w="2076"/>
          </w:tcPr>
          <w:p/>
        </w:tc>
        <w:tc>
          <w:tcPr>
            <w:tcW w:type="dxa" w:w="415"/>
          </w:tcPr>
          <w:p>
            <w:r>
              <w:rPr/>
              <w:t>22</w:t>
            </w:r>
          </w:p>
        </w:tc>
        <w:tc>
          <w:tcPr>
            <w:tcW w:type="dxa" w:w="5814"/>
          </w:tcPr>
          <w:p>
            <w:r>
              <w:rPr>
                <w:color w:val="000000"/>
                <w:sz w:val="24"/>
              </w:rPr>
              <w:t>1.4.3人体工学控制器</w:t>
            </w:r>
          </w:p>
        </w:tc>
      </w:tr>
      <w:tr>
        <w:tc>
          <w:tcPr>
            <w:tcW w:type="dxa" w:w="2076"/>
          </w:tcPr>
          <w:p/>
        </w:tc>
        <w:tc>
          <w:tcPr>
            <w:tcW w:type="dxa" w:w="415"/>
          </w:tcPr>
          <w:p>
            <w:r>
              <w:rPr/>
              <w:t>23</w:t>
            </w:r>
          </w:p>
        </w:tc>
        <w:tc>
          <w:tcPr>
            <w:tcW w:type="dxa" w:w="5814"/>
          </w:tcPr>
          <w:p>
            <w:pPr>
              <w:jc w:val="both"/>
            </w:pPr>
            <w:r>
              <w:rPr>
                <w:color w:val="000000"/>
                <w:sz w:val="24"/>
              </w:rPr>
              <w:t>1.5控制踏板</w:t>
            </w:r>
          </w:p>
          <w:p>
            <w:r>
              <w:rPr>
                <w:color w:val="000000"/>
                <w:sz w:val="24"/>
              </w:rPr>
              <w:t>1.5.1操作手柄离合踏板≥1个</w:t>
            </w:r>
          </w:p>
        </w:tc>
      </w:tr>
      <w:tr>
        <w:tc>
          <w:tcPr>
            <w:tcW w:type="dxa" w:w="2076"/>
          </w:tcPr>
          <w:p/>
        </w:tc>
        <w:tc>
          <w:tcPr>
            <w:tcW w:type="dxa" w:w="415"/>
          </w:tcPr>
          <w:p>
            <w:r>
              <w:rPr/>
              <w:t>24</w:t>
            </w:r>
          </w:p>
        </w:tc>
        <w:tc>
          <w:tcPr>
            <w:tcW w:type="dxa" w:w="5814"/>
          </w:tcPr>
          <w:p>
            <w:r>
              <w:rPr>
                <w:color w:val="000000"/>
                <w:sz w:val="24"/>
              </w:rPr>
              <w:t>1.5.2内窥镜控制踏板≥1个</w:t>
            </w:r>
          </w:p>
        </w:tc>
      </w:tr>
      <w:tr>
        <w:tc>
          <w:tcPr>
            <w:tcW w:type="dxa" w:w="2076"/>
          </w:tcPr>
          <w:p>
            <w:r>
              <w:rPr/>
              <w:t>▲</w:t>
            </w:r>
          </w:p>
        </w:tc>
        <w:tc>
          <w:tcPr>
            <w:tcW w:type="dxa" w:w="415"/>
          </w:tcPr>
          <w:p>
            <w:r>
              <w:rPr/>
              <w:t>25</w:t>
            </w:r>
          </w:p>
        </w:tc>
        <w:tc>
          <w:tcPr>
            <w:tcW w:type="dxa" w:w="5814"/>
          </w:tcPr>
          <w:p>
            <w:r>
              <w:rPr>
                <w:color w:val="000000"/>
                <w:sz w:val="24"/>
              </w:rPr>
              <w:t>1.5.3器械臂切换踏板≥1个</w:t>
            </w:r>
          </w:p>
        </w:tc>
      </w:tr>
      <w:tr>
        <w:tc>
          <w:tcPr>
            <w:tcW w:type="dxa" w:w="2076"/>
          </w:tcPr>
          <w:p/>
        </w:tc>
        <w:tc>
          <w:tcPr>
            <w:tcW w:type="dxa" w:w="415"/>
          </w:tcPr>
          <w:p>
            <w:r>
              <w:rPr/>
              <w:t>26</w:t>
            </w:r>
          </w:p>
        </w:tc>
        <w:tc>
          <w:tcPr>
            <w:tcW w:type="dxa" w:w="5814"/>
          </w:tcPr>
          <w:p>
            <w:r>
              <w:rPr>
                <w:color w:val="000000"/>
                <w:sz w:val="24"/>
              </w:rPr>
              <w:t>1.5.4器械能量激发踏板≥4个</w:t>
            </w:r>
          </w:p>
        </w:tc>
      </w:tr>
      <w:tr>
        <w:tc>
          <w:tcPr>
            <w:tcW w:type="dxa" w:w="2076"/>
          </w:tcPr>
          <w:p>
            <w:r>
              <w:rPr/>
              <w:t>▲</w:t>
            </w:r>
          </w:p>
        </w:tc>
        <w:tc>
          <w:tcPr>
            <w:tcW w:type="dxa" w:w="415"/>
          </w:tcPr>
          <w:p>
            <w:r>
              <w:rPr/>
              <w:t>27</w:t>
            </w:r>
          </w:p>
        </w:tc>
        <w:tc>
          <w:tcPr>
            <w:tcW w:type="dxa" w:w="5814"/>
          </w:tcPr>
          <w:p>
            <w:pPr>
              <w:jc w:val="both"/>
            </w:pPr>
            <w:r>
              <w:rPr>
                <w:color w:val="000000"/>
                <w:sz w:val="24"/>
              </w:rPr>
              <w:t>2患者手术平台</w:t>
            </w:r>
          </w:p>
          <w:p>
            <w:pPr>
              <w:jc w:val="both"/>
            </w:pPr>
            <w:r>
              <w:rPr>
                <w:color w:val="000000"/>
                <w:sz w:val="24"/>
              </w:rPr>
              <w:t>2.1机械臂</w:t>
            </w:r>
          </w:p>
          <w:p>
            <w:r>
              <w:rPr>
                <w:color w:val="000000"/>
                <w:sz w:val="24"/>
              </w:rPr>
              <w:t>2.1.1数量≥4个</w:t>
            </w:r>
          </w:p>
        </w:tc>
      </w:tr>
      <w:tr>
        <w:tc>
          <w:tcPr>
            <w:tcW w:type="dxa" w:w="2076"/>
          </w:tcPr>
          <w:p>
            <w:r>
              <w:rPr/>
              <w:t>▲</w:t>
            </w:r>
          </w:p>
        </w:tc>
        <w:tc>
          <w:tcPr>
            <w:tcW w:type="dxa" w:w="415"/>
          </w:tcPr>
          <w:p>
            <w:r>
              <w:rPr/>
              <w:t>28</w:t>
            </w:r>
          </w:p>
        </w:tc>
        <w:tc>
          <w:tcPr>
            <w:tcW w:type="dxa" w:w="5814"/>
          </w:tcPr>
          <w:p>
            <w:r>
              <w:rPr>
                <w:color w:val="000000"/>
                <w:sz w:val="24"/>
              </w:rPr>
              <w:t>2.1.2内窥镜可以安装在任意一个机械臂上</w:t>
            </w:r>
          </w:p>
        </w:tc>
      </w:tr>
      <w:tr>
        <w:tc>
          <w:tcPr>
            <w:tcW w:type="dxa" w:w="2076"/>
          </w:tcPr>
          <w:p/>
        </w:tc>
        <w:tc>
          <w:tcPr>
            <w:tcW w:type="dxa" w:w="415"/>
          </w:tcPr>
          <w:p>
            <w:r>
              <w:rPr/>
              <w:t>29</w:t>
            </w:r>
          </w:p>
        </w:tc>
        <w:tc>
          <w:tcPr>
            <w:tcW w:type="dxa" w:w="5814"/>
          </w:tcPr>
          <w:p>
            <w:r>
              <w:rPr>
                <w:color w:val="000000"/>
                <w:sz w:val="24"/>
              </w:rPr>
              <w:t>2.1.3具备吊杆式支持结构</w:t>
            </w:r>
          </w:p>
        </w:tc>
      </w:tr>
      <w:tr>
        <w:tc>
          <w:tcPr>
            <w:tcW w:type="dxa" w:w="2076"/>
          </w:tcPr>
          <w:p/>
        </w:tc>
        <w:tc>
          <w:tcPr>
            <w:tcW w:type="dxa" w:w="415"/>
          </w:tcPr>
          <w:p>
            <w:r>
              <w:rPr/>
              <w:t>30</w:t>
            </w:r>
          </w:p>
        </w:tc>
        <w:tc>
          <w:tcPr>
            <w:tcW w:type="dxa" w:w="5814"/>
          </w:tcPr>
          <w:p>
            <w:r>
              <w:rPr>
                <w:color w:val="000000"/>
                <w:sz w:val="24"/>
              </w:rPr>
              <w:t>2.1.4具备吊杆LED指示灯</w:t>
            </w:r>
          </w:p>
        </w:tc>
      </w:tr>
      <w:tr>
        <w:tc>
          <w:tcPr>
            <w:tcW w:type="dxa" w:w="2076"/>
          </w:tcPr>
          <w:p>
            <w:r>
              <w:rPr/>
              <w:t>▲</w:t>
            </w:r>
          </w:p>
        </w:tc>
        <w:tc>
          <w:tcPr>
            <w:tcW w:type="dxa" w:w="415"/>
          </w:tcPr>
          <w:p>
            <w:r>
              <w:rPr/>
              <w:t>31</w:t>
            </w:r>
          </w:p>
        </w:tc>
        <w:tc>
          <w:tcPr>
            <w:tcW w:type="dxa" w:w="5814"/>
          </w:tcPr>
          <w:p>
            <w:r>
              <w:rPr>
                <w:color w:val="000000"/>
                <w:sz w:val="24"/>
              </w:rPr>
              <w:t>2.1.5吊杆最大旋转角度≥140°</w:t>
            </w:r>
          </w:p>
        </w:tc>
      </w:tr>
      <w:tr>
        <w:tc>
          <w:tcPr>
            <w:tcW w:type="dxa" w:w="2076"/>
          </w:tcPr>
          <w:p/>
        </w:tc>
        <w:tc>
          <w:tcPr>
            <w:tcW w:type="dxa" w:w="415"/>
          </w:tcPr>
          <w:p>
            <w:r>
              <w:rPr/>
              <w:t>32</w:t>
            </w:r>
          </w:p>
        </w:tc>
        <w:tc>
          <w:tcPr>
            <w:tcW w:type="dxa" w:w="5814"/>
          </w:tcPr>
          <w:p>
            <w:r>
              <w:rPr>
                <w:color w:val="000000"/>
                <w:sz w:val="24"/>
              </w:rPr>
              <w:t>2.1.6术中可变牵拉臂位置</w:t>
            </w:r>
          </w:p>
        </w:tc>
      </w:tr>
      <w:tr>
        <w:tc>
          <w:tcPr>
            <w:tcW w:type="dxa" w:w="2076"/>
          </w:tcPr>
          <w:p/>
        </w:tc>
        <w:tc>
          <w:tcPr>
            <w:tcW w:type="dxa" w:w="415"/>
          </w:tcPr>
          <w:p>
            <w:r>
              <w:rPr/>
              <w:t>33</w:t>
            </w:r>
          </w:p>
        </w:tc>
        <w:tc>
          <w:tcPr>
            <w:tcW w:type="dxa" w:w="5814"/>
          </w:tcPr>
          <w:p>
            <w:r>
              <w:rPr>
                <w:color w:val="000000"/>
                <w:sz w:val="24"/>
              </w:rPr>
              <w:t>2.1.7具备机械臂LED指示灯</w:t>
            </w:r>
          </w:p>
        </w:tc>
      </w:tr>
      <w:tr>
        <w:tc>
          <w:tcPr>
            <w:tcW w:type="dxa" w:w="2076"/>
          </w:tcPr>
          <w:p/>
        </w:tc>
        <w:tc>
          <w:tcPr>
            <w:tcW w:type="dxa" w:w="415"/>
          </w:tcPr>
          <w:p>
            <w:r>
              <w:rPr/>
              <w:t>34</w:t>
            </w:r>
          </w:p>
        </w:tc>
        <w:tc>
          <w:tcPr>
            <w:tcW w:type="dxa" w:w="5814"/>
          </w:tcPr>
          <w:p>
            <w:r>
              <w:rPr>
                <w:color w:val="000000"/>
                <w:sz w:val="24"/>
              </w:rPr>
              <w:t>2.1.8具备患者距离调节功能</w:t>
            </w:r>
          </w:p>
        </w:tc>
      </w:tr>
      <w:tr>
        <w:tc>
          <w:tcPr>
            <w:tcW w:type="dxa" w:w="2076"/>
          </w:tcPr>
          <w:p/>
        </w:tc>
        <w:tc>
          <w:tcPr>
            <w:tcW w:type="dxa" w:w="415"/>
          </w:tcPr>
          <w:p>
            <w:r>
              <w:rPr/>
              <w:t>35</w:t>
            </w:r>
          </w:p>
        </w:tc>
        <w:tc>
          <w:tcPr>
            <w:tcW w:type="dxa" w:w="5814"/>
          </w:tcPr>
          <w:p>
            <w:pPr>
              <w:jc w:val="both"/>
            </w:pPr>
            <w:r>
              <w:rPr>
                <w:color w:val="000000"/>
                <w:sz w:val="24"/>
              </w:rPr>
              <w:t>2.2控制舵</w:t>
            </w:r>
          </w:p>
          <w:p>
            <w:r>
              <w:rPr>
                <w:color w:val="000000"/>
                <w:sz w:val="24"/>
              </w:rPr>
              <w:t>2.2.1具备移动控制面板，可对立柱及吊杆进行升降、伸缩、旋转、左右移动等功能</w:t>
            </w:r>
          </w:p>
        </w:tc>
      </w:tr>
      <w:tr>
        <w:tc>
          <w:tcPr>
            <w:tcW w:type="dxa" w:w="2076"/>
          </w:tcPr>
          <w:p/>
        </w:tc>
        <w:tc>
          <w:tcPr>
            <w:tcW w:type="dxa" w:w="415"/>
          </w:tcPr>
          <w:p>
            <w:r>
              <w:rPr/>
              <w:t>36</w:t>
            </w:r>
          </w:p>
        </w:tc>
        <w:tc>
          <w:tcPr>
            <w:tcW w:type="dxa" w:w="5814"/>
          </w:tcPr>
          <w:p>
            <w:r>
              <w:rPr>
                <w:color w:val="000000"/>
                <w:sz w:val="24"/>
              </w:rPr>
              <w:t>2.2.2具备移动开关自动锁定功能</w:t>
            </w:r>
          </w:p>
        </w:tc>
      </w:tr>
      <w:tr>
        <w:tc>
          <w:tcPr>
            <w:tcW w:type="dxa" w:w="2076"/>
          </w:tcPr>
          <w:p/>
        </w:tc>
        <w:tc>
          <w:tcPr>
            <w:tcW w:type="dxa" w:w="415"/>
          </w:tcPr>
          <w:p>
            <w:r>
              <w:rPr/>
              <w:t>37</w:t>
            </w:r>
          </w:p>
        </w:tc>
        <w:tc>
          <w:tcPr>
            <w:tcW w:type="dxa" w:w="5814"/>
          </w:tcPr>
          <w:p>
            <w:r>
              <w:rPr>
                <w:color w:val="000000"/>
                <w:sz w:val="24"/>
              </w:rPr>
              <w:t>2.2.3具备紧急停止按钮</w:t>
            </w:r>
          </w:p>
        </w:tc>
      </w:tr>
      <w:tr>
        <w:tc>
          <w:tcPr>
            <w:tcW w:type="dxa" w:w="2076"/>
          </w:tcPr>
          <w:p/>
        </w:tc>
        <w:tc>
          <w:tcPr>
            <w:tcW w:type="dxa" w:w="415"/>
          </w:tcPr>
          <w:p>
            <w:r>
              <w:rPr/>
              <w:t>38</w:t>
            </w:r>
          </w:p>
        </w:tc>
        <w:tc>
          <w:tcPr>
            <w:tcW w:type="dxa" w:w="5814"/>
          </w:tcPr>
          <w:p>
            <w:pPr>
              <w:jc w:val="both"/>
            </w:pPr>
            <w:r>
              <w:rPr>
                <w:color w:val="000000"/>
                <w:sz w:val="24"/>
              </w:rPr>
              <w:t>2.3其他功能</w:t>
            </w:r>
          </w:p>
          <w:p>
            <w:r>
              <w:rPr>
                <w:color w:val="000000"/>
                <w:sz w:val="24"/>
              </w:rPr>
              <w:t>2.3.1提供激光引导指示</w:t>
            </w:r>
          </w:p>
        </w:tc>
      </w:tr>
      <w:tr>
        <w:tc>
          <w:tcPr>
            <w:tcW w:type="dxa" w:w="2076"/>
          </w:tcPr>
          <w:p/>
        </w:tc>
        <w:tc>
          <w:tcPr>
            <w:tcW w:type="dxa" w:w="415"/>
          </w:tcPr>
          <w:p>
            <w:r>
              <w:rPr/>
              <w:t>39</w:t>
            </w:r>
          </w:p>
        </w:tc>
        <w:tc>
          <w:tcPr>
            <w:tcW w:type="dxa" w:w="5814"/>
          </w:tcPr>
          <w:p>
            <w:r>
              <w:rPr>
                <w:color w:val="000000"/>
                <w:sz w:val="24"/>
              </w:rPr>
              <w:t>2.3.2具备内置扬声器及麦克风</w:t>
            </w:r>
          </w:p>
        </w:tc>
      </w:tr>
      <w:tr>
        <w:tc>
          <w:tcPr>
            <w:tcW w:type="dxa" w:w="2076"/>
          </w:tcPr>
          <w:p/>
        </w:tc>
        <w:tc>
          <w:tcPr>
            <w:tcW w:type="dxa" w:w="415"/>
          </w:tcPr>
          <w:p>
            <w:r>
              <w:rPr/>
              <w:t>40</w:t>
            </w:r>
          </w:p>
        </w:tc>
        <w:tc>
          <w:tcPr>
            <w:tcW w:type="dxa" w:w="5814"/>
          </w:tcPr>
          <w:p>
            <w:r>
              <w:rPr>
                <w:color w:val="000000"/>
                <w:sz w:val="24"/>
              </w:rPr>
              <w:t>2.3.3提供≥6分钟的后备电力，紧急情况时提供临时供电需求</w:t>
            </w:r>
          </w:p>
        </w:tc>
      </w:tr>
      <w:tr>
        <w:tc>
          <w:tcPr>
            <w:tcW w:type="dxa" w:w="2076"/>
          </w:tcPr>
          <w:p/>
        </w:tc>
        <w:tc>
          <w:tcPr>
            <w:tcW w:type="dxa" w:w="415"/>
          </w:tcPr>
          <w:p>
            <w:r>
              <w:rPr/>
              <w:t>41</w:t>
            </w:r>
          </w:p>
        </w:tc>
        <w:tc>
          <w:tcPr>
            <w:tcW w:type="dxa" w:w="5814"/>
          </w:tcPr>
          <w:p>
            <w:r>
              <w:rPr>
                <w:color w:val="000000"/>
                <w:sz w:val="24"/>
              </w:rPr>
              <w:t>2.3.4具备智能手术平台移动驱动电机，提供手术平台各方向移动功能</w:t>
            </w:r>
          </w:p>
        </w:tc>
      </w:tr>
      <w:tr>
        <w:tc>
          <w:tcPr>
            <w:tcW w:type="dxa" w:w="2076"/>
          </w:tcPr>
          <w:p>
            <w:r>
              <w:rPr/>
              <w:t>▲</w:t>
            </w:r>
          </w:p>
        </w:tc>
        <w:tc>
          <w:tcPr>
            <w:tcW w:type="dxa" w:w="415"/>
          </w:tcPr>
          <w:p>
            <w:r>
              <w:rPr/>
              <w:t>42</w:t>
            </w:r>
          </w:p>
        </w:tc>
        <w:tc>
          <w:tcPr>
            <w:tcW w:type="dxa" w:w="5814"/>
          </w:tcPr>
          <w:p>
            <w:pPr>
              <w:jc w:val="both"/>
            </w:pPr>
            <w:r>
              <w:rPr>
                <w:color w:val="000000"/>
                <w:sz w:val="24"/>
              </w:rPr>
              <w:t>3主从操作</w:t>
            </w:r>
          </w:p>
          <w:p>
            <w:r>
              <w:rPr>
                <w:color w:val="000000"/>
                <w:sz w:val="24"/>
              </w:rPr>
              <w:t>3.</w:t>
            </w:r>
            <w:r>
              <w:rPr>
                <w:color w:val="000000"/>
                <w:sz w:val="24"/>
              </w:rPr>
              <w:t>1</w:t>
            </w:r>
            <w:r>
              <w:rPr>
                <w:color w:val="000000"/>
                <w:sz w:val="24"/>
              </w:rPr>
              <w:t>主从操作距离重复性</w:t>
            </w:r>
            <w:r>
              <w:rPr>
                <w:color w:val="000000"/>
                <w:sz w:val="24"/>
              </w:rPr>
              <w:t>≤±1.0mm</w:t>
            </w:r>
          </w:p>
        </w:tc>
      </w:tr>
      <w:tr>
        <w:tc>
          <w:tcPr>
            <w:tcW w:type="dxa" w:w="2076"/>
          </w:tcPr>
          <w:p>
            <w:r>
              <w:rPr/>
              <w:t>▲</w:t>
            </w:r>
          </w:p>
        </w:tc>
        <w:tc>
          <w:tcPr>
            <w:tcW w:type="dxa" w:w="415"/>
          </w:tcPr>
          <w:p>
            <w:r>
              <w:rPr/>
              <w:t>43</w:t>
            </w:r>
          </w:p>
        </w:tc>
        <w:tc>
          <w:tcPr>
            <w:tcW w:type="dxa" w:w="5814"/>
          </w:tcPr>
          <w:p>
            <w:r>
              <w:rPr>
                <w:color w:val="000000"/>
                <w:sz w:val="24"/>
              </w:rPr>
              <w:t>3.2</w:t>
            </w:r>
            <w:r>
              <w:rPr>
                <w:color w:val="000000"/>
                <w:sz w:val="24"/>
              </w:rPr>
              <w:t>主从操作姿态重复性</w:t>
            </w:r>
            <w:r>
              <w:rPr>
                <w:color w:val="000000"/>
                <w:sz w:val="24"/>
              </w:rPr>
              <w:t>≤±1.0°</w:t>
            </w:r>
          </w:p>
        </w:tc>
      </w:tr>
      <w:tr>
        <w:tc>
          <w:tcPr>
            <w:tcW w:type="dxa" w:w="2076"/>
          </w:tcPr>
          <w:p/>
        </w:tc>
        <w:tc>
          <w:tcPr>
            <w:tcW w:type="dxa" w:w="415"/>
          </w:tcPr>
          <w:p>
            <w:r>
              <w:rPr/>
              <w:t>44</w:t>
            </w:r>
          </w:p>
        </w:tc>
        <w:tc>
          <w:tcPr>
            <w:tcW w:type="dxa" w:w="5814"/>
          </w:tcPr>
          <w:p>
            <w:r>
              <w:rPr>
                <w:color w:val="000000"/>
                <w:sz w:val="24"/>
              </w:rPr>
              <w:t>3.3主从控制启动延迟时间</w:t>
            </w:r>
            <w:r>
              <w:rPr>
                <w:color w:val="000000"/>
                <w:sz w:val="24"/>
              </w:rPr>
              <w:t>与</w:t>
            </w:r>
            <w:r>
              <w:rPr>
                <w:color w:val="000000"/>
                <w:sz w:val="24"/>
              </w:rPr>
              <w:t>主从控制跟随延迟时间</w:t>
            </w:r>
            <w:r>
              <w:rPr>
                <w:color w:val="000000"/>
                <w:sz w:val="24"/>
              </w:rPr>
              <w:t>≤80ms</w:t>
            </w:r>
          </w:p>
        </w:tc>
      </w:tr>
      <w:tr>
        <w:tc>
          <w:tcPr>
            <w:tcW w:type="dxa" w:w="2076"/>
          </w:tcPr>
          <w:p/>
        </w:tc>
        <w:tc>
          <w:tcPr>
            <w:tcW w:type="dxa" w:w="415"/>
          </w:tcPr>
          <w:p>
            <w:r>
              <w:rPr/>
              <w:t>45</w:t>
            </w:r>
          </w:p>
        </w:tc>
        <w:tc>
          <w:tcPr>
            <w:tcW w:type="dxa" w:w="5814"/>
          </w:tcPr>
          <w:p>
            <w:pPr>
              <w:jc w:val="both"/>
            </w:pPr>
            <w:r>
              <w:rPr>
                <w:color w:val="000000"/>
                <w:sz w:val="24"/>
              </w:rPr>
              <w:t>4影像系统</w:t>
            </w:r>
          </w:p>
          <w:p>
            <w:r>
              <w:rPr>
                <w:color w:val="000000"/>
                <w:sz w:val="24"/>
              </w:rPr>
              <w:t>4.1可通过医生控制台触摸屏直接调节影像系统的亮度、白平衡、图像增强等关键参数</w:t>
            </w:r>
          </w:p>
        </w:tc>
      </w:tr>
      <w:tr>
        <w:tc>
          <w:tcPr>
            <w:tcW w:type="dxa" w:w="2076"/>
          </w:tcPr>
          <w:p/>
        </w:tc>
        <w:tc>
          <w:tcPr>
            <w:tcW w:type="dxa" w:w="415"/>
          </w:tcPr>
          <w:p>
            <w:r>
              <w:rPr/>
              <w:t>46</w:t>
            </w:r>
          </w:p>
        </w:tc>
        <w:tc>
          <w:tcPr>
            <w:tcW w:type="dxa" w:w="5814"/>
          </w:tcPr>
          <w:p>
            <w:r>
              <w:rPr>
                <w:color w:val="000000"/>
                <w:sz w:val="24"/>
              </w:rPr>
              <w:t>4.2可通过医生控制台主控制器控制镜头的拉远、推近、平移、及旋转</w:t>
            </w:r>
          </w:p>
        </w:tc>
      </w:tr>
      <w:tr>
        <w:tc>
          <w:tcPr>
            <w:tcW w:type="dxa" w:w="2076"/>
          </w:tcPr>
          <w:p/>
        </w:tc>
        <w:tc>
          <w:tcPr>
            <w:tcW w:type="dxa" w:w="415"/>
          </w:tcPr>
          <w:p>
            <w:r>
              <w:rPr/>
              <w:t>47</w:t>
            </w:r>
          </w:p>
        </w:tc>
        <w:tc>
          <w:tcPr>
            <w:tcW w:type="dxa" w:w="5814"/>
          </w:tcPr>
          <w:p>
            <w:r>
              <w:rPr>
                <w:color w:val="000000"/>
                <w:sz w:val="24"/>
              </w:rPr>
              <w:t>4.3配置USB接口用于静态图像捕获存储</w:t>
            </w:r>
          </w:p>
        </w:tc>
      </w:tr>
      <w:tr>
        <w:tc>
          <w:tcPr>
            <w:tcW w:type="dxa" w:w="2076"/>
          </w:tcPr>
          <w:p/>
        </w:tc>
        <w:tc>
          <w:tcPr>
            <w:tcW w:type="dxa" w:w="415"/>
          </w:tcPr>
          <w:p>
            <w:r>
              <w:rPr/>
              <w:t>48</w:t>
            </w:r>
          </w:p>
        </w:tc>
        <w:tc>
          <w:tcPr>
            <w:tcW w:type="dxa" w:w="5814"/>
          </w:tcPr>
          <w:p>
            <w:r>
              <w:rPr>
                <w:color w:val="000000"/>
                <w:sz w:val="24"/>
              </w:rPr>
              <w:t>4.4提供内窥镜控制器</w:t>
            </w:r>
          </w:p>
        </w:tc>
      </w:tr>
      <w:tr>
        <w:tc>
          <w:tcPr>
            <w:tcW w:type="dxa" w:w="2076"/>
          </w:tcPr>
          <w:p/>
        </w:tc>
        <w:tc>
          <w:tcPr>
            <w:tcW w:type="dxa" w:w="415"/>
          </w:tcPr>
          <w:p>
            <w:r>
              <w:rPr/>
              <w:t>49</w:t>
            </w:r>
          </w:p>
        </w:tc>
        <w:tc>
          <w:tcPr>
            <w:tcW w:type="dxa" w:w="5814"/>
          </w:tcPr>
          <w:p>
            <w:r>
              <w:rPr>
                <w:color w:val="000000"/>
                <w:sz w:val="24"/>
              </w:rPr>
              <w:t>4.5提供</w:t>
            </w:r>
            <w:r>
              <w:rPr>
                <w:color w:val="000000"/>
                <w:sz w:val="24"/>
              </w:rPr>
              <w:t>专用</w:t>
            </w:r>
            <w:r>
              <w:rPr>
                <w:color w:val="000000"/>
                <w:sz w:val="24"/>
              </w:rPr>
              <w:t>4K</w:t>
            </w:r>
            <w:r>
              <w:rPr>
                <w:color w:val="000000"/>
                <w:sz w:val="24"/>
              </w:rPr>
              <w:t>显示设备</w:t>
            </w:r>
          </w:p>
        </w:tc>
      </w:tr>
      <w:tr>
        <w:tc>
          <w:tcPr>
            <w:tcW w:type="dxa" w:w="2076"/>
          </w:tcPr>
          <w:p>
            <w:r>
              <w:rPr/>
              <w:t>▲</w:t>
            </w:r>
          </w:p>
        </w:tc>
        <w:tc>
          <w:tcPr>
            <w:tcW w:type="dxa" w:w="415"/>
          </w:tcPr>
          <w:p>
            <w:r>
              <w:rPr/>
              <w:t>50</w:t>
            </w:r>
          </w:p>
        </w:tc>
        <w:tc>
          <w:tcPr>
            <w:tcW w:type="dxa" w:w="5814"/>
          </w:tcPr>
          <w:p>
            <w:r>
              <w:rPr>
                <w:color w:val="000000"/>
                <w:sz w:val="24"/>
              </w:rPr>
              <w:t>4.6显示器尺寸≥27英寸</w:t>
            </w:r>
          </w:p>
        </w:tc>
      </w:tr>
      <w:tr>
        <w:tc>
          <w:tcPr>
            <w:tcW w:type="dxa" w:w="2076"/>
          </w:tcPr>
          <w:p/>
        </w:tc>
        <w:tc>
          <w:tcPr>
            <w:tcW w:type="dxa" w:w="415"/>
          </w:tcPr>
          <w:p>
            <w:r>
              <w:rPr/>
              <w:t>51</w:t>
            </w:r>
          </w:p>
        </w:tc>
        <w:tc>
          <w:tcPr>
            <w:tcW w:type="dxa" w:w="5814"/>
          </w:tcPr>
          <w:p>
            <w:r>
              <w:rPr>
                <w:color w:val="000000"/>
                <w:sz w:val="24"/>
              </w:rPr>
              <w:t>4.7具备同步图像显示</w:t>
            </w:r>
          </w:p>
        </w:tc>
      </w:tr>
      <w:tr>
        <w:tc>
          <w:tcPr>
            <w:tcW w:type="dxa" w:w="2076"/>
          </w:tcPr>
          <w:p>
            <w:r>
              <w:rPr/>
              <w:t>▲</w:t>
            </w:r>
          </w:p>
        </w:tc>
        <w:tc>
          <w:tcPr>
            <w:tcW w:type="dxa" w:w="415"/>
          </w:tcPr>
          <w:p>
            <w:r>
              <w:rPr/>
              <w:t>52</w:t>
            </w:r>
          </w:p>
        </w:tc>
        <w:tc>
          <w:tcPr>
            <w:tcW w:type="dxa" w:w="5814"/>
          </w:tcPr>
          <w:p>
            <w:pPr>
              <w:jc w:val="both"/>
            </w:pPr>
            <w:r>
              <w:rPr>
                <w:color w:val="000000"/>
                <w:sz w:val="24"/>
              </w:rPr>
              <w:t>5内窥镜</w:t>
            </w:r>
          </w:p>
          <w:p>
            <w:r>
              <w:rPr>
                <w:color w:val="000000"/>
                <w:sz w:val="24"/>
              </w:rPr>
              <w:t>5.1内窥镜视场角≥80°</w:t>
            </w:r>
          </w:p>
        </w:tc>
      </w:tr>
      <w:tr>
        <w:tc>
          <w:tcPr>
            <w:tcW w:type="dxa" w:w="2076"/>
          </w:tcPr>
          <w:p/>
        </w:tc>
        <w:tc>
          <w:tcPr>
            <w:tcW w:type="dxa" w:w="415"/>
          </w:tcPr>
          <w:p>
            <w:r>
              <w:rPr/>
              <w:t>53</w:t>
            </w:r>
          </w:p>
        </w:tc>
        <w:tc>
          <w:tcPr>
            <w:tcW w:type="dxa" w:w="5814"/>
          </w:tcPr>
          <w:p>
            <w:r>
              <w:rPr>
                <w:color w:val="000000"/>
                <w:sz w:val="24"/>
              </w:rPr>
              <w:t>5.2内窥镜前端具有电子加热功能，做到主动防雾功能</w:t>
            </w:r>
          </w:p>
        </w:tc>
      </w:tr>
      <w:tr>
        <w:tc>
          <w:tcPr>
            <w:tcW w:type="dxa" w:w="2076"/>
          </w:tcPr>
          <w:p/>
        </w:tc>
        <w:tc>
          <w:tcPr>
            <w:tcW w:type="dxa" w:w="415"/>
          </w:tcPr>
          <w:p>
            <w:r>
              <w:rPr/>
              <w:t>54</w:t>
            </w:r>
          </w:p>
        </w:tc>
        <w:tc>
          <w:tcPr>
            <w:tcW w:type="dxa" w:w="5814"/>
          </w:tcPr>
          <w:p>
            <w:r>
              <w:rPr>
                <w:color w:val="000000"/>
                <w:sz w:val="24"/>
              </w:rPr>
              <w:t>5.3具备自动白平衡校准功能</w:t>
            </w:r>
          </w:p>
        </w:tc>
      </w:tr>
      <w:tr>
        <w:tc>
          <w:tcPr>
            <w:tcW w:type="dxa" w:w="2076"/>
          </w:tcPr>
          <w:p/>
        </w:tc>
        <w:tc>
          <w:tcPr>
            <w:tcW w:type="dxa" w:w="415"/>
          </w:tcPr>
          <w:p>
            <w:r>
              <w:rPr/>
              <w:t>55</w:t>
            </w:r>
          </w:p>
        </w:tc>
        <w:tc>
          <w:tcPr>
            <w:tcW w:type="dxa" w:w="5814"/>
          </w:tcPr>
          <w:p>
            <w:r>
              <w:rPr>
                <w:color w:val="000000"/>
                <w:sz w:val="24"/>
              </w:rPr>
              <w:t>5.4具备自动3D校准功能</w:t>
            </w:r>
          </w:p>
        </w:tc>
      </w:tr>
      <w:tr>
        <w:tc>
          <w:tcPr>
            <w:tcW w:type="dxa" w:w="2076"/>
          </w:tcPr>
          <w:p>
            <w:r>
              <w:rPr/>
              <w:t>▲</w:t>
            </w:r>
          </w:p>
        </w:tc>
        <w:tc>
          <w:tcPr>
            <w:tcW w:type="dxa" w:w="415"/>
          </w:tcPr>
          <w:p>
            <w:r>
              <w:rPr/>
              <w:t>56</w:t>
            </w:r>
          </w:p>
        </w:tc>
        <w:tc>
          <w:tcPr>
            <w:tcW w:type="dxa" w:w="5814"/>
          </w:tcPr>
          <w:p>
            <w:r>
              <w:rPr>
                <w:color w:val="000000"/>
                <w:sz w:val="24"/>
              </w:rPr>
              <w:t>5.5内窥镜重量≤300g（不含线缆）</w:t>
            </w:r>
          </w:p>
        </w:tc>
      </w:tr>
      <w:tr>
        <w:tc>
          <w:tcPr>
            <w:tcW w:type="dxa" w:w="2076"/>
          </w:tcPr>
          <w:p/>
        </w:tc>
        <w:tc>
          <w:tcPr>
            <w:tcW w:type="dxa" w:w="415"/>
          </w:tcPr>
          <w:p>
            <w:r>
              <w:rPr/>
              <w:t>57</w:t>
            </w:r>
          </w:p>
        </w:tc>
        <w:tc>
          <w:tcPr>
            <w:tcW w:type="dxa" w:w="5814"/>
          </w:tcPr>
          <w:p>
            <w:r>
              <w:rPr>
                <w:color w:val="000000"/>
                <w:sz w:val="24"/>
              </w:rPr>
              <w:t>5.6内窥镜提供左右眼图像切换按钮</w:t>
            </w:r>
          </w:p>
        </w:tc>
      </w:tr>
      <w:tr>
        <w:tc>
          <w:tcPr>
            <w:tcW w:type="dxa" w:w="2076"/>
          </w:tcPr>
          <w:p/>
        </w:tc>
        <w:tc>
          <w:tcPr>
            <w:tcW w:type="dxa" w:w="415"/>
          </w:tcPr>
          <w:p>
            <w:r>
              <w:rPr/>
              <w:t>58</w:t>
            </w:r>
          </w:p>
        </w:tc>
        <w:tc>
          <w:tcPr>
            <w:tcW w:type="dxa" w:w="5814"/>
          </w:tcPr>
          <w:p>
            <w:r>
              <w:rPr>
                <w:color w:val="000000"/>
                <w:sz w:val="24"/>
              </w:rPr>
              <w:t>5.7机器人专用内窥镜及图像主机</w:t>
            </w:r>
            <w:r>
              <w:rPr>
                <w:color w:val="000000"/>
                <w:sz w:val="24"/>
              </w:rPr>
              <w:t>与手术控制系统相兼容</w:t>
            </w:r>
            <w:r>
              <w:rPr>
                <w:color w:val="000000"/>
                <w:sz w:val="24"/>
              </w:rPr>
              <w:t>，内窥镜具备一体化光源设计，无需额外配置冷光源主机</w:t>
            </w:r>
          </w:p>
        </w:tc>
      </w:tr>
      <w:tr>
        <w:tc>
          <w:tcPr>
            <w:tcW w:type="dxa" w:w="2076"/>
          </w:tcPr>
          <w:p/>
        </w:tc>
        <w:tc>
          <w:tcPr>
            <w:tcW w:type="dxa" w:w="415"/>
          </w:tcPr>
          <w:p>
            <w:r>
              <w:rPr/>
              <w:t>59</w:t>
            </w:r>
          </w:p>
        </w:tc>
        <w:tc>
          <w:tcPr>
            <w:tcW w:type="dxa" w:w="5814"/>
          </w:tcPr>
          <w:p>
            <w:pPr>
              <w:jc w:val="both"/>
            </w:pPr>
            <w:r>
              <w:rPr>
                <w:color w:val="000000"/>
                <w:sz w:val="24"/>
              </w:rPr>
              <w:t>6安全联锁装置</w:t>
            </w:r>
          </w:p>
          <w:p>
            <w:r>
              <w:rPr>
                <w:color w:val="000000"/>
                <w:sz w:val="24"/>
              </w:rPr>
              <w:t>6.1具备医生控制台探测传感功能</w:t>
            </w:r>
          </w:p>
        </w:tc>
      </w:tr>
      <w:tr>
        <w:tc>
          <w:tcPr>
            <w:tcW w:type="dxa" w:w="2076"/>
          </w:tcPr>
          <w:p/>
        </w:tc>
        <w:tc>
          <w:tcPr>
            <w:tcW w:type="dxa" w:w="415"/>
          </w:tcPr>
          <w:p>
            <w:r>
              <w:rPr/>
              <w:t>60</w:t>
            </w:r>
          </w:p>
        </w:tc>
        <w:tc>
          <w:tcPr>
            <w:tcW w:type="dxa" w:w="5814"/>
          </w:tcPr>
          <w:p>
            <w:r>
              <w:rPr>
                <w:color w:val="000000"/>
                <w:sz w:val="24"/>
              </w:rPr>
              <w:t>6.2具备患者手术平台探测传感功能</w:t>
            </w:r>
          </w:p>
        </w:tc>
      </w:tr>
      <w:tr>
        <w:tc>
          <w:tcPr>
            <w:tcW w:type="dxa" w:w="2076"/>
          </w:tcPr>
          <w:p/>
        </w:tc>
        <w:tc>
          <w:tcPr>
            <w:tcW w:type="dxa" w:w="415"/>
          </w:tcPr>
          <w:p>
            <w:r>
              <w:rPr/>
              <w:t>61</w:t>
            </w:r>
          </w:p>
        </w:tc>
        <w:tc>
          <w:tcPr>
            <w:tcW w:type="dxa" w:w="5814"/>
          </w:tcPr>
          <w:p>
            <w:r>
              <w:rPr>
                <w:color w:val="000000"/>
                <w:sz w:val="24"/>
              </w:rPr>
              <w:t>6.3具备机械臂探测传感功能</w:t>
            </w:r>
          </w:p>
        </w:tc>
      </w:tr>
      <w:tr>
        <w:tc>
          <w:tcPr>
            <w:tcW w:type="dxa" w:w="2076"/>
          </w:tcPr>
          <w:p/>
        </w:tc>
        <w:tc>
          <w:tcPr>
            <w:tcW w:type="dxa" w:w="415"/>
          </w:tcPr>
          <w:p>
            <w:r>
              <w:rPr/>
              <w:t>62</w:t>
            </w:r>
          </w:p>
        </w:tc>
        <w:tc>
          <w:tcPr>
            <w:tcW w:type="dxa" w:w="5814"/>
          </w:tcPr>
          <w:p>
            <w:r>
              <w:rPr>
                <w:color w:val="000000"/>
                <w:sz w:val="24"/>
              </w:rPr>
              <w:t>6.4具备报警锁定功能</w:t>
            </w:r>
          </w:p>
        </w:tc>
      </w:tr>
      <w:tr>
        <w:tc>
          <w:tcPr>
            <w:tcW w:type="dxa" w:w="2076"/>
          </w:tcPr>
          <w:p/>
        </w:tc>
        <w:tc>
          <w:tcPr>
            <w:tcW w:type="dxa" w:w="415"/>
          </w:tcPr>
          <w:p>
            <w:r>
              <w:rPr/>
              <w:t>63</w:t>
            </w:r>
          </w:p>
        </w:tc>
        <w:tc>
          <w:tcPr>
            <w:tcW w:type="dxa" w:w="5814"/>
          </w:tcPr>
          <w:p>
            <w:r>
              <w:rPr>
                <w:color w:val="000000"/>
                <w:sz w:val="24"/>
              </w:rPr>
              <w:t>6.5具备紧急制动开关</w:t>
            </w:r>
          </w:p>
        </w:tc>
      </w:tr>
      <w:tr>
        <w:tc>
          <w:tcPr>
            <w:tcW w:type="dxa" w:w="2076"/>
          </w:tcPr>
          <w:p/>
        </w:tc>
        <w:tc>
          <w:tcPr>
            <w:tcW w:type="dxa" w:w="415"/>
          </w:tcPr>
          <w:p>
            <w:r>
              <w:rPr/>
              <w:t>64</w:t>
            </w:r>
          </w:p>
        </w:tc>
        <w:tc>
          <w:tcPr>
            <w:tcW w:type="dxa" w:w="5814"/>
          </w:tcPr>
          <w:p>
            <w:r>
              <w:rPr>
                <w:color w:val="000000"/>
                <w:sz w:val="24"/>
              </w:rPr>
              <w:t>6.6具备手术部件寿命控制系统</w:t>
            </w:r>
          </w:p>
        </w:tc>
      </w:tr>
      <w:tr>
        <w:tc>
          <w:tcPr>
            <w:tcW w:type="dxa" w:w="2076"/>
          </w:tcPr>
          <w:p/>
        </w:tc>
        <w:tc>
          <w:tcPr>
            <w:tcW w:type="dxa" w:w="415"/>
          </w:tcPr>
          <w:p>
            <w:r>
              <w:rPr/>
              <w:t>65</w:t>
            </w:r>
          </w:p>
        </w:tc>
        <w:tc>
          <w:tcPr>
            <w:tcW w:type="dxa" w:w="5814"/>
          </w:tcPr>
          <w:p>
            <w:pPr>
              <w:jc w:val="both"/>
            </w:pPr>
            <w:r>
              <w:rPr>
                <w:color w:val="000000"/>
                <w:sz w:val="24"/>
              </w:rPr>
              <w:t>7手术器械</w:t>
            </w:r>
          </w:p>
          <w:p>
            <w:r>
              <w:rPr>
                <w:color w:val="000000"/>
                <w:sz w:val="24"/>
              </w:rPr>
              <w:t>7.1插入部分最大宽度≤9.5mm</w:t>
            </w:r>
          </w:p>
        </w:tc>
      </w:tr>
      <w:tr>
        <w:tc>
          <w:tcPr>
            <w:tcW w:type="dxa" w:w="2076"/>
          </w:tcPr>
          <w:p/>
        </w:tc>
        <w:tc>
          <w:tcPr>
            <w:tcW w:type="dxa" w:w="415"/>
          </w:tcPr>
          <w:p>
            <w:r>
              <w:rPr/>
              <w:t>66</w:t>
            </w:r>
          </w:p>
        </w:tc>
        <w:tc>
          <w:tcPr>
            <w:tcW w:type="dxa" w:w="5814"/>
          </w:tcPr>
          <w:p>
            <w:r>
              <w:rPr>
                <w:color w:val="000000"/>
                <w:sz w:val="24"/>
              </w:rPr>
              <w:t>7.2最大工作长度≥580mm</w:t>
            </w:r>
          </w:p>
        </w:tc>
      </w:tr>
      <w:tr>
        <w:tc>
          <w:tcPr>
            <w:tcW w:type="dxa" w:w="2076"/>
          </w:tcPr>
          <w:p/>
        </w:tc>
        <w:tc>
          <w:tcPr>
            <w:tcW w:type="dxa" w:w="415"/>
          </w:tcPr>
          <w:p>
            <w:r>
              <w:rPr/>
              <w:t>67</w:t>
            </w:r>
          </w:p>
        </w:tc>
        <w:tc>
          <w:tcPr>
            <w:tcW w:type="dxa" w:w="5814"/>
          </w:tcPr>
          <w:p>
            <w:r>
              <w:rPr>
                <w:color w:val="000000"/>
                <w:sz w:val="24"/>
              </w:rPr>
              <w:t>7.3开合最大张开幅度≥40°</w:t>
            </w:r>
          </w:p>
        </w:tc>
      </w:tr>
      <w:tr>
        <w:tc>
          <w:tcPr>
            <w:tcW w:type="dxa" w:w="2076"/>
          </w:tcPr>
          <w:p/>
        </w:tc>
        <w:tc>
          <w:tcPr>
            <w:tcW w:type="dxa" w:w="415"/>
          </w:tcPr>
          <w:p>
            <w:r>
              <w:rPr/>
              <w:t>68</w:t>
            </w:r>
          </w:p>
        </w:tc>
        <w:tc>
          <w:tcPr>
            <w:tcW w:type="dxa" w:w="5814"/>
          </w:tcPr>
          <w:p>
            <w:r>
              <w:rPr>
                <w:color w:val="000000"/>
                <w:sz w:val="24"/>
              </w:rPr>
              <w:t>7.4平移夹持力≥7N</w:t>
            </w:r>
          </w:p>
        </w:tc>
      </w:tr>
      <w:tr>
        <w:tc>
          <w:tcPr>
            <w:tcW w:type="dxa" w:w="2076"/>
          </w:tcPr>
          <w:p/>
        </w:tc>
        <w:tc>
          <w:tcPr>
            <w:tcW w:type="dxa" w:w="415"/>
          </w:tcPr>
          <w:p>
            <w:r>
              <w:rPr/>
              <w:t>69</w:t>
            </w:r>
          </w:p>
        </w:tc>
        <w:tc>
          <w:tcPr>
            <w:tcW w:type="dxa" w:w="5814"/>
          </w:tcPr>
          <w:p>
            <w:r>
              <w:rPr>
                <w:color w:val="000000"/>
                <w:sz w:val="24"/>
              </w:rPr>
              <w:t>7.5可提供</w:t>
            </w:r>
            <w:r>
              <w:rPr>
                <w:color w:val="000000"/>
                <w:sz w:val="24"/>
              </w:rPr>
              <w:t>可兼容的</w:t>
            </w:r>
            <w:r>
              <w:rPr>
                <w:color w:val="000000"/>
                <w:sz w:val="24"/>
              </w:rPr>
              <w:t>机器人专用超声刀具</w:t>
            </w:r>
          </w:p>
        </w:tc>
      </w:tr>
      <w:tr>
        <w:tc>
          <w:tcPr>
            <w:tcW w:type="dxa" w:w="2076"/>
          </w:tcPr>
          <w:p/>
        </w:tc>
        <w:tc>
          <w:tcPr>
            <w:tcW w:type="dxa" w:w="415"/>
          </w:tcPr>
          <w:p>
            <w:r>
              <w:rPr/>
              <w:t>70</w:t>
            </w:r>
          </w:p>
        </w:tc>
        <w:tc>
          <w:tcPr>
            <w:tcW w:type="dxa" w:w="5814"/>
          </w:tcPr>
          <w:p>
            <w:r>
              <w:rPr>
                <w:color w:val="000000"/>
                <w:sz w:val="24"/>
              </w:rPr>
              <w:t>8技术服务能力</w:t>
            </w:r>
          </w:p>
          <w:p>
            <w:r>
              <w:rPr>
                <w:color w:val="000000"/>
                <w:sz w:val="24"/>
              </w:rPr>
              <w:t>8.1</w:t>
            </w:r>
            <w:r>
              <w:rPr>
                <w:color w:val="000000"/>
                <w:sz w:val="24"/>
              </w:rPr>
              <w:t>拟投入本项目</w:t>
            </w:r>
            <w:r>
              <w:rPr>
                <w:color w:val="000000"/>
                <w:sz w:val="24"/>
              </w:rPr>
              <w:t>5</w:t>
            </w:r>
            <w:r>
              <w:rPr>
                <w:color w:val="000000"/>
                <w:sz w:val="24"/>
              </w:rPr>
              <w:t>名以上原厂维修工程师，并提供</w:t>
            </w:r>
            <w:r>
              <w:rPr>
                <w:color w:val="000000"/>
                <w:sz w:val="24"/>
              </w:rPr>
              <w:t>2023年至今任意1个月原厂社保证明文件</w:t>
            </w:r>
          </w:p>
        </w:tc>
      </w:tr>
      <w:tr>
        <w:tc>
          <w:tcPr>
            <w:tcW w:type="dxa" w:w="2076"/>
          </w:tcPr>
          <w:p/>
        </w:tc>
        <w:tc>
          <w:tcPr>
            <w:tcW w:type="dxa" w:w="415"/>
          </w:tcPr>
          <w:p>
            <w:r>
              <w:rPr/>
              <w:t>71</w:t>
            </w:r>
          </w:p>
        </w:tc>
        <w:tc>
          <w:tcPr>
            <w:tcW w:type="dxa" w:w="5814"/>
          </w:tcPr>
          <w:p>
            <w:r>
              <w:rPr>
                <w:color w:val="000000"/>
                <w:sz w:val="24"/>
              </w:rPr>
              <w:t>8.2设备若出现故障，要求维修零部件3小时内送达医院</w:t>
            </w:r>
          </w:p>
        </w:tc>
      </w:tr>
      <w:tr>
        <w:tc>
          <w:tcPr>
            <w:tcW w:type="dxa" w:w="2076"/>
          </w:tcPr>
          <w:p>
            <w:r>
              <w:rPr/>
              <w:t>★</w:t>
            </w:r>
          </w:p>
        </w:tc>
        <w:tc>
          <w:tcPr>
            <w:tcW w:type="dxa" w:w="415"/>
          </w:tcPr>
          <w:p>
            <w:r>
              <w:rPr/>
              <w:t>72</w:t>
            </w:r>
          </w:p>
        </w:tc>
        <w:tc>
          <w:tcPr>
            <w:tcW w:type="dxa" w:w="5814"/>
          </w:tcPr>
          <w:p>
            <w:r>
              <w:rPr>
                <w:color w:val="000000"/>
                <w:sz w:val="24"/>
              </w:rPr>
              <w:t>如投标人为生产企业：所投产品为第一类医疗器械，具有监督管理部门签发的有效的《医疗器械生产备案凭证》复印件；（如国家另有规定，则适用其规定）</w:t>
            </w:r>
          </w:p>
        </w:tc>
      </w:tr>
      <w:tr>
        <w:tc>
          <w:tcPr>
            <w:tcW w:type="dxa" w:w="2076"/>
          </w:tcPr>
          <w:p>
            <w:r>
              <w:rPr/>
              <w:t>★</w:t>
            </w:r>
          </w:p>
        </w:tc>
        <w:tc>
          <w:tcPr>
            <w:tcW w:type="dxa" w:w="415"/>
          </w:tcPr>
          <w:p>
            <w:r>
              <w:rPr/>
              <w:t>73</w:t>
            </w:r>
          </w:p>
        </w:tc>
        <w:tc>
          <w:tcPr>
            <w:tcW w:type="dxa" w:w="5814"/>
          </w:tcPr>
          <w:p>
            <w:r>
              <w:rPr>
                <w:color w:val="000000"/>
                <w:sz w:val="24"/>
              </w:rPr>
              <w:t>如投标人为经营企业：所投产品为第二类医疗器械，投标时具有监督管理部门签发的有效的《医疗器械经营备案凭证》复印件，或承诺供货时提供监督管理部门签发的有效的《医疗器械经营备案凭证》复印件（提供承诺书，不提供视为不响应）；（如国家另有规定，则适用其规定）</w:t>
            </w:r>
          </w:p>
        </w:tc>
      </w:tr>
      <w:tr>
        <w:tc>
          <w:tcPr>
            <w:tcW w:type="dxa" w:w="2076"/>
          </w:tcPr>
          <w:p>
            <w:r>
              <w:rPr/>
              <w:t>★</w:t>
            </w:r>
          </w:p>
        </w:tc>
        <w:tc>
          <w:tcPr>
            <w:tcW w:type="dxa" w:w="415"/>
          </w:tcPr>
          <w:p>
            <w:r>
              <w:rPr/>
              <w:t>74</w:t>
            </w:r>
          </w:p>
        </w:tc>
        <w:tc>
          <w:tcPr>
            <w:tcW w:type="dxa" w:w="5814"/>
          </w:tcPr>
          <w:p>
            <w:r>
              <w:rPr>
                <w:color w:val="000000"/>
                <w:sz w:val="24"/>
              </w:rPr>
              <w:t>如所投产品属于第一类医疗器械，则必须提供有效的医疗器械备案证明复印件（如国家另有规定，则适用其规定）；如所投产品属于第二类、第三类医疗器械，则必须提供有效的医疗器械注册证明复印件。（如国家另有规定，则适用其规定）</w:t>
            </w:r>
          </w:p>
        </w:tc>
      </w:tr>
      <w:tr>
        <w:tc>
          <w:tcPr>
            <w:tcW w:type="dxa" w:w="2076"/>
          </w:tcPr>
          <w:p>
            <w:r>
              <w:rPr/>
              <w:t>★</w:t>
            </w:r>
          </w:p>
        </w:tc>
        <w:tc>
          <w:tcPr>
            <w:tcW w:type="dxa" w:w="415"/>
          </w:tcPr>
          <w:p>
            <w:r>
              <w:rPr/>
              <w:t>75</w:t>
            </w:r>
          </w:p>
        </w:tc>
        <w:tc>
          <w:tcPr>
            <w:tcW w:type="dxa" w:w="5814"/>
          </w:tcPr>
          <w:p>
            <w:r>
              <w:rPr>
                <w:color w:val="000000"/>
                <w:sz w:val="24"/>
              </w:rPr>
              <w:t>投标人须在投标文件中附上所投产品的配置清单、规格型号、注册证编号（如有）、单价。</w:t>
            </w:r>
          </w:p>
        </w:tc>
      </w:tr>
      <w:tr>
        <w:tc>
          <w:tcPr>
            <w:tcW w:type="dxa" w:w="2076"/>
          </w:tcPr>
          <w:p>
            <w:r>
              <w:rPr/>
              <w:t>★</w:t>
            </w:r>
          </w:p>
        </w:tc>
        <w:tc>
          <w:tcPr>
            <w:tcW w:type="dxa" w:w="415"/>
          </w:tcPr>
          <w:p>
            <w:r>
              <w:rPr/>
              <w:t>76</w:t>
            </w:r>
          </w:p>
        </w:tc>
        <w:tc>
          <w:tcPr>
            <w:tcW w:type="dxa" w:w="5814"/>
          </w:tcPr>
          <w:p>
            <w:r>
              <w:rPr>
                <w:color w:val="000000"/>
                <w:sz w:val="24"/>
              </w:rPr>
              <w:t>为方便采购人后续工作安排，如所投产品需有耗材，需投标人在投标文件中提供所投设备的试剂耗材信息，包括但不限于耗材名称、规格型号、单价、注册证编号（如有），但不纳入本项目采购范围，提供《耗材报价表》。如所投产品无需耗材，投标人需提供所投产品无耗材的说明函。</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1.采购代理机构：本项目是指采联国际招标采购集团有限公司，负责整个采购活动的组织，依法负责编制和发布招标文件，对招标文件拥有最终的解释权，不以任何身份出任评标委员会成员。</w:t>
      </w:r>
    </w:p>
    <w:p>
      <w:pPr>
        <w:ind w:firstLine="480"/>
      </w:pPr>
      <w:r>
        <w:rPr/>
        <w:t>2.采购人：本项目是指</w:t>
      </w:r>
      <w:r>
        <w:rPr/>
        <w:t>江门市中心医院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差额定率累进法收费：以中标通知书中的中标金额作为采购代理服务费的计算基数。参照中华人民共和国国家发展计划委员会颁发的计价格〔2002〕1980号、发改办价格〔2003〕857号及发改价格〔2011〕534号文规定的“货物类”计费标准下浮20%计算，不足6000元，按6000元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采联国际招标采购集团有限公司</w:t>
      </w:r>
      <w:r>
        <w:rPr/>
        <w:t>代收。具体操作要求详见</w:t>
      </w:r>
      <w:r>
        <w:rPr/>
        <w:t>采联国际招标采购集团有限公司</w:t>
      </w:r>
      <w:r>
        <w:rPr/>
        <w:t>有关指引，递交事宜请自行咨询</w:t>
      </w:r>
      <w:r>
        <w:rPr/>
        <w:t>采联国际招标采购集团有限公司</w:t>
      </w:r>
      <w:r>
        <w:rPr/>
        <w:t>；请各投标人在投标文件递交截止时间前按须知前附表规定的金额递交至</w:t>
      </w:r>
      <w:r>
        <w:rPr/>
        <w:t>采联国际招标采购集团有限公司</w:t>
      </w:r>
      <w:r>
        <w:rPr/>
        <w:t>，到账情况以开标时</w:t>
      </w:r>
      <w:r>
        <w:rPr/>
        <w:t>采联国际招标采购集团有限公司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采联国际招标采购集团有限公司（ http://www.chinapsp.cn/）</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采联国际招标采购集团有限公司（ http://www.chinapsp.cn/）</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刘女士</w:t>
      </w:r>
    </w:p>
    <w:p>
      <w:pPr>
        <w:ind w:firstLine="480"/>
      </w:pPr>
      <w:r>
        <w:rPr/>
        <w:t>电话：</w:t>
      </w:r>
      <w:r>
        <w:rPr/>
        <w:t>0750-3390080-606</w:t>
      </w:r>
    </w:p>
    <w:p>
      <w:pPr>
        <w:ind w:firstLine="480"/>
      </w:pPr>
      <w:r>
        <w:rPr/>
        <w:t>传真：</w:t>
      </w:r>
      <w:r>
        <w:rPr/>
        <w:t>0750-3390082</w:t>
      </w:r>
    </w:p>
    <w:p>
      <w:pPr>
        <w:ind w:firstLine="480"/>
      </w:pPr>
      <w:r>
        <w:rPr/>
        <w:t>邮箱：</w:t>
      </w:r>
      <w:r>
        <w:rPr/>
        <w:t>jmzy@chinapsp.cn（提交时请备注XX项目询问函/质疑函，并提前跟我司工作人员联系）</w:t>
      </w:r>
    </w:p>
    <w:p>
      <w:pPr>
        <w:ind w:firstLine="480"/>
      </w:pPr>
      <w:r>
        <w:rPr/>
        <w:t>地址：</w:t>
      </w:r>
      <w:r>
        <w:rPr/>
        <w:t>江门市蓬江区迎宾大道131号中信银行大厦1403室（如采用邮寄形式提交，请提前跟我司工作人员联系，并同步将邮寄底单发送至我司邮箱）</w:t>
      </w:r>
    </w:p>
    <w:p>
      <w:pPr>
        <w:ind w:firstLine="480"/>
      </w:pPr>
      <w:r>
        <w:rPr/>
        <w:t>邮编：</w:t>
      </w:r>
      <w:r>
        <w:rPr/>
        <w:t>529000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政府采购监督管理机构名称：江门市财政局</w:t>
      </w:r>
    </w:p>
    <w:p>
      <w:r>
        <w:rPr/>
        <w:t>地  址：江门市蓬江区华园中路21-23号</w:t>
      </w:r>
    </w:p>
    <w:p>
      <w:r>
        <w:rPr/>
        <w:t>电  话：0750-3507009</w:t>
      </w:r>
    </w:p>
    <w:p>
      <w:r>
        <w:rPr/>
        <w:t>邮  编：529000</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采购包1(内窥镜手术控制系统及附件)：综合评分法,是指投标文件满足招标文件全部实质性要求，且按照评审因素的量化指标评审得分最高的投标人为中标候选人的评标方法。（最低报价不是中标的唯一依据。）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采联国际招标采购集团有限公司</w:t>
      </w:r>
      <w:r>
        <w:rPr/>
        <w:t>统一对外发布。</w:t>
      </w:r>
    </w:p>
    <w:p>
      <w:pPr>
        <w:ind w:firstLine="480"/>
      </w:pPr>
      <w:r>
        <w:rPr/>
        <w:t>（2）对</w:t>
      </w:r>
      <w:r>
        <w:rPr/>
        <w:t>采联国际招标采购集团有限公司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采购包1（内窥镜手术控制系统及附件）：</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采购包1（内窥镜手术控制系统及附件）：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提供在中华人民共和国境内注册的法人或其他组织的营业执照或事业单位法人证书或社会团体法人登记证书复印件，如投标人为自然人的提供自然人身份证明复印件；如国家另有规定的，则从其定。（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2023年至今任意1个月缴纳税收凭据证明材料复印件；如依法免税的，应提供相应文件证明；提供2023年至今任意1个月缴纳社会保险的凭据证明材料复印件；如依法不需要缴纳社会保障资金的，应提供相应文件证明。</w:t>
            </w:r>
          </w:p>
        </w:tc>
      </w:tr>
      <w:tr>
        <w:tc>
          <w:tcPr>
            <w:tcW w:type="dxa" w:w="890"/>
          </w:tcPr>
          <w:p>
            <w:r>
              <w:rPr/>
              <w:t>3</w:t>
            </w:r>
          </w:p>
        </w:tc>
        <w:tc>
          <w:tcPr>
            <w:tcW w:type="dxa" w:w="3178"/>
          </w:tcPr>
          <w:p>
            <w:r>
              <w:rPr/>
              <w:t>具有良好的商业信誉和健全的财务会计制度</w:t>
            </w:r>
          </w:p>
        </w:tc>
        <w:tc>
          <w:tcPr>
            <w:tcW w:type="dxa" w:w="4238"/>
          </w:tcPr>
          <w:p>
            <w:r>
              <w:rPr/>
              <w:t>提供2022年度财务状况报告或2023年至今任意1个月的财务状况报告复印件，或银行出具的资信证明材料复印件</w:t>
            </w:r>
          </w:p>
        </w:tc>
      </w:tr>
      <w:tr>
        <w:tc>
          <w:tcPr>
            <w:tcW w:type="dxa" w:w="890"/>
          </w:tcPr>
          <w:p>
            <w:r>
              <w:rPr/>
              <w:t>4</w:t>
            </w:r>
          </w:p>
        </w:tc>
        <w:tc>
          <w:tcPr>
            <w:tcW w:type="dxa" w:w="3178"/>
          </w:tcPr>
          <w:p>
            <w:r>
              <w:rPr/>
              <w:t>履行合同所必需的设备和专业技术能力</w:t>
            </w:r>
          </w:p>
        </w:tc>
        <w:tc>
          <w:tcPr>
            <w:tcW w:type="dxa" w:w="4238"/>
          </w:tcPr>
          <w:p>
            <w:r>
              <w:rPr/>
              <w:t>提供承诺函并加盖投标人公章，承诺函格式自拟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 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本项目特定的资格要求</w:t>
            </w:r>
          </w:p>
        </w:tc>
        <w:tc>
          <w:tcPr>
            <w:tcW w:type="dxa" w:w="4238"/>
          </w:tcPr>
          <w:p>
            <w:r>
              <w:rPr/>
              <w:t>1）如投标人为生产企业：所投产品为第二、三类医疗器械，提供监督管理部门签发的有效的《医疗器械生产许可证》复印件；（如国家另有规定，则适用其规定） 2）如投标人为经营企业：所投产品为第三类医疗器械，提供监督管理部门签发的有效的《医疗器械经营许可证》复印件；（如国家另有规定，则适用其规定）</w:t>
            </w:r>
          </w:p>
        </w:tc>
      </w:tr>
      <w:tr>
        <w:tc>
          <w:tcPr>
            <w:tcW w:type="dxa" w:w="890"/>
          </w:tcPr>
          <w:p>
            <w:r>
              <w:rPr/>
              <w:t>9</w:t>
            </w:r>
          </w:p>
        </w:tc>
        <w:tc>
          <w:tcPr>
            <w:tcW w:type="dxa" w:w="3178"/>
          </w:tcPr>
          <w:p>
            <w:r>
              <w:rPr/>
              <w:t>落实政府采购政策需满足的资格要求</w:t>
            </w:r>
          </w:p>
        </w:tc>
        <w:tc>
          <w:tcPr>
            <w:tcW w:type="dxa" w:w="4238"/>
          </w:tcPr>
          <w:p>
            <w:r>
              <w:rPr/>
              <w:t>无</w:t>
            </w:r>
          </w:p>
        </w:tc>
      </w:tr>
    </w:tbl>
    <w:p/>
    <w:p>
      <w:pPr>
        <w:ind w:firstLine="480"/>
      </w:pPr>
      <w:r>
        <w:rPr/>
        <w:t>表二符合性审查表：</w:t>
      </w:r>
    </w:p>
    <w:p>
      <w:pPr>
        <w:ind w:firstLine="480"/>
      </w:pPr>
    </w:p>
    <w:p/>
    <w:p>
      <w:r>
        <w:rPr/>
        <w:t>采购包1（内窥镜手术控制系统及附件）：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按照招标文件规定要求签署 、盖章且投标文件有法定代表人签字或盖个人名章（或签字人有法定代表人有效授权书）的：</w:t>
            </w:r>
          </w:p>
        </w:tc>
        <w:tc>
          <w:tcPr>
            <w:tcW w:type="dxa" w:w="4238"/>
          </w:tcPr>
          <w:p>
            <w:r>
              <w:rPr/>
              <w:t>按照招标文件规定要求签署、盖章且投标文件有法定代表人签字或盖个人名章（或签字人有法定代表人有效授权书）的；</w:t>
            </w:r>
          </w:p>
        </w:tc>
      </w:tr>
      <w:tr>
        <w:tc>
          <w:tcPr>
            <w:tcW w:type="dxa" w:w="890"/>
          </w:tcPr>
          <w:p>
            <w:r>
              <w:rPr/>
              <w:t>2</w:t>
            </w:r>
          </w:p>
        </w:tc>
        <w:tc>
          <w:tcPr>
            <w:tcW w:type="dxa" w:w="3178"/>
          </w:tcPr>
          <w:p>
            <w:r>
              <w:rPr/>
              <w:t>投标函已提交并符合招标文件要求的，且投标有效期不少于招标文件中载明的投标有效期；</w:t>
            </w:r>
          </w:p>
        </w:tc>
        <w:tc>
          <w:tcPr>
            <w:tcW w:type="dxa" w:w="4238"/>
          </w:tcPr>
          <w:p>
            <w:r>
              <w:rPr/>
              <w:t>投标函已提交并符合招标文件要求的，且投标有效期不少于招标文件中载明的投标有效期；</w:t>
            </w:r>
          </w:p>
        </w:tc>
      </w:tr>
      <w:tr>
        <w:tc>
          <w:tcPr>
            <w:tcW w:type="dxa" w:w="890"/>
          </w:tcPr>
          <w:p>
            <w:r>
              <w:rPr/>
              <w:t>3</w:t>
            </w:r>
          </w:p>
        </w:tc>
        <w:tc>
          <w:tcPr>
            <w:tcW w:type="dxa" w:w="3178"/>
          </w:tcPr>
          <w:p>
            <w:r>
              <w:rPr/>
              <w:t>投标报价要求1</w:t>
            </w:r>
          </w:p>
        </w:tc>
        <w:tc>
          <w:tcPr>
            <w:tcW w:type="dxa" w:w="4238"/>
          </w:tcPr>
          <w:p>
            <w:r>
              <w:rPr/>
              <w:t>投标报价未超过本项目最高限价的；</w:t>
            </w:r>
          </w:p>
        </w:tc>
      </w:tr>
      <w:tr>
        <w:tc>
          <w:tcPr>
            <w:tcW w:type="dxa" w:w="890"/>
          </w:tcPr>
          <w:p>
            <w:r>
              <w:rPr/>
              <w:t>4</w:t>
            </w:r>
          </w:p>
        </w:tc>
        <w:tc>
          <w:tcPr>
            <w:tcW w:type="dxa" w:w="3178"/>
          </w:tcPr>
          <w:p>
            <w:r>
              <w:rPr/>
              <w:t>投标报价要求2</w:t>
            </w:r>
          </w:p>
        </w:tc>
        <w:tc>
          <w:tcPr>
            <w:tcW w:type="dxa" w:w="4238"/>
          </w:tcPr>
          <w:p>
            <w:r>
              <w:rPr/>
              <w:t>投标文件未出现选择性报价或有附加条件报价的情形；</w:t>
            </w:r>
          </w:p>
        </w:tc>
      </w:tr>
      <w:tr>
        <w:tc>
          <w:tcPr>
            <w:tcW w:type="dxa" w:w="890"/>
          </w:tcPr>
          <w:p>
            <w:r>
              <w:rPr/>
              <w:t>5</w:t>
            </w:r>
          </w:p>
        </w:tc>
        <w:tc>
          <w:tcPr>
            <w:tcW w:type="dxa" w:w="3178"/>
          </w:tcPr>
          <w:p>
            <w:r>
              <w:rPr/>
              <w:t>投标文件完全满足招标文件的实质性条款（即标注★号条款） 无负偏离的；</w:t>
            </w:r>
          </w:p>
        </w:tc>
        <w:tc>
          <w:tcPr>
            <w:tcW w:type="dxa" w:w="4238"/>
          </w:tcPr>
          <w:p>
            <w:r>
              <w:rPr/>
              <w:t>投标文件完全满足招标文件的实质性条款（即标注★号条款）无负偏离的；</w:t>
            </w:r>
          </w:p>
        </w:tc>
      </w:tr>
      <w:tr>
        <w:tc>
          <w:tcPr>
            <w:tcW w:type="dxa" w:w="890"/>
          </w:tcPr>
          <w:p>
            <w:r>
              <w:rPr/>
              <w:t>6</w:t>
            </w:r>
          </w:p>
        </w:tc>
        <w:tc>
          <w:tcPr>
            <w:tcW w:type="dxa" w:w="3178"/>
          </w:tcPr>
          <w:p>
            <w:r>
              <w:rPr/>
              <w:t>按招标文件要求提供本国产品的；</w:t>
            </w:r>
          </w:p>
        </w:tc>
        <w:tc>
          <w:tcPr>
            <w:tcW w:type="dxa" w:w="4238"/>
          </w:tcPr>
          <w:p>
            <w:r>
              <w:rPr/>
              <w:t>按招标文件要求提供本国产品的；</w:t>
            </w:r>
          </w:p>
        </w:tc>
      </w:tr>
      <w:tr>
        <w:tc>
          <w:tcPr>
            <w:tcW w:type="dxa" w:w="890"/>
          </w:tcPr>
          <w:p>
            <w:r>
              <w:rPr/>
              <w:t>7</w:t>
            </w:r>
          </w:p>
        </w:tc>
        <w:tc>
          <w:tcPr>
            <w:tcW w:type="dxa" w:w="3178"/>
          </w:tcPr>
          <w:p>
            <w:r>
              <w:rPr/>
              <w:t>投标文件没有招标文件中规定的其他无效投标条款的；</w:t>
            </w:r>
          </w:p>
        </w:tc>
        <w:tc>
          <w:tcPr>
            <w:tcW w:type="dxa" w:w="4238"/>
          </w:tcPr>
          <w:p>
            <w:r>
              <w:rPr/>
              <w:t>投标文件没有招标文件中规定的其它无效投标条款的；</w:t>
            </w:r>
          </w:p>
        </w:tc>
      </w:tr>
      <w:tr>
        <w:tc>
          <w:tcPr>
            <w:tcW w:type="dxa" w:w="890"/>
          </w:tcPr>
          <w:p>
            <w:r>
              <w:rPr/>
              <w:t>8</w:t>
            </w:r>
          </w:p>
        </w:tc>
        <w:tc>
          <w:tcPr>
            <w:tcW w:type="dxa" w:w="3178"/>
          </w:tcPr>
          <w:p>
            <w:r>
              <w:rPr/>
              <w:t>按有关法律、法规、规章不属于投标无效的。</w:t>
            </w:r>
          </w:p>
        </w:tc>
        <w:tc>
          <w:tcPr>
            <w:tcW w:type="dxa" w:w="4238"/>
          </w:tcPr>
          <w:p>
            <w:r>
              <w:rPr/>
              <w:t>按有关法律、法规、规章不属于投标无效的。</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采购包1(内窥镜手术控制系统及附件):</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采购需求书中带▲号的重要技术条款的响应情况 (30.0分)</w:t>
            </w:r>
          </w:p>
        </w:tc>
        <w:tc>
          <w:tcPr>
            <w:tcW w:type="dxa" w:w="5076"/>
          </w:tcPr>
          <w:p>
            <w:pPr>
              <w:jc w:val="left"/>
            </w:pPr>
            <w:r>
              <w:rPr/>
              <w:t>投标人所投产品全部满足采购需求书中带“▲”的重要技术条款的，得30分； 有1项条款为负偏离的，得24分； 有2项条款为负偏离的，得18分； 有3项条款为负偏离的，得12分； 有4项条款为负偏离的，得6分； 有5项（含）以上条款为负偏离的，得0分。</w:t>
            </w:r>
          </w:p>
        </w:tc>
      </w:tr>
      <w:tr>
        <w:tc>
          <w:tcPr>
            <w:tcW w:type="dxa" w:w="922"/>
            <w:gridSpan w:val="2"/>
            <w:vMerge/>
          </w:tcPr>
          <w:p/>
        </w:tc>
        <w:tc>
          <w:tcPr>
            <w:tcW w:type="dxa" w:w="2307"/>
          </w:tcPr>
          <w:p>
            <w:pPr>
              <w:jc w:val="left"/>
            </w:pPr>
            <w:r>
              <w:rPr/>
              <w:t>采购需求书中不带▲号的一般条款的响应情况 (20.0分)</w:t>
            </w:r>
          </w:p>
        </w:tc>
        <w:tc>
          <w:tcPr>
            <w:tcW w:type="dxa" w:w="5076"/>
          </w:tcPr>
          <w:p>
            <w:pPr>
              <w:jc w:val="left"/>
            </w:pPr>
            <w:r>
              <w:rPr/>
              <w:t>投标人所投产品全部满足采购需求书中不带“▲”的一般条款，得20分； 有1项条款为负偏离或不响应，得17.5分； 有2项条款为负偏离或不响应，得15分； 有3项条款为负偏离或不响应，得12.5分； 有4项条款为负偏离或不响应，得10分； 有5项条款为负偏离或不响应，得7.5分； 有6项条款为负偏离或不响应，得5分； 有7项条款为负偏离或不响应，得2.5分； 有8项（含）以上条款为负偏离或不响应，得0分。</w:t>
            </w:r>
          </w:p>
        </w:tc>
      </w:tr>
      <w:tr>
        <w:tc>
          <w:tcPr>
            <w:tcW w:type="dxa" w:w="922"/>
            <w:gridSpan w:val="2"/>
            <w:vMerge/>
          </w:tcPr>
          <w:p/>
        </w:tc>
        <w:tc>
          <w:tcPr>
            <w:tcW w:type="dxa" w:w="2307"/>
          </w:tcPr>
          <w:p>
            <w:pPr>
              <w:jc w:val="left"/>
            </w:pPr>
            <w:r>
              <w:rPr/>
              <w:t>与所投产品同类型或同系列的产品在国内的销售情况 (3.0分)</w:t>
            </w:r>
          </w:p>
        </w:tc>
        <w:tc>
          <w:tcPr>
            <w:tcW w:type="dxa" w:w="5076"/>
          </w:tcPr>
          <w:p>
            <w:pPr>
              <w:jc w:val="left"/>
            </w:pPr>
            <w:r>
              <w:rPr/>
              <w:t>考察与所投产品同类型或同系列的产品在国内的销售情况，提供销售客户清单等情况介绍材料。 销售客户10家（含）或以上，得3分； 销售客户1家（含）至9家（含），得1.5分； 其他或无清单等介绍材料，得0分。 投标人对各自提供的业绩材料的真实性负责，如存在提供虚假材料情况，将承担相应的法律责任。</w:t>
            </w:r>
          </w:p>
        </w:tc>
      </w:tr>
      <w:tr>
        <w:tc>
          <w:tcPr>
            <w:tcW w:type="dxa" w:w="922"/>
            <w:gridSpan w:val="2"/>
            <w:vMerge/>
          </w:tcPr>
          <w:p/>
        </w:tc>
        <w:tc>
          <w:tcPr>
            <w:tcW w:type="dxa" w:w="2307"/>
          </w:tcPr>
          <w:p>
            <w:pPr>
              <w:jc w:val="left"/>
            </w:pPr>
            <w:r>
              <w:rPr/>
              <w:t>售后服务年限 (2.0分)</w:t>
            </w:r>
          </w:p>
        </w:tc>
        <w:tc>
          <w:tcPr>
            <w:tcW w:type="dxa" w:w="5076"/>
          </w:tcPr>
          <w:p>
            <w:pPr>
              <w:jc w:val="left"/>
            </w:pPr>
            <w:r>
              <w:rPr/>
              <w:t>保修期3年基础上，每增加1年得1分，满分2分。（提供承诺函并加盖公章）</w:t>
            </w:r>
          </w:p>
        </w:tc>
      </w:tr>
      <w:tr>
        <w:tc>
          <w:tcPr>
            <w:tcW w:type="dxa" w:w="922"/>
            <w:gridSpan w:val="2"/>
            <w:vMerge/>
          </w:tcPr>
          <w:p/>
        </w:tc>
        <w:tc>
          <w:tcPr>
            <w:tcW w:type="dxa" w:w="2307"/>
          </w:tcPr>
          <w:p>
            <w:pPr>
              <w:jc w:val="left"/>
            </w:pPr>
            <w:r>
              <w:rPr/>
              <w:t>售后服务内容 (2.0分)</w:t>
            </w:r>
            <w:r>
              <w:rPr/>
              <w:t>，（等次分值选择：</w:t>
            </w:r>
            <w:r>
              <w:rPr/>
              <w:t>0.0;</w:t>
            </w:r>
            <w:r>
              <w:rPr/>
              <w:t>0.5;</w:t>
            </w:r>
            <w:r>
              <w:rPr/>
              <w:t>1.0;</w:t>
            </w:r>
            <w:r>
              <w:rPr/>
              <w:t>2.0;</w:t>
            </w:r>
            <w:r>
              <w:rPr/>
              <w:t>）</w:t>
            </w:r>
          </w:p>
        </w:tc>
        <w:tc>
          <w:tcPr>
            <w:tcW w:type="dxa" w:w="5076"/>
          </w:tcPr>
          <w:p>
            <w:pPr>
              <w:jc w:val="left"/>
            </w:pPr>
            <w:r>
              <w:rPr/>
              <w:t>（一）评分内容： 投标人须针对本项目需求提供售后服务内容，包括下述内容： 1.服务响应计划； 2.零配件供应情况； 3.维保服务内容等。 满足以上3项要求得2分，满足以上2项要求得1分，满足以上1项要求得0.5分，其他不得分。</w:t>
            </w:r>
          </w:p>
        </w:tc>
      </w:tr>
      <w:tr>
        <w:tc>
          <w:tcPr>
            <w:tcW w:type="dxa" w:w="922"/>
            <w:gridSpan w:val="2"/>
            <w:vMerge/>
          </w:tcPr>
          <w:p/>
        </w:tc>
        <w:tc>
          <w:tcPr>
            <w:tcW w:type="dxa" w:w="2307"/>
          </w:tcPr>
          <w:p>
            <w:pPr>
              <w:jc w:val="left"/>
            </w:pPr>
            <w:r>
              <w:rPr/>
              <w:t>售后服务内容（二） (3.0分)</w:t>
            </w:r>
            <w:r>
              <w:rPr/>
              <w:t>，（等次分值选择：</w:t>
            </w:r>
            <w:r>
              <w:rPr/>
              <w:t>0.0;</w:t>
            </w:r>
            <w:r>
              <w:rPr/>
              <w:t>1.0;</w:t>
            </w:r>
            <w:r>
              <w:rPr/>
              <w:t>2.0;</w:t>
            </w:r>
            <w:r>
              <w:rPr/>
              <w:t>3.0;</w:t>
            </w:r>
            <w:r>
              <w:rPr/>
              <w:t>）</w:t>
            </w:r>
          </w:p>
        </w:tc>
        <w:tc>
          <w:tcPr>
            <w:tcW w:type="dxa" w:w="5076"/>
          </w:tcPr>
          <w:p>
            <w:pPr>
              <w:jc w:val="left"/>
            </w:pPr>
            <w:r>
              <w:rPr/>
              <w:t>在上述售后服务内容的基础上，按照下列要求进行加分： 1.有具体的时间节点和步骤； 2.有具体的人员安排及明确的分工； 3.对突发情况有具体的应对措施； 每体现一点内容加1分，最多加3分。</w:t>
            </w:r>
          </w:p>
        </w:tc>
      </w:tr>
      <w:tr>
        <w:tc>
          <w:tcPr>
            <w:tcW w:type="dxa" w:w="922"/>
            <w:gridSpan w:val="2"/>
            <w:vMerge w:val="restart"/>
          </w:tcPr>
          <w:p>
            <w:pPr>
              <w:jc w:val="center"/>
            </w:pPr>
            <w:r>
              <w:rPr/>
              <w:t>商务部分</w:t>
            </w:r>
          </w:p>
        </w:tc>
        <w:tc>
          <w:tcPr>
            <w:tcW w:type="dxa" w:w="2307"/>
          </w:tcPr>
          <w:p>
            <w:pPr>
              <w:jc w:val="left"/>
            </w:pPr>
            <w:r>
              <w:rPr/>
              <w:t>投标人企业信誉或企业认证 (2.0分)</w:t>
            </w:r>
          </w:p>
        </w:tc>
        <w:tc>
          <w:tcPr>
            <w:tcW w:type="dxa" w:w="5076"/>
          </w:tcPr>
          <w:p>
            <w:pPr>
              <w:jc w:val="left"/>
            </w:pPr>
            <w:r>
              <w:rPr/>
              <w:t>投标人具有以下其中任意一种证书或评价得2分，满分2分。 1、职业健康安全管理体系认证证书； 2、环境管理体系认证证书； 3、质量管理体系认证证书； 4、用户满意度调查表或用户评价（评价需为正面，同一客户/同一项目多份评价只计一份）。 提供有效期内的证书或评价材料复印件，无提供不得分。</w:t>
            </w:r>
          </w:p>
        </w:tc>
      </w:tr>
      <w:tr>
        <w:tc>
          <w:tcPr>
            <w:tcW w:type="dxa" w:w="922"/>
            <w:gridSpan w:val="2"/>
            <w:vMerge/>
          </w:tcPr>
          <w:p/>
        </w:tc>
        <w:tc>
          <w:tcPr>
            <w:tcW w:type="dxa" w:w="2307"/>
          </w:tcPr>
          <w:p>
            <w:pPr>
              <w:jc w:val="left"/>
            </w:pPr>
            <w:r>
              <w:rPr/>
              <w:t>投标人医疗设备供货的能力 (4.0分)</w:t>
            </w:r>
          </w:p>
        </w:tc>
        <w:tc>
          <w:tcPr>
            <w:tcW w:type="dxa" w:w="5076"/>
          </w:tcPr>
          <w:p>
            <w:pPr>
              <w:jc w:val="left"/>
            </w:pPr>
            <w:r>
              <w:rPr/>
              <w:t>投标人2019年1月以来医疗设备供货的业绩，每个得2分，最高得4分。 提供以投标人名义签订的合同复印件或中标通知书作为评价证明资料。</w:t>
            </w:r>
          </w:p>
        </w:tc>
      </w:tr>
      <w:tr>
        <w:tc>
          <w:tcPr>
            <w:tcW w:type="dxa" w:w="922"/>
            <w:gridSpan w:val="2"/>
            <w:vMerge/>
          </w:tcPr>
          <w:p/>
        </w:tc>
        <w:tc>
          <w:tcPr>
            <w:tcW w:type="dxa" w:w="2307"/>
          </w:tcPr>
          <w:p>
            <w:pPr>
              <w:jc w:val="left"/>
            </w:pPr>
            <w:r>
              <w:rPr/>
              <w:t>合同条款的响应情况 (4.0分)</w:t>
            </w:r>
          </w:p>
        </w:tc>
        <w:tc>
          <w:tcPr>
            <w:tcW w:type="dxa" w:w="5076"/>
          </w:tcPr>
          <w:p>
            <w:pPr>
              <w:jc w:val="left"/>
            </w:pPr>
            <w:r>
              <w:rPr/>
              <w:t>投标人全部满足合同条款的，得4分； 有1项条款为负偏离的，得3分； 有2项条款为负偏离的，得2分； 有3项条款为负偏离的，得1分； 有4项（含）以上条款为负偏离的，得0分。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color w:val="000000"/>
          <w:sz w:val="44"/>
        </w:rPr>
        <w:t>江门市中心医院医疗设备采购</w:t>
      </w:r>
      <w:r>
        <w:rPr>
          <w:b/>
          <w:color w:val="000000"/>
          <w:sz w:val="44"/>
        </w:rPr>
        <w:t>合同</w:t>
      </w:r>
    </w:p>
    <w:p>
      <w:pPr>
        <w:jc w:val="center"/>
      </w:pPr>
    </w:p>
    <w:p>
      <w:pPr>
        <w:ind w:firstLine="480"/>
      </w:pPr>
      <w:r>
        <w:rPr>
          <w:color w:val="000000"/>
          <w:sz w:val="24"/>
        </w:rPr>
        <w:t>购货单位：江门市中心医院</w:t>
      </w:r>
      <w:r>
        <w:rPr>
          <w:color w:val="000000"/>
          <w:sz w:val="24"/>
        </w:rPr>
        <w:t>（以下简称甲方）</w:t>
      </w:r>
    </w:p>
    <w:p>
      <w:pPr>
        <w:ind w:firstLine="480"/>
      </w:pPr>
      <w:r>
        <w:rPr>
          <w:color w:val="000000"/>
          <w:sz w:val="24"/>
        </w:rPr>
        <w:t>供货单位：</w:t>
      </w:r>
      <w:r>
        <w:rPr>
          <w:color w:val="000000"/>
          <w:sz w:val="21"/>
          <w:u w:val="single"/>
        </w:rPr>
        <w:t xml:space="preserve">                           </w:t>
      </w:r>
      <w:r>
        <w:rPr>
          <w:color w:val="000000"/>
          <w:sz w:val="24"/>
        </w:rPr>
        <w:t>（以下简称乙方）</w:t>
      </w:r>
    </w:p>
    <w:p>
      <w:pPr>
        <w:ind w:firstLine="480"/>
      </w:pPr>
    </w:p>
    <w:p>
      <w:pPr>
        <w:ind w:firstLine="480"/>
      </w:pPr>
      <w:r>
        <w:rPr>
          <w:color w:val="000000"/>
          <w:sz w:val="24"/>
        </w:rPr>
        <w:t>甲乙双方根据《中华人民共和国民法典》、《中华人民共和国政府采购法》等有关法律法规的规定，按照</w:t>
      </w:r>
      <w:r>
        <w:rPr>
          <w:color w:val="000000"/>
          <w:sz w:val="21"/>
          <w:u w:val="single"/>
        </w:rPr>
        <w:t xml:space="preserve">     </w:t>
      </w:r>
      <w:r>
        <w:rPr>
          <w:color w:val="000000"/>
          <w:sz w:val="24"/>
        </w:rPr>
        <w:t>年</w:t>
      </w:r>
      <w:r>
        <w:rPr>
          <w:color w:val="000000"/>
          <w:sz w:val="21"/>
          <w:u w:val="single"/>
        </w:rPr>
        <w:t xml:space="preserve">    </w:t>
      </w:r>
      <w:r>
        <w:rPr>
          <w:color w:val="000000"/>
          <w:sz w:val="24"/>
        </w:rPr>
        <w:t>月</w:t>
      </w:r>
      <w:r>
        <w:rPr>
          <w:color w:val="000000"/>
          <w:sz w:val="21"/>
          <w:u w:val="single"/>
        </w:rPr>
        <w:t xml:space="preserve">    </w:t>
      </w:r>
      <w:r>
        <w:rPr>
          <w:color w:val="000000"/>
          <w:sz w:val="24"/>
        </w:rPr>
        <w:t>日江门市中心医院医疗设备采购项目</w:t>
      </w:r>
      <w:r>
        <w:rPr>
          <w:color w:val="000000"/>
          <w:sz w:val="21"/>
          <w:u w:val="single"/>
        </w:rPr>
        <w:t xml:space="preserve">                     </w:t>
      </w:r>
      <w:r>
        <w:rPr>
          <w:color w:val="000000"/>
          <w:sz w:val="24"/>
        </w:rPr>
        <w:t>的采购结果、招标文件、乙方的投标文件及澄清文件和中标通知书（以上文件发生冲突时以较高标准为准）的要求，经双方协商一致，订立合同如下：</w:t>
      </w:r>
    </w:p>
    <w:p>
      <w:pPr>
        <w:ind w:firstLine="482"/>
      </w:pPr>
      <w:r>
        <w:rPr>
          <w:b/>
          <w:color w:val="000000"/>
          <w:sz w:val="24"/>
        </w:rPr>
        <w:t>第一条</w:t>
      </w:r>
      <w:r>
        <w:rPr>
          <w:b/>
          <w:color w:val="000000"/>
          <w:sz w:val="24"/>
        </w:rPr>
        <w:t xml:space="preserve"> </w:t>
      </w:r>
      <w:r>
        <w:rPr>
          <w:b/>
          <w:color w:val="000000"/>
          <w:sz w:val="24"/>
        </w:rPr>
        <w:t>项目的名称、项目总价和项目货物的清单（如名称、数量、规格、单价、型号、品牌和技术指标等）</w:t>
      </w:r>
    </w:p>
    <w:p>
      <w:pPr>
        <w:ind w:firstLine="480"/>
      </w:pPr>
      <w:r>
        <w:rPr>
          <w:color w:val="000000"/>
          <w:sz w:val="24"/>
        </w:rPr>
        <w:t>（一）项目名称：</w:t>
      </w:r>
      <w:r>
        <w:rPr>
          <w:color w:val="000000"/>
          <w:sz w:val="21"/>
          <w:u w:val="single"/>
        </w:rPr>
        <w:t xml:space="preserve">                      </w:t>
      </w:r>
      <w:r>
        <w:rPr>
          <w:color w:val="000000"/>
          <w:sz w:val="24"/>
        </w:rPr>
        <w:t>。</w:t>
      </w:r>
      <w:r>
        <w:rPr>
          <w:color w:val="000000"/>
          <w:sz w:val="24"/>
        </w:rPr>
        <w:t xml:space="preserve"> </w:t>
      </w:r>
      <w:r>
        <w:rPr>
          <w:color w:val="000000"/>
          <w:sz w:val="21"/>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569"/>
        <w:gridCol w:w="1002"/>
        <w:gridCol w:w="1200"/>
        <w:gridCol w:w="1770"/>
        <w:gridCol w:w="1114"/>
        <w:gridCol w:w="618"/>
        <w:gridCol w:w="990"/>
        <w:gridCol w:w="1002"/>
      </w:tblGrid>
      <w:tr>
        <w:tc>
          <w:tcPr>
            <w:tcW w:type="dxa" w:w="569"/>
            <w:tcBorders>
              <w:top w:val="single" w:color="000000" w:sz="4"/>
              <w:left w:val="single" w:color="000000" w:sz="4"/>
              <w:bottom w:val="single" w:color="000000" w:sz="4"/>
              <w:right w:val="single" w:color="000000" w:sz="4"/>
            </w:tcBorders>
            <w:vAlign w:val="top"/>
          </w:tcPr>
          <w:p>
            <w:pPr>
              <w:jc w:val="center"/>
            </w:pPr>
            <w:r>
              <w:rPr>
                <w:b/>
                <w:color w:val="000000"/>
                <w:sz w:val="24"/>
              </w:rPr>
              <w:t>序号</w:t>
            </w:r>
          </w:p>
        </w:tc>
        <w:tc>
          <w:tcPr>
            <w:tcW w:type="dxa" w:w="1002"/>
            <w:tcBorders>
              <w:top w:val="single" w:color="000000" w:sz="4"/>
              <w:left w:val="single" w:color="000000" w:sz="4"/>
              <w:bottom w:val="single" w:color="000000" w:sz="4"/>
              <w:right w:val="single" w:color="000000" w:sz="4"/>
            </w:tcBorders>
            <w:vAlign w:val="top"/>
          </w:tcPr>
          <w:p>
            <w:pPr>
              <w:jc w:val="center"/>
            </w:pPr>
            <w:r>
              <w:rPr>
                <w:b/>
                <w:color w:val="000000"/>
                <w:sz w:val="24"/>
              </w:rPr>
              <w:t>货物名称</w:t>
            </w:r>
          </w:p>
        </w:tc>
        <w:tc>
          <w:tcPr>
            <w:tcW w:type="dxa" w:w="1200"/>
            <w:tcBorders>
              <w:top w:val="single" w:color="000000" w:sz="4"/>
              <w:left w:val="single" w:color="000000" w:sz="4"/>
              <w:bottom w:val="single" w:color="000000" w:sz="4"/>
              <w:right w:val="single" w:color="000000" w:sz="4"/>
            </w:tcBorders>
            <w:vAlign w:val="top"/>
          </w:tcPr>
          <w:p>
            <w:pPr>
              <w:jc w:val="center"/>
            </w:pPr>
            <w:r>
              <w:rPr>
                <w:b/>
                <w:color w:val="000000"/>
                <w:sz w:val="24"/>
              </w:rPr>
              <w:t>注册证名称</w:t>
            </w:r>
          </w:p>
        </w:tc>
        <w:tc>
          <w:tcPr>
            <w:tcW w:type="dxa" w:w="1770"/>
            <w:tcBorders>
              <w:top w:val="single" w:color="000000" w:sz="4"/>
              <w:left w:val="single" w:color="000000" w:sz="4"/>
              <w:bottom w:val="single" w:color="000000" w:sz="4"/>
              <w:right w:val="single" w:color="000000" w:sz="4"/>
            </w:tcBorders>
            <w:vAlign w:val="top"/>
          </w:tcPr>
          <w:p>
            <w:pPr>
              <w:jc w:val="center"/>
            </w:pPr>
            <w:r>
              <w:rPr>
                <w:b/>
                <w:color w:val="000000"/>
                <w:sz w:val="24"/>
              </w:rPr>
              <w:t>产地和制造商名称</w:t>
            </w:r>
          </w:p>
        </w:tc>
        <w:tc>
          <w:tcPr>
            <w:tcW w:type="dxa" w:w="1114"/>
            <w:tcBorders>
              <w:top w:val="single" w:color="000000" w:sz="4"/>
              <w:left w:val="single" w:color="000000" w:sz="4"/>
              <w:bottom w:val="single" w:color="000000" w:sz="4"/>
              <w:right w:val="single" w:color="000000" w:sz="4"/>
            </w:tcBorders>
            <w:vAlign w:val="top"/>
          </w:tcPr>
          <w:p>
            <w:pPr>
              <w:jc w:val="center"/>
            </w:pPr>
            <w:r>
              <w:rPr>
                <w:b/>
                <w:color w:val="000000"/>
                <w:sz w:val="24"/>
              </w:rPr>
              <w:t>规格、型号</w:t>
            </w:r>
          </w:p>
        </w:tc>
        <w:tc>
          <w:tcPr>
            <w:tcW w:type="dxa" w:w="618"/>
            <w:tcBorders>
              <w:top w:val="single" w:color="000000" w:sz="4"/>
              <w:left w:val="single" w:color="000000" w:sz="4"/>
              <w:bottom w:val="single" w:color="000000" w:sz="4"/>
              <w:right w:val="single" w:color="000000" w:sz="4"/>
            </w:tcBorders>
            <w:vAlign w:val="top"/>
          </w:tcPr>
          <w:p>
            <w:pPr>
              <w:jc w:val="center"/>
            </w:pPr>
            <w:r>
              <w:rPr>
                <w:b/>
                <w:color w:val="000000"/>
                <w:sz w:val="24"/>
              </w:rPr>
              <w:t>数量</w:t>
            </w:r>
          </w:p>
        </w:tc>
        <w:tc>
          <w:tcPr>
            <w:tcW w:type="dxa" w:w="990"/>
            <w:tcBorders>
              <w:top w:val="single" w:color="000000" w:sz="4"/>
              <w:left w:val="single" w:color="000000" w:sz="4"/>
              <w:bottom w:val="single" w:color="000000" w:sz="4"/>
              <w:right w:val="single" w:color="000000" w:sz="4"/>
            </w:tcBorders>
            <w:vAlign w:val="top"/>
          </w:tcPr>
          <w:p>
            <w:pPr>
              <w:jc w:val="center"/>
            </w:pPr>
            <w:r>
              <w:rPr>
                <w:b/>
                <w:color w:val="000000"/>
                <w:sz w:val="24"/>
              </w:rPr>
              <w:t>单价（元）</w:t>
            </w:r>
          </w:p>
        </w:tc>
        <w:tc>
          <w:tcPr>
            <w:tcW w:type="dxa" w:w="1002"/>
            <w:tcBorders>
              <w:top w:val="single" w:color="000000" w:sz="4"/>
              <w:left w:val="single" w:color="000000" w:sz="4"/>
              <w:bottom w:val="single" w:color="000000" w:sz="4"/>
              <w:right w:val="single" w:color="000000" w:sz="4"/>
            </w:tcBorders>
            <w:vAlign w:val="top"/>
          </w:tcPr>
          <w:p>
            <w:pPr>
              <w:jc w:val="center"/>
            </w:pPr>
            <w:r>
              <w:rPr>
                <w:b/>
                <w:color w:val="000000"/>
                <w:sz w:val="24"/>
              </w:rPr>
              <w:t>总价（</w:t>
            </w:r>
            <w:r>
              <w:rPr>
                <w:b/>
                <w:color w:val="000000"/>
                <w:sz w:val="24"/>
              </w:rPr>
              <w:t>元）</w:t>
            </w:r>
          </w:p>
        </w:tc>
      </w:tr>
      <w:tr>
        <w:tc>
          <w:tcPr>
            <w:tcW w:type="dxa" w:w="569"/>
            <w:tcBorders>
              <w:top w:val="none" w:color="000000" w:sz="4"/>
              <w:left w:val="single" w:color="000000" w:sz="4"/>
              <w:bottom w:val="single" w:color="000000" w:sz="4"/>
              <w:right w:val="single" w:color="000000" w:sz="4"/>
            </w:tcBorders>
            <w:vAlign w:val="top"/>
          </w:tcPr>
          <w:p>
            <w:pPr>
              <w:jc w:val="center"/>
            </w:pPr>
            <w:r>
              <w:rPr>
                <w:color w:val="000000"/>
                <w:sz w:val="24"/>
              </w:rPr>
              <w:t>1</w:t>
            </w:r>
          </w:p>
        </w:tc>
        <w:tc>
          <w:tcPr>
            <w:tcW w:type="dxa" w:w="1002"/>
            <w:tcBorders>
              <w:top w:val="none" w:color="000000" w:sz="4"/>
              <w:left w:val="single" w:color="000000" w:sz="4"/>
              <w:bottom w:val="single" w:color="000000" w:sz="4"/>
              <w:right w:val="single" w:color="000000" w:sz="4"/>
            </w:tcBorders>
            <w:vAlign w:val="top"/>
          </w:tcPr>
          <w:p>
            <w:pPr>
              <w:jc w:val="center"/>
            </w:pPr>
          </w:p>
        </w:tc>
        <w:tc>
          <w:tcPr>
            <w:tcW w:type="dxa" w:w="1200"/>
            <w:tcBorders>
              <w:top w:val="none" w:color="000000" w:sz="4"/>
              <w:left w:val="single" w:color="000000" w:sz="4"/>
              <w:bottom w:val="single" w:color="000000" w:sz="4"/>
              <w:right w:val="single" w:color="000000" w:sz="4"/>
            </w:tcBorders>
            <w:vAlign w:val="top"/>
          </w:tcPr>
          <w:p>
            <w:pPr>
              <w:jc w:val="center"/>
            </w:pPr>
          </w:p>
        </w:tc>
        <w:tc>
          <w:tcPr>
            <w:tcW w:type="dxa" w:w="1770"/>
            <w:tcBorders>
              <w:top w:val="none" w:color="000000" w:sz="4"/>
              <w:left w:val="single" w:color="000000" w:sz="4"/>
              <w:bottom w:val="single" w:color="000000" w:sz="4"/>
              <w:right w:val="single" w:color="000000" w:sz="4"/>
            </w:tcBorders>
            <w:vAlign w:val="top"/>
          </w:tcPr>
          <w:p>
            <w:pPr>
              <w:jc w:val="center"/>
            </w:pPr>
          </w:p>
        </w:tc>
        <w:tc>
          <w:tcPr>
            <w:tcW w:type="dxa" w:w="1114"/>
            <w:tcBorders>
              <w:top w:val="none" w:color="000000" w:sz="4"/>
              <w:left w:val="single" w:color="000000" w:sz="4"/>
              <w:bottom w:val="single" w:color="000000" w:sz="4"/>
              <w:right w:val="single" w:color="000000" w:sz="4"/>
            </w:tcBorders>
            <w:vAlign w:val="top"/>
          </w:tcPr>
          <w:p>
            <w:pPr>
              <w:jc w:val="center"/>
            </w:pPr>
          </w:p>
        </w:tc>
        <w:tc>
          <w:tcPr>
            <w:tcW w:type="dxa" w:w="618"/>
            <w:tcBorders>
              <w:top w:val="none" w:color="000000" w:sz="4"/>
              <w:left w:val="single" w:color="000000" w:sz="4"/>
              <w:bottom w:val="single" w:color="000000" w:sz="4"/>
              <w:right w:val="single" w:color="000000" w:sz="4"/>
            </w:tcBorders>
            <w:vAlign w:val="top"/>
          </w:tcPr>
          <w:p>
            <w:pPr>
              <w:jc w:val="center"/>
            </w:pPr>
          </w:p>
        </w:tc>
        <w:tc>
          <w:tcPr>
            <w:tcW w:type="dxa" w:w="990"/>
            <w:tcBorders>
              <w:top w:val="none" w:color="000000" w:sz="4"/>
              <w:left w:val="single" w:color="000000" w:sz="4"/>
              <w:bottom w:val="single" w:color="000000" w:sz="4"/>
              <w:right w:val="single" w:color="000000" w:sz="4"/>
            </w:tcBorders>
            <w:vAlign w:val="top"/>
          </w:tcPr>
          <w:p>
            <w:pPr>
              <w:jc w:val="center"/>
            </w:pPr>
          </w:p>
        </w:tc>
        <w:tc>
          <w:tcPr>
            <w:tcW w:type="dxa" w:w="1002"/>
            <w:tcBorders>
              <w:top w:val="none" w:color="000000" w:sz="4"/>
              <w:left w:val="single" w:color="000000" w:sz="4"/>
              <w:bottom w:val="single" w:color="000000" w:sz="4"/>
              <w:right w:val="single" w:color="000000" w:sz="4"/>
            </w:tcBorders>
            <w:vAlign w:val="top"/>
          </w:tcPr>
          <w:p>
            <w:pPr>
              <w:jc w:val="center"/>
            </w:pPr>
          </w:p>
        </w:tc>
      </w:tr>
      <w:tr>
        <w:tc>
          <w:tcPr>
            <w:tcW w:type="dxa" w:w="8265"/>
            <w:gridSpan w:val="8"/>
            <w:tcBorders>
              <w:top w:val="none" w:color="000000" w:sz="4"/>
              <w:left w:val="single" w:color="000000" w:sz="4"/>
              <w:bottom w:val="single" w:color="000000" w:sz="4"/>
              <w:right w:val="single" w:color="000000" w:sz="4"/>
            </w:tcBorders>
            <w:vAlign w:val="top"/>
          </w:tcPr>
          <w:p>
            <w:r>
              <w:rPr>
                <w:color w:val="000000"/>
                <w:sz w:val="24"/>
              </w:rPr>
              <w:t>项目总价：人民币（大写）：</w:t>
            </w:r>
            <w:r>
              <w:rPr>
                <w:color w:val="000000"/>
                <w:sz w:val="21"/>
                <w:u w:val="single"/>
              </w:rPr>
              <w:t xml:space="preserve">               </w:t>
            </w:r>
            <w:r>
              <w:rPr>
                <w:color w:val="000000"/>
                <w:sz w:val="24"/>
              </w:rPr>
              <w:t>；（小写）</w:t>
            </w:r>
            <w:r>
              <w:rPr>
                <w:color w:val="000000"/>
                <w:sz w:val="24"/>
                <w:u w:val="single"/>
              </w:rPr>
              <w:t xml:space="preserve">¥             </w:t>
            </w:r>
            <w:r>
              <w:rPr>
                <w:color w:val="000000"/>
                <w:sz w:val="24"/>
              </w:rPr>
              <w:t>。</w:t>
            </w:r>
          </w:p>
        </w:tc>
      </w:tr>
      <w:tr>
        <w:tc>
          <w:tcPr>
            <w:tcW w:type="dxa" w:w="8265"/>
            <w:gridSpan w:val="8"/>
            <w:tcBorders>
              <w:top w:val="none" w:color="000000" w:sz="4"/>
              <w:left w:val="single" w:color="000000" w:sz="4"/>
              <w:bottom w:val="single" w:color="000000" w:sz="4"/>
              <w:right w:val="single" w:color="000000" w:sz="4"/>
            </w:tcBorders>
            <w:vAlign w:val="top"/>
          </w:tcPr>
          <w:p>
            <w:r>
              <w:rPr>
                <w:color w:val="000000"/>
                <w:sz w:val="24"/>
              </w:rPr>
              <w:t>备注：</w:t>
            </w:r>
            <w:r>
              <w:rPr>
                <w:color w:val="000000"/>
                <w:sz w:val="24"/>
              </w:rPr>
              <w:t>注册证编号：</w:t>
            </w:r>
            <w:r>
              <w:rPr>
                <w:color w:val="000000"/>
                <w:sz w:val="21"/>
                <w:u w:val="single"/>
              </w:rPr>
              <w:t xml:space="preserve">                </w:t>
            </w:r>
            <w:r>
              <w:rPr>
                <w:color w:val="000000"/>
                <w:sz w:val="24"/>
              </w:rPr>
              <w:t>。</w:t>
            </w:r>
          </w:p>
        </w:tc>
      </w:tr>
    </w:tbl>
    <w:p>
      <w:pPr>
        <w:ind w:firstLine="480"/>
      </w:pPr>
      <w:r>
        <w:rPr>
          <w:color w:val="000000"/>
          <w:sz w:val="24"/>
        </w:rPr>
        <w:t>（二）项目总价是完成项目的含税全包价，即包括但不限于连接甲方医院系统的接口费用，所有价格变动的风险均由乙方承担，甲方不需再向乙方支付任何其他费用。</w:t>
      </w:r>
    </w:p>
    <w:p>
      <w:pPr>
        <w:ind w:firstLine="480"/>
      </w:pPr>
      <w:r>
        <w:rPr>
          <w:color w:val="000000"/>
          <w:sz w:val="24"/>
        </w:rPr>
        <w:t>（三）货物清单：详见合同附后配置清单。</w:t>
      </w:r>
    </w:p>
    <w:p>
      <w:pPr>
        <w:ind w:firstLine="480"/>
      </w:pPr>
      <w:r>
        <w:rPr>
          <w:color w:val="000000"/>
          <w:sz w:val="24"/>
        </w:rPr>
        <w:t>（四）服务内容：按照本合同约定、招标文件、乙方的投标文件（以上文件发生冲突时以较高标准为准）执行。</w:t>
      </w:r>
    </w:p>
    <w:p>
      <w:pPr>
        <w:ind w:firstLine="482"/>
      </w:pPr>
      <w:r>
        <w:rPr>
          <w:b/>
          <w:color w:val="000000"/>
          <w:sz w:val="24"/>
        </w:rPr>
        <w:t>第二条</w:t>
      </w:r>
      <w:r>
        <w:rPr>
          <w:b/>
          <w:color w:val="000000"/>
          <w:sz w:val="24"/>
        </w:rPr>
        <w:t xml:space="preserve"> </w:t>
      </w:r>
      <w:r>
        <w:rPr>
          <w:b/>
          <w:color w:val="000000"/>
          <w:sz w:val="24"/>
        </w:rPr>
        <w:t>货物的质量要求、售后服务及损害赔偿</w:t>
      </w:r>
    </w:p>
    <w:p>
      <w:pPr>
        <w:ind w:firstLine="448"/>
      </w:pPr>
      <w:r>
        <w:rPr>
          <w:color w:val="000000"/>
          <w:sz w:val="24"/>
        </w:rPr>
        <w:t>（一）货物的质量要求：符合国家有关标准、制造厂家标准，按照本合同约定、招标文件、乙方的投标文件、澄清文件和中标通知书（以上文件发生冲突时以较高标准为准）的要求执行。</w:t>
      </w:r>
    </w:p>
    <w:p>
      <w:pPr>
        <w:ind w:firstLine="448"/>
      </w:pPr>
      <w:r>
        <w:rPr>
          <w:color w:val="000000"/>
          <w:sz w:val="24"/>
        </w:rPr>
        <w:t>（二）售后服务要求：</w:t>
      </w:r>
    </w:p>
    <w:p>
      <w:pPr>
        <w:ind w:firstLine="448"/>
      </w:pPr>
      <w:r>
        <w:rPr>
          <w:color w:val="000000"/>
          <w:sz w:val="24"/>
        </w:rPr>
        <w:t>乙方按照甲方招标文件、乙方投标文件执行，包括但不限于以下要求：</w:t>
      </w:r>
    </w:p>
    <w:p>
      <w:pPr>
        <w:ind w:firstLine="480"/>
      </w:pPr>
      <w:r>
        <w:rPr>
          <w:color w:val="000000"/>
          <w:sz w:val="24"/>
        </w:rPr>
        <w:t>1、乙方须有属本公司的可随时上门作维修及检测的工程师，设备出现故障时能在</w:t>
      </w:r>
      <w:r>
        <w:rPr>
          <w:color w:val="000000"/>
          <w:sz w:val="21"/>
          <w:u w:val="single"/>
        </w:rPr>
        <w:t xml:space="preserve">     </w:t>
      </w:r>
      <w:r>
        <w:rPr>
          <w:color w:val="000000"/>
          <w:sz w:val="24"/>
        </w:rPr>
        <w:t>小时内响应，</w:t>
      </w:r>
      <w:r>
        <w:rPr>
          <w:color w:val="000000"/>
          <w:sz w:val="21"/>
          <w:u w:val="single"/>
        </w:rPr>
        <w:t xml:space="preserve">     </w:t>
      </w:r>
      <w:r>
        <w:rPr>
          <w:color w:val="000000"/>
          <w:sz w:val="24"/>
        </w:rPr>
        <w:t>小时内上门维修</w:t>
      </w:r>
      <w:r>
        <w:rPr>
          <w:color w:val="000000"/>
          <w:sz w:val="24"/>
        </w:rPr>
        <w:t>，</w:t>
      </w:r>
      <w:r>
        <w:rPr>
          <w:color w:val="000000"/>
          <w:sz w:val="21"/>
          <w:u w:val="single"/>
        </w:rPr>
        <w:t xml:space="preserve">     </w:t>
      </w:r>
      <w:r>
        <w:rPr>
          <w:color w:val="000000"/>
          <w:sz w:val="24"/>
        </w:rPr>
        <w:t>小时内处理完毕。若在规定时间内，乙方仍未能有效解决，甲方有权另行委托第三方提供服务或要求乙方免费提供同档次的设备或零部件予甲方临时使用，由此产生的相关费用由乙方承担。</w:t>
      </w:r>
    </w:p>
    <w:p>
      <w:pPr>
        <w:ind w:firstLine="480"/>
      </w:pPr>
      <w:r>
        <w:rPr>
          <w:color w:val="000000"/>
          <w:sz w:val="24"/>
        </w:rPr>
        <w:t>2、乙方须负责本合同下所有设备免费保修</w:t>
      </w:r>
      <w:r>
        <w:rPr>
          <w:color w:val="000000"/>
          <w:sz w:val="21"/>
          <w:u w:val="single"/>
        </w:rPr>
        <w:t xml:space="preserve">     </w:t>
      </w:r>
      <w:r>
        <w:rPr>
          <w:color w:val="000000"/>
          <w:sz w:val="24"/>
        </w:rPr>
        <w:t>年，免费维修的范围包括但不限于更换零件费用及维修工时费等；</w:t>
      </w:r>
      <w:r>
        <w:rPr>
          <w:color w:val="000000"/>
          <w:sz w:val="24"/>
        </w:rPr>
        <w:t>保修期自本合同项下的设备经甲乙双方验收合格之日起计算；保修期内，乙方须提供</w:t>
      </w:r>
      <w:r>
        <w:rPr>
          <w:color w:val="000000"/>
          <w:sz w:val="24"/>
        </w:rPr>
        <w:t>7*24小时服务。</w:t>
      </w:r>
      <w:r>
        <w:rPr>
          <w:color w:val="000000"/>
          <w:sz w:val="24"/>
        </w:rPr>
        <w:t>乙方维修热线：</w:t>
      </w:r>
      <w:r>
        <w:rPr>
          <w:color w:val="000000"/>
          <w:sz w:val="21"/>
          <w:u w:val="single"/>
        </w:rPr>
        <w:t xml:space="preserve">             </w:t>
      </w:r>
      <w:r>
        <w:rPr>
          <w:color w:val="000000"/>
          <w:sz w:val="24"/>
        </w:rPr>
        <w:t>。本合同期内乙方不得擅自变更或取消服务热线，如须变更或取消的，应提前</w:t>
      </w:r>
      <w:r>
        <w:rPr>
          <w:color w:val="000000"/>
          <w:sz w:val="24"/>
        </w:rPr>
        <w:t>5个工作日以书面形式通知甲方，否则乙方应承担因服务热线变更或取消造成的一切不利后果。</w:t>
      </w:r>
    </w:p>
    <w:p>
      <w:pPr>
        <w:ind w:firstLine="480"/>
      </w:pPr>
      <w:r>
        <w:rPr>
          <w:color w:val="000000"/>
          <w:sz w:val="24"/>
        </w:rPr>
        <w:t>3、乙方负责现场或厂家培训甲方有关技术人员，直至掌握操作技术为止。</w:t>
      </w:r>
    </w:p>
    <w:p>
      <w:pPr>
        <w:ind w:firstLine="448"/>
      </w:pPr>
      <w:r>
        <w:rPr>
          <w:color w:val="000000"/>
          <w:sz w:val="24"/>
        </w:rPr>
        <w:t>（三）如因乙方货物质量或设计原因，导致甲方损失，乙方应予以赔偿。</w:t>
      </w:r>
    </w:p>
    <w:p>
      <w:pPr>
        <w:ind w:firstLine="482"/>
      </w:pPr>
      <w:r>
        <w:rPr>
          <w:b/>
          <w:color w:val="000000"/>
          <w:sz w:val="24"/>
        </w:rPr>
        <w:t>第三条</w:t>
      </w:r>
      <w:r>
        <w:rPr>
          <w:b/>
          <w:color w:val="000000"/>
          <w:sz w:val="24"/>
        </w:rPr>
        <w:t xml:space="preserve"> </w:t>
      </w:r>
      <w:r>
        <w:rPr>
          <w:b/>
          <w:color w:val="000000"/>
          <w:sz w:val="24"/>
        </w:rPr>
        <w:t>交货和安装</w:t>
      </w:r>
    </w:p>
    <w:p>
      <w:pPr>
        <w:ind w:firstLine="448"/>
      </w:pPr>
      <w:r>
        <w:rPr>
          <w:color w:val="000000"/>
          <w:sz w:val="24"/>
        </w:rPr>
        <w:t>（一）交货期：</w:t>
      </w:r>
      <w:r>
        <w:rPr>
          <w:color w:val="000000"/>
          <w:sz w:val="24"/>
        </w:rPr>
        <w:t>所有货物须在</w:t>
      </w:r>
      <w:r>
        <w:rPr>
          <w:color w:val="000000"/>
          <w:sz w:val="24"/>
        </w:rPr>
        <w:t>合同签订后</w:t>
      </w:r>
      <w:r>
        <w:rPr>
          <w:color w:val="000000"/>
          <w:sz w:val="21"/>
          <w:u w:val="single"/>
        </w:rPr>
        <w:t xml:space="preserve">     </w:t>
      </w:r>
      <w:r>
        <w:rPr>
          <w:color w:val="000000"/>
          <w:sz w:val="24"/>
        </w:rPr>
        <w:t>内</w:t>
      </w:r>
      <w:r>
        <w:rPr>
          <w:color w:val="000000"/>
          <w:sz w:val="24"/>
        </w:rPr>
        <w:t>安装、调试完毕，能够投入使用并且通过验收</w:t>
      </w:r>
      <w:r>
        <w:rPr>
          <w:color w:val="000000"/>
          <w:sz w:val="24"/>
        </w:rPr>
        <w:t>。</w:t>
      </w:r>
    </w:p>
    <w:p>
      <w:pPr>
        <w:ind w:firstLine="448"/>
      </w:pPr>
      <w:r>
        <w:rPr>
          <w:color w:val="000000"/>
          <w:sz w:val="24"/>
        </w:rPr>
        <w:t>（二）交货方式：乙方负责将货物送至江门市中心医院指定地点。</w:t>
      </w:r>
    </w:p>
    <w:p>
      <w:pPr>
        <w:ind w:firstLine="448"/>
      </w:pPr>
      <w:r>
        <w:rPr>
          <w:color w:val="000000"/>
          <w:sz w:val="24"/>
        </w:rPr>
        <w:t>（三）设备的安装：由乙方负责。</w:t>
      </w:r>
    </w:p>
    <w:p>
      <w:pPr>
        <w:ind w:firstLine="482"/>
      </w:pPr>
      <w:r>
        <w:rPr>
          <w:b/>
          <w:color w:val="000000"/>
          <w:sz w:val="24"/>
        </w:rPr>
        <w:t>第四条</w:t>
      </w:r>
      <w:r>
        <w:rPr>
          <w:b/>
          <w:color w:val="000000"/>
          <w:sz w:val="24"/>
        </w:rPr>
        <w:t xml:space="preserve"> </w:t>
      </w:r>
      <w:r>
        <w:rPr>
          <w:b/>
          <w:color w:val="000000"/>
          <w:sz w:val="24"/>
        </w:rPr>
        <w:t>货款的结算</w:t>
      </w:r>
    </w:p>
    <w:p>
      <w:pPr>
        <w:ind w:firstLine="480"/>
      </w:pPr>
      <w:r>
        <w:rPr>
          <w:color w:val="000000"/>
          <w:sz w:val="24"/>
        </w:rPr>
        <w:t>（一）具体结算方式：</w:t>
      </w:r>
    </w:p>
    <w:p>
      <w:pPr>
        <w:ind w:firstLine="480"/>
      </w:pPr>
      <w:r>
        <w:rPr>
          <w:color w:val="000000"/>
          <w:sz w:val="24"/>
        </w:rPr>
        <w:t>1.第一期：合同签订生效后的30个工作日内，将合同总金额的30%（即¥</w:t>
      </w:r>
      <w:r>
        <w:rPr>
          <w:color w:val="000000"/>
          <w:sz w:val="21"/>
          <w:u w:val="single"/>
        </w:rPr>
        <w:t xml:space="preserve">      </w:t>
      </w:r>
      <w:r>
        <w:rPr>
          <w:color w:val="000000"/>
          <w:sz w:val="24"/>
        </w:rPr>
        <w:t>）支付给乙方。</w:t>
      </w:r>
    </w:p>
    <w:p>
      <w:pPr>
        <w:ind w:firstLine="480"/>
      </w:pPr>
      <w:r>
        <w:rPr>
          <w:color w:val="000000"/>
          <w:sz w:val="24"/>
        </w:rPr>
        <w:t>2.乙方须在收到第一期货款后的5个工作日内向甲方支付合同总金额的5%（即¥</w:t>
      </w:r>
      <w:r>
        <w:rPr>
          <w:color w:val="000000"/>
          <w:sz w:val="21"/>
          <w:u w:val="single"/>
        </w:rPr>
        <w:t xml:space="preserve">      </w:t>
      </w:r>
      <w:r>
        <w:rPr>
          <w:color w:val="000000"/>
          <w:sz w:val="24"/>
        </w:rPr>
        <w:t>）作为履约保证金，可转账或采取银行保函形式，银行保函有效期至合同履约结束；如转账支付履约保证金的，</w:t>
      </w:r>
      <w:r>
        <w:rPr>
          <w:color w:val="000000"/>
          <w:sz w:val="24"/>
        </w:rPr>
        <w:t>2年免费保修期满后的60日内由甲方不计利息退还履约保证金，免费保修期依然生效。</w:t>
      </w:r>
    </w:p>
    <w:p>
      <w:pPr>
        <w:ind w:firstLine="480"/>
      </w:pPr>
      <w:r>
        <w:rPr>
          <w:color w:val="000000"/>
          <w:sz w:val="24"/>
        </w:rPr>
        <w:t>3.第二期：设备运到指定地点，安装调试完毕并验收合格入库后且乙方完成履约保证金相关手续后30个工作日内将合同总金额的70%（即¥</w:t>
      </w:r>
      <w:r>
        <w:rPr>
          <w:color w:val="000000"/>
          <w:sz w:val="21"/>
          <w:u w:val="single"/>
        </w:rPr>
        <w:t xml:space="preserve">      </w:t>
      </w:r>
      <w:r>
        <w:rPr>
          <w:color w:val="000000"/>
          <w:sz w:val="24"/>
        </w:rPr>
        <w:t>）支付给乙方。</w:t>
      </w:r>
    </w:p>
    <w:p>
      <w:pPr>
        <w:ind w:firstLine="480"/>
      </w:pPr>
      <w:r>
        <w:rPr>
          <w:color w:val="000000"/>
          <w:sz w:val="24"/>
        </w:rPr>
        <w:t>4.乙方</w:t>
      </w:r>
      <w:r>
        <w:rPr>
          <w:color w:val="000000"/>
          <w:sz w:val="24"/>
        </w:rPr>
        <w:t>保修</w:t>
      </w:r>
      <w:r>
        <w:rPr>
          <w:color w:val="000000"/>
          <w:sz w:val="24"/>
        </w:rPr>
        <w:t>期违反合同及其附件约定的任何义务，甲方有权在履约保证金中直接扣除乙方应向甲方支付的违约金或损失赔偿额，如有不足的，乙方应按照甲方要求对超过的部分予以赔偿。甲方扣除履约保证金后，乙方应按照甲方要求补足履约保证金。</w:t>
      </w:r>
    </w:p>
    <w:p>
      <w:r>
        <w:rPr>
          <w:color w:val="000000"/>
          <w:sz w:val="24"/>
        </w:rPr>
        <w:t>（二）乙方须在第二期付款时间前</w:t>
      </w:r>
      <w:r>
        <w:rPr>
          <w:color w:val="000000"/>
          <w:sz w:val="24"/>
        </w:rPr>
        <w:t>30日提供合法有效的全额发票给甲方。</w:t>
      </w:r>
    </w:p>
    <w:p>
      <w:r>
        <w:rPr>
          <w:b/>
          <w:color w:val="000000"/>
          <w:sz w:val="24"/>
        </w:rPr>
        <w:t xml:space="preserve">      </w:t>
      </w:r>
      <w:r>
        <w:rPr>
          <w:b/>
          <w:color w:val="000000"/>
          <w:sz w:val="24"/>
        </w:rPr>
        <w:t>第五条</w:t>
      </w:r>
      <w:r>
        <w:rPr>
          <w:b/>
          <w:color w:val="000000"/>
          <w:sz w:val="24"/>
        </w:rPr>
        <w:t xml:space="preserve"> </w:t>
      </w:r>
      <w:r>
        <w:rPr>
          <w:b/>
          <w:color w:val="000000"/>
          <w:sz w:val="24"/>
        </w:rPr>
        <w:t>验收方式</w:t>
      </w:r>
    </w:p>
    <w:p>
      <w:pPr>
        <w:ind w:firstLine="448"/>
      </w:pPr>
      <w:r>
        <w:rPr>
          <w:color w:val="000000"/>
          <w:sz w:val="24"/>
        </w:rPr>
        <w:t>（一）验收时间：设备安装调试完毕正常运行后</w:t>
      </w:r>
      <w:r>
        <w:rPr>
          <w:color w:val="000000"/>
          <w:sz w:val="24"/>
        </w:rPr>
        <w:t>1个月内。</w:t>
      </w:r>
    </w:p>
    <w:p>
      <w:pPr>
        <w:ind w:firstLine="448"/>
      </w:pPr>
      <w:r>
        <w:rPr>
          <w:color w:val="000000"/>
          <w:sz w:val="24"/>
        </w:rPr>
        <w:t>（二）验收方法：甲方派遣有经验有能力的人员检验产品和工程的质量和指标。</w:t>
      </w:r>
    </w:p>
    <w:p>
      <w:pPr>
        <w:ind w:firstLine="448"/>
      </w:pPr>
      <w:r>
        <w:rPr>
          <w:color w:val="000000"/>
          <w:sz w:val="24"/>
        </w:rPr>
        <w:t>（三）验收标准：符合本合同约定、招标文件、乙方的投标文件、澄清文件和中标通知书（以上文件发生冲突时以较高标准为准）的要求；单证齐全，有产品合格证（或质量保证书）、发票和其它应当具有单证文件。</w:t>
      </w:r>
    </w:p>
    <w:p>
      <w:pPr>
        <w:ind w:firstLine="482"/>
      </w:pPr>
      <w:r>
        <w:rPr>
          <w:b/>
          <w:color w:val="000000"/>
          <w:sz w:val="24"/>
        </w:rPr>
        <w:t>第六条</w:t>
      </w:r>
      <w:r>
        <w:rPr>
          <w:b/>
          <w:color w:val="000000"/>
          <w:sz w:val="24"/>
        </w:rPr>
        <w:t xml:space="preserve"> </w:t>
      </w:r>
      <w:r>
        <w:rPr>
          <w:b/>
          <w:color w:val="000000"/>
          <w:sz w:val="24"/>
        </w:rPr>
        <w:t>对产品异议的时间和办法</w:t>
      </w:r>
    </w:p>
    <w:p>
      <w:pPr>
        <w:ind w:firstLine="448"/>
      </w:pPr>
      <w:r>
        <w:rPr>
          <w:color w:val="000000"/>
          <w:sz w:val="24"/>
        </w:rPr>
        <w:t>（一）甲方在验收中，如果发现货物的品种、型号、数量、规格、质量或有关</w:t>
      </w:r>
      <w:r>
        <w:rPr>
          <w:color w:val="000000"/>
          <w:sz w:val="24"/>
        </w:rPr>
        <w:t>服务、</w:t>
      </w:r>
      <w:r>
        <w:rPr>
          <w:color w:val="000000"/>
          <w:sz w:val="24"/>
        </w:rPr>
        <w:t>软件及有关工程不合规定的，应妥为保管，并在三十日内向乙方提出书面异议。甲方怠于通知或者自货物收到之日起三个月内未通知乙方的，视为货物合乎规定。</w:t>
      </w:r>
    </w:p>
    <w:p>
      <w:pPr>
        <w:ind w:firstLine="448"/>
      </w:pPr>
      <w:r>
        <w:rPr>
          <w:color w:val="000000"/>
          <w:sz w:val="24"/>
        </w:rPr>
        <w:t>（二）乙方在接到甲方书面异议后，应在十天内处理，否则，视为乙方承认该货物存在甲方所指出的瑕疵并同意甲方提出的处理意见。</w:t>
      </w:r>
    </w:p>
    <w:p>
      <w:pPr>
        <w:ind w:firstLine="482"/>
      </w:pPr>
      <w:r>
        <w:rPr>
          <w:b/>
          <w:color w:val="000000"/>
          <w:sz w:val="24"/>
        </w:rPr>
        <w:t>第七条</w:t>
      </w:r>
      <w:r>
        <w:rPr>
          <w:b/>
          <w:color w:val="000000"/>
          <w:sz w:val="24"/>
        </w:rPr>
        <w:t xml:space="preserve"> </w:t>
      </w:r>
      <w:r>
        <w:rPr>
          <w:b/>
          <w:color w:val="000000"/>
          <w:sz w:val="24"/>
        </w:rPr>
        <w:t>乙方的违约责任</w:t>
      </w:r>
    </w:p>
    <w:p>
      <w:pPr>
        <w:ind w:firstLine="446"/>
      </w:pPr>
      <w:r>
        <w:rPr>
          <w:color w:val="000000"/>
          <w:sz w:val="24"/>
        </w:rPr>
        <w:t>（一）乙方不能交货的，甲方不向乙方付款。甲方有权解除本合同，乙方应向甲方偿付合同总价的百分之</w:t>
      </w:r>
      <w:r>
        <w:rPr>
          <w:color w:val="000000"/>
          <w:sz w:val="24"/>
        </w:rPr>
        <w:t>15作为违约金，违约金不足以弥补甲方损失的，乙方应赔偿甲方实际损失。</w:t>
      </w:r>
    </w:p>
    <w:p>
      <w:pPr>
        <w:ind w:firstLine="446"/>
      </w:pPr>
      <w:r>
        <w:rPr>
          <w:color w:val="000000"/>
          <w:sz w:val="24"/>
        </w:rPr>
        <w:t>（二）乙方所交设备种类、数量、规格、质量和技术性能等不符合合同规定的，由乙方负责包换或包修，并承担修理、调换或退货而支付的实际费用，并向甲方偿付合同总价的百分之</w:t>
      </w:r>
      <w:r>
        <w:rPr>
          <w:color w:val="000000"/>
          <w:sz w:val="24"/>
        </w:rPr>
        <w:t>10作为违约金。如乙方换货或修理后，设备仍不能达到合同约定</w:t>
      </w:r>
      <w:r>
        <w:rPr>
          <w:color w:val="000000"/>
          <w:sz w:val="24"/>
        </w:rPr>
        <w:t>或乙方不按上述规定整改</w:t>
      </w:r>
      <w:r>
        <w:rPr>
          <w:color w:val="000000"/>
          <w:sz w:val="24"/>
        </w:rPr>
        <w:t>的，甲方有权解除本合同，甲方解除本合同的，乙方应当退还甲方已经支付的款项，乙方还应向甲方支付合同总价的百分之</w:t>
      </w:r>
      <w:r>
        <w:rPr>
          <w:color w:val="000000"/>
          <w:sz w:val="24"/>
        </w:rPr>
        <w:t>20作为违约金，违约金不足以弥补甲方损失的，乙方应赔偿甲方实际损失。</w:t>
      </w:r>
    </w:p>
    <w:p>
      <w:pPr>
        <w:ind w:firstLine="446"/>
      </w:pPr>
      <w:r>
        <w:rPr>
          <w:color w:val="000000"/>
          <w:sz w:val="24"/>
        </w:rPr>
        <w:t>（三）乙方逾期交货的，每日应向甲方偿付合同总额的百分之</w:t>
      </w:r>
      <w:r>
        <w:rPr>
          <w:color w:val="000000"/>
          <w:sz w:val="24"/>
        </w:rPr>
        <w:t>0.1作为违约金，逾期达到30天及以上的，视为不能交货。</w:t>
      </w:r>
    </w:p>
    <w:p>
      <w:pPr>
        <w:ind w:firstLine="446"/>
      </w:pPr>
      <w:r>
        <w:rPr>
          <w:color w:val="000000"/>
          <w:sz w:val="24"/>
        </w:rPr>
        <w:t>（四）除本合同另有约定外，乙方每次违反本合同约定的，须按照合同总价的</w:t>
      </w:r>
      <w:r>
        <w:rPr>
          <w:color w:val="000000"/>
          <w:sz w:val="24"/>
        </w:rPr>
        <w:t>3%向甲方支付违约金，违约金不足以弥补甲方损失的，乙方应赔偿甲方实际损失。</w:t>
      </w:r>
    </w:p>
    <w:p>
      <w:pPr>
        <w:ind w:firstLine="482"/>
      </w:pPr>
      <w:r>
        <w:rPr>
          <w:b/>
          <w:color w:val="000000"/>
          <w:sz w:val="24"/>
        </w:rPr>
        <w:t>第八条</w:t>
      </w:r>
      <w:r>
        <w:rPr>
          <w:b/>
          <w:color w:val="000000"/>
          <w:sz w:val="24"/>
        </w:rPr>
        <w:t xml:space="preserve"> </w:t>
      </w:r>
      <w:r>
        <w:rPr>
          <w:b/>
          <w:color w:val="000000"/>
          <w:sz w:val="24"/>
        </w:rPr>
        <w:t>甲方的违约责任</w:t>
      </w:r>
    </w:p>
    <w:p>
      <w:r>
        <w:rPr>
          <w:color w:val="000000"/>
          <w:sz w:val="24"/>
        </w:rPr>
        <w:t xml:space="preserve">    </w:t>
      </w:r>
      <w:r>
        <w:rPr>
          <w:color w:val="000000"/>
          <w:sz w:val="24"/>
        </w:rPr>
        <w:t>（一）甲</w:t>
      </w:r>
      <w:r>
        <w:rPr>
          <w:color w:val="000000"/>
          <w:sz w:val="24"/>
        </w:rPr>
        <w:t>方逾期付款的，每日应向乙方偿付逾期总额的百分之</w:t>
      </w:r>
      <w:r>
        <w:rPr>
          <w:color w:val="000000"/>
          <w:sz w:val="24"/>
        </w:rPr>
        <w:t>0.1作为违约金，违约金上限不超过合同总金额的10%。</w:t>
      </w:r>
    </w:p>
    <w:p>
      <w:pPr>
        <w:ind w:firstLine="446"/>
      </w:pPr>
      <w:r>
        <w:rPr>
          <w:color w:val="000000"/>
          <w:sz w:val="24"/>
        </w:rPr>
        <w:t>（二）甲方违反合同规定拒绝接受货物的，应当承担由此而对乙方造成的损失，违约金上限不超过合同总金额的</w:t>
      </w:r>
      <w:r>
        <w:rPr>
          <w:color w:val="000000"/>
          <w:sz w:val="24"/>
        </w:rPr>
        <w:t>10%。</w:t>
      </w:r>
    </w:p>
    <w:p>
      <w:pPr>
        <w:ind w:firstLine="482"/>
      </w:pPr>
      <w:r>
        <w:rPr>
          <w:b/>
          <w:color w:val="000000"/>
          <w:sz w:val="24"/>
        </w:rPr>
        <w:t>第九条</w:t>
      </w:r>
      <w:r>
        <w:rPr>
          <w:b/>
          <w:color w:val="000000"/>
          <w:sz w:val="24"/>
        </w:rPr>
        <w:t xml:space="preserve"> </w:t>
      </w:r>
      <w:r>
        <w:rPr>
          <w:b/>
          <w:color w:val="000000"/>
          <w:sz w:val="24"/>
        </w:rPr>
        <w:t>不可抗力</w:t>
      </w:r>
    </w:p>
    <w:p>
      <w:pPr>
        <w:ind w:firstLine="446"/>
      </w:pPr>
      <w:r>
        <w:rPr>
          <w:color w:val="000000"/>
          <w:sz w:val="24"/>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w:t>
      </w:r>
    </w:p>
    <w:p>
      <w:pPr>
        <w:ind w:firstLine="482"/>
      </w:pPr>
      <w:r>
        <w:rPr>
          <w:b/>
          <w:color w:val="000000"/>
          <w:sz w:val="24"/>
        </w:rPr>
        <w:t>第十条</w:t>
      </w:r>
      <w:r>
        <w:rPr>
          <w:b/>
          <w:color w:val="000000"/>
          <w:sz w:val="24"/>
        </w:rPr>
        <w:t xml:space="preserve"> </w:t>
      </w:r>
      <w:r>
        <w:rPr>
          <w:b/>
          <w:color w:val="000000"/>
          <w:sz w:val="24"/>
        </w:rPr>
        <w:t>争议的解决</w:t>
      </w:r>
    </w:p>
    <w:p>
      <w:pPr>
        <w:ind w:firstLine="446"/>
      </w:pPr>
      <w:r>
        <w:rPr>
          <w:color w:val="000000"/>
          <w:sz w:val="24"/>
        </w:rPr>
        <w:t>（一）如因货物的质量问题发生争议，由法定的质量技术鉴定机构进行质量鉴定，双方应当服从该鉴定的结论。</w:t>
      </w:r>
    </w:p>
    <w:p>
      <w:r>
        <w:rPr>
          <w:color w:val="000000"/>
          <w:sz w:val="24"/>
        </w:rPr>
        <w:t xml:space="preserve">          </w:t>
      </w:r>
      <w:r>
        <w:rPr>
          <w:color w:val="000000"/>
          <w:sz w:val="24"/>
        </w:rPr>
        <w:t>（二）若执行本合同的过程中发生纠纷，双方当事人应当及时协商解决；协商不成时，可向合同签订地人民法院提起诉讼。</w:t>
      </w:r>
    </w:p>
    <w:p>
      <w:pPr>
        <w:ind w:firstLine="482"/>
      </w:pPr>
      <w:r>
        <w:rPr>
          <w:b/>
          <w:color w:val="000000"/>
          <w:sz w:val="24"/>
        </w:rPr>
        <w:t>第十一条</w:t>
      </w:r>
      <w:r>
        <w:rPr>
          <w:b/>
          <w:color w:val="000000"/>
          <w:sz w:val="24"/>
        </w:rPr>
        <w:t xml:space="preserve"> </w:t>
      </w:r>
      <w:r>
        <w:rPr>
          <w:b/>
          <w:color w:val="000000"/>
          <w:sz w:val="24"/>
        </w:rPr>
        <w:t>监督和管理</w:t>
      </w:r>
    </w:p>
    <w:p>
      <w:pPr>
        <w:ind w:firstLine="446"/>
      </w:pPr>
      <w:r>
        <w:rPr>
          <w:color w:val="000000"/>
          <w:sz w:val="24"/>
        </w:rPr>
        <w:t>（一）甲乙双方经协商一致需变更合同实质性条款或订立补充合同的，应先取得甲方管理部门和监督部门的同意，并将相关资料备案。</w:t>
      </w:r>
    </w:p>
    <w:p>
      <w:pPr>
        <w:ind w:firstLine="480"/>
      </w:pPr>
      <w:r>
        <w:rPr>
          <w:color w:val="000000"/>
          <w:sz w:val="24"/>
        </w:rPr>
        <w:t>（二）甲乙双方均应自觉配合甲方管理部门和监督部门对合同履行情况的监督检查，如实反映情况，提供有关资料。否则，将对有关单位、当事人按照有关规定予以处罚。</w:t>
      </w:r>
    </w:p>
    <w:p>
      <w:pPr>
        <w:ind w:firstLine="482"/>
      </w:pPr>
      <w:r>
        <w:rPr>
          <w:b/>
          <w:color w:val="000000"/>
          <w:sz w:val="24"/>
        </w:rPr>
        <w:t>第十二条</w:t>
      </w:r>
      <w:r>
        <w:rPr>
          <w:b/>
          <w:color w:val="000000"/>
          <w:sz w:val="24"/>
        </w:rPr>
        <w:t xml:space="preserve"> </w:t>
      </w:r>
      <w:r>
        <w:rPr>
          <w:b/>
          <w:color w:val="000000"/>
          <w:sz w:val="24"/>
        </w:rPr>
        <w:t>无效合同</w:t>
      </w:r>
    </w:p>
    <w:p>
      <w:pPr>
        <w:ind w:firstLine="446"/>
      </w:pPr>
      <w:r>
        <w:rPr>
          <w:color w:val="000000"/>
          <w:sz w:val="24"/>
        </w:rPr>
        <w:t>甲乙双方如因违反法律和有关规定，合同被宣告无效的，有过错的一方应当承担赔偿责任，双方都有过错的，各自承担相应的责任。</w:t>
      </w:r>
    </w:p>
    <w:p>
      <w:pPr>
        <w:ind w:firstLine="482"/>
      </w:pPr>
      <w:r>
        <w:rPr>
          <w:b/>
          <w:color w:val="000000"/>
          <w:sz w:val="24"/>
        </w:rPr>
        <w:t>第十三条</w:t>
      </w:r>
      <w:r>
        <w:rPr>
          <w:b/>
          <w:color w:val="000000"/>
          <w:sz w:val="24"/>
        </w:rPr>
        <w:t xml:space="preserve"> </w:t>
      </w:r>
      <w:r>
        <w:rPr>
          <w:b/>
          <w:color w:val="000000"/>
          <w:sz w:val="24"/>
        </w:rPr>
        <w:t>投诉</w:t>
      </w:r>
    </w:p>
    <w:p>
      <w:pPr>
        <w:ind w:firstLine="446"/>
      </w:pPr>
      <w:r>
        <w:rPr>
          <w:color w:val="000000"/>
          <w:sz w:val="24"/>
        </w:rPr>
        <w:t>甲方如对乙方所提供的货物质量及服务提出投诉，经核查如属有效投诉并超过三次，甲方管理部门和监督部门有权取消乙方的中标资格，并按有关规定接受处理。</w:t>
      </w:r>
    </w:p>
    <w:p>
      <w:pPr>
        <w:ind w:firstLine="482"/>
      </w:pPr>
      <w:r>
        <w:rPr>
          <w:b/>
          <w:color w:val="000000"/>
          <w:sz w:val="24"/>
        </w:rPr>
        <w:t>第十四条</w:t>
      </w:r>
      <w:r>
        <w:rPr>
          <w:b/>
          <w:color w:val="000000"/>
          <w:sz w:val="24"/>
        </w:rPr>
        <w:t xml:space="preserve"> </w:t>
      </w:r>
      <w:r>
        <w:rPr>
          <w:b/>
          <w:color w:val="000000"/>
          <w:sz w:val="24"/>
        </w:rPr>
        <w:t>附则</w:t>
      </w:r>
    </w:p>
    <w:p>
      <w:pPr>
        <w:ind w:firstLine="446"/>
      </w:pPr>
      <w:r>
        <w:rPr>
          <w:color w:val="000000"/>
          <w:sz w:val="24"/>
        </w:rPr>
        <w:t>（一）</w:t>
      </w:r>
      <w:r>
        <w:rPr>
          <w:color w:val="000000"/>
          <w:sz w:val="24"/>
        </w:rPr>
        <w:t>本合同一式四份，甲方执两份，乙方执一份，一份</w:t>
      </w:r>
      <w:r>
        <w:rPr>
          <w:color w:val="000000"/>
          <w:sz w:val="21"/>
          <w:u w:val="single"/>
        </w:rPr>
        <w:t xml:space="preserve">     </w:t>
      </w:r>
      <w:r>
        <w:rPr>
          <w:color w:val="000000"/>
          <w:sz w:val="24"/>
        </w:rPr>
        <w:t>招标公司存档，</w:t>
      </w:r>
      <w:r>
        <w:rPr>
          <w:color w:val="000000"/>
          <w:sz w:val="24"/>
        </w:rPr>
        <w:t>具有同等法律效力。合同附件为本合同的组成部分，与本合同正文具有同等法律效力。</w:t>
      </w:r>
    </w:p>
    <w:p>
      <w:pPr>
        <w:ind w:firstLine="446"/>
      </w:pPr>
      <w:r>
        <w:rPr>
          <w:color w:val="000000"/>
          <w:sz w:val="24"/>
        </w:rPr>
        <w:t>（二）本合同自甲乙双方签字盖章后生效。</w:t>
      </w:r>
    </w:p>
    <w:p>
      <w:pPr>
        <w:ind w:firstLine="120"/>
      </w:pPr>
    </w:p>
    <w:p>
      <w:r>
        <w:rPr>
          <w:color w:val="000000"/>
          <w:sz w:val="24"/>
        </w:rPr>
        <w:t>购货单位（甲方）：</w:t>
      </w:r>
      <w:r>
        <w:rPr>
          <w:color w:val="000000"/>
          <w:sz w:val="24"/>
        </w:rPr>
        <w:t xml:space="preserve">            </w:t>
      </w:r>
      <w:r>
        <w:rPr>
          <w:color w:val="000000"/>
          <w:sz w:val="24"/>
        </w:rPr>
        <w:t>供货单位（乙方）：</w:t>
      </w:r>
    </w:p>
    <w:p>
      <w:r>
        <w:rPr>
          <w:color w:val="000000"/>
          <w:sz w:val="24"/>
        </w:rPr>
        <w:t>江门市中心医院</w:t>
      </w:r>
      <w:r>
        <w:rPr>
          <w:color w:val="000000"/>
          <w:sz w:val="24"/>
        </w:rPr>
        <w:t xml:space="preserve">                </w:t>
      </w:r>
      <w:r>
        <w:rPr>
          <w:color w:val="000000"/>
          <w:sz w:val="21"/>
          <w:u w:val="single"/>
        </w:rPr>
        <w:t xml:space="preserve">                                                          </w:t>
      </w:r>
    </w:p>
    <w:p>
      <w:r>
        <w:rPr>
          <w:color w:val="000000"/>
          <w:sz w:val="24"/>
        </w:rPr>
        <w:t>法定代表人：</w:t>
      </w:r>
      <w:r>
        <w:rPr>
          <w:color w:val="000000"/>
          <w:sz w:val="24"/>
        </w:rPr>
        <w:t xml:space="preserve">                  </w:t>
      </w:r>
      <w:r>
        <w:rPr>
          <w:color w:val="000000"/>
          <w:sz w:val="24"/>
        </w:rPr>
        <w:t>法定代表人：</w:t>
      </w:r>
    </w:p>
    <w:p>
      <w:r>
        <w:rPr>
          <w:color w:val="000000"/>
          <w:sz w:val="24"/>
        </w:rPr>
        <w:t>委托代理人：</w:t>
      </w:r>
      <w:r>
        <w:rPr>
          <w:color w:val="000000"/>
          <w:sz w:val="24"/>
        </w:rPr>
        <w:t xml:space="preserve">                  </w:t>
      </w:r>
      <w:r>
        <w:rPr>
          <w:color w:val="000000"/>
          <w:sz w:val="24"/>
        </w:rPr>
        <w:t>委托代理人：</w:t>
      </w:r>
    </w:p>
    <w:p>
      <w:r>
        <w:rPr>
          <w:color w:val="000000"/>
          <w:sz w:val="24"/>
        </w:rPr>
        <w:t>地址：</w:t>
      </w:r>
      <w:r>
        <w:rPr>
          <w:color w:val="000000"/>
          <w:sz w:val="24"/>
        </w:rPr>
        <w:t xml:space="preserve">                        </w:t>
      </w:r>
      <w:r>
        <w:rPr>
          <w:color w:val="000000"/>
          <w:sz w:val="24"/>
        </w:rPr>
        <w:t>地址：</w:t>
      </w:r>
    </w:p>
    <w:p>
      <w:r>
        <w:rPr>
          <w:color w:val="000000"/>
          <w:sz w:val="24"/>
        </w:rPr>
        <w:t>开户银行：</w:t>
      </w:r>
      <w:r>
        <w:rPr>
          <w:color w:val="000000"/>
          <w:sz w:val="24"/>
        </w:rPr>
        <w:t xml:space="preserve">                    </w:t>
      </w:r>
      <w:r>
        <w:rPr>
          <w:color w:val="000000"/>
          <w:sz w:val="24"/>
        </w:rPr>
        <w:t>开户银行：</w:t>
      </w:r>
    </w:p>
    <w:p>
      <w:r>
        <w:rPr>
          <w:color w:val="000000"/>
          <w:sz w:val="24"/>
        </w:rPr>
        <w:t>账号：</w:t>
      </w:r>
      <w:r>
        <w:rPr>
          <w:color w:val="000000"/>
          <w:sz w:val="24"/>
        </w:rPr>
        <w:t xml:space="preserve">                        </w:t>
      </w:r>
      <w:r>
        <w:rPr>
          <w:color w:val="000000"/>
          <w:sz w:val="24"/>
        </w:rPr>
        <w:t>账号：</w:t>
      </w:r>
    </w:p>
    <w:p>
      <w:r>
        <w:rPr>
          <w:color w:val="000000"/>
          <w:sz w:val="24"/>
        </w:rPr>
        <w:t>电话：</w:t>
      </w:r>
      <w:r>
        <w:rPr>
          <w:color w:val="000000"/>
          <w:sz w:val="24"/>
        </w:rPr>
        <w:t xml:space="preserve">                        </w:t>
      </w:r>
      <w:r>
        <w:rPr>
          <w:color w:val="000000"/>
          <w:sz w:val="24"/>
        </w:rPr>
        <w:t>电话：</w:t>
      </w:r>
    </w:p>
    <w:p>
      <w:r>
        <w:rPr>
          <w:color w:val="000000"/>
          <w:sz w:val="24"/>
        </w:rPr>
        <w:t>签约时间：</w:t>
      </w:r>
      <w:r>
        <w:rPr>
          <w:color w:val="000000"/>
          <w:sz w:val="24"/>
        </w:rPr>
        <w:t xml:space="preserve">   </w:t>
      </w:r>
      <w:r>
        <w:rPr>
          <w:color w:val="000000"/>
          <w:sz w:val="24"/>
        </w:rPr>
        <w:t>年</w:t>
      </w:r>
      <w:r>
        <w:rPr>
          <w:color w:val="000000"/>
          <w:sz w:val="24"/>
        </w:rPr>
        <w:t xml:space="preserve">  </w:t>
      </w:r>
      <w:r>
        <w:rPr>
          <w:color w:val="000000"/>
          <w:sz w:val="24"/>
        </w:rPr>
        <w:t>月</w:t>
      </w:r>
      <w:r>
        <w:rPr>
          <w:color w:val="000000"/>
          <w:sz w:val="24"/>
        </w:rPr>
        <w:t xml:space="preserve">  </w:t>
      </w:r>
      <w:r>
        <w:rPr>
          <w:color w:val="000000"/>
          <w:sz w:val="24"/>
        </w:rPr>
        <w:t>日</w:t>
      </w:r>
    </w:p>
    <w:p>
      <w:r>
        <w:rPr>
          <w:color w:val="000000"/>
          <w:sz w:val="24"/>
        </w:rPr>
        <w:t>签约地点：江门市中心医院</w:t>
      </w:r>
    </w:p>
    <w:p/>
    <w:p>
      <w:r>
        <w:rPr>
          <w:color w:val="000000"/>
          <w:sz w:val="24"/>
        </w:rPr>
        <w:t>以下为配置清单：</w:t>
      </w:r>
    </w:p>
    <w:p>
      <w:pPr>
        <w:jc w:val="center"/>
      </w:pPr>
      <w:r>
        <w:rPr>
          <w:color w:val="000000"/>
          <w:sz w:val="24"/>
        </w:rPr>
        <w:t>项目名称：</w:t>
      </w:r>
      <w:r>
        <w:rPr>
          <w:color w:val="000000"/>
          <w:sz w:val="21"/>
          <w:u w:val="single"/>
        </w:rPr>
        <w:t xml:space="preserve">                 </w:t>
      </w:r>
      <w:r>
        <w:rPr>
          <w:color w:val="000000"/>
          <w:sz w:val="24"/>
        </w:rPr>
        <w:t>。</w:t>
      </w:r>
    </w:p>
    <w:p/>
    <w:p/>
    <w:p>
      <w:r>
        <w:rPr>
          <w:color w:val="000000"/>
          <w:sz w:val="24"/>
        </w:rPr>
        <w:t>耗材清单：</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464"/>
        <w:gridCol w:w="949"/>
        <w:gridCol w:w="881"/>
        <w:gridCol w:w="861"/>
        <w:gridCol w:w="854"/>
        <w:gridCol w:w="949"/>
        <w:gridCol w:w="653"/>
        <w:gridCol w:w="897"/>
        <w:gridCol w:w="897"/>
        <w:gridCol w:w="897"/>
      </w:tblGrid>
      <w:tr>
        <w:tc>
          <w:tcPr>
            <w:tcW w:type="dxa" w:w="464"/>
            <w:tcBorders>
              <w:top w:val="single" w:color="000000" w:sz="4"/>
              <w:left w:val="single" w:color="000000" w:sz="4"/>
              <w:bottom w:val="single" w:color="000000" w:sz="4"/>
              <w:right w:val="single" w:color="000000" w:sz="4"/>
            </w:tcBorders>
            <w:vAlign w:val="top"/>
          </w:tcPr>
          <w:p>
            <w:pPr>
              <w:jc w:val="center"/>
            </w:pPr>
            <w:r>
              <w:rPr>
                <w:b/>
                <w:color w:val="000000"/>
                <w:sz w:val="24"/>
              </w:rPr>
              <w:t>序号</w:t>
            </w:r>
          </w:p>
        </w:tc>
        <w:tc>
          <w:tcPr>
            <w:tcW w:type="dxa" w:w="949"/>
            <w:tcBorders>
              <w:top w:val="single" w:color="000000" w:sz="4"/>
              <w:left w:val="single" w:color="000000" w:sz="4"/>
              <w:bottom w:val="single" w:color="000000" w:sz="4"/>
              <w:right w:val="single" w:color="000000" w:sz="4"/>
            </w:tcBorders>
            <w:vAlign w:val="top"/>
          </w:tcPr>
          <w:p>
            <w:pPr>
              <w:jc w:val="center"/>
            </w:pPr>
            <w:r>
              <w:rPr>
                <w:b/>
                <w:color w:val="000000"/>
                <w:sz w:val="24"/>
              </w:rPr>
              <w:t>产品名称</w:t>
            </w:r>
          </w:p>
        </w:tc>
        <w:tc>
          <w:tcPr>
            <w:tcW w:type="dxa" w:w="881"/>
            <w:tcBorders>
              <w:top w:val="single" w:color="000000" w:sz="4"/>
              <w:left w:val="single" w:color="000000" w:sz="4"/>
              <w:bottom w:val="single" w:color="000000" w:sz="4"/>
              <w:right w:val="single" w:color="000000" w:sz="4"/>
            </w:tcBorders>
            <w:vAlign w:val="top"/>
          </w:tcPr>
          <w:p>
            <w:pPr>
              <w:ind w:firstLine="241"/>
            </w:pPr>
            <w:r>
              <w:rPr>
                <w:b/>
                <w:color w:val="000000"/>
                <w:sz w:val="24"/>
              </w:rPr>
              <w:t>产品型号</w:t>
            </w:r>
          </w:p>
        </w:tc>
        <w:tc>
          <w:tcPr>
            <w:tcW w:type="dxa" w:w="861"/>
            <w:tcBorders>
              <w:top w:val="single" w:color="000000" w:sz="4"/>
              <w:left w:val="single" w:color="000000" w:sz="4"/>
              <w:bottom w:val="single" w:color="000000" w:sz="4"/>
              <w:right w:val="single" w:color="000000" w:sz="4"/>
            </w:tcBorders>
            <w:vAlign w:val="top"/>
          </w:tcPr>
          <w:p>
            <w:pPr>
              <w:ind w:firstLine="241"/>
            </w:pPr>
            <w:r>
              <w:rPr>
                <w:b/>
                <w:color w:val="000000"/>
                <w:sz w:val="24"/>
              </w:rPr>
              <w:t>产品规格</w:t>
            </w:r>
          </w:p>
        </w:tc>
        <w:tc>
          <w:tcPr>
            <w:tcW w:type="dxa" w:w="854"/>
            <w:tcBorders>
              <w:top w:val="single" w:color="000000" w:sz="4"/>
              <w:left w:val="single" w:color="000000" w:sz="4"/>
              <w:bottom w:val="single" w:color="000000" w:sz="4"/>
              <w:right w:val="single" w:color="000000" w:sz="4"/>
            </w:tcBorders>
            <w:vAlign w:val="top"/>
          </w:tcPr>
          <w:p>
            <w:pPr>
              <w:jc w:val="center"/>
            </w:pPr>
            <w:r>
              <w:rPr>
                <w:b/>
                <w:color w:val="000000"/>
                <w:sz w:val="24"/>
              </w:rPr>
              <w:t>注册证号</w:t>
            </w:r>
          </w:p>
        </w:tc>
        <w:tc>
          <w:tcPr>
            <w:tcW w:type="dxa" w:w="949"/>
            <w:tcBorders>
              <w:top w:val="single" w:color="000000" w:sz="4"/>
              <w:left w:val="single" w:color="000000" w:sz="4"/>
              <w:bottom w:val="single" w:color="000000" w:sz="4"/>
              <w:right w:val="single" w:color="000000" w:sz="4"/>
            </w:tcBorders>
            <w:vAlign w:val="top"/>
          </w:tcPr>
          <w:p>
            <w:pPr>
              <w:jc w:val="center"/>
            </w:pPr>
            <w:r>
              <w:rPr>
                <w:b/>
                <w:color w:val="000000"/>
                <w:sz w:val="24"/>
              </w:rPr>
              <w:t>生产厂家</w:t>
            </w:r>
          </w:p>
        </w:tc>
        <w:tc>
          <w:tcPr>
            <w:tcW w:type="dxa" w:w="653"/>
            <w:tcBorders>
              <w:top w:val="single" w:color="000000" w:sz="4"/>
              <w:left w:val="single" w:color="000000" w:sz="4"/>
              <w:bottom w:val="single" w:color="000000" w:sz="4"/>
              <w:right w:val="single" w:color="000000" w:sz="4"/>
            </w:tcBorders>
            <w:vAlign w:val="top"/>
          </w:tcPr>
          <w:p>
            <w:pPr>
              <w:jc w:val="center"/>
            </w:pPr>
            <w:r>
              <w:rPr>
                <w:b/>
                <w:color w:val="000000"/>
                <w:sz w:val="24"/>
              </w:rPr>
              <w:t>单位</w:t>
            </w:r>
          </w:p>
        </w:tc>
        <w:tc>
          <w:tcPr>
            <w:tcW w:type="dxa" w:w="897"/>
            <w:tcBorders>
              <w:top w:val="single" w:color="000000" w:sz="4"/>
              <w:left w:val="single" w:color="000000" w:sz="4"/>
              <w:bottom w:val="single" w:color="000000" w:sz="4"/>
              <w:right w:val="single" w:color="000000" w:sz="4"/>
            </w:tcBorders>
            <w:vAlign w:val="top"/>
          </w:tcPr>
          <w:p>
            <w:pPr>
              <w:jc w:val="center"/>
            </w:pPr>
          </w:p>
          <w:p>
            <w:pPr>
              <w:jc w:val="center"/>
            </w:pPr>
            <w:r>
              <w:rPr>
                <w:b/>
                <w:color w:val="000000"/>
                <w:sz w:val="24"/>
              </w:rPr>
              <w:t>单价</w:t>
            </w:r>
          </w:p>
          <w:p>
            <w:pPr>
              <w:jc w:val="center"/>
            </w:pPr>
            <w:r>
              <w:rPr>
                <w:b/>
                <w:color w:val="000000"/>
                <w:sz w:val="24"/>
              </w:rPr>
              <w:t>(人民币）</w:t>
            </w:r>
          </w:p>
        </w:tc>
        <w:tc>
          <w:tcPr>
            <w:tcW w:type="dxa" w:w="897"/>
            <w:tcBorders>
              <w:top w:val="single" w:color="000000" w:sz="4"/>
              <w:left w:val="single" w:color="000000" w:sz="4"/>
              <w:bottom w:val="single" w:color="000000" w:sz="4"/>
              <w:right w:val="single" w:color="000000" w:sz="4"/>
            </w:tcBorders>
            <w:vAlign w:val="top"/>
          </w:tcPr>
          <w:p>
            <w:pPr>
              <w:jc w:val="center"/>
            </w:pPr>
            <w:r>
              <w:rPr>
                <w:b/>
                <w:color w:val="000000"/>
                <w:sz w:val="24"/>
              </w:rPr>
              <w:t>药交</w:t>
            </w:r>
            <w:r>
              <w:rPr>
                <w:b/>
                <w:color w:val="000000"/>
                <w:sz w:val="24"/>
              </w:rPr>
              <w:t>id</w:t>
            </w:r>
          </w:p>
        </w:tc>
        <w:tc>
          <w:tcPr>
            <w:tcW w:type="dxa" w:w="897"/>
            <w:tcBorders>
              <w:top w:val="single" w:color="000000" w:sz="4"/>
              <w:left w:val="single" w:color="000000" w:sz="4"/>
              <w:bottom w:val="single" w:color="000000" w:sz="4"/>
              <w:right w:val="single" w:color="000000" w:sz="4"/>
            </w:tcBorders>
            <w:vAlign w:val="top"/>
          </w:tcPr>
          <w:p>
            <w:pPr>
              <w:jc w:val="center"/>
            </w:pPr>
            <w:r>
              <w:rPr>
                <w:b/>
                <w:color w:val="000000"/>
                <w:sz w:val="24"/>
              </w:rPr>
              <w:t>备注</w:t>
            </w:r>
          </w:p>
        </w:tc>
      </w:tr>
      <w:tr>
        <w:tc>
          <w:tcPr>
            <w:tcW w:type="dxa" w:w="464"/>
            <w:tcBorders>
              <w:top w:val="none" w:color="000000" w:sz="4"/>
              <w:left w:val="single" w:color="000000" w:sz="4"/>
              <w:bottom w:val="single" w:color="000000" w:sz="4"/>
              <w:right w:val="single" w:color="000000" w:sz="4"/>
            </w:tcBorders>
            <w:vAlign w:val="top"/>
          </w:tcPr>
          <w:p/>
        </w:tc>
        <w:tc>
          <w:tcPr>
            <w:tcW w:type="dxa" w:w="949"/>
            <w:tcBorders>
              <w:top w:val="none" w:color="000000" w:sz="4"/>
              <w:left w:val="single" w:color="000000" w:sz="4"/>
              <w:bottom w:val="single" w:color="000000" w:sz="4"/>
              <w:right w:val="single" w:color="000000" w:sz="4"/>
            </w:tcBorders>
            <w:vAlign w:val="top"/>
          </w:tcPr>
          <w:p/>
        </w:tc>
        <w:tc>
          <w:tcPr>
            <w:tcW w:type="dxa" w:w="881"/>
            <w:tcBorders>
              <w:top w:val="none" w:color="000000" w:sz="4"/>
              <w:left w:val="single" w:color="000000" w:sz="4"/>
              <w:bottom w:val="single" w:color="000000" w:sz="4"/>
              <w:right w:val="single" w:color="000000" w:sz="4"/>
            </w:tcBorders>
            <w:vAlign w:val="top"/>
          </w:tcPr>
          <w:p/>
        </w:tc>
        <w:tc>
          <w:tcPr>
            <w:tcW w:type="dxa" w:w="861"/>
            <w:tcBorders>
              <w:top w:val="none" w:color="000000" w:sz="4"/>
              <w:left w:val="single" w:color="000000" w:sz="4"/>
              <w:bottom w:val="single" w:color="000000" w:sz="4"/>
              <w:right w:val="single" w:color="000000" w:sz="4"/>
            </w:tcBorders>
            <w:vAlign w:val="top"/>
          </w:tcPr>
          <w:p/>
        </w:tc>
        <w:tc>
          <w:tcPr>
            <w:tcW w:type="dxa" w:w="854"/>
            <w:tcBorders>
              <w:top w:val="none" w:color="000000" w:sz="4"/>
              <w:left w:val="single" w:color="000000" w:sz="4"/>
              <w:bottom w:val="single" w:color="000000" w:sz="4"/>
              <w:right w:val="single" w:color="000000" w:sz="4"/>
            </w:tcBorders>
            <w:vAlign w:val="top"/>
          </w:tcPr>
          <w:p>
            <w:pPr>
              <w:jc w:val="center"/>
            </w:pPr>
          </w:p>
        </w:tc>
        <w:tc>
          <w:tcPr>
            <w:tcW w:type="dxa" w:w="949"/>
            <w:tcBorders>
              <w:top w:val="none" w:color="000000" w:sz="4"/>
              <w:left w:val="single" w:color="000000" w:sz="4"/>
              <w:bottom w:val="single" w:color="000000" w:sz="4"/>
              <w:right w:val="single" w:color="000000" w:sz="4"/>
            </w:tcBorders>
            <w:vAlign w:val="top"/>
          </w:tcPr>
          <w:p>
            <w:pPr>
              <w:jc w:val="center"/>
            </w:pPr>
          </w:p>
        </w:tc>
        <w:tc>
          <w:tcPr>
            <w:tcW w:type="dxa" w:w="653"/>
            <w:tcBorders>
              <w:top w:val="none" w:color="000000" w:sz="4"/>
              <w:left w:val="single" w:color="000000" w:sz="4"/>
              <w:bottom w:val="single" w:color="000000" w:sz="4"/>
              <w:right w:val="single" w:color="000000" w:sz="4"/>
            </w:tcBorders>
            <w:vAlign w:val="top"/>
          </w:tcPr>
          <w:p>
            <w:pPr>
              <w:jc w:val="center"/>
            </w:pPr>
          </w:p>
        </w:tc>
        <w:tc>
          <w:tcPr>
            <w:tcW w:type="dxa" w:w="897"/>
            <w:tcBorders>
              <w:top w:val="none" w:color="000000" w:sz="4"/>
              <w:left w:val="single" w:color="000000" w:sz="4"/>
              <w:bottom w:val="single" w:color="000000" w:sz="4"/>
              <w:right w:val="single" w:color="000000" w:sz="4"/>
            </w:tcBorders>
            <w:vAlign w:val="top"/>
          </w:tcPr>
          <w:p>
            <w:pPr>
              <w:jc w:val="center"/>
            </w:pPr>
          </w:p>
        </w:tc>
        <w:tc>
          <w:tcPr>
            <w:tcW w:type="dxa" w:w="897"/>
            <w:tcBorders>
              <w:top w:val="none" w:color="000000" w:sz="4"/>
              <w:left w:val="single" w:color="000000" w:sz="4"/>
              <w:bottom w:val="single" w:color="000000" w:sz="4"/>
              <w:right w:val="single" w:color="000000" w:sz="4"/>
            </w:tcBorders>
            <w:vAlign w:val="top"/>
          </w:tcPr>
          <w:p>
            <w:pPr>
              <w:jc w:val="center"/>
            </w:pPr>
          </w:p>
        </w:tc>
        <w:tc>
          <w:tcPr>
            <w:tcW w:type="dxa" w:w="897"/>
            <w:tcBorders>
              <w:top w:val="none" w:color="000000" w:sz="4"/>
              <w:left w:val="single" w:color="000000" w:sz="4"/>
              <w:bottom w:val="single" w:color="000000" w:sz="4"/>
              <w:right w:val="single" w:color="000000" w:sz="4"/>
            </w:tcBorders>
            <w:vAlign w:val="top"/>
          </w:tcPr>
          <w:p>
            <w:pPr>
              <w:jc w:val="center"/>
            </w:pPr>
          </w:p>
        </w:tc>
      </w:tr>
      <w:tr>
        <w:tc>
          <w:tcPr>
            <w:tcW w:type="dxa" w:w="464"/>
            <w:tcBorders>
              <w:top w:val="none" w:color="000000" w:sz="4"/>
              <w:left w:val="single" w:color="000000" w:sz="4"/>
              <w:bottom w:val="single" w:color="000000" w:sz="4"/>
              <w:right w:val="single" w:color="000000" w:sz="4"/>
            </w:tcBorders>
            <w:vAlign w:val="top"/>
          </w:tcPr>
          <w:p/>
        </w:tc>
        <w:tc>
          <w:tcPr>
            <w:tcW w:type="dxa" w:w="949"/>
            <w:tcBorders>
              <w:top w:val="none" w:color="000000" w:sz="4"/>
              <w:left w:val="single" w:color="000000" w:sz="4"/>
              <w:bottom w:val="single" w:color="000000" w:sz="4"/>
              <w:right w:val="single" w:color="000000" w:sz="4"/>
            </w:tcBorders>
            <w:vAlign w:val="top"/>
          </w:tcPr>
          <w:p/>
        </w:tc>
        <w:tc>
          <w:tcPr>
            <w:tcW w:type="dxa" w:w="881"/>
            <w:tcBorders>
              <w:top w:val="none" w:color="000000" w:sz="4"/>
              <w:left w:val="single" w:color="000000" w:sz="4"/>
              <w:bottom w:val="single" w:color="000000" w:sz="4"/>
              <w:right w:val="single" w:color="000000" w:sz="4"/>
            </w:tcBorders>
            <w:vAlign w:val="top"/>
          </w:tcPr>
          <w:p/>
        </w:tc>
        <w:tc>
          <w:tcPr>
            <w:tcW w:type="dxa" w:w="861"/>
            <w:tcBorders>
              <w:top w:val="none" w:color="000000" w:sz="4"/>
              <w:left w:val="single" w:color="000000" w:sz="4"/>
              <w:bottom w:val="single" w:color="000000" w:sz="4"/>
              <w:right w:val="single" w:color="000000" w:sz="4"/>
            </w:tcBorders>
            <w:vAlign w:val="top"/>
          </w:tcPr>
          <w:p/>
        </w:tc>
        <w:tc>
          <w:tcPr>
            <w:tcW w:type="dxa" w:w="854"/>
            <w:tcBorders>
              <w:top w:val="none" w:color="000000" w:sz="4"/>
              <w:left w:val="single" w:color="000000" w:sz="4"/>
              <w:bottom w:val="single" w:color="000000" w:sz="4"/>
              <w:right w:val="single" w:color="000000" w:sz="4"/>
            </w:tcBorders>
            <w:vAlign w:val="top"/>
          </w:tcPr>
          <w:p>
            <w:pPr>
              <w:jc w:val="center"/>
            </w:pPr>
          </w:p>
        </w:tc>
        <w:tc>
          <w:tcPr>
            <w:tcW w:type="dxa" w:w="949"/>
            <w:tcBorders>
              <w:top w:val="none" w:color="000000" w:sz="4"/>
              <w:left w:val="single" w:color="000000" w:sz="4"/>
              <w:bottom w:val="single" w:color="000000" w:sz="4"/>
              <w:right w:val="single" w:color="000000" w:sz="4"/>
            </w:tcBorders>
            <w:vAlign w:val="top"/>
          </w:tcPr>
          <w:p>
            <w:pPr>
              <w:jc w:val="center"/>
            </w:pPr>
          </w:p>
        </w:tc>
        <w:tc>
          <w:tcPr>
            <w:tcW w:type="dxa" w:w="653"/>
            <w:tcBorders>
              <w:top w:val="none" w:color="000000" w:sz="4"/>
              <w:left w:val="single" w:color="000000" w:sz="4"/>
              <w:bottom w:val="single" w:color="000000" w:sz="4"/>
              <w:right w:val="single" w:color="000000" w:sz="4"/>
            </w:tcBorders>
            <w:vAlign w:val="top"/>
          </w:tcPr>
          <w:p>
            <w:pPr>
              <w:jc w:val="center"/>
            </w:pPr>
          </w:p>
        </w:tc>
        <w:tc>
          <w:tcPr>
            <w:tcW w:type="dxa" w:w="897"/>
            <w:tcBorders>
              <w:top w:val="none" w:color="000000" w:sz="4"/>
              <w:left w:val="single" w:color="000000" w:sz="4"/>
              <w:bottom w:val="single" w:color="000000" w:sz="4"/>
              <w:right w:val="single" w:color="000000" w:sz="4"/>
            </w:tcBorders>
            <w:vAlign w:val="top"/>
          </w:tcPr>
          <w:p>
            <w:pPr>
              <w:jc w:val="center"/>
            </w:pPr>
          </w:p>
        </w:tc>
        <w:tc>
          <w:tcPr>
            <w:tcW w:type="dxa" w:w="897"/>
            <w:tcBorders>
              <w:top w:val="none" w:color="000000" w:sz="4"/>
              <w:left w:val="single" w:color="000000" w:sz="4"/>
              <w:bottom w:val="single" w:color="000000" w:sz="4"/>
              <w:right w:val="single" w:color="000000" w:sz="4"/>
            </w:tcBorders>
            <w:vAlign w:val="top"/>
          </w:tcPr>
          <w:p>
            <w:pPr>
              <w:jc w:val="center"/>
            </w:pPr>
          </w:p>
        </w:tc>
        <w:tc>
          <w:tcPr>
            <w:tcW w:type="dxa" w:w="897"/>
            <w:tcBorders>
              <w:top w:val="none" w:color="000000" w:sz="4"/>
              <w:left w:val="single" w:color="000000" w:sz="4"/>
              <w:bottom w:val="single" w:color="000000" w:sz="4"/>
              <w:right w:val="single" w:color="000000" w:sz="4"/>
            </w:tcBorders>
            <w:vAlign w:val="top"/>
          </w:tcPr>
          <w:p>
            <w:pPr>
              <w:jc w:val="center"/>
            </w:pPr>
          </w:p>
        </w:tc>
      </w:tr>
    </w:tbl>
    <w:p/>
    <w:p>
      <w:pPr>
        <w:jc w:val="center"/>
      </w:pPr>
    </w:p>
    <w:p/>
    <w:p/>
    <w:p>
      <w:r>
        <w:rPr/>
        <w:t xml:space="preserve"> </w:t>
      </w:r>
    </w:p>
    <w:p/>
    <w:p>
      <w:pPr>
        <w:jc w:val="center"/>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440701-2023-02434</w:t>
      </w:r>
    </w:p>
    <w:p>
      <w:pPr>
        <w:jc w:val="center"/>
      </w:pPr>
      <w:r>
        <w:rPr>
          <w:b/>
          <w:sz w:val="24"/>
        </w:rPr>
        <w:t>采购项目编号：</w:t>
      </w:r>
      <w:r>
        <w:rPr>
          <w:b/>
          <w:sz w:val="24"/>
        </w:rPr>
        <w:t>CLF0123JM00ZC60</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采联国际招标采购集团有限公司</w:t>
      </w:r>
    </w:p>
    <w:p>
      <w:pPr>
        <w:ind w:firstLine="480"/>
      </w:pPr>
      <w:r>
        <w:rPr/>
        <w:t>你方组织的</w:t>
      </w:r>
      <w:r>
        <w:rPr>
          <w:u w:val="single"/>
        </w:rPr>
        <w:t>“</w:t>
      </w:r>
      <w:r>
        <w:rPr>
          <w:u w:val="single"/>
        </w:rPr>
        <w:t>江门市中心医院内窥镜手术控制系统及附件采购项目</w:t>
      </w:r>
      <w:r>
        <w:rPr>
          <w:u w:val="single"/>
        </w:rPr>
        <w:t>”</w:t>
      </w:r>
      <w:r>
        <w:rPr/>
        <w:t>项目的招标[采购项目编号为：</w:t>
      </w:r>
      <w:r>
        <w:rPr>
          <w:u w:val="single"/>
        </w:rPr>
        <w:t>CLF0123JM00ZC60</w:t>
      </w:r>
      <w:r>
        <w:rPr/>
        <w:t>]，我方愿参与投标。</w:t>
      </w:r>
    </w:p>
    <w:p>
      <w:pPr>
        <w:ind w:firstLine="480"/>
      </w:pPr>
      <w:r>
        <w:rPr/>
        <w:t>我方确认收到贵方提供的</w:t>
      </w:r>
      <w:r>
        <w:rPr>
          <w:u w:val="single"/>
        </w:rPr>
        <w:t>“</w:t>
      </w:r>
      <w:r>
        <w:rPr>
          <w:u w:val="single"/>
        </w:rPr>
        <w:t>江门市中心医院内窥镜手术控制系统及附件采购项目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采联国际招标采购集团有限公司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江门市中心医院内窥镜手术控制系统及附件采购项目</w:t>
      </w:r>
      <w:r>
        <w:rPr/>
        <w:t>”项目采购[采购项目编号为</w:t>
      </w:r>
      <w:r>
        <w:rPr/>
        <w:t>CLF0123JM00ZC60</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江门市中心医院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采联国际招标采购集团有限公司</w:t>
      </w:r>
    </w:p>
    <w:p>
      <w:pPr>
        <w:ind w:firstLine="480"/>
      </w:pPr>
      <w:r>
        <w:rPr/>
        <w:t>如果我方在贵采购代理机构组织的</w:t>
      </w:r>
      <w:r>
        <w:rPr/>
        <w:t>江门市中心医院内窥镜手术控制系统及附件采购项目</w:t>
      </w:r>
      <w:r>
        <w:rPr/>
        <w:t>招标中获中标（采购项目编号：</w:t>
      </w:r>
      <w:r>
        <w:rPr/>
        <w:t>CLF0123JM00ZC60</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采联国际招标采购集团有限公司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采联国际招标采购集团有限公司</w:t>
      </w:r>
    </w:p>
    <w:p>
      <w:pPr>
        <w:ind w:firstLine="480"/>
      </w:pPr>
      <w:r>
        <w:rPr/>
        <w:t>我单位已登记并准备参与“</w:t>
      </w:r>
      <w:r>
        <w:rPr/>
        <w:t>江门市中心医院内窥镜手术控制系统及附件采购项目</w:t>
      </w:r>
      <w:r>
        <w:rPr/>
        <w:t>”项目（采购项目编号：</w:t>
      </w:r>
      <w:r>
        <w:rPr/>
        <w:t>CLF0123JM00ZC60</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