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440703-2023-00837</w:t>
      </w:r>
    </w:p>
    <w:p>
      <w:pPr>
        <w:jc w:val="center"/>
      </w:pPr>
      <w:r>
        <w:rPr>
          <w:b/>
          <w:sz w:val="24"/>
        </w:rPr>
        <w:t>采购项目编号：</w:t>
      </w:r>
      <w:r>
        <w:rPr>
          <w:b/>
          <w:sz w:val="24"/>
        </w:rPr>
        <w:t>HY-ZB-JM-2023-121</w:t>
      </w:r>
    </w:p>
    <w:p>
      <w:pPr>
        <w:jc w:val="center"/>
      </w:pPr>
      <w:r>
        <w:rPr>
          <w:b/>
          <w:sz w:val="24"/>
        </w:rPr>
        <w:t>项目名称：</w:t>
      </w:r>
      <w:r>
        <w:rPr>
          <w:b/>
          <w:sz w:val="24"/>
        </w:rPr>
        <w:t>江门市蓬江区居家养老助残服务“平安通”项目</w:t>
      </w:r>
    </w:p>
    <w:p>
      <w:pPr>
        <w:jc w:val="center"/>
      </w:pPr>
      <w:r>
        <w:rPr>
          <w:b/>
          <w:sz w:val="24"/>
        </w:rPr>
        <w:t>采购人：</w:t>
      </w:r>
      <w:r>
        <w:rPr>
          <w:b/>
          <w:sz w:val="24"/>
        </w:rPr>
        <w:t>江门市蓬江区民政局</w:t>
      </w:r>
    </w:p>
    <w:p>
      <w:pPr>
        <w:jc w:val="center"/>
      </w:pPr>
      <w:r>
        <w:rPr>
          <w:b/>
          <w:sz w:val="24"/>
        </w:rPr>
        <w:t>采购代理机构：</w:t>
      </w:r>
      <w:r>
        <w:rPr>
          <w:b/>
          <w:sz w:val="24"/>
        </w:rPr>
        <w:t>广东华禹工程咨询有限公司江门分公司</w:t>
      </w:r>
    </w:p>
    <w:p>
      <w:pPr>
        <w:ind w:firstLine="480"/>
      </w:pPr>
    </w:p>
    <w:p>
      <w:r>
        <w:rPr/>
        <w:t xml:space="preserve"> </w:t>
      </w:r>
    </w:p>
    <w:p/>
    <w:p>
      <w:pPr>
        <w:jc w:val="center"/>
      </w:pPr>
      <w:r>
        <w:rPr>
          <w:b/>
          <w:sz w:val="36"/>
        </w:rPr>
        <w:t>第一章 磋商邀请</w:t>
      </w:r>
    </w:p>
    <w:p>
      <w:pPr>
        <w:ind w:firstLine="480"/>
      </w:pPr>
      <w:r>
        <w:rPr/>
        <w:t>广东华禹工程咨询有限公司江门分公司</w:t>
      </w:r>
      <w:r>
        <w:rPr/>
        <w:t>受</w:t>
      </w:r>
      <w:r>
        <w:rPr/>
        <w:t>江门市蓬江区民政局</w:t>
      </w:r>
      <w:r>
        <w:rPr/>
        <w:t>的委托，采用</w:t>
      </w:r>
      <w:r>
        <w:rPr/>
        <w:t>竞争性磋商</w:t>
      </w:r>
      <w:r>
        <w:rPr/>
        <w:t>方式组织采购</w:t>
      </w:r>
      <w:r>
        <w:rPr/>
        <w:t>江门市蓬江区居家养老助残服务“平安通”项目</w:t>
      </w:r>
      <w:r>
        <w:rPr/>
        <w:t>。欢迎符合资格条件的供应商参加。</w:t>
      </w:r>
    </w:p>
    <w:p>
      <w:r>
        <w:rPr>
          <w:b/>
          <w:sz w:val="28"/>
        </w:rPr>
        <w:t>一.项目概述</w:t>
      </w:r>
    </w:p>
    <w:p>
      <w:r>
        <w:rPr>
          <w:b/>
          <w:sz w:val="24"/>
        </w:rPr>
        <w:t>1.名称与编号</w:t>
      </w:r>
    </w:p>
    <w:p>
      <w:pPr>
        <w:ind w:firstLine="480"/>
      </w:pPr>
      <w:r>
        <w:rPr/>
        <w:t>采购项目名称：</w:t>
      </w:r>
      <w:r>
        <w:rPr/>
        <w:t>江门市蓬江区居家养老助残服务“平安通”项目</w:t>
      </w:r>
    </w:p>
    <w:p>
      <w:pPr>
        <w:ind w:firstLine="480"/>
      </w:pPr>
      <w:r>
        <w:rPr/>
        <w:t>采购计划编号：</w:t>
      </w:r>
      <w:r>
        <w:rPr/>
        <w:t>440703-2023-00837</w:t>
      </w:r>
    </w:p>
    <w:p>
      <w:pPr>
        <w:ind w:firstLine="480"/>
      </w:pPr>
      <w:r>
        <w:rPr/>
        <w:t>采购项目编号：</w:t>
      </w:r>
      <w:r>
        <w:rPr/>
        <w:t>HY-ZB-JM-2023-121</w:t>
      </w:r>
    </w:p>
    <w:p>
      <w:pPr>
        <w:ind w:firstLine="480"/>
      </w:pPr>
      <w:r>
        <w:rPr/>
        <w:t>采购方式：</w:t>
      </w:r>
      <w:r>
        <w:rPr/>
        <w:t>竞争性磋商</w:t>
      </w:r>
    </w:p>
    <w:p>
      <w:pPr>
        <w:ind w:firstLine="480"/>
      </w:pPr>
      <w:r>
        <w:rPr/>
        <w:t>预算金额：</w:t>
      </w:r>
      <w:r>
        <w:rPr/>
        <w:t>2,009,718.00</w:t>
      </w:r>
      <w:r>
        <w:rPr/>
        <w:t>元</w:t>
      </w:r>
    </w:p>
    <w:p>
      <w:r>
        <w:rPr>
          <w:b/>
          <w:sz w:val="24"/>
        </w:rPr>
        <w:t>2.项目内容及需求情况（采购项目技术规格、参数及要求）</w:t>
      </w:r>
    </w:p>
    <w:p>
      <w:pPr>
        <w:ind w:firstLine="480"/>
      </w:pPr>
    </w:p>
    <w:p/>
    <w:p>
      <w:r>
        <w:rPr/>
        <w:t>采购包1(江门市蓬江区居家养老助残服务“平安通”项目):</w:t>
      </w:r>
    </w:p>
    <w:p>
      <w:r>
        <w:rPr/>
        <w:t>采购包预算金额：2,009,718.00元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江门市蓬江区居家养老助残服务“平安通”项目</w:t>
            </w:r>
          </w:p>
        </w:tc>
        <w:tc>
          <w:tcPr>
            <w:tcW w:type="dxa" w:w="977"/>
          </w:tcPr>
          <w:p>
            <w:r>
              <w:rPr/>
              <w:t>1.00(项)</w:t>
            </w:r>
          </w:p>
        </w:tc>
        <w:tc>
          <w:tcPr>
            <w:tcW w:type="dxa" w:w="977"/>
          </w:tcPr>
          <w:p>
            <w:r>
              <w:rPr/>
              <w:t>详见第二章</w:t>
            </w:r>
          </w:p>
        </w:tc>
        <w:tc>
          <w:tcPr>
            <w:tcW w:type="dxa" w:w="977"/>
          </w:tcPr>
          <w:p>
            <w:r>
              <w:rPr/>
              <w:t>2,009,718.00</w:t>
            </w:r>
          </w:p>
        </w:tc>
        <w:tc>
          <w:tcPr>
            <w:tcW w:type="dxa" w:w="977"/>
          </w:tcPr>
          <w:p>
            <w:r>
              <w:rPr/>
              <w:t>否</w:t>
            </w:r>
          </w:p>
        </w:tc>
      </w:tr>
    </w:tbl>
    <w:p/>
    <w:p>
      <w:r>
        <w:rPr/>
        <w:t>本采购包不接受联合体响应</w:t>
      </w:r>
    </w:p>
    <w:p/>
    <w:p>
      <w:r>
        <w:rPr/>
        <w:t>合同履行期限： 自合同签订之日起开始计算，截至2023年12月31日止。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采购包1（江门市蓬江区居家养老助残服务“平安通”项目）：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江门市蓬江区民政局</w:t>
      </w:r>
    </w:p>
    <w:p>
      <w:pPr>
        <w:ind w:firstLine="480"/>
      </w:pPr>
      <w:r>
        <w:rPr/>
        <w:t>地址：</w:t>
      </w:r>
      <w:r>
        <w:rPr/>
        <w:t>江门市蓬江区建业街100号</w:t>
      </w:r>
    </w:p>
    <w:p>
      <w:pPr>
        <w:ind w:firstLine="480"/>
      </w:pPr>
      <w:r>
        <w:rPr/>
        <w:t>联系方式：</w:t>
      </w:r>
      <w:r>
        <w:rPr/>
        <w:t>0750-2640061</w:t>
      </w:r>
    </w:p>
    <w:p>
      <w:r>
        <w:rPr>
          <w:b/>
          <w:sz w:val="24"/>
        </w:rPr>
        <w:t>2.采购代理机构信息</w:t>
      </w:r>
    </w:p>
    <w:p>
      <w:pPr>
        <w:ind w:firstLine="480"/>
      </w:pPr>
      <w:r>
        <w:rPr/>
        <w:t>名称：</w:t>
      </w:r>
      <w:r>
        <w:rPr/>
        <w:t>广东华禹工程咨询有限公司江门分公司</w:t>
      </w:r>
    </w:p>
    <w:p>
      <w:pPr>
        <w:ind w:firstLine="480"/>
      </w:pPr>
      <w:r>
        <w:rPr/>
        <w:t>地址：</w:t>
      </w:r>
      <w:r>
        <w:rPr/>
        <w:t>广东省江门市蓬江区江华路94号首层7-8A-C轴自编08</w:t>
      </w:r>
    </w:p>
    <w:p>
      <w:pPr>
        <w:ind w:firstLine="480"/>
      </w:pPr>
      <w:r>
        <w:rPr/>
        <w:t>联系方式：</w:t>
      </w:r>
      <w:r>
        <w:rPr/>
        <w:t>0750-3239891</w:t>
      </w:r>
    </w:p>
    <w:p>
      <w:r>
        <w:rPr>
          <w:b/>
          <w:sz w:val="24"/>
        </w:rPr>
        <w:t>3.项目联系方式</w:t>
      </w:r>
    </w:p>
    <w:p>
      <w:pPr>
        <w:ind w:firstLine="480"/>
      </w:pPr>
      <w:r>
        <w:rPr/>
        <w:t>项目联系人：</w:t>
      </w:r>
      <w:r>
        <w:rPr/>
        <w:t>赵工</w:t>
      </w:r>
    </w:p>
    <w:p>
      <w:pPr>
        <w:ind w:firstLine="480"/>
      </w:pPr>
      <w:r>
        <w:rPr/>
        <w:t>电话：</w:t>
      </w:r>
      <w:r>
        <w:rPr/>
        <w:t>0750-3239891</w:t>
      </w:r>
    </w:p>
    <w:p>
      <w:r>
        <w:rPr>
          <w:b/>
          <w:sz w:val="24"/>
        </w:rPr>
        <w:t>4.技术支持联系方式</w:t>
      </w:r>
    </w:p>
    <w:p>
      <w:pPr>
        <w:ind w:firstLine="480"/>
      </w:pPr>
      <w:r>
        <w:rPr/>
        <w:t>云平台联系方式：020-88696588</w:t>
      </w:r>
    </w:p>
    <w:p>
      <w:r>
        <w:rPr/>
        <w:t>采购代理机构：</w:t>
      </w:r>
      <w:r>
        <w:rPr/>
        <w:t>广东华禹工程咨询有限公司江门分公司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388"/>
        <w:jc w:val="left"/>
      </w:pPr>
    </w:p>
    <w:p>
      <w:pPr>
        <w:ind w:firstLine="388"/>
        <w:jc w:val="left"/>
      </w:pPr>
      <w:r>
        <w:rPr>
          <w:color w:val="000000"/>
          <w:sz w:val="19"/>
        </w:rPr>
        <w:t>江门市蓬江区</w:t>
      </w:r>
      <w:r>
        <w:rPr>
          <w:color w:val="000000"/>
          <w:sz w:val="19"/>
        </w:rPr>
        <w:t>居家养老助残服务</w:t>
      </w:r>
      <w:r>
        <w:rPr>
          <w:color w:val="000000"/>
          <w:sz w:val="19"/>
        </w:rPr>
        <w:t>“平安通”项目是通过整合政府和社会资源，为老年人、残疾</w:t>
      </w:r>
      <w:r>
        <w:rPr>
          <w:color w:val="000000"/>
          <w:sz w:val="19"/>
        </w:rPr>
        <w:t>人以及困境儿童</w:t>
      </w:r>
      <w:r>
        <w:rPr>
          <w:color w:val="000000"/>
          <w:sz w:val="19"/>
        </w:rPr>
        <w:t>提供全天候紧急支援（全年</w:t>
      </w:r>
      <w:r>
        <w:rPr>
          <w:color w:val="000000"/>
          <w:sz w:val="19"/>
        </w:rPr>
        <w:t>365</w:t>
      </w:r>
      <w:r>
        <w:rPr>
          <w:color w:val="000000"/>
          <w:sz w:val="19"/>
        </w:rPr>
        <w:t>天</w:t>
      </w:r>
      <w:r>
        <w:rPr>
          <w:color w:val="000000"/>
          <w:sz w:val="19"/>
        </w:rPr>
        <w:t>7*24</w:t>
      </w:r>
      <w:r>
        <w:rPr>
          <w:color w:val="000000"/>
          <w:sz w:val="19"/>
        </w:rPr>
        <w:t>小时）、医疗急救、主动关怀、情绪支援、政策咨询、信息查询、资源链接与转介等服务。现根据《关于印发江门市居家养老助残服务</w:t>
      </w:r>
      <w:r>
        <w:rPr>
          <w:color w:val="000000"/>
          <w:sz w:val="19"/>
        </w:rPr>
        <w:t>“平安通”项目提升实施方案（</w:t>
      </w:r>
      <w:r>
        <w:rPr>
          <w:color w:val="000000"/>
          <w:sz w:val="19"/>
        </w:rPr>
        <w:t>2020-2022</w:t>
      </w:r>
      <w:r>
        <w:rPr>
          <w:color w:val="000000"/>
          <w:sz w:val="19"/>
        </w:rPr>
        <w:t>年）》（江民函〔</w:t>
      </w:r>
      <w:r>
        <w:rPr>
          <w:color w:val="000000"/>
          <w:sz w:val="19"/>
        </w:rPr>
        <w:t>2019</w:t>
      </w:r>
      <w:r>
        <w:rPr>
          <w:color w:val="000000"/>
          <w:sz w:val="19"/>
        </w:rPr>
        <w:t>〕</w:t>
      </w:r>
      <w:r>
        <w:rPr>
          <w:color w:val="000000"/>
          <w:sz w:val="19"/>
        </w:rPr>
        <w:t>149</w:t>
      </w:r>
      <w:r>
        <w:rPr>
          <w:color w:val="000000"/>
          <w:sz w:val="19"/>
        </w:rPr>
        <w:t>号）</w:t>
      </w:r>
      <w:r>
        <w:rPr>
          <w:color w:val="000000"/>
          <w:sz w:val="19"/>
        </w:rPr>
        <w:t>以及《关于延续实施江门市居家养老助残服务</w:t>
      </w:r>
      <w:r>
        <w:rPr>
          <w:color w:val="000000"/>
          <w:sz w:val="19"/>
        </w:rPr>
        <w:t>“平安通”项目提升实施方案（</w:t>
      </w:r>
      <w:r>
        <w:rPr>
          <w:color w:val="000000"/>
          <w:sz w:val="19"/>
        </w:rPr>
        <w:t>2020-2022年）的通知</w:t>
      </w:r>
      <w:r>
        <w:rPr>
          <w:color w:val="000000"/>
          <w:sz w:val="19"/>
        </w:rPr>
        <w:t>》（</w:t>
      </w:r>
      <w:r>
        <w:rPr>
          <w:color w:val="000000"/>
          <w:sz w:val="19"/>
        </w:rPr>
        <w:t>江民函〔</w:t>
      </w:r>
      <w:r>
        <w:rPr>
          <w:color w:val="000000"/>
          <w:sz w:val="19"/>
        </w:rPr>
        <w:t>2023</w:t>
      </w:r>
      <w:r>
        <w:rPr>
          <w:color w:val="000000"/>
          <w:sz w:val="19"/>
        </w:rPr>
        <w:t>〕</w:t>
      </w:r>
      <w:r>
        <w:rPr>
          <w:color w:val="000000"/>
          <w:sz w:val="19"/>
        </w:rPr>
        <w:t>1</w:t>
      </w:r>
      <w:r>
        <w:rPr>
          <w:color w:val="000000"/>
          <w:sz w:val="19"/>
        </w:rPr>
        <w:t>0</w:t>
      </w:r>
      <w:r>
        <w:rPr>
          <w:color w:val="000000"/>
          <w:sz w:val="19"/>
        </w:rPr>
        <w:t>号）的要求，开展相关的项目延续采购工作。</w:t>
      </w:r>
    </w:p>
    <w:p>
      <w:pPr>
        <w:ind w:firstLine="2"/>
        <w:jc w:val="left"/>
      </w:pPr>
    </w:p>
    <w:p>
      <w:pPr>
        <w:jc w:val="left"/>
      </w:pPr>
      <w:r>
        <w:rPr/>
        <w:t xml:space="preserve"> </w:t>
      </w:r>
    </w:p>
    <w:p>
      <w:pPr>
        <w:jc w:val="left"/>
      </w:pPr>
      <w:r>
        <w:rPr/>
        <w:t xml:space="preserve"> </w:t>
      </w:r>
    </w:p>
    <w:p>
      <w:pPr>
        <w:ind w:firstLine="388"/>
        <w:jc w:val="left"/>
      </w:pPr>
    </w:p>
    <w:p/>
    <w:p>
      <w:pPr>
        <w:ind w:firstLine="480"/>
      </w:pPr>
    </w:p>
    <w:p/>
    <w:p>
      <w:r>
        <w:rPr/>
        <w:t>采购包1（江门市蓬江区居家养老助残服务“平安通”项目）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自合同签订生效之日起开始计算，截至2023年12月31日止。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1期：支付比例100%,1、合同签订生效后的15个工作日内，将合同总金额的60%支付给成交供应商； 2、 完成服务周期内所有服务内容且经采购人最终评估确认后的15个工作日内，将余下款项（合同总金额的40%）支付给成交供应商； 3、2023年5月1日至合同签订之日期间，本项目是由上一合同周期的中标单位继续运营中，本期中标供应商成功中标后需向前项目承接方支付此期间的服务经费，经费标准为项目中标总金额按月折算的方式计算。</w:t>
            </w:r>
          </w:p>
        </w:tc>
      </w:tr>
      <w:tr>
        <w:tc>
          <w:tcPr>
            <w:tcW w:type="dxa" w:w="4153"/>
          </w:tcPr>
          <w:p>
            <w:r>
              <w:rPr/>
              <w:t>验收要求</w:t>
            </w:r>
          </w:p>
        </w:tc>
        <w:tc>
          <w:tcPr>
            <w:tcW w:type="dxa" w:w="4153"/>
          </w:tcPr>
          <w:p/>
          <w:p/>
          <w:p/>
          <w:p>
            <w:r>
              <w:rPr/>
              <w:t>1期：以本项目采购文件、响应文件以及采购合同相关条款为验收标准。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服务范围及人数</w:t>
            </w:r>
          </w:p>
        </w:tc>
        <w:tc>
          <w:tcPr>
            <w:tcW w:type="dxa" w:w="2076"/>
          </w:tcPr>
          <w:p>
            <w:pPr>
              <w:jc w:val="left"/>
            </w:pPr>
            <w:r>
              <w:rPr/>
              <w:t>1、服务范围：江门市蓬江区6个镇街及相应的村、社区。 2、服务对象人数：5893人。 3、终端设备升级数量：1524套（用4G制式终端设备替换目前已经过保修期的2G制式终端设备,并要求2023年8月31日前完成） 4、服务期限：自合同签订之日起开始计算，截至2023年12月31日止。在此轮服务期限内，2023年江门市蓬江区居家养老助残服务“平安通”服务由本项目成交供应商提供。 5、服务群体类别：分为政府资助对象与自费使用对象两类。政府资助对象“平安通”服务费用由政府财政全额负担；自费使用对象服务费用由申请开通“平安通”服务对象自费负担。 5.1.2023起年具有江门市蓬江区户籍的七类居民纳入政府资助对象范围，主要包括以下： （1）60周岁及以上分散供养特困人员； （2）低保、低收入家庭中60周岁以上的下列人员： ①独居老年人（指无配偶、无子女，或配偶、子女半年及以上没有共同居住，下同）； ②纯老家庭成员（指全部家庭成员年龄均为60周岁以上，下同）； ③重度残疾人（含一至四级重度残疾军人，不含重度听力残疾人)； （3）90周岁及以上老年人； （4）75-89周岁的下列人员： ①独居老年人； ②纯老家庭成员； ③失能（经评估认定为中度、重度失能）、失独老年人； 心智障碍者家庭（持有智力、精神障碍残疾证人员家庭）； 本市户籍的分散供养孤儿、事实无人抚养儿童和艾滋病病毒感染儿童； 经评估认定，且由镇街、村居委会审核同意的农村留守老年人、其他困难的老年人及残疾人（含一至四级重度残疾军人）。 上述资助对象按照先到先得原则资助，在资助名额已满的情况下对超额申请对象进行轮候管理，采购人有权根据本地实际情况，在保持装机总量的情况下，对全额资助对象群体进行合理调整，具体的全额资助类别以采购人最终公布结果为准。 5.2自费使用对象。有需要平安通服务的其他人士。</w:t>
            </w:r>
          </w:p>
        </w:tc>
      </w:tr>
      <w:tr>
        <w:tc>
          <w:tcPr>
            <w:tcW w:type="dxa" w:w="2076"/>
          </w:tcPr>
          <w:p>
            <w:pPr>
              <w:jc w:val="center"/>
            </w:pPr>
          </w:p>
        </w:tc>
        <w:tc>
          <w:tcPr>
            <w:tcW w:type="dxa" w:w="2076"/>
          </w:tcPr>
          <w:p>
            <w:pPr>
              <w:jc w:val="center"/>
            </w:pPr>
            <w:r>
              <w:rPr/>
              <w:t>2</w:t>
            </w:r>
          </w:p>
        </w:tc>
        <w:tc>
          <w:tcPr>
            <w:tcW w:type="dxa" w:w="2076"/>
          </w:tcPr>
          <w:p>
            <w:pPr>
              <w:jc w:val="left"/>
            </w:pPr>
            <w:r>
              <w:rPr/>
              <w:t>其他要求</w:t>
            </w:r>
          </w:p>
        </w:tc>
        <w:tc>
          <w:tcPr>
            <w:tcW w:type="dxa" w:w="2076"/>
          </w:tcPr>
          <w:p>
            <w:pPr>
              <w:jc w:val="left"/>
            </w:pPr>
            <w:r>
              <w:rPr/>
              <w:t>“平安通”项目作为政府为保障兜底保障群体而设立的紧急求助热线中心，为确保能不间断为服务对象提供紧急求援、灾害天气应急救助、居家生活需求跟进等保障服务工作，要求本期中标供应商要在15个自然日内完成与前项目承接方的工作交接，并要求保持交接期间服务不间断。</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江门市蓬江区居家养老助残服务“平安通”项目</w:t>
            </w:r>
          </w:p>
        </w:tc>
        <w:tc>
          <w:tcPr>
            <w:tcW w:type="dxa" w:w="933"/>
          </w:tcPr>
          <w:p>
            <w:pPr>
              <w:jc w:val="left"/>
            </w:pPr>
            <w:r>
              <w:rPr/>
              <w:t>项</w:t>
            </w:r>
          </w:p>
        </w:tc>
        <w:tc>
          <w:tcPr>
            <w:tcW w:type="dxa" w:w="933"/>
          </w:tcPr>
          <w:p>
            <w:pPr>
              <w:jc w:val="right"/>
            </w:pPr>
            <w:r>
              <w:rPr/>
              <w:t>1.00</w:t>
            </w:r>
          </w:p>
        </w:tc>
        <w:tc>
          <w:tcPr>
            <w:tcW w:type="dxa" w:w="933"/>
          </w:tcPr>
          <w:p>
            <w:pPr>
              <w:jc w:val="right"/>
            </w:pPr>
            <w:r>
              <w:rPr/>
              <w:t>2,009,718.00</w:t>
            </w:r>
          </w:p>
        </w:tc>
        <w:tc>
          <w:tcPr>
            <w:tcW w:type="dxa" w:w="933"/>
          </w:tcPr>
          <w:p>
            <w:pPr>
              <w:jc w:val="right"/>
            </w:pPr>
            <w:r>
              <w:rPr/>
              <w:t>2,009,718.00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江门市蓬江区居家养老助残服务“平安通”项目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0"/>
              <w:jc w:val="left"/>
            </w:pPr>
            <w:r>
              <w:rPr>
                <w:color w:val="000000"/>
                <w:sz w:val="19"/>
              </w:rPr>
              <w:t>一</w:t>
            </w:r>
            <w:r>
              <w:rPr>
                <w:color w:val="000000"/>
                <w:sz w:val="19"/>
              </w:rPr>
              <w:t>、服务内容</w:t>
            </w:r>
            <w:r>
              <w:rPr>
                <w:color w:val="000000"/>
                <w:sz w:val="19"/>
              </w:rPr>
              <w:t>:</w:t>
            </w:r>
            <w:r>
              <w:rPr>
                <w:color w:val="000000"/>
                <w:sz w:val="21"/>
              </w:rPr>
              <w:t xml:space="preserve"> </w:t>
            </w:r>
            <w:r>
              <w:br/>
            </w:r>
            <w:r>
              <w:rPr>
                <w:color w:val="000000"/>
                <w:sz w:val="21"/>
              </w:rPr>
              <w:t xml:space="preserve">      </w:t>
            </w:r>
            <w:r>
              <w:rPr>
                <w:color w:val="000000"/>
                <w:sz w:val="19"/>
              </w:rPr>
              <w:t>(</w:t>
            </w:r>
            <w:r>
              <w:rPr>
                <w:color w:val="000000"/>
                <w:sz w:val="19"/>
              </w:rPr>
              <w:t>1</w:t>
            </w:r>
            <w:r>
              <w:rPr>
                <w:color w:val="000000"/>
                <w:sz w:val="19"/>
              </w:rPr>
              <w:t>)</w:t>
            </w:r>
            <w:r>
              <w:rPr>
                <w:color w:val="000000"/>
                <w:sz w:val="19"/>
              </w:rPr>
              <w:t>紧急呼援服务</w:t>
            </w:r>
          </w:p>
          <w:p>
            <w:pPr>
              <w:ind w:firstLine="480"/>
              <w:jc w:val="left"/>
            </w:pPr>
            <w:r>
              <w:rPr>
                <w:color w:val="000000"/>
                <w:sz w:val="19"/>
              </w:rPr>
              <w:t>实行</w:t>
            </w:r>
            <w:r>
              <w:rPr>
                <w:color w:val="000000"/>
                <w:sz w:val="19"/>
              </w:rPr>
              <w:t>24 小时轮值个性化紧急救助，当服务对象突发疾病或遇有紧急状况使用紧急 呼援按钮时，通过“平安通”服务平台呼叫紧急救护或报警，“平安通”服务机构将紧 急情况信息实时发送给服务对象指定的亲属或紧急联系人，跟进救护与报警处置情况。</w:t>
            </w:r>
          </w:p>
          <w:p>
            <w:pPr>
              <w:ind w:firstLine="480"/>
              <w:jc w:val="left"/>
            </w:pPr>
            <w:r>
              <w:rPr>
                <w:color w:val="000000"/>
                <w:sz w:val="19"/>
              </w:rPr>
              <w:t>（</w:t>
            </w:r>
            <w:r>
              <w:rPr>
                <w:color w:val="000000"/>
                <w:sz w:val="19"/>
              </w:rPr>
              <w:t>2）日常巡访服务</w:t>
            </w:r>
          </w:p>
          <w:p>
            <w:pPr>
              <w:ind w:firstLine="480"/>
              <w:jc w:val="left"/>
            </w:pPr>
            <w:r>
              <w:rPr>
                <w:color w:val="000000"/>
                <w:sz w:val="19"/>
              </w:rPr>
              <w:t>根据服务对象的不同情况，联动各镇街的为老服务机构制定巡访计划，定期进行电话巡访、入户上门巡访、义工探</w:t>
            </w:r>
            <w:r>
              <w:rPr>
                <w:color w:val="000000"/>
                <w:sz w:val="19"/>
              </w:rPr>
              <w:t>访，为服务对象提供居家安全与求救能力指导、居家服务需求转介、心理情绪疏导、预</w:t>
            </w:r>
            <w:r>
              <w:rPr>
                <w:color w:val="000000"/>
                <w:sz w:val="19"/>
              </w:rPr>
              <w:t>防金融与电信诈骗提醒、保健品识别、个案辅导等服务。</w:t>
            </w:r>
          </w:p>
          <w:p>
            <w:pPr>
              <w:ind w:firstLine="480"/>
              <w:jc w:val="left"/>
            </w:pPr>
            <w:r>
              <w:rPr>
                <w:color w:val="000000"/>
                <w:sz w:val="19"/>
              </w:rPr>
              <w:t>（</w:t>
            </w:r>
            <w:r>
              <w:rPr>
                <w:color w:val="000000"/>
                <w:sz w:val="19"/>
              </w:rPr>
              <w:t>3）咨询转介服务</w:t>
            </w:r>
          </w:p>
          <w:p>
            <w:pPr>
              <w:ind w:firstLine="480"/>
              <w:jc w:val="left"/>
            </w:pPr>
            <w:r>
              <w:rPr>
                <w:color w:val="000000"/>
                <w:sz w:val="19"/>
              </w:rPr>
              <w:t>为服务对象提供政策咨询、法律援助咨询、居家生活百事服务转介等服务，包括政</w:t>
            </w:r>
            <w:r>
              <w:rPr>
                <w:color w:val="000000"/>
                <w:sz w:val="19"/>
              </w:rPr>
              <w:t>策咨询与解读、银龄安康保险转介、水电维修、家电维修、预约挂号、家政保洁、送餐</w:t>
            </w:r>
            <w:r>
              <w:rPr>
                <w:color w:val="000000"/>
                <w:sz w:val="19"/>
              </w:rPr>
              <w:t>配餐、粮油代购、医疗保健、适老用品租赁等服务。</w:t>
            </w:r>
          </w:p>
          <w:p>
            <w:pPr>
              <w:ind w:firstLine="480"/>
              <w:jc w:val="left"/>
            </w:pPr>
            <w:r>
              <w:rPr>
                <w:color w:val="000000"/>
                <w:sz w:val="19"/>
              </w:rPr>
              <w:t>（</w:t>
            </w:r>
            <w:r>
              <w:rPr>
                <w:color w:val="000000"/>
                <w:sz w:val="19"/>
              </w:rPr>
              <w:t>4）心理情绪疏导服务</w:t>
            </w:r>
          </w:p>
          <w:p>
            <w:pPr>
              <w:ind w:firstLine="480"/>
              <w:jc w:val="left"/>
            </w:pPr>
            <w:r>
              <w:rPr>
                <w:color w:val="000000"/>
                <w:sz w:val="19"/>
              </w:rPr>
              <w:t>建立</w:t>
            </w:r>
            <w:r>
              <w:rPr>
                <w:color w:val="000000"/>
                <w:sz w:val="19"/>
              </w:rPr>
              <w:t>24 小时心理情绪疏导平台，为有需要的服务对象提供线上情绪关怀与疏导， 建立疏导电子档案，并针对有重大变故、情绪抑郁、行为失常等特定群体建立疏导转介档案，及时联合专门机构共同提供个性化疏导服务。</w:t>
            </w:r>
          </w:p>
          <w:p>
            <w:pPr>
              <w:ind w:firstLine="480"/>
              <w:jc w:val="left"/>
            </w:pPr>
            <w:r>
              <w:rPr>
                <w:color w:val="000000"/>
                <w:sz w:val="19"/>
              </w:rPr>
              <w:t>（</w:t>
            </w:r>
            <w:r>
              <w:rPr>
                <w:color w:val="000000"/>
                <w:sz w:val="19"/>
              </w:rPr>
              <w:t>5）主动关爱服务</w:t>
            </w:r>
          </w:p>
          <w:p>
            <w:pPr>
              <w:ind w:firstLine="480"/>
              <w:jc w:val="left"/>
            </w:pPr>
            <w:r>
              <w:rPr>
                <w:color w:val="000000"/>
                <w:sz w:val="19"/>
              </w:rPr>
              <w:t>根据服务对象实际情况，定期给予线上、线下的问候与关爱，培养服务对象居家生</w:t>
            </w:r>
            <w:r>
              <w:rPr>
                <w:color w:val="000000"/>
                <w:sz w:val="19"/>
              </w:rPr>
              <w:t>活安全感、幸福感，提供安全守护、生日祝福、节假日祝福、情绪支持、重大变故危机</w:t>
            </w:r>
            <w:r>
              <w:rPr>
                <w:color w:val="000000"/>
                <w:sz w:val="19"/>
              </w:rPr>
              <w:t>介入等服务。对独居、空巢、留守老人等特殊群体应增加线上问候及线下上门巡访频次，</w:t>
            </w:r>
            <w:r>
              <w:rPr>
                <w:color w:val="000000"/>
                <w:sz w:val="19"/>
              </w:rPr>
              <w:t>确保关心关怀到位。</w:t>
            </w:r>
          </w:p>
          <w:p>
            <w:pPr>
              <w:ind w:firstLine="380"/>
              <w:jc w:val="left"/>
            </w:pPr>
            <w:r>
              <w:rPr>
                <w:color w:val="000000"/>
                <w:sz w:val="19"/>
              </w:rPr>
              <w:t>（</w:t>
            </w:r>
            <w:r>
              <w:rPr>
                <w:color w:val="000000"/>
                <w:sz w:val="19"/>
              </w:rPr>
              <w:t>6）灾害天气预警</w:t>
            </w:r>
          </w:p>
          <w:p>
            <w:pPr>
              <w:ind w:firstLine="380"/>
              <w:jc w:val="left"/>
            </w:pPr>
            <w:r>
              <w:rPr>
                <w:color w:val="000000"/>
                <w:sz w:val="19"/>
              </w:rPr>
              <w:t>遇有极端天气等特殊情况时，应当对服务对象进行预警与提醒，及时跟进处理服务</w:t>
            </w:r>
            <w:r>
              <w:rPr>
                <w:color w:val="000000"/>
                <w:sz w:val="19"/>
              </w:rPr>
              <w:t>对象的突发求救，并应积极配合主管部门对突发情况进行处置。</w:t>
            </w:r>
          </w:p>
          <w:p>
            <w:pPr>
              <w:ind w:firstLine="380"/>
              <w:jc w:val="left"/>
            </w:pPr>
            <w:r>
              <w:rPr>
                <w:color w:val="000000"/>
                <w:sz w:val="19"/>
              </w:rPr>
              <w:t>（</w:t>
            </w:r>
            <w:r>
              <w:rPr>
                <w:color w:val="000000"/>
                <w:sz w:val="19"/>
              </w:rPr>
              <w:t>7）专项创新特色服务</w:t>
            </w:r>
          </w:p>
          <w:p>
            <w:pPr>
              <w:ind w:firstLine="380"/>
              <w:jc w:val="left"/>
            </w:pPr>
            <w:r>
              <w:rPr>
                <w:color w:val="000000"/>
                <w:sz w:val="19"/>
              </w:rPr>
              <w:t>根据服务对象共性需求，开发跌倒预防、认知能力预防训练、防范非法集资和电讯</w:t>
            </w:r>
            <w:r>
              <w:rPr>
                <w:color w:val="000000"/>
                <w:sz w:val="19"/>
              </w:rPr>
              <w:t>以及保健品诈骗宣传等特色服务。</w:t>
            </w:r>
            <w:r>
              <w:br/>
            </w:r>
            <w:r>
              <w:rPr>
                <w:color w:val="000000"/>
                <w:sz w:val="21"/>
              </w:rPr>
              <w:t xml:space="preserve">   </w:t>
            </w:r>
          </w:p>
          <w:p>
            <w:pPr>
              <w:ind w:firstLine="380"/>
              <w:jc w:val="left"/>
            </w:pPr>
            <w:r>
              <w:rPr>
                <w:color w:val="000000"/>
                <w:sz w:val="19"/>
              </w:rPr>
              <w:t xml:space="preserve"> </w:t>
            </w:r>
            <w:r>
              <w:rPr>
                <w:color w:val="000000"/>
                <w:sz w:val="19"/>
              </w:rPr>
              <w:t>二、服务要求</w:t>
            </w:r>
            <w:r>
              <w:br/>
            </w:r>
            <w:r>
              <w:rPr>
                <w:color w:val="000000"/>
                <w:sz w:val="19"/>
              </w:rPr>
              <w:t>（</w:t>
            </w:r>
            <w:r>
              <w:rPr>
                <w:color w:val="000000"/>
                <w:sz w:val="19"/>
              </w:rPr>
              <w:t>1）服务平台建设与维护要求</w:t>
            </w:r>
          </w:p>
          <w:p>
            <w:pPr>
              <w:ind w:firstLine="380"/>
              <w:jc w:val="left"/>
            </w:pPr>
            <w:r>
              <w:rPr>
                <w:color w:val="000000"/>
                <w:sz w:val="19"/>
              </w:rPr>
              <w:t>平安通服务平台包括话务服务系统及服务管理系统两部分，采用本地内网数据服务器进行管理。所有数据储存在服务中心服务器，确保数据能快速访问，并且能够保证数据安全。平台容量能支持</w:t>
            </w:r>
            <w:r>
              <w:rPr>
                <w:color w:val="000000"/>
                <w:sz w:val="19"/>
              </w:rPr>
              <w:t>10万服务对象资料及录音1年或以上的存储。</w:t>
            </w:r>
          </w:p>
          <w:p>
            <w:pPr>
              <w:ind w:firstLine="200"/>
              <w:jc w:val="left"/>
            </w:pPr>
            <w:r>
              <w:rPr>
                <w:color w:val="000000"/>
                <w:sz w:val="19"/>
              </w:rPr>
              <w:t xml:space="preserve">  </w:t>
            </w:r>
            <w:r>
              <w:rPr>
                <w:color w:val="000000"/>
                <w:sz w:val="19"/>
              </w:rPr>
              <w:t>话务服务系统：用户通过平安通设备与客服人员以语音的形式取得联系，说明服务需求。系统能根据来电号码自动调出用户资料及服务记录以方便提供服务。具备智能选择坐席、优先级处理、骚扰电话屏蔽、电话录音、地图定位、来电自动弹屏、当前及以往服务内容查询、回访记录跟踪等主要功能。</w:t>
            </w:r>
          </w:p>
          <w:p>
            <w:pPr>
              <w:ind w:firstLine="200"/>
              <w:jc w:val="left"/>
            </w:pPr>
            <w:r>
              <w:rPr>
                <w:color w:val="000000"/>
                <w:sz w:val="19"/>
              </w:rPr>
              <w:t xml:space="preserve">  </w:t>
            </w:r>
            <w:r>
              <w:rPr>
                <w:color w:val="000000"/>
                <w:sz w:val="19"/>
              </w:rPr>
              <w:t>服务管理系统：实现对整个项目基础信息管理，包括服务对象资料、服务资源数据库资料，并对服务过程（包括终端设备检测、紧急救助服务、家居服务、社工关怀服务等）进行记录，对历史记录进行查询，相关数据可以随时按区域按条件导入、导出。</w:t>
            </w:r>
          </w:p>
          <w:p>
            <w:pPr>
              <w:ind w:firstLine="380"/>
              <w:jc w:val="left"/>
            </w:pPr>
            <w:r>
              <w:rPr>
                <w:color w:val="000000"/>
                <w:sz w:val="19"/>
              </w:rPr>
              <w:t>1）</w:t>
            </w:r>
            <w:r>
              <w:rPr>
                <w:color w:val="000000"/>
                <w:sz w:val="19"/>
              </w:rPr>
              <w:t>供应商</w:t>
            </w:r>
            <w:r>
              <w:rPr>
                <w:color w:val="000000"/>
                <w:sz w:val="19"/>
              </w:rPr>
              <w:t>所投报的产品必须是本国产品，本项目不接受所投报产品为进口产品的供应。</w:t>
            </w:r>
          </w:p>
          <w:p>
            <w:pPr>
              <w:ind w:firstLine="380"/>
              <w:jc w:val="left"/>
            </w:pPr>
            <w:r>
              <w:rPr>
                <w:color w:val="000000"/>
                <w:sz w:val="19"/>
              </w:rPr>
              <w:t>2）供应商</w:t>
            </w:r>
            <w:r>
              <w:rPr>
                <w:color w:val="000000"/>
                <w:sz w:val="19"/>
              </w:rPr>
              <w:t>应当保证服务对象的终端设备供给，当服务对象发生设备故障、损坏时应给予维修或者替换，以满足服务对象服务需求。</w:t>
            </w:r>
          </w:p>
          <w:p>
            <w:pPr>
              <w:ind w:firstLine="380"/>
              <w:jc w:val="left"/>
            </w:pPr>
            <w:r>
              <w:rPr>
                <w:color w:val="000000"/>
                <w:sz w:val="19"/>
              </w:rPr>
              <w:t>3</w:t>
            </w:r>
            <w:r>
              <w:rPr>
                <w:color w:val="000000"/>
                <w:sz w:val="19"/>
              </w:rPr>
              <w:t>）</w:t>
            </w:r>
            <w:r>
              <w:rPr>
                <w:color w:val="000000"/>
                <w:sz w:val="19"/>
              </w:rPr>
              <w:t>供应商</w:t>
            </w:r>
            <w:r>
              <w:rPr>
                <w:color w:val="000000"/>
                <w:sz w:val="19"/>
              </w:rPr>
              <w:t>所投报的产品应当是在中国境内合法销售，且符合相应技术、安全标准。</w:t>
            </w:r>
          </w:p>
          <w:p>
            <w:pPr>
              <w:ind w:firstLine="380"/>
              <w:jc w:val="left"/>
            </w:pPr>
            <w:r>
              <w:rPr>
                <w:color w:val="000000"/>
                <w:sz w:val="19"/>
              </w:rPr>
              <w:t>4）</w:t>
            </w:r>
            <w:r>
              <w:rPr>
                <w:color w:val="000000"/>
                <w:sz w:val="19"/>
              </w:rPr>
              <w:t>因服务对象涵盖了老年人、残疾人、儿童，因此</w:t>
            </w:r>
            <w:r>
              <w:rPr>
                <w:color w:val="000000"/>
                <w:sz w:val="19"/>
              </w:rPr>
              <w:t>供应商</w:t>
            </w:r>
            <w:r>
              <w:rPr>
                <w:color w:val="000000"/>
                <w:sz w:val="19"/>
              </w:rPr>
              <w:t>要考虑每类不同群体的特性、使用习惯等配置不同类型的终端设备，以满足服务对象的需求。</w:t>
            </w:r>
          </w:p>
          <w:p>
            <w:pPr>
              <w:ind w:firstLine="380"/>
              <w:jc w:val="left"/>
            </w:pPr>
            <w:r>
              <w:rPr>
                <w:color w:val="000000"/>
                <w:sz w:val="19"/>
              </w:rPr>
              <w:t>终端设备功能要求</w:t>
            </w:r>
            <w:r>
              <w:rPr>
                <w:color w:val="000000"/>
                <w:sz w:val="19"/>
              </w:rPr>
              <w:t>如下</w:t>
            </w:r>
            <w:r>
              <w:rPr>
                <w:color w:val="000000"/>
                <w:sz w:val="19"/>
              </w:rPr>
              <w:t>：</w:t>
            </w:r>
          </w:p>
          <w:p>
            <w:pPr>
              <w:ind w:firstLine="380"/>
              <w:jc w:val="left"/>
            </w:pPr>
            <w:r>
              <w:rPr>
                <w:color w:val="000000"/>
                <w:sz w:val="19"/>
              </w:rPr>
              <w:t>（</w:t>
            </w:r>
            <w:r>
              <w:rPr>
                <w:color w:val="000000"/>
                <w:sz w:val="19"/>
              </w:rPr>
              <w:t>1</w:t>
            </w:r>
            <w:r>
              <w:rPr>
                <w:color w:val="000000"/>
                <w:sz w:val="19"/>
              </w:rPr>
              <w:t>）移动式（穿戴类设备）功能要求：</w:t>
            </w:r>
          </w:p>
          <w:p>
            <w:pPr>
              <w:ind w:firstLine="380"/>
              <w:jc w:val="left"/>
            </w:pPr>
            <w:r>
              <w:rPr>
                <w:color w:val="000000"/>
                <w:sz w:val="19"/>
              </w:rPr>
              <w:t>①连续</w:t>
            </w:r>
            <w:r>
              <w:rPr>
                <w:color w:val="000000"/>
                <w:sz w:val="19"/>
              </w:rPr>
              <w:t>72</w:t>
            </w:r>
            <w:r>
              <w:rPr>
                <w:color w:val="000000"/>
                <w:sz w:val="19"/>
              </w:rPr>
              <w:t>小时超长待机，通话音量大，清晰度高；</w:t>
            </w:r>
          </w:p>
          <w:p>
            <w:pPr>
              <w:ind w:firstLine="380"/>
              <w:jc w:val="left"/>
            </w:pPr>
            <w:r>
              <w:rPr>
                <w:color w:val="000000"/>
                <w:sz w:val="19"/>
              </w:rPr>
              <w:t>②呼叫器上的按键清晰易懂，易操作，具备紧急呼叫键，方便儿童</w:t>
            </w:r>
            <w:r>
              <w:rPr>
                <w:color w:val="000000"/>
                <w:sz w:val="19"/>
              </w:rPr>
              <w:t>和残疾人</w:t>
            </w:r>
            <w:r>
              <w:rPr>
                <w:color w:val="000000"/>
                <w:sz w:val="19"/>
              </w:rPr>
              <w:t>使用；</w:t>
            </w:r>
          </w:p>
          <w:p>
            <w:pPr>
              <w:ind w:firstLine="380"/>
              <w:jc w:val="left"/>
            </w:pPr>
            <w:r>
              <w:rPr>
                <w:color w:val="000000"/>
                <w:sz w:val="19"/>
              </w:rPr>
              <w:t>③终端设备必须有定位功能（供应商需标明设备是依靠基站定位还是</w:t>
            </w:r>
            <w:r>
              <w:rPr>
                <w:color w:val="000000"/>
                <w:sz w:val="19"/>
              </w:rPr>
              <w:t>GPS</w:t>
            </w:r>
            <w:r>
              <w:rPr>
                <w:color w:val="000000"/>
                <w:sz w:val="19"/>
              </w:rPr>
              <w:t>定位）</w:t>
            </w:r>
          </w:p>
          <w:p>
            <w:pPr>
              <w:ind w:firstLine="380"/>
              <w:jc w:val="left"/>
            </w:pPr>
            <w:r>
              <w:rPr>
                <w:color w:val="000000"/>
                <w:sz w:val="19"/>
              </w:rPr>
              <w:t>④故障提醒功能：出现后备电池电量低、交流缺电等情况设备自动提醒平台。</w:t>
            </w:r>
          </w:p>
          <w:p>
            <w:pPr>
              <w:ind w:firstLine="380"/>
              <w:jc w:val="left"/>
            </w:pPr>
            <w:r>
              <w:rPr>
                <w:color w:val="000000"/>
                <w:sz w:val="19"/>
              </w:rPr>
              <w:t>（</w:t>
            </w:r>
            <w:r>
              <w:rPr>
                <w:color w:val="000000"/>
                <w:sz w:val="19"/>
              </w:rPr>
              <w:t>2</w:t>
            </w:r>
            <w:r>
              <w:rPr>
                <w:color w:val="000000"/>
                <w:sz w:val="19"/>
              </w:rPr>
              <w:t>）固话式平安通（居家专用）功能要求：</w:t>
            </w:r>
          </w:p>
          <w:p>
            <w:pPr>
              <w:ind w:firstLine="380"/>
              <w:jc w:val="left"/>
            </w:pPr>
            <w:r>
              <w:rPr>
                <w:color w:val="000000"/>
                <w:sz w:val="19"/>
              </w:rPr>
              <w:t>①呼叫求助功能：呼叫器上的按键简单易操作，服务对象如需帮助，只需一键呼叫即可拨出设置的呼叫电话，并配备可在沐浴时使用的防水遥控器。</w:t>
            </w:r>
          </w:p>
          <w:p>
            <w:pPr>
              <w:ind w:firstLine="380"/>
              <w:jc w:val="left"/>
            </w:pPr>
            <w:r>
              <w:rPr>
                <w:color w:val="000000"/>
                <w:sz w:val="19"/>
              </w:rPr>
              <w:t>②故障提醒功能：出现后备电池电量低、交流缺电等情况设备自动提醒平台。</w:t>
            </w:r>
          </w:p>
          <w:p>
            <w:pPr>
              <w:ind w:firstLine="380"/>
              <w:jc w:val="left"/>
            </w:pPr>
            <w:r>
              <w:rPr>
                <w:color w:val="000000"/>
                <w:sz w:val="19"/>
              </w:rPr>
              <w:t>③异地操作功能：服务平台可远程对呼叫器主机进行编程和管理。</w:t>
            </w:r>
          </w:p>
          <w:p>
            <w:pPr>
              <w:ind w:firstLine="380"/>
              <w:jc w:val="left"/>
            </w:pPr>
            <w:r>
              <w:rPr>
                <w:color w:val="000000"/>
                <w:sz w:val="19"/>
              </w:rPr>
              <w:t>④应配备内置后备电池：交流电断开时，呼叫器自动转为后备电池供电，确保呼叫器在意外停电情况下可以正常工作。</w:t>
            </w:r>
          </w:p>
          <w:p>
            <w:pPr>
              <w:ind w:firstLine="380"/>
              <w:jc w:val="left"/>
            </w:pPr>
            <w:r>
              <w:rPr>
                <w:color w:val="000000"/>
                <w:sz w:val="19"/>
              </w:rPr>
              <w:t>⑤抢线呼叫功能，如非紧急用户占满线路时，为确保紧急电话不受影响，呼叫器会自动断开话机。</w:t>
            </w:r>
          </w:p>
          <w:p>
            <w:pPr>
              <w:jc w:val="left"/>
            </w:pPr>
            <w:r>
              <w:rPr>
                <w:color w:val="000000"/>
                <w:sz w:val="19"/>
              </w:rPr>
              <w:t>⑥具备呼入管理功能，当用指定平台服务号码呼入呼叫器时，智能识别号码并发出响铃声，通过该功能用户有效的识别电话来电并接听电话，如不是约定服务号码拨入时，呼叫器不会发出响铃声。</w:t>
            </w:r>
          </w:p>
          <w:p>
            <w:pPr>
              <w:jc w:val="left"/>
            </w:pPr>
            <w:r>
              <w:rPr>
                <w:color w:val="000000"/>
                <w:sz w:val="19"/>
              </w:rPr>
              <w:t>⑦基本资费</w:t>
            </w:r>
          </w:p>
          <w:tbl>
            <w:tblPr>
              <w:tblBorders>
                <w:top w:val="none" w:color="000000" w:sz="4"/>
                <w:left w:val="none" w:color="000000" w:sz="4"/>
                <w:bottom w:val="none" w:color="000000" w:sz="4"/>
                <w:right w:val="none" w:color="000000" w:sz="4"/>
                <w:insideH w:val="none"/>
                <w:insideV w:val="none"/>
              </w:tblBorders>
            </w:tblPr>
            <w:tblGrid>
              <w:gridCol w:w="825"/>
              <w:gridCol w:w="825"/>
              <w:gridCol w:w="1022"/>
              <w:gridCol w:w="879"/>
              <w:gridCol w:w="924"/>
              <w:gridCol w:w="1103"/>
            </w:tblGrid>
            <w:tr>
              <w:tc>
                <w:tcPr>
                  <w:tcW w:type="dxa" w:w="825"/>
                  <w:vMerge w:val="restart"/>
                  <w:tcBorders>
                    <w:top w:val="single" w:color="000000" w:sz="4"/>
                    <w:left w:val="single" w:color="000000" w:sz="4"/>
                    <w:bottom w:val="single" w:color="000000" w:sz="4"/>
                    <w:right w:val="single" w:color="000000" w:sz="4"/>
                  </w:tcBorders>
                  <w:vAlign w:val="top"/>
                </w:tcPr>
                <w:p>
                  <w:pPr>
                    <w:jc w:val="left"/>
                  </w:pPr>
                  <w:r>
                    <w:rPr>
                      <w:color w:val="000000"/>
                      <w:sz w:val="19"/>
                    </w:rPr>
                    <w:t>对象类别</w:t>
                  </w:r>
                </w:p>
              </w:tc>
              <w:tc>
                <w:tcPr>
                  <w:tcW w:type="dxa" w:w="4753"/>
                  <w:gridSpan w:val="5"/>
                  <w:tcBorders>
                    <w:top w:val="single" w:color="000000" w:sz="4"/>
                    <w:left w:val="single" w:color="000000" w:sz="4"/>
                    <w:bottom w:val="single" w:color="000000" w:sz="4"/>
                    <w:right w:val="single" w:color="000000" w:sz="4"/>
                  </w:tcBorders>
                  <w:vAlign w:val="top"/>
                </w:tcPr>
                <w:p>
                  <w:pPr>
                    <w:ind w:firstLine="480"/>
                    <w:jc w:val="left"/>
                  </w:pPr>
                  <w:r>
                    <w:rPr>
                      <w:color w:val="000000"/>
                      <w:sz w:val="19"/>
                    </w:rPr>
                    <w:t>费用类型</w:t>
                  </w:r>
                </w:p>
              </w:tc>
            </w:tr>
            <w:tr>
              <w:tc>
                <w:tcPr>
                  <w:tcW w:type="dxa" w:w="825"/>
                  <w:vMerge/>
                  <w:tcBorders>
                    <w:top w:val="single" w:color="000000" w:sz="4"/>
                    <w:left w:val="single" w:color="000000" w:sz="4"/>
                    <w:bottom w:val="single" w:color="000000" w:sz="4"/>
                    <w:right w:val="single" w:color="000000" w:sz="4"/>
                  </w:tcBorders>
                </w:tcPr>
                <w:p/>
              </w:tc>
              <w:tc>
                <w:tcPr>
                  <w:tcW w:type="dxa" w:w="825"/>
                  <w:tcBorders>
                    <w:top w:val="none" w:color="000000" w:sz="4"/>
                    <w:left w:val="single" w:color="000000" w:sz="4"/>
                    <w:bottom w:val="single" w:color="000000" w:sz="4"/>
                    <w:right w:val="single" w:color="000000" w:sz="4"/>
                  </w:tcBorders>
                  <w:vAlign w:val="top"/>
                </w:tcPr>
                <w:p>
                  <w:pPr>
                    <w:jc w:val="left"/>
                  </w:pPr>
                  <w:r>
                    <w:rPr>
                      <w:color w:val="000000"/>
                      <w:sz w:val="19"/>
                    </w:rPr>
                    <w:t>平安通话机</w:t>
                  </w:r>
                </w:p>
                <w:p>
                  <w:pPr>
                    <w:jc w:val="left"/>
                  </w:pPr>
                  <w:r>
                    <w:rPr>
                      <w:color w:val="000000"/>
                      <w:sz w:val="19"/>
                    </w:rPr>
                    <w:t>每部</w:t>
                  </w:r>
                  <w:r>
                    <w:rPr>
                      <w:color w:val="000000"/>
                      <w:sz w:val="19"/>
                    </w:rPr>
                    <w:t>230元（4G)</w:t>
                  </w:r>
                </w:p>
              </w:tc>
              <w:tc>
                <w:tcPr>
                  <w:tcW w:type="dxa" w:w="1022"/>
                  <w:tcBorders>
                    <w:top w:val="single" w:color="000000" w:sz="4"/>
                    <w:left w:val="single" w:color="000000" w:sz="4"/>
                    <w:bottom w:val="single" w:color="000000" w:sz="4"/>
                    <w:right w:val="single" w:color="000000" w:sz="4"/>
                  </w:tcBorders>
                  <w:vAlign w:val="top"/>
                </w:tcPr>
                <w:p>
                  <w:pPr>
                    <w:jc w:val="left"/>
                  </w:pPr>
                  <w:r>
                    <w:rPr>
                      <w:color w:val="000000"/>
                      <w:sz w:val="19"/>
                    </w:rPr>
                    <w:t>平台运营服务费每月</w:t>
                  </w:r>
                  <w:r>
                    <w:rPr>
                      <w:color w:val="000000"/>
                      <w:sz w:val="19"/>
                    </w:rPr>
                    <w:t>14元</w:t>
                  </w:r>
                </w:p>
              </w:tc>
              <w:tc>
                <w:tcPr>
                  <w:tcW w:type="dxa" w:w="879"/>
                  <w:tcBorders>
                    <w:top w:val="single" w:color="000000" w:sz="4"/>
                    <w:left w:val="single" w:color="000000" w:sz="4"/>
                    <w:bottom w:val="single" w:color="000000" w:sz="4"/>
                    <w:right w:val="single" w:color="000000" w:sz="4"/>
                  </w:tcBorders>
                  <w:vAlign w:val="top"/>
                </w:tcPr>
                <w:p>
                  <w:pPr>
                    <w:jc w:val="left"/>
                  </w:pPr>
                  <w:r>
                    <w:rPr>
                      <w:color w:val="000000"/>
                      <w:sz w:val="19"/>
                    </w:rPr>
                    <w:t>后援支持服务费每月</w:t>
                  </w:r>
                  <w:r>
                    <w:rPr>
                      <w:color w:val="000000"/>
                      <w:sz w:val="19"/>
                    </w:rPr>
                    <w:t>12月</w:t>
                  </w:r>
                </w:p>
              </w:tc>
              <w:tc>
                <w:tcPr>
                  <w:tcW w:type="dxa" w:w="924"/>
                  <w:tcBorders>
                    <w:top w:val="single" w:color="000000" w:sz="4"/>
                    <w:left w:val="single" w:color="000000" w:sz="4"/>
                    <w:bottom w:val="single" w:color="000000" w:sz="4"/>
                    <w:right w:val="single" w:color="000000" w:sz="4"/>
                  </w:tcBorders>
                  <w:vAlign w:val="top"/>
                </w:tcPr>
                <w:p>
                  <w:pPr>
                    <w:jc w:val="left"/>
                  </w:pPr>
                  <w:r>
                    <w:rPr>
                      <w:color w:val="000000"/>
                      <w:sz w:val="19"/>
                    </w:rPr>
                    <w:t>一次性话机</w:t>
                  </w:r>
                </w:p>
                <w:p>
                  <w:pPr>
                    <w:jc w:val="left"/>
                  </w:pPr>
                  <w:r>
                    <w:rPr>
                      <w:color w:val="000000"/>
                      <w:sz w:val="19"/>
                    </w:rPr>
                    <w:t>安装费</w:t>
                  </w:r>
                  <w:r>
                    <w:rPr>
                      <w:color w:val="000000"/>
                      <w:sz w:val="19"/>
                    </w:rPr>
                    <w:t>35元</w:t>
                  </w:r>
                </w:p>
              </w:tc>
              <w:tc>
                <w:tcPr>
                  <w:tcW w:type="dxa" w:w="1103"/>
                  <w:tcBorders>
                    <w:top w:val="single" w:color="000000" w:sz="4"/>
                    <w:left w:val="single" w:color="000000" w:sz="4"/>
                    <w:bottom w:val="single" w:color="000000" w:sz="4"/>
                    <w:right w:val="single" w:color="000000" w:sz="4"/>
                  </w:tcBorders>
                  <w:vAlign w:val="top"/>
                </w:tcPr>
                <w:p>
                  <w:pPr>
                    <w:ind w:firstLine="480"/>
                    <w:jc w:val="left"/>
                  </w:pPr>
                  <w:r>
                    <w:rPr>
                      <w:color w:val="000000"/>
                      <w:sz w:val="19"/>
                    </w:rPr>
                    <w:t>通讯费</w:t>
                  </w:r>
                </w:p>
                <w:p>
                  <w:pPr>
                    <w:ind w:firstLine="480"/>
                    <w:jc w:val="left"/>
                  </w:pPr>
                  <w:r>
                    <w:rPr>
                      <w:color w:val="000000"/>
                      <w:sz w:val="19"/>
                    </w:rPr>
                    <w:t>每月</w:t>
                  </w:r>
                  <w:r>
                    <w:rPr>
                      <w:color w:val="000000"/>
                      <w:sz w:val="19"/>
                    </w:rPr>
                    <w:t>8元</w:t>
                  </w:r>
                </w:p>
              </w:tc>
            </w:tr>
            <w:tr>
              <w:tc>
                <w:tcPr>
                  <w:tcW w:type="dxa" w:w="825"/>
                  <w:tcBorders>
                    <w:top w:val="none" w:color="000000" w:sz="4"/>
                    <w:left w:val="single" w:color="000000" w:sz="4"/>
                    <w:bottom w:val="single" w:color="000000" w:sz="4"/>
                    <w:right w:val="single" w:color="000000" w:sz="4"/>
                  </w:tcBorders>
                  <w:vAlign w:val="top"/>
                </w:tcPr>
                <w:p>
                  <w:pPr>
                    <w:ind w:firstLine="480"/>
                    <w:jc w:val="left"/>
                  </w:pPr>
                  <w:r>
                    <w:rPr>
                      <w:color w:val="000000"/>
                      <w:sz w:val="19"/>
                    </w:rPr>
                    <w:t>政府资</w:t>
                  </w:r>
                </w:p>
                <w:p>
                  <w:pPr>
                    <w:ind w:firstLine="480"/>
                    <w:jc w:val="left"/>
                  </w:pPr>
                  <w:r>
                    <w:rPr>
                      <w:color w:val="000000"/>
                      <w:sz w:val="19"/>
                    </w:rPr>
                    <w:t>助对象</w:t>
                  </w:r>
                </w:p>
              </w:tc>
              <w:tc>
                <w:tcPr>
                  <w:tcW w:type="dxa" w:w="825"/>
                  <w:tcBorders>
                    <w:top w:val="none" w:color="000000" w:sz="4"/>
                    <w:left w:val="single" w:color="000000" w:sz="4"/>
                    <w:bottom w:val="single" w:color="000000" w:sz="4"/>
                    <w:right w:val="single" w:color="000000" w:sz="4"/>
                  </w:tcBorders>
                  <w:vAlign w:val="top"/>
                </w:tcPr>
                <w:p>
                  <w:pPr>
                    <w:ind w:firstLine="480"/>
                    <w:jc w:val="left"/>
                  </w:pPr>
                  <w:r>
                    <w:rPr>
                      <w:color w:val="000000"/>
                      <w:sz w:val="19"/>
                    </w:rPr>
                    <w:t>全额</w:t>
                  </w:r>
                </w:p>
                <w:p>
                  <w:pPr>
                    <w:ind w:firstLine="480"/>
                    <w:jc w:val="left"/>
                  </w:pPr>
                  <w:r>
                    <w:rPr>
                      <w:color w:val="000000"/>
                      <w:sz w:val="19"/>
                    </w:rPr>
                    <w:t>资助</w:t>
                  </w:r>
                </w:p>
              </w:tc>
              <w:tc>
                <w:tcPr>
                  <w:tcW w:type="dxa" w:w="1022"/>
                  <w:tcBorders>
                    <w:top w:val="none" w:color="000000" w:sz="4"/>
                    <w:left w:val="single" w:color="000000" w:sz="4"/>
                    <w:bottom w:val="single" w:color="000000" w:sz="4"/>
                    <w:right w:val="single" w:color="000000" w:sz="4"/>
                  </w:tcBorders>
                  <w:vAlign w:val="top"/>
                </w:tcPr>
                <w:p>
                  <w:pPr>
                    <w:ind w:firstLine="480"/>
                    <w:jc w:val="left"/>
                  </w:pPr>
                  <w:r>
                    <w:rPr>
                      <w:color w:val="000000"/>
                      <w:sz w:val="19"/>
                    </w:rPr>
                    <w:t>全额</w:t>
                  </w:r>
                </w:p>
                <w:p>
                  <w:pPr>
                    <w:ind w:firstLine="480"/>
                    <w:jc w:val="left"/>
                  </w:pPr>
                  <w:r>
                    <w:rPr>
                      <w:color w:val="000000"/>
                      <w:sz w:val="19"/>
                    </w:rPr>
                    <w:t>资助</w:t>
                  </w:r>
                </w:p>
              </w:tc>
              <w:tc>
                <w:tcPr>
                  <w:tcW w:type="dxa" w:w="879"/>
                  <w:tcBorders>
                    <w:top w:val="none" w:color="000000" w:sz="4"/>
                    <w:left w:val="single" w:color="000000" w:sz="4"/>
                    <w:bottom w:val="single" w:color="000000" w:sz="4"/>
                    <w:right w:val="single" w:color="000000" w:sz="4"/>
                  </w:tcBorders>
                  <w:vAlign w:val="top"/>
                </w:tcPr>
                <w:p>
                  <w:pPr>
                    <w:ind w:firstLine="480"/>
                    <w:jc w:val="left"/>
                  </w:pPr>
                  <w:r>
                    <w:rPr>
                      <w:color w:val="000000"/>
                      <w:sz w:val="19"/>
                    </w:rPr>
                    <w:t>全额</w:t>
                  </w:r>
                </w:p>
                <w:p>
                  <w:pPr>
                    <w:ind w:firstLine="480"/>
                    <w:jc w:val="left"/>
                  </w:pPr>
                  <w:r>
                    <w:rPr>
                      <w:color w:val="000000"/>
                      <w:sz w:val="19"/>
                    </w:rPr>
                    <w:t>资助</w:t>
                  </w:r>
                </w:p>
              </w:tc>
              <w:tc>
                <w:tcPr>
                  <w:tcW w:type="dxa" w:w="924"/>
                  <w:tcBorders>
                    <w:top w:val="none" w:color="000000" w:sz="4"/>
                    <w:left w:val="single" w:color="000000" w:sz="4"/>
                    <w:bottom w:val="single" w:color="000000" w:sz="4"/>
                    <w:right w:val="single" w:color="000000" w:sz="4"/>
                  </w:tcBorders>
                  <w:vAlign w:val="top"/>
                </w:tcPr>
                <w:p>
                  <w:pPr>
                    <w:ind w:firstLine="480"/>
                    <w:jc w:val="left"/>
                  </w:pPr>
                  <w:r>
                    <w:rPr>
                      <w:color w:val="000000"/>
                      <w:sz w:val="19"/>
                    </w:rPr>
                    <w:t>全额</w:t>
                  </w:r>
                </w:p>
                <w:p>
                  <w:pPr>
                    <w:ind w:firstLine="480"/>
                    <w:jc w:val="left"/>
                  </w:pPr>
                  <w:r>
                    <w:rPr>
                      <w:color w:val="000000"/>
                      <w:sz w:val="19"/>
                    </w:rPr>
                    <w:t>资助</w:t>
                  </w:r>
                </w:p>
              </w:tc>
              <w:tc>
                <w:tcPr>
                  <w:tcW w:type="dxa" w:w="1103"/>
                  <w:tcBorders>
                    <w:top w:val="none" w:color="000000" w:sz="4"/>
                    <w:left w:val="single" w:color="000000" w:sz="4"/>
                    <w:bottom w:val="single" w:color="000000" w:sz="4"/>
                    <w:right w:val="single" w:color="000000" w:sz="4"/>
                  </w:tcBorders>
                  <w:vAlign w:val="top"/>
                </w:tcPr>
                <w:p>
                  <w:pPr>
                    <w:ind w:firstLine="480"/>
                    <w:jc w:val="left"/>
                  </w:pPr>
                  <w:r>
                    <w:rPr>
                      <w:color w:val="000000"/>
                      <w:sz w:val="19"/>
                    </w:rPr>
                    <w:t>全额</w:t>
                  </w:r>
                </w:p>
                <w:p>
                  <w:pPr>
                    <w:ind w:firstLine="480"/>
                    <w:jc w:val="left"/>
                  </w:pPr>
                  <w:r>
                    <w:rPr>
                      <w:color w:val="000000"/>
                      <w:sz w:val="19"/>
                    </w:rPr>
                    <w:t>资助</w:t>
                  </w:r>
                </w:p>
              </w:tc>
            </w:tr>
          </w:tbl>
          <w:p>
            <w:pPr>
              <w:jc w:val="left"/>
            </w:pPr>
          </w:p>
          <w:p>
            <w:pPr>
              <w:jc w:val="left"/>
            </w:pPr>
          </w:p>
          <w:p>
            <w:pPr>
              <w:jc w:val="left"/>
            </w:pPr>
          </w:p>
          <w:p>
            <w:pPr>
              <w:jc w:val="left"/>
            </w:pPr>
          </w:p>
          <w:p>
            <w:pPr>
              <w:jc w:val="left"/>
            </w:pPr>
            <w:r>
              <w:rPr>
                <w:color w:val="000000"/>
                <w:sz w:val="19"/>
              </w:rPr>
              <w:t>三、</w:t>
            </w:r>
            <w:r>
              <w:rPr>
                <w:color w:val="000000"/>
                <w:sz w:val="19"/>
              </w:rPr>
              <w:t>平台运营要求</w:t>
            </w:r>
          </w:p>
          <w:tbl>
            <w:tblPr>
              <w:tblBorders>
                <w:top w:val="none" w:color="000000" w:sz="4"/>
                <w:left w:val="none" w:color="000000" w:sz="4"/>
                <w:bottom w:val="none" w:color="000000" w:sz="4"/>
                <w:right w:val="none" w:color="000000" w:sz="4"/>
                <w:insideH w:val="none"/>
                <w:insideV w:val="none"/>
              </w:tblBorders>
            </w:tblPr>
            <w:tblGrid>
              <w:gridCol w:w="782"/>
              <w:gridCol w:w="801"/>
              <w:gridCol w:w="1629"/>
              <w:gridCol w:w="1574"/>
              <w:gridCol w:w="810"/>
            </w:tblGrid>
            <w:tr>
              <w:tc>
                <w:tcPr>
                  <w:tcW w:type="dxa" w:w="782"/>
                  <w:tcBorders>
                    <w:top w:val="single" w:color="000000" w:sz="4"/>
                    <w:left w:val="single" w:color="000000" w:sz="4"/>
                    <w:bottom w:val="single" w:color="000000" w:sz="4"/>
                    <w:right w:val="single" w:color="000000" w:sz="4"/>
                  </w:tcBorders>
                  <w:vAlign w:val="top"/>
                </w:tcPr>
                <w:p>
                  <w:pPr>
                    <w:jc w:val="center"/>
                  </w:pPr>
                  <w:r>
                    <w:rPr>
                      <w:color w:val="000000"/>
                      <w:sz w:val="19"/>
                    </w:rPr>
                    <w:t>一级内容</w:t>
                  </w:r>
                </w:p>
              </w:tc>
              <w:tc>
                <w:tcPr>
                  <w:tcW w:type="dxa" w:w="801"/>
                  <w:tcBorders>
                    <w:top w:val="single" w:color="000000" w:sz="4"/>
                    <w:left w:val="single" w:color="000000" w:sz="4"/>
                    <w:bottom w:val="single" w:color="000000" w:sz="4"/>
                    <w:right w:val="single" w:color="000000" w:sz="4"/>
                  </w:tcBorders>
                  <w:vAlign w:val="top"/>
                </w:tcPr>
                <w:p>
                  <w:pPr>
                    <w:jc w:val="center"/>
                  </w:pPr>
                  <w:r>
                    <w:rPr>
                      <w:color w:val="000000"/>
                      <w:sz w:val="19"/>
                    </w:rPr>
                    <w:t>二级内容</w:t>
                  </w:r>
                </w:p>
              </w:tc>
              <w:tc>
                <w:tcPr>
                  <w:tcW w:type="dxa" w:w="1629"/>
                  <w:tcBorders>
                    <w:top w:val="single" w:color="000000" w:sz="4"/>
                    <w:left w:val="single" w:color="000000" w:sz="4"/>
                    <w:bottom w:val="single" w:color="000000" w:sz="4"/>
                    <w:right w:val="single" w:color="000000" w:sz="4"/>
                  </w:tcBorders>
                  <w:vAlign w:val="top"/>
                </w:tcPr>
                <w:p>
                  <w:pPr>
                    <w:jc w:val="center"/>
                  </w:pPr>
                  <w:r>
                    <w:rPr>
                      <w:color w:val="000000"/>
                      <w:sz w:val="19"/>
                    </w:rPr>
                    <w:t>对应指标</w:t>
                  </w:r>
                </w:p>
              </w:tc>
              <w:tc>
                <w:tcPr>
                  <w:tcW w:type="dxa" w:w="1574"/>
                  <w:tcBorders>
                    <w:top w:val="single" w:color="000000" w:sz="4"/>
                    <w:left w:val="single" w:color="000000" w:sz="4"/>
                    <w:bottom w:val="single" w:color="000000" w:sz="4"/>
                    <w:right w:val="single" w:color="000000" w:sz="4"/>
                  </w:tcBorders>
                  <w:vAlign w:val="top"/>
                </w:tcPr>
                <w:p>
                  <w:pPr>
                    <w:jc w:val="center"/>
                  </w:pPr>
                  <w:r>
                    <w:rPr>
                      <w:color w:val="000000"/>
                      <w:sz w:val="19"/>
                    </w:rPr>
                    <w:t>指标说明</w:t>
                  </w:r>
                </w:p>
              </w:tc>
              <w:tc>
                <w:tcPr>
                  <w:tcW w:type="dxa" w:w="810"/>
                  <w:tcBorders>
                    <w:top w:val="single" w:color="000000" w:sz="4"/>
                    <w:left w:val="single" w:color="000000" w:sz="4"/>
                    <w:bottom w:val="single" w:color="000000" w:sz="4"/>
                    <w:right w:val="single" w:color="000000" w:sz="4"/>
                  </w:tcBorders>
                  <w:vAlign w:val="top"/>
                </w:tcPr>
                <w:p>
                  <w:pPr>
                    <w:jc w:val="center"/>
                  </w:pPr>
                  <w:r>
                    <w:rPr>
                      <w:color w:val="000000"/>
                      <w:sz w:val="19"/>
                    </w:rPr>
                    <w:t>目标值</w:t>
                  </w:r>
                </w:p>
              </w:tc>
            </w:tr>
            <w:tr>
              <w:tc>
                <w:tcPr>
                  <w:tcW w:type="dxa" w:w="782"/>
                  <w:vMerge w:val="restart"/>
                  <w:tcBorders>
                    <w:top w:val="none" w:color="000000" w:sz="4"/>
                    <w:left w:val="single" w:color="000000" w:sz="4"/>
                    <w:bottom w:val="single" w:color="000000" w:sz="4"/>
                    <w:right w:val="single" w:color="000000" w:sz="4"/>
                  </w:tcBorders>
                  <w:vAlign w:val="top"/>
                </w:tcPr>
                <w:p>
                  <w:pPr>
                    <w:jc w:val="left"/>
                  </w:pPr>
                  <w:r>
                    <w:rPr>
                      <w:color w:val="000000"/>
                      <w:sz w:val="19"/>
                    </w:rPr>
                    <w:t>平台运营</w:t>
                  </w:r>
                </w:p>
              </w:tc>
              <w:tc>
                <w:tcPr>
                  <w:tcW w:type="dxa" w:w="801"/>
                  <w:vMerge w:val="restart"/>
                  <w:tcBorders>
                    <w:top w:val="none" w:color="000000" w:sz="4"/>
                    <w:left w:val="single" w:color="000000" w:sz="4"/>
                    <w:bottom w:val="single" w:color="000000" w:sz="4"/>
                    <w:right w:val="single" w:color="000000" w:sz="4"/>
                  </w:tcBorders>
                  <w:vAlign w:val="top"/>
                </w:tcPr>
                <w:p>
                  <w:pPr>
                    <w:jc w:val="left"/>
                  </w:pPr>
                  <w:r>
                    <w:rPr>
                      <w:color w:val="000000"/>
                      <w:sz w:val="19"/>
                    </w:rPr>
                    <w:t>平台基础服务</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建档率</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为服务对象进行评估并建立电子档案。</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紧急呼援服务应答率</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接通电话量</w:t>
                  </w:r>
                  <w:r>
                    <w:rPr>
                      <w:color w:val="000000"/>
                      <w:sz w:val="19"/>
                    </w:rPr>
                    <w:t>/</w:t>
                  </w:r>
                  <w:r>
                    <w:rPr>
                      <w:color w:val="000000"/>
                      <w:sz w:val="19"/>
                    </w:rPr>
                    <w:t>总呼入量</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主动关</w:t>
                  </w:r>
                  <w:r>
                    <w:rPr>
                      <w:color w:val="000000"/>
                      <w:sz w:val="19"/>
                    </w:rPr>
                    <w:t>爱</w:t>
                  </w:r>
                  <w:r>
                    <w:rPr>
                      <w:color w:val="000000"/>
                      <w:sz w:val="19"/>
                    </w:rPr>
                    <w:t>服务应答率</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接通电话量</w:t>
                  </w:r>
                  <w:r>
                    <w:rPr>
                      <w:color w:val="000000"/>
                      <w:sz w:val="19"/>
                    </w:rPr>
                    <w:t>/</w:t>
                  </w:r>
                  <w:r>
                    <w:rPr>
                      <w:color w:val="000000"/>
                      <w:sz w:val="19"/>
                    </w:rPr>
                    <w:t>总呼入量</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主动关</w:t>
                  </w:r>
                  <w:r>
                    <w:rPr>
                      <w:color w:val="000000"/>
                      <w:sz w:val="19"/>
                    </w:rPr>
                    <w:t>爱</w:t>
                  </w:r>
                  <w:r>
                    <w:rPr>
                      <w:color w:val="000000"/>
                      <w:sz w:val="19"/>
                    </w:rPr>
                    <w:t>服务回复率</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服务对象未接电话的回复率</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主动关</w:t>
                  </w:r>
                  <w:r>
                    <w:rPr>
                      <w:color w:val="000000"/>
                      <w:sz w:val="19"/>
                    </w:rPr>
                    <w:t>爱</w:t>
                  </w:r>
                  <w:r>
                    <w:rPr>
                      <w:color w:val="000000"/>
                      <w:sz w:val="19"/>
                    </w:rPr>
                    <w:t>服务月度服务范围</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每人每月至少</w:t>
                  </w:r>
                  <w:r>
                    <w:rPr>
                      <w:color w:val="000000"/>
                      <w:sz w:val="19"/>
                    </w:rPr>
                    <w:t>1</w:t>
                  </w:r>
                  <w:r>
                    <w:rPr>
                      <w:color w:val="000000"/>
                      <w:sz w:val="19"/>
                    </w:rPr>
                    <w:t>次</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对象服务满意度</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对服务对象进行抽查，抽查服务满意度</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大于</w:t>
                  </w:r>
                  <w:r>
                    <w:rPr>
                      <w:color w:val="000000"/>
                      <w:sz w:val="19"/>
                    </w:rPr>
                    <w:t>85%</w:t>
                  </w:r>
                </w:p>
              </w:tc>
            </w:tr>
            <w:tr>
              <w:tc>
                <w:tcPr>
                  <w:tcW w:type="dxa" w:w="782"/>
                  <w:vMerge/>
                  <w:tcBorders>
                    <w:top w:val="none" w:color="000000" w:sz="4"/>
                    <w:left w:val="single" w:color="000000" w:sz="4"/>
                    <w:bottom w:val="single" w:color="000000" w:sz="4"/>
                    <w:right w:val="single" w:color="000000" w:sz="4"/>
                  </w:tcBorders>
                </w:tcPr>
                <w:p/>
              </w:tc>
              <w:tc>
                <w:tcPr>
                  <w:tcW w:type="dxa" w:w="801"/>
                  <w:vMerge w:val="restart"/>
                  <w:tcBorders>
                    <w:top w:val="none" w:color="000000" w:sz="4"/>
                    <w:left w:val="single" w:color="000000" w:sz="4"/>
                    <w:bottom w:val="single" w:color="000000" w:sz="4"/>
                    <w:right w:val="single" w:color="000000" w:sz="4"/>
                  </w:tcBorders>
                  <w:vAlign w:val="top"/>
                </w:tcPr>
                <w:p>
                  <w:pPr>
                    <w:jc w:val="left"/>
                  </w:pPr>
                  <w:r>
                    <w:rPr>
                      <w:color w:val="000000"/>
                      <w:sz w:val="19"/>
                    </w:rPr>
                    <w:t>外勤服务</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装机时效</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按照与镇街协商的进度进行</w:t>
                  </w:r>
                </w:p>
              </w:tc>
              <w:tc>
                <w:tcPr>
                  <w:tcW w:type="dxa" w:w="810"/>
                  <w:tcBorders>
                    <w:top w:val="none" w:color="000000" w:sz="4"/>
                    <w:left w:val="single" w:color="000000" w:sz="4"/>
                    <w:bottom w:val="single" w:color="000000" w:sz="4"/>
                    <w:right w:val="single" w:color="000000" w:sz="4"/>
                  </w:tcBorders>
                  <w:vAlign w:val="top"/>
                </w:tcPr>
                <w:p>
                  <w:pPr>
                    <w:jc w:val="left"/>
                  </w:pPr>
                  <w:r>
                    <w:rPr>
                      <w:color w:val="000000"/>
                      <w:sz w:val="19"/>
                    </w:rPr>
                    <w:t>准时度高于</w:t>
                  </w:r>
                  <w:r>
                    <w:rPr>
                      <w:color w:val="000000"/>
                      <w:sz w:val="19"/>
                    </w:rPr>
                    <w:t>90%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维修时效</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在收到对象或社区通知的</w:t>
                  </w:r>
                  <w:r>
                    <w:rPr>
                      <w:color w:val="000000"/>
                      <w:sz w:val="19"/>
                    </w:rPr>
                    <w:t>7</w:t>
                  </w:r>
                  <w:r>
                    <w:rPr>
                      <w:color w:val="000000"/>
                      <w:sz w:val="19"/>
                    </w:rPr>
                    <w:t>个工作日内回应并解决</w:t>
                  </w:r>
                </w:p>
              </w:tc>
              <w:tc>
                <w:tcPr>
                  <w:tcW w:type="dxa" w:w="810"/>
                  <w:tcBorders>
                    <w:top w:val="none" w:color="000000" w:sz="4"/>
                    <w:left w:val="single" w:color="000000" w:sz="4"/>
                    <w:bottom w:val="single" w:color="000000" w:sz="4"/>
                    <w:right w:val="single" w:color="000000" w:sz="4"/>
                  </w:tcBorders>
                  <w:vAlign w:val="top"/>
                </w:tcPr>
                <w:p>
                  <w:pPr>
                    <w:jc w:val="left"/>
                  </w:pPr>
                  <w:r>
                    <w:rPr>
                      <w:color w:val="000000"/>
                      <w:sz w:val="19"/>
                    </w:rPr>
                    <w:t>准时度</w:t>
                  </w: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回收时效</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在收到对象或社区通知的</w:t>
                  </w:r>
                  <w:r>
                    <w:rPr>
                      <w:color w:val="000000"/>
                      <w:sz w:val="19"/>
                    </w:rPr>
                    <w:t>15</w:t>
                  </w:r>
                  <w:r>
                    <w:rPr>
                      <w:color w:val="000000"/>
                      <w:sz w:val="19"/>
                    </w:rPr>
                    <w:t>个工作日内回应并解决</w:t>
                  </w:r>
                </w:p>
              </w:tc>
              <w:tc>
                <w:tcPr>
                  <w:tcW w:type="dxa" w:w="810"/>
                  <w:tcBorders>
                    <w:top w:val="none" w:color="000000" w:sz="4"/>
                    <w:left w:val="single" w:color="000000" w:sz="4"/>
                    <w:bottom w:val="single" w:color="000000" w:sz="4"/>
                    <w:right w:val="single" w:color="000000" w:sz="4"/>
                  </w:tcBorders>
                  <w:vAlign w:val="top"/>
                </w:tcPr>
                <w:p>
                  <w:pPr>
                    <w:jc w:val="left"/>
                  </w:pPr>
                  <w:r>
                    <w:rPr>
                      <w:color w:val="000000"/>
                      <w:sz w:val="19"/>
                    </w:rPr>
                    <w:t>准时度高于</w:t>
                  </w:r>
                  <w:r>
                    <w:rPr>
                      <w:color w:val="000000"/>
                      <w:sz w:val="19"/>
                    </w:rPr>
                    <w:t>90%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紧急医疗资源对接</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凡有</w:t>
                  </w:r>
                  <w:r>
                    <w:rPr>
                      <w:color w:val="000000"/>
                      <w:sz w:val="19"/>
                    </w:rPr>
                    <w:t>120</w:t>
                  </w:r>
                  <w:r>
                    <w:rPr>
                      <w:color w:val="000000"/>
                      <w:sz w:val="19"/>
                    </w:rPr>
                    <w:t>急救中心及各应急点全覆盖</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危机边缘介入转介率</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转介给相关机构或部门</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val="restart"/>
                  <w:tcBorders>
                    <w:top w:val="none" w:color="000000" w:sz="4"/>
                    <w:left w:val="single" w:color="000000" w:sz="4"/>
                    <w:bottom w:val="single" w:color="000000" w:sz="4"/>
                    <w:right w:val="single" w:color="000000" w:sz="4"/>
                  </w:tcBorders>
                  <w:vAlign w:val="top"/>
                </w:tcPr>
                <w:p>
                  <w:pPr>
                    <w:jc w:val="left"/>
                  </w:pPr>
                  <w:r>
                    <w:rPr>
                      <w:color w:val="000000"/>
                      <w:sz w:val="19"/>
                    </w:rPr>
                    <w:t>恒常落地支援服务</w:t>
                  </w:r>
                </w:p>
              </w:tc>
              <w:tc>
                <w:tcPr>
                  <w:tcW w:type="dxa" w:w="801"/>
                  <w:vMerge w:val="restart"/>
                  <w:tcBorders>
                    <w:top w:val="none" w:color="000000" w:sz="4"/>
                    <w:left w:val="single" w:color="000000" w:sz="4"/>
                    <w:bottom w:val="single" w:color="000000" w:sz="4"/>
                    <w:right w:val="single" w:color="000000" w:sz="4"/>
                  </w:tcBorders>
                  <w:vAlign w:val="top"/>
                </w:tcPr>
                <w:p>
                  <w:pPr>
                    <w:jc w:val="left"/>
                  </w:pPr>
                  <w:r>
                    <w:rPr>
                      <w:color w:val="000000"/>
                      <w:sz w:val="19"/>
                    </w:rPr>
                    <w:t>联络机制</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与</w:t>
                  </w:r>
                  <w:r>
                    <w:rPr>
                      <w:color w:val="000000"/>
                      <w:sz w:val="19"/>
                    </w:rPr>
                    <w:t>合作</w:t>
                  </w:r>
                  <w:r>
                    <w:rPr>
                      <w:color w:val="000000"/>
                      <w:sz w:val="19"/>
                    </w:rPr>
                    <w:t>相关方联络机制</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每季度至少一次沟通（书面或口头形式均可）</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服务转介率</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将服务对象转介给相应的组织进行跟进</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80%</w:t>
                  </w:r>
                </w:p>
              </w:tc>
            </w:tr>
            <w:tr>
              <w:tc>
                <w:tcPr>
                  <w:tcW w:type="dxa" w:w="782"/>
                  <w:vMerge/>
                  <w:tcBorders>
                    <w:top w:val="none" w:color="000000" w:sz="4"/>
                    <w:left w:val="single" w:color="000000" w:sz="4"/>
                    <w:bottom w:val="single" w:color="000000" w:sz="4"/>
                    <w:right w:val="single" w:color="000000" w:sz="4"/>
                  </w:tcBorders>
                </w:tcPr>
                <w:p/>
              </w:tc>
              <w:tc>
                <w:tcPr>
                  <w:tcW w:type="dxa" w:w="801"/>
                  <w:tcBorders>
                    <w:top w:val="none" w:color="000000" w:sz="4"/>
                    <w:left w:val="single" w:color="000000" w:sz="4"/>
                    <w:bottom w:val="single" w:color="000000" w:sz="4"/>
                    <w:right w:val="single" w:color="000000" w:sz="4"/>
                  </w:tcBorders>
                  <w:vAlign w:val="top"/>
                </w:tcPr>
                <w:p>
                  <w:pPr>
                    <w:jc w:val="left"/>
                  </w:pPr>
                  <w:r>
                    <w:rPr>
                      <w:color w:val="000000"/>
                      <w:sz w:val="19"/>
                    </w:rPr>
                    <w:t>资源平台搭建</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居家便民服务资源数量</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低偿便民商业服务资源</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不少于</w:t>
                  </w:r>
                  <w:r>
                    <w:rPr>
                      <w:color w:val="000000"/>
                      <w:sz w:val="19"/>
                    </w:rPr>
                    <w:t>15</w:t>
                  </w:r>
                  <w:r>
                    <w:rPr>
                      <w:color w:val="000000"/>
                      <w:sz w:val="19"/>
                    </w:rPr>
                    <w:t>家</w:t>
                  </w:r>
                </w:p>
              </w:tc>
            </w:tr>
            <w:tr>
              <w:tc>
                <w:tcPr>
                  <w:tcW w:type="dxa" w:w="782"/>
                  <w:vMerge w:val="restart"/>
                  <w:tcBorders>
                    <w:top w:val="none" w:color="000000" w:sz="4"/>
                    <w:left w:val="single" w:color="000000" w:sz="4"/>
                    <w:bottom w:val="single" w:color="000000" w:sz="4"/>
                    <w:right w:val="single" w:color="000000" w:sz="4"/>
                  </w:tcBorders>
                  <w:vAlign w:val="top"/>
                </w:tcPr>
                <w:p>
                  <w:pPr>
                    <w:jc w:val="left"/>
                  </w:pPr>
                  <w:r>
                    <w:rPr>
                      <w:color w:val="000000"/>
                      <w:sz w:val="19"/>
                    </w:rPr>
                    <w:t>系统维护</w:t>
                  </w:r>
                </w:p>
              </w:tc>
              <w:tc>
                <w:tcPr>
                  <w:tcW w:type="dxa" w:w="801"/>
                  <w:vMerge w:val="restart"/>
                  <w:tcBorders>
                    <w:top w:val="none" w:color="000000" w:sz="4"/>
                    <w:left w:val="single" w:color="000000" w:sz="4"/>
                    <w:bottom w:val="single" w:color="000000" w:sz="4"/>
                    <w:right w:val="single" w:color="000000" w:sz="4"/>
                  </w:tcBorders>
                  <w:vAlign w:val="top"/>
                </w:tcPr>
                <w:p>
                  <w:pPr>
                    <w:jc w:val="left"/>
                  </w:pPr>
                  <w:r>
                    <w:rPr>
                      <w:color w:val="000000"/>
                      <w:sz w:val="19"/>
                    </w:rPr>
                    <w:t>硬件系统维护</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故障率</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每自然年度设备出现故障的最高次数不得超过</w:t>
                  </w:r>
                  <w:r>
                    <w:rPr>
                      <w:color w:val="000000"/>
                      <w:sz w:val="19"/>
                    </w:rPr>
                    <w:t>5</w:t>
                  </w:r>
                  <w:r>
                    <w:rPr>
                      <w:color w:val="000000"/>
                      <w:sz w:val="19"/>
                    </w:rPr>
                    <w:t>次</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故障维修时效</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自接到通知</w:t>
                  </w:r>
                  <w:r>
                    <w:rPr>
                      <w:color w:val="000000"/>
                      <w:sz w:val="19"/>
                    </w:rPr>
                    <w:t>24</w:t>
                  </w:r>
                  <w:r>
                    <w:rPr>
                      <w:color w:val="000000"/>
                      <w:sz w:val="19"/>
                    </w:rPr>
                    <w:t>小时内解决问题</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val="restart"/>
                  <w:tcBorders>
                    <w:top w:val="none" w:color="000000" w:sz="4"/>
                    <w:left w:val="single" w:color="000000" w:sz="4"/>
                    <w:bottom w:val="single" w:color="000000" w:sz="4"/>
                    <w:right w:val="single" w:color="000000" w:sz="4"/>
                  </w:tcBorders>
                  <w:vAlign w:val="top"/>
                </w:tcPr>
                <w:p>
                  <w:pPr>
                    <w:jc w:val="left"/>
                  </w:pPr>
                  <w:r>
                    <w:rPr>
                      <w:color w:val="000000"/>
                      <w:sz w:val="19"/>
                    </w:rPr>
                    <w:t>软件系统维护</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日常维护</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日常维护及必要的软件或系统升级</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响应时效</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客户端操作系统页面平均响应时间</w:t>
                  </w:r>
                </w:p>
              </w:tc>
              <w:tc>
                <w:tcPr>
                  <w:tcW w:type="dxa" w:w="810"/>
                  <w:tcBorders>
                    <w:top w:val="none" w:color="000000" w:sz="4"/>
                    <w:left w:val="single" w:color="000000" w:sz="4"/>
                    <w:bottom w:val="single" w:color="000000" w:sz="4"/>
                    <w:right w:val="single" w:color="000000" w:sz="4"/>
                  </w:tcBorders>
                  <w:vAlign w:val="top"/>
                </w:tcPr>
                <w:p>
                  <w:pPr>
                    <w:jc w:val="left"/>
                  </w:pPr>
                  <w:r>
                    <w:rPr>
                      <w:color w:val="000000"/>
                      <w:sz w:val="19"/>
                    </w:rPr>
                    <w:t>不大于</w:t>
                  </w:r>
                  <w:r>
                    <w:rPr>
                      <w:color w:val="000000"/>
                      <w:sz w:val="19"/>
                    </w:rPr>
                    <w:t>6</w:t>
                  </w:r>
                  <w:r>
                    <w:rPr>
                      <w:color w:val="000000"/>
                      <w:sz w:val="19"/>
                    </w:rPr>
                    <w:t>秒</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数据备份</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数据备份包含系统业务数据、话务录音数据等</w:t>
                  </w:r>
                </w:p>
              </w:tc>
              <w:tc>
                <w:tcPr>
                  <w:tcW w:type="dxa" w:w="810"/>
                  <w:tcBorders>
                    <w:top w:val="none" w:color="000000" w:sz="4"/>
                    <w:left w:val="single" w:color="000000" w:sz="4"/>
                    <w:bottom w:val="single" w:color="000000" w:sz="4"/>
                    <w:right w:val="single" w:color="000000" w:sz="4"/>
                  </w:tcBorders>
                  <w:vAlign w:val="top"/>
                </w:tcPr>
                <w:p>
                  <w:pPr>
                    <w:jc w:val="left"/>
                  </w:pPr>
                  <w:r>
                    <w:rPr>
                      <w:color w:val="000000"/>
                      <w:sz w:val="19"/>
                    </w:rPr>
                    <w:t>系统每日自动备份业务数据，话务录音保存</w:t>
                  </w:r>
                  <w:r>
                    <w:rPr>
                      <w:color w:val="000000"/>
                      <w:sz w:val="19"/>
                    </w:rPr>
                    <w:t>1</w:t>
                  </w:r>
                  <w:r>
                    <w:rPr>
                      <w:color w:val="000000"/>
                      <w:sz w:val="19"/>
                    </w:rPr>
                    <w:t>年。</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vMerge w:val="restart"/>
                  <w:tcBorders>
                    <w:top w:val="none" w:color="000000" w:sz="4"/>
                    <w:left w:val="single" w:color="000000" w:sz="4"/>
                    <w:bottom w:val="single" w:color="000000" w:sz="4"/>
                    <w:right w:val="single" w:color="000000" w:sz="4"/>
                  </w:tcBorders>
                  <w:vAlign w:val="top"/>
                </w:tcPr>
                <w:p>
                  <w:pPr>
                    <w:jc w:val="left"/>
                  </w:pPr>
                  <w:r>
                    <w:rPr>
                      <w:color w:val="000000"/>
                      <w:sz w:val="19"/>
                    </w:rPr>
                    <w:t>系统故障</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故障率（每自然年度）</w:t>
                  </w:r>
                </w:p>
              </w:tc>
              <w:tc>
                <w:tcPr>
                  <w:tcW w:type="dxa" w:w="810"/>
                  <w:tcBorders>
                    <w:top w:val="none" w:color="000000" w:sz="4"/>
                    <w:left w:val="single" w:color="000000" w:sz="4"/>
                    <w:bottom w:val="single" w:color="000000" w:sz="4"/>
                    <w:right w:val="single" w:color="000000" w:sz="4"/>
                  </w:tcBorders>
                  <w:vAlign w:val="top"/>
                </w:tcPr>
                <w:p>
                  <w:pPr>
                    <w:jc w:val="left"/>
                  </w:pPr>
                  <w:r>
                    <w:rPr>
                      <w:color w:val="000000"/>
                      <w:sz w:val="19"/>
                    </w:rPr>
                    <w:t>小于</w:t>
                  </w:r>
                  <w:r>
                    <w:rPr>
                      <w:color w:val="000000"/>
                      <w:sz w:val="19"/>
                    </w:rPr>
                    <w:t>5</w:t>
                  </w:r>
                  <w:r>
                    <w:rPr>
                      <w:color w:val="000000"/>
                      <w:sz w:val="19"/>
                    </w:rPr>
                    <w:t>次</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vMerge/>
                  <w:tcBorders>
                    <w:top w:val="none" w:color="000000" w:sz="4"/>
                    <w:left w:val="single" w:color="000000" w:sz="4"/>
                    <w:bottom w:val="single" w:color="000000" w:sz="4"/>
                    <w:right w:val="single" w:color="000000" w:sz="4"/>
                  </w:tcBorders>
                </w:tcP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发生故障后的维修回应并解决的时效</w:t>
                  </w:r>
                </w:p>
              </w:tc>
              <w:tc>
                <w:tcPr>
                  <w:tcW w:type="dxa" w:w="810"/>
                  <w:tcBorders>
                    <w:top w:val="none" w:color="000000" w:sz="4"/>
                    <w:left w:val="single" w:color="000000" w:sz="4"/>
                    <w:bottom w:val="single" w:color="000000" w:sz="4"/>
                    <w:right w:val="single" w:color="000000" w:sz="4"/>
                  </w:tcBorders>
                  <w:vAlign w:val="top"/>
                </w:tcPr>
                <w:p>
                  <w:pPr>
                    <w:jc w:val="left"/>
                  </w:pPr>
                  <w:r>
                    <w:rPr>
                      <w:color w:val="000000"/>
                      <w:sz w:val="19"/>
                    </w:rPr>
                    <w:t>不超过</w:t>
                  </w:r>
                  <w:r>
                    <w:rPr>
                      <w:color w:val="000000"/>
                      <w:sz w:val="19"/>
                    </w:rPr>
                    <w:t>24</w:t>
                  </w:r>
                  <w:r>
                    <w:rPr>
                      <w:color w:val="000000"/>
                      <w:sz w:val="19"/>
                    </w:rPr>
                    <w:t>小时</w:t>
                  </w:r>
                </w:p>
              </w:tc>
            </w:tr>
            <w:tr>
              <w:tc>
                <w:tcPr>
                  <w:tcW w:type="dxa" w:w="782"/>
                  <w:vMerge w:val="restart"/>
                  <w:tcBorders>
                    <w:top w:val="none" w:color="000000" w:sz="4"/>
                    <w:left w:val="single" w:color="000000" w:sz="4"/>
                    <w:bottom w:val="single" w:color="000000" w:sz="4"/>
                    <w:right w:val="single" w:color="000000" w:sz="4"/>
                  </w:tcBorders>
                  <w:vAlign w:val="top"/>
                </w:tcPr>
                <w:p>
                  <w:pPr>
                    <w:jc w:val="left"/>
                  </w:pPr>
                  <w:r>
                    <w:rPr>
                      <w:color w:val="000000"/>
                      <w:sz w:val="19"/>
                    </w:rPr>
                    <w:t>综合行政管理</w:t>
                  </w:r>
                </w:p>
              </w:tc>
              <w:tc>
                <w:tcPr>
                  <w:tcW w:type="dxa" w:w="801"/>
                  <w:vMerge w:val="restart"/>
                  <w:tcBorders>
                    <w:top w:val="none" w:color="000000" w:sz="4"/>
                    <w:left w:val="single" w:color="000000" w:sz="4"/>
                    <w:bottom w:val="single" w:color="000000" w:sz="4"/>
                    <w:right w:val="single" w:color="000000" w:sz="4"/>
                  </w:tcBorders>
                  <w:vAlign w:val="top"/>
                </w:tcPr>
                <w:p>
                  <w:pPr>
                    <w:jc w:val="left"/>
                  </w:pPr>
                  <w:r>
                    <w:rPr>
                      <w:color w:val="000000"/>
                      <w:sz w:val="19"/>
                    </w:rPr>
                    <w:t>人员管理</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考核</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对员工的出勤及业绩进行考核</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vMerge/>
                  <w:tcBorders>
                    <w:top w:val="none" w:color="000000" w:sz="4"/>
                    <w:left w:val="single" w:color="000000" w:sz="4"/>
                    <w:bottom w:val="single" w:color="000000" w:sz="4"/>
                    <w:right w:val="single" w:color="000000" w:sz="4"/>
                  </w:tcBorders>
                </w:tcP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培训次数</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每年至少开展</w:t>
                  </w:r>
                  <w:r>
                    <w:rPr>
                      <w:color w:val="000000"/>
                      <w:sz w:val="19"/>
                    </w:rPr>
                    <w:t>6</w:t>
                  </w:r>
                  <w:r>
                    <w:rPr>
                      <w:color w:val="000000"/>
                      <w:sz w:val="19"/>
                    </w:rPr>
                    <w:t>次服务培训或督导</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r>
              <w:tc>
                <w:tcPr>
                  <w:tcW w:type="dxa" w:w="782"/>
                  <w:vMerge/>
                  <w:tcBorders>
                    <w:top w:val="none" w:color="000000" w:sz="4"/>
                    <w:left w:val="single" w:color="000000" w:sz="4"/>
                    <w:bottom w:val="single" w:color="000000" w:sz="4"/>
                    <w:right w:val="single" w:color="000000" w:sz="4"/>
                  </w:tcBorders>
                </w:tcPr>
                <w:p/>
              </w:tc>
              <w:tc>
                <w:tcPr>
                  <w:tcW w:type="dxa" w:w="801"/>
                  <w:tcBorders>
                    <w:top w:val="none" w:color="000000" w:sz="4"/>
                    <w:left w:val="single" w:color="000000" w:sz="4"/>
                    <w:bottom w:val="single" w:color="000000" w:sz="4"/>
                    <w:right w:val="single" w:color="000000" w:sz="4"/>
                  </w:tcBorders>
                  <w:vAlign w:val="top"/>
                </w:tcPr>
                <w:p>
                  <w:pPr>
                    <w:jc w:val="left"/>
                  </w:pPr>
                  <w:r>
                    <w:rPr>
                      <w:color w:val="000000"/>
                      <w:sz w:val="19"/>
                    </w:rPr>
                    <w:t>工作总结</w:t>
                  </w:r>
                  <w:r>
                    <w:rPr>
                      <w:color w:val="000000"/>
                      <w:sz w:val="19"/>
                    </w:rPr>
                    <w:t>/</w:t>
                  </w:r>
                  <w:r>
                    <w:rPr>
                      <w:color w:val="000000"/>
                      <w:sz w:val="19"/>
                    </w:rPr>
                    <w:t>汇报</w:t>
                  </w:r>
                </w:p>
              </w:tc>
              <w:tc>
                <w:tcPr>
                  <w:tcW w:type="dxa" w:w="1629"/>
                  <w:tcBorders>
                    <w:top w:val="none" w:color="000000" w:sz="4"/>
                    <w:left w:val="single" w:color="000000" w:sz="4"/>
                    <w:bottom w:val="single" w:color="000000" w:sz="4"/>
                    <w:right w:val="single" w:color="000000" w:sz="4"/>
                  </w:tcBorders>
                  <w:vAlign w:val="top"/>
                </w:tcPr>
                <w:p>
                  <w:pPr>
                    <w:jc w:val="left"/>
                  </w:pPr>
                  <w:r>
                    <w:rPr>
                      <w:color w:val="000000"/>
                      <w:sz w:val="19"/>
                    </w:rPr>
                    <w:t>每</w:t>
                  </w:r>
                  <w:r>
                    <w:rPr>
                      <w:color w:val="000000"/>
                      <w:sz w:val="19"/>
                    </w:rPr>
                    <w:t>月</w:t>
                  </w:r>
                  <w:r>
                    <w:rPr>
                      <w:color w:val="000000"/>
                      <w:sz w:val="19"/>
                    </w:rPr>
                    <w:t>一次</w:t>
                  </w:r>
                </w:p>
              </w:tc>
              <w:tc>
                <w:tcPr>
                  <w:tcW w:type="dxa" w:w="1574"/>
                  <w:tcBorders>
                    <w:top w:val="none" w:color="000000" w:sz="4"/>
                    <w:left w:val="single" w:color="000000" w:sz="4"/>
                    <w:bottom w:val="single" w:color="000000" w:sz="4"/>
                    <w:right w:val="single" w:color="000000" w:sz="4"/>
                  </w:tcBorders>
                  <w:vAlign w:val="top"/>
                </w:tcPr>
                <w:p>
                  <w:pPr>
                    <w:jc w:val="left"/>
                  </w:pPr>
                  <w:r>
                    <w:rPr>
                      <w:color w:val="000000"/>
                      <w:sz w:val="19"/>
                    </w:rPr>
                    <w:t>书面汇报相关数据</w:t>
                  </w:r>
                </w:p>
              </w:tc>
              <w:tc>
                <w:tcPr>
                  <w:tcW w:type="dxa" w:w="810"/>
                  <w:tcBorders>
                    <w:top w:val="none" w:color="000000" w:sz="4"/>
                    <w:left w:val="single" w:color="000000" w:sz="4"/>
                    <w:bottom w:val="single" w:color="000000" w:sz="4"/>
                    <w:right w:val="single" w:color="000000" w:sz="4"/>
                  </w:tcBorders>
                  <w:vAlign w:val="top"/>
                </w:tcPr>
                <w:p>
                  <w:pPr>
                    <w:jc w:val="center"/>
                  </w:pPr>
                  <w:r>
                    <w:rPr>
                      <w:color w:val="000000"/>
                      <w:sz w:val="19"/>
                    </w:rPr>
                    <w:t>100%</w:t>
                  </w:r>
                </w:p>
              </w:tc>
            </w:tr>
          </w:tbl>
          <w:p>
            <w:pPr>
              <w:jc w:val="left"/>
            </w:pPr>
            <w:r>
              <w:rPr>
                <w:color w:val="000000"/>
                <w:sz w:val="19"/>
              </w:rPr>
              <w:t>四、人员配备要求</w:t>
            </w:r>
          </w:p>
          <w:p>
            <w:pPr>
              <w:ind w:firstLine="380"/>
              <w:jc w:val="left"/>
            </w:pPr>
            <w:r>
              <w:rPr>
                <w:color w:val="000000"/>
                <w:sz w:val="19"/>
              </w:rPr>
              <w:t>“平安通”项目主要是为底线民生提供社会服务为重点，承接此项目的服务单位，需要配备到本项目的专职工作人员不少于35人，其中专业性服务人员需包含中级社工师2名，助理社工师6名，IT技术员1名，财务1名，话务员15名，其他行政管理及服务人员等不少于10人，以保证平台的24小时运转。所有人员需为全职工作人员，兼职人员不计算在内。</w:t>
            </w:r>
          </w:p>
          <w:p>
            <w:pPr>
              <w:ind w:firstLine="380"/>
              <w:jc w:val="left"/>
            </w:pPr>
          </w:p>
          <w:p>
            <w:pPr>
              <w:numPr>
                <w:ilvl w:val="0"/>
                <w:numId w:val="1"/>
              </w:numPr>
              <w:jc w:val="left"/>
            </w:pPr>
            <w:r>
              <w:rPr>
                <w:color w:val="000000"/>
                <w:sz w:val="19"/>
              </w:rPr>
              <w:t>终端设备要求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1.采购代理机构：本项目是指广东华禹工程咨询有限公司江门分公司，负责整个采购活动的组织，依法负责编制和发布磋商文件，对磋商文件拥有最终的解释权，不以任何身份出任磋商小组成员。</w:t>
      </w:r>
    </w:p>
    <w:p>
      <w:pPr>
        <w:ind w:firstLine="480"/>
      </w:pPr>
      <w:r>
        <w:rPr/>
        <w:t>2.采购人：本项目是指</w:t>
      </w:r>
      <w:r>
        <w:rPr/>
        <w:t>江门市蓬江区民政局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采购机构代理服务收费标准：按规定收取。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广东华禹工程咨询有限公司江门分公司</w:t>
      </w:r>
      <w:r>
        <w:rPr/>
        <w:t>代收。具体操作要求详见</w:t>
      </w:r>
      <w:r>
        <w:rPr/>
        <w:t>广东华禹工程咨询有限公司江门分公司</w:t>
      </w:r>
      <w:r>
        <w:rPr/>
        <w:t>有关指引，递交事宜请自行咨询</w:t>
      </w:r>
      <w:r>
        <w:rPr/>
        <w:t>广东华禹工程咨询有限公司江门分公司</w:t>
      </w:r>
      <w:r>
        <w:rPr/>
        <w:t>；请各供应商在响应文件递交截止时间前按须知前附表规定的金额递交至</w:t>
      </w:r>
      <w:r>
        <w:rPr/>
        <w:t>广东华禹工程咨询有限公司江门分公司</w:t>
      </w:r>
      <w:r>
        <w:rPr/>
        <w:t>，到账情况以开启时</w:t>
      </w:r>
      <w:r>
        <w:rPr/>
        <w:t>广东华禹工程咨询有限公司江门分公司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李工</w:t>
      </w:r>
    </w:p>
    <w:p>
      <w:pPr>
        <w:ind w:firstLine="480"/>
      </w:pPr>
      <w:r>
        <w:rPr/>
        <w:t>电话：</w:t>
      </w:r>
      <w:r>
        <w:rPr/>
        <w:t>0750-3239891</w:t>
      </w:r>
    </w:p>
    <w:p>
      <w:pPr>
        <w:ind w:firstLine="480"/>
      </w:pPr>
      <w:r>
        <w:rPr/>
        <w:t>传真：</w:t>
      </w:r>
      <w:r>
        <w:rPr/>
        <w:t>0750-3239891</w:t>
      </w:r>
    </w:p>
    <w:p>
      <w:pPr>
        <w:ind w:firstLine="480"/>
      </w:pPr>
      <w:r>
        <w:rPr/>
        <w:t>邮箱：</w:t>
      </w:r>
      <w:r>
        <w:rPr/>
        <w:t>jmhygc@163.com</w:t>
      </w:r>
    </w:p>
    <w:p>
      <w:pPr>
        <w:ind w:firstLine="480"/>
      </w:pPr>
      <w:r>
        <w:rPr/>
        <w:t>地址：</w:t>
      </w:r>
      <w:r>
        <w:rPr/>
        <w:t>江门市蓬江区篁庄大道西16号5座二层</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政府采购监督管理机构名称：江门市蓬江区财政局政府采购监管股</w:t>
      </w:r>
    </w:p>
    <w:p>
      <w:r>
        <w:rPr/>
        <w:t>地  址：江门市五福一街8座</w:t>
      </w:r>
    </w:p>
    <w:p>
      <w:r>
        <w:rPr/>
        <w:t>电  话：07503833886</w:t>
      </w:r>
    </w:p>
    <w:p>
      <w:r>
        <w:rPr/>
        <w:t>邮  编：529000</w:t>
      </w:r>
    </w:p>
    <w:p>
      <w:r>
        <w:rPr/>
        <w:t>传  真：0750-3833760</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江门市蓬江区居家养老助残服务“平安通”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广东华禹工程咨询有限公司江门分公司</w:t>
      </w:r>
      <w:r>
        <w:rPr/>
        <w:t>统一对外发布。</w:t>
      </w:r>
    </w:p>
    <w:p>
      <w:pPr>
        <w:ind w:firstLine="480"/>
      </w:pPr>
      <w:r>
        <w:rPr/>
        <w:t>（2）对</w:t>
      </w:r>
      <w:r>
        <w:rPr/>
        <w:t>广东华禹工程咨询有限公司江门分公司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采购包1（江门市蓬江区居家养老助残服务“平安通”项目）：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采购包1（江门市蓬江区居家养老助残服务“平安通”项目）：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采购包1（江门市蓬江区居家养老助残服务“平安通”项目）：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报价文件</w:t>
            </w:r>
          </w:p>
        </w:tc>
        <w:tc>
          <w:tcPr>
            <w:tcW w:type="dxa" w:w="4238"/>
          </w:tcPr>
          <w:p>
            <w:r>
              <w:rPr/>
              <w:t>报价文件符合招标文件的式样和签署要求</w:t>
            </w:r>
          </w:p>
        </w:tc>
      </w:tr>
      <w:tr>
        <w:tc>
          <w:tcPr>
            <w:tcW w:type="dxa" w:w="890"/>
          </w:tcPr>
          <w:p>
            <w:r>
              <w:rPr/>
              <w:t>2</w:t>
            </w:r>
          </w:p>
        </w:tc>
        <w:tc>
          <w:tcPr>
            <w:tcW w:type="dxa" w:w="3178"/>
          </w:tcPr>
          <w:p>
            <w:r>
              <w:rPr/>
              <w:t>最终报价</w:t>
            </w:r>
          </w:p>
        </w:tc>
        <w:tc>
          <w:tcPr>
            <w:tcW w:type="dxa" w:w="4238"/>
          </w:tcPr>
          <w:p>
            <w:r>
              <w:rPr/>
              <w:t>经评审后，最终报价没有超出采购预算</w:t>
            </w:r>
          </w:p>
        </w:tc>
      </w:tr>
      <w:tr>
        <w:tc>
          <w:tcPr>
            <w:tcW w:type="dxa" w:w="890"/>
          </w:tcPr>
          <w:p>
            <w:r>
              <w:rPr/>
              <w:t>3</w:t>
            </w:r>
          </w:p>
        </w:tc>
        <w:tc>
          <w:tcPr>
            <w:tcW w:type="dxa" w:w="3178"/>
          </w:tcPr>
          <w:p>
            <w:r>
              <w:rPr/>
              <w:t>低于成本的投标</w:t>
            </w:r>
          </w:p>
        </w:tc>
        <w:tc>
          <w:tcPr>
            <w:tcW w:type="dxa" w:w="4238"/>
          </w:tcPr>
          <w:p>
            <w:r>
              <w:rPr/>
              <w:t>没有被评委认定为低于成本的投标</w:t>
            </w:r>
          </w:p>
        </w:tc>
      </w:tr>
      <w:tr>
        <w:tc>
          <w:tcPr>
            <w:tcW w:type="dxa" w:w="890"/>
          </w:tcPr>
          <w:p>
            <w:r>
              <w:rPr/>
              <w:t>4</w:t>
            </w:r>
          </w:p>
        </w:tc>
        <w:tc>
          <w:tcPr>
            <w:tcW w:type="dxa" w:w="3178"/>
          </w:tcPr>
          <w:p>
            <w:r>
              <w:rPr/>
              <w:t>报价</w:t>
            </w:r>
          </w:p>
        </w:tc>
        <w:tc>
          <w:tcPr>
            <w:tcW w:type="dxa" w:w="4238"/>
          </w:tcPr>
          <w:p>
            <w:r>
              <w:rPr/>
              <w:t>报价是固定唯一价</w:t>
            </w:r>
          </w:p>
        </w:tc>
      </w:tr>
      <w:tr>
        <w:tc>
          <w:tcPr>
            <w:tcW w:type="dxa" w:w="890"/>
          </w:tcPr>
          <w:p>
            <w:r>
              <w:rPr/>
              <w:t>5</w:t>
            </w:r>
          </w:p>
        </w:tc>
        <w:tc>
          <w:tcPr>
            <w:tcW w:type="dxa" w:w="3178"/>
          </w:tcPr>
          <w:p>
            <w:r>
              <w:rPr/>
              <w:t>投标文件响应</w:t>
            </w:r>
          </w:p>
        </w:tc>
        <w:tc>
          <w:tcPr>
            <w:tcW w:type="dxa" w:w="4238"/>
          </w:tcPr>
          <w:p>
            <w:r>
              <w:rPr/>
              <w:t>投标文件“★”号条款满足招标文件要求，或无其他未实质性响应招标文件要求，或 无经评委认定为无效标的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采购包1(江门市蓬江区居家养老助残服务“平安通”项目):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项目理解程度 (5.0分)</w:t>
            </w:r>
            <w:r>
              <w:rPr/>
              <w:t>，（等次分值选择：</w:t>
            </w:r>
            <w:r>
              <w:rPr/>
              <w:t>0.0;</w:t>
            </w:r>
            <w:r>
              <w:rPr/>
              <w:t>1.0;</w:t>
            </w:r>
            <w:r>
              <w:rPr/>
              <w:t>3.0;</w:t>
            </w:r>
            <w:r>
              <w:rPr/>
              <w:t>4.0;</w:t>
            </w:r>
            <w:r>
              <w:rPr/>
              <w:t>5.0;</w:t>
            </w:r>
            <w:r>
              <w:rPr/>
              <w:t>）</w:t>
            </w:r>
          </w:p>
        </w:tc>
        <w:tc>
          <w:tcPr>
            <w:tcW w:type="dxa" w:w="5076"/>
          </w:tcPr>
          <w:p>
            <w:pPr>
              <w:jc w:val="left"/>
            </w:pPr>
            <w:r>
              <w:rPr/>
              <w:t>根据响应人对项目整体的理解和认识方面进行评审： 1、对项目整体理解充分，认识到位的，得5分；2、对项目整体理解较充分的，得4分；3、对项目整体理解一般的，得3分；4、对项目整体理解不充分，认识不到位，得1分。5、未提供或其他情况得0分。</w:t>
            </w:r>
          </w:p>
        </w:tc>
      </w:tr>
      <w:tr>
        <w:tc>
          <w:tcPr>
            <w:tcW w:type="dxa" w:w="922"/>
            <w:gridSpan w:val="2"/>
            <w:vMerge/>
          </w:tcPr>
          <w:p/>
        </w:tc>
        <w:tc>
          <w:tcPr>
            <w:tcW w:type="dxa" w:w="2307"/>
          </w:tcPr>
          <w:p>
            <w:pPr>
              <w:jc w:val="left"/>
            </w:pPr>
            <w:r>
              <w:rPr/>
              <w:t>响应服务计划  (15.0分)</w:t>
            </w:r>
            <w:r>
              <w:rPr/>
              <w:t>，（等次分值选择：</w:t>
            </w:r>
            <w:r>
              <w:rPr/>
              <w:t>0.0;</w:t>
            </w:r>
            <w:r>
              <w:rPr/>
              <w:t>5.0;</w:t>
            </w:r>
            <w:r>
              <w:rPr/>
              <w:t>10.0;</w:t>
            </w:r>
            <w:r>
              <w:rPr/>
              <w:t>15.0;</w:t>
            </w:r>
            <w:r>
              <w:rPr/>
              <w:t>）</w:t>
            </w:r>
          </w:p>
        </w:tc>
        <w:tc>
          <w:tcPr>
            <w:tcW w:type="dxa" w:w="5076"/>
          </w:tcPr>
          <w:p>
            <w:pPr>
              <w:jc w:val="left"/>
            </w:pPr>
            <w:r>
              <w:rPr/>
              <w:t>根据响应人服务计划（包括但不限于：服务目标、服务内容、进程安排、 服务流程、人员培训、风险预设及应对、服务创新性）的科学性、合理性、可行性进行评审： 1、响应服务计划科学合理、服务内容具体且完整、 可行性高，服务有创新性，得15分； 2、响应服务计划搭建比较合理、服务内 容基本完善、可行性较高，得10分； 3、响应服务计划整体较差的，服务 设计不合理，可行性低，得5分。4、未提供响应服务计划或其他情况得0分。</w:t>
            </w:r>
          </w:p>
        </w:tc>
      </w:tr>
      <w:tr>
        <w:tc>
          <w:tcPr>
            <w:tcW w:type="dxa" w:w="922"/>
            <w:gridSpan w:val="2"/>
            <w:vMerge/>
          </w:tcPr>
          <w:p/>
        </w:tc>
        <w:tc>
          <w:tcPr>
            <w:tcW w:type="dxa" w:w="2307"/>
          </w:tcPr>
          <w:p>
            <w:pPr>
              <w:jc w:val="left"/>
            </w:pPr>
            <w:r>
              <w:rPr/>
              <w:t>线下落地服务计划 (10.0分)</w:t>
            </w:r>
            <w:r>
              <w:rPr/>
              <w:t>，（等次分值选择：</w:t>
            </w:r>
            <w:r>
              <w:rPr/>
              <w:t>0.0;</w:t>
            </w:r>
            <w:r>
              <w:rPr/>
              <w:t>3.0;</w:t>
            </w:r>
            <w:r>
              <w:rPr/>
              <w:t>6.0;</w:t>
            </w:r>
            <w:r>
              <w:rPr/>
              <w:t>10.0;</w:t>
            </w:r>
            <w:r>
              <w:rPr/>
              <w:t>）</w:t>
            </w:r>
          </w:p>
        </w:tc>
        <w:tc>
          <w:tcPr>
            <w:tcW w:type="dxa" w:w="5076"/>
          </w:tcPr>
          <w:p>
            <w:pPr>
              <w:jc w:val="left"/>
            </w:pPr>
            <w:r>
              <w:rPr/>
              <w:t>根据响应人的线下落地服务计划（包括但不限于：线下服务规划、服务目标、进程安排）的科学性、合理性、可行性进行评审： 1、落地服务计划科学合理、服务内容具体且完整、 可行性高，服务有创新性，在属地区域内有不少于3种类型的合作资源可以为用户提供落地的居家生活保障服务，得10分； 2、落地服务计划搭建比较合理、服务内 容基本完善、可行性较高，在属地区域内有不少于2种类型的合作资源可以为用户提供落地的居家生活保障服务，得6分； 3、落地服务计划整体较差，服务 设计不合理，可行性低，在属地区域内有不少于1种类型的合作资源可以为用户提供落地的居家生活保障服务，得3分。 4、未提供落地服务计划且在属地区域内无合作资源的得0分。 在属地区域内有合作资源的需提供项目合同或合作协议复印件，并加盖响应人单位公章，否则不得分。</w:t>
            </w:r>
          </w:p>
        </w:tc>
      </w:tr>
      <w:tr>
        <w:tc>
          <w:tcPr>
            <w:tcW w:type="dxa" w:w="922"/>
            <w:gridSpan w:val="2"/>
            <w:vMerge/>
          </w:tcPr>
          <w:p/>
        </w:tc>
        <w:tc>
          <w:tcPr>
            <w:tcW w:type="dxa" w:w="2307"/>
          </w:tcPr>
          <w:p>
            <w:pPr>
              <w:jc w:val="left"/>
            </w:pPr>
            <w:r>
              <w:rPr/>
              <w:t>配备终端设备及系统平台情况 (5.0分)</w:t>
            </w:r>
            <w:r>
              <w:rPr/>
              <w:t>，（等次分值选择：</w:t>
            </w:r>
            <w:r>
              <w:rPr/>
              <w:t>0.0;</w:t>
            </w:r>
            <w:r>
              <w:rPr/>
              <w:t>2.0;</w:t>
            </w:r>
            <w:r>
              <w:rPr/>
              <w:t>3.0;</w:t>
            </w:r>
            <w:r>
              <w:rPr/>
              <w:t>5.0;</w:t>
            </w:r>
            <w:r>
              <w:rPr/>
              <w:t>）</w:t>
            </w:r>
          </w:p>
        </w:tc>
        <w:tc>
          <w:tcPr>
            <w:tcW w:type="dxa" w:w="5076"/>
          </w:tcPr>
          <w:p>
            <w:pPr>
              <w:jc w:val="left"/>
            </w:pPr>
            <w:r>
              <w:rPr/>
              <w:t>根据响应人配备的终端设备的适用性、技术规格、功能； 系统平台对技术要求的响应情况、售后保修情况、存储容量、功能等要求进行评审：  1、终端设备及系统平台完全满足磋商文件要求的，得5分；  2、终端设备及系统平台基本满足磋商文件要求的，得3分；  3、终端设备及 系统平台难以满足磋商文件要求的，得2分；   终端设备及系统平台无法满足磋商文件要求的，得0分。</w:t>
            </w:r>
          </w:p>
        </w:tc>
      </w:tr>
      <w:tr>
        <w:tc>
          <w:tcPr>
            <w:tcW w:type="dxa" w:w="922"/>
            <w:gridSpan w:val="2"/>
            <w:vMerge/>
          </w:tcPr>
          <w:p/>
        </w:tc>
        <w:tc>
          <w:tcPr>
            <w:tcW w:type="dxa" w:w="2307"/>
          </w:tcPr>
          <w:p>
            <w:pPr>
              <w:jc w:val="left"/>
            </w:pPr>
            <w:r>
              <w:rPr/>
              <w:t>项目负责人及项目主要管理、服务人员情况 (10.0分)</w:t>
            </w:r>
            <w:r>
              <w:rPr/>
              <w:t>，（等次分值选择：</w:t>
            </w:r>
            <w:r>
              <w:rPr/>
              <w:t>0.0;</w:t>
            </w:r>
            <w:r>
              <w:rPr/>
              <w:t>3.0;</w:t>
            </w:r>
            <w:r>
              <w:rPr/>
              <w:t>5.0;</w:t>
            </w:r>
            <w:r>
              <w:rPr/>
              <w:t>8.0;</w:t>
            </w:r>
            <w:r>
              <w:rPr/>
              <w:t>10.0;</w:t>
            </w:r>
            <w:r>
              <w:rPr/>
              <w:t>）</w:t>
            </w:r>
          </w:p>
        </w:tc>
        <w:tc>
          <w:tcPr>
            <w:tcW w:type="dxa" w:w="5076"/>
          </w:tcPr>
          <w:p>
            <w:pPr>
              <w:jc w:val="left"/>
            </w:pPr>
            <w:r>
              <w:rPr/>
              <w:t>根据响应人拟派项目负责人与项目主要管理、服务人员情况，包括人员配 置、学历、劳动合同、技术职称、职业资格进行评分。  1、人员配置不少 于35人，全部岗位人员配备齐全并合理，完全满足磋商文件要求，且管理和服务人员经验丰富，得10分；  2、人员配置不少于30人，但个别岗位配置不满足磋商文件要求的，得8分；  3、人员配置不少于20人，且个别岗位配置不满足磋商文件要求的，得5分；  4、人员配置低于15人，且个别岗位配置不满足磋商文件要求的，以及经验较差、配备不合理，得3分。 按得分最高评审，不重复计分。 注：需提供以上人员学历、劳动合同、技术职称、职业资格证明材料复印件并加盖供应商单位公章。</w:t>
            </w:r>
          </w:p>
        </w:tc>
      </w:tr>
      <w:tr>
        <w:tc>
          <w:tcPr>
            <w:tcW w:type="dxa" w:w="922"/>
            <w:gridSpan w:val="2"/>
            <w:vMerge w:val="restart"/>
          </w:tcPr>
          <w:p>
            <w:pPr>
              <w:jc w:val="center"/>
            </w:pPr>
            <w:r>
              <w:rPr/>
              <w:t>商务部分</w:t>
            </w:r>
          </w:p>
        </w:tc>
        <w:tc>
          <w:tcPr>
            <w:tcW w:type="dxa" w:w="2307"/>
          </w:tcPr>
          <w:p>
            <w:pPr>
              <w:jc w:val="left"/>
            </w:pPr>
            <w:r>
              <w:rPr/>
              <w:t>经营业绩 (25.0分)</w:t>
            </w:r>
          </w:p>
        </w:tc>
        <w:tc>
          <w:tcPr>
            <w:tcW w:type="dxa" w:w="5076"/>
          </w:tcPr>
          <w:p>
            <w:pPr>
              <w:jc w:val="left"/>
            </w:pPr>
            <w:r>
              <w:rPr/>
              <w:t>根据响应人自2016 年以来承担过同类型项目的情况。 1、响应人有承接过同类型项目经验的，每提供一个得1分；其他情况或没有的不得分；本小项最高得5 分。 2、响应人在运营项目期间，得到购买方或购买方委托的第三方评估机构评价为“优秀”等级的，每提供一个得2 分；其他情况或没有的不得分；本小项最高得20分。 本项最高得分为25分。 需在响应文件中提供项目服务合同以及项目运营评价等级证明文件的复印件，并加盖响应人单位公章，否则不得分。</w:t>
            </w:r>
          </w:p>
        </w:tc>
      </w:tr>
      <w:tr>
        <w:tc>
          <w:tcPr>
            <w:tcW w:type="dxa" w:w="922"/>
            <w:gridSpan w:val="2"/>
            <w:vMerge/>
          </w:tcPr>
          <w:p/>
        </w:tc>
        <w:tc>
          <w:tcPr>
            <w:tcW w:type="dxa" w:w="2307"/>
          </w:tcPr>
          <w:p>
            <w:pPr>
              <w:jc w:val="left"/>
            </w:pPr>
            <w:r>
              <w:rPr/>
              <w:t>规章管理制度 (8.0分)</w:t>
            </w:r>
          </w:p>
        </w:tc>
        <w:tc>
          <w:tcPr>
            <w:tcW w:type="dxa" w:w="5076"/>
          </w:tcPr>
          <w:p>
            <w:pPr>
              <w:jc w:val="left"/>
            </w:pPr>
            <w:r>
              <w:rPr/>
              <w:t>根据响应人的内部管理架构、运营管理制度、财务管理制度、行政及人事 管理制度等详细、合理进行评审。  1、规章管理制度详细、合理、执行性 强，科学可行，得8分；  2、规章管理制度较详细、执行性尚可，基本可 行，得6分；  3、规章管理制度简略、扼要、执行性弱，得3分； 4、规章 管理制度粗略、不详细的，得1分；   没有提供规章管理制度的，得0分。</w:t>
            </w:r>
          </w:p>
        </w:tc>
      </w:tr>
      <w:tr>
        <w:tc>
          <w:tcPr>
            <w:tcW w:type="dxa" w:w="922"/>
            <w:gridSpan w:val="2"/>
            <w:vMerge/>
          </w:tcPr>
          <w:p/>
        </w:tc>
        <w:tc>
          <w:tcPr>
            <w:tcW w:type="dxa" w:w="2307"/>
          </w:tcPr>
          <w:p>
            <w:pPr>
              <w:jc w:val="left"/>
            </w:pPr>
            <w:r>
              <w:rPr/>
              <w:t>综合实力与履约能力 (12.0分)</w:t>
            </w:r>
          </w:p>
        </w:tc>
        <w:tc>
          <w:tcPr>
            <w:tcW w:type="dxa" w:w="5076"/>
          </w:tcPr>
          <w:p>
            <w:pPr>
              <w:jc w:val="left"/>
            </w:pPr>
            <w:r>
              <w:rPr/>
              <w:t>1、响应人获得区级或以上政府登记机关颁发的社会组织评估等级证书，5A级得4分，4A级得3分，3A级得1分，其他不得分，本小项最高得4分，按得分最高评审，不重复计分。 2、响应人或其运营项目曾荣获养老领域全国性荣誉的得4分；省级荣誉的得3分；市级荣誉的得1分；没有的不得分，本小项最高得4分，按得分最高评审，不重复计分。 3、投标人获得“全国百强社会工作服务机构”称号的，得4分。 注：同一级别的荣誉，多个评价的不重复计分。须提供相关证明文件复印件并加盖响应人单位公章，否则不得分。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440703-2023-00837</w:t>
      </w:r>
    </w:p>
    <w:p>
      <w:pPr>
        <w:jc w:val="center"/>
      </w:pPr>
      <w:r>
        <w:rPr>
          <w:b/>
          <w:sz w:val="24"/>
        </w:rPr>
        <w:t>采购项目编号：</w:t>
      </w:r>
      <w:r>
        <w:rPr>
          <w:b/>
          <w:sz w:val="24"/>
        </w:rPr>
        <w:t>HY-ZB-JM-2023-121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广东华禹工程咨询有限公司江门分公司</w:t>
      </w:r>
    </w:p>
    <w:p>
      <w:pPr>
        <w:ind w:firstLine="480"/>
      </w:pPr>
      <w:r>
        <w:rPr/>
        <w:t>你方组织的</w:t>
      </w:r>
      <w:r>
        <w:rPr>
          <w:u w:val="single"/>
        </w:rPr>
        <w:t>“</w:t>
      </w:r>
      <w:r>
        <w:rPr>
          <w:u w:val="single"/>
        </w:rPr>
        <w:t>江门市蓬江区居家养老助残服务“平安通”项目</w:t>
      </w:r>
      <w:r>
        <w:rPr>
          <w:u w:val="single"/>
        </w:rPr>
        <w:t>”</w:t>
      </w:r>
      <w:r>
        <w:rPr/>
        <w:t>项目的竞争性磋商[采购项目编号为：</w:t>
      </w:r>
      <w:r>
        <w:rPr>
          <w:u w:val="single"/>
        </w:rPr>
        <w:t>HY-ZB-JM-2023-121</w:t>
      </w:r>
      <w:r>
        <w:rPr/>
        <w:t>]，我方愿参与响应。</w:t>
      </w:r>
    </w:p>
    <w:p>
      <w:pPr>
        <w:ind w:firstLine="480"/>
      </w:pPr>
      <w:r>
        <w:rPr/>
        <w:t>我方确认收到贵方提供的</w:t>
      </w:r>
      <w:r>
        <w:rPr>
          <w:u w:val="single"/>
        </w:rPr>
        <w:t>“</w:t>
      </w:r>
      <w:r>
        <w:rPr>
          <w:u w:val="single"/>
        </w:rPr>
        <w:t>江门市蓬江区居家养老助残服务“平安通”项目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广东华禹工程咨询有限公司江门分公司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江门市蓬江区居家养老助残服务“平安通”项目</w:t>
      </w:r>
      <w:r>
        <w:rPr/>
        <w:t>”项目采购[采购项目编号为</w:t>
      </w:r>
      <w:r>
        <w:rPr/>
        <w:t>HY-ZB-JM-2023-121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江门市蓬江区民政局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广东华禹工程咨询有限公司江门分公司</w:t>
      </w:r>
    </w:p>
    <w:p>
      <w:pPr>
        <w:ind w:firstLine="480"/>
      </w:pPr>
      <w:r>
        <w:rPr/>
        <w:t>我单位参加贵公司组织的</w:t>
      </w:r>
      <w:r>
        <w:rPr/>
        <w:t>江门市蓬江区居家养老助残服务“平安通”项目</w:t>
      </w:r>
      <w:r>
        <w:rPr/>
        <w:t>（采购项目编号：</w:t>
      </w:r>
      <w:r>
        <w:rPr/>
        <w:t>HY-ZB-JM-2023-121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广东华禹工程咨询有限公司江门分公司</w:t>
      </w:r>
    </w:p>
    <w:p>
      <w:pPr>
        <w:ind w:firstLine="480"/>
      </w:pPr>
      <w:r>
        <w:rPr/>
        <w:t>我单位已登记并准备参与“</w:t>
      </w:r>
      <w:r>
        <w:rPr/>
        <w:t>江门市蓬江区居家养老助残服务“平安通”项目</w:t>
      </w:r>
      <w:r>
        <w:rPr/>
        <w:t>”项目（采购项目编号：</w:t>
      </w:r>
      <w:r>
        <w:rPr/>
        <w:t>HY-ZB-JM-2023-121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