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440701-2023-01869</w:t>
      </w:r>
    </w:p>
    <w:p>
      <w:pPr>
        <w:jc w:val="center"/>
      </w:pPr>
      <w:r>
        <w:rPr>
          <w:b/>
          <w:sz w:val="24"/>
        </w:rPr>
        <w:t>采购项目编号：</w:t>
      </w:r>
      <w:r>
        <w:rPr>
          <w:b/>
          <w:sz w:val="24"/>
        </w:rPr>
        <w:t>JM2023-A039</w:t>
      </w:r>
    </w:p>
    <w:p>
      <w:pPr>
        <w:jc w:val="center"/>
      </w:pPr>
      <w:r>
        <w:rPr>
          <w:b/>
          <w:sz w:val="24"/>
        </w:rPr>
        <w:t>项目名称：</w:t>
      </w:r>
      <w:r>
        <w:rPr>
          <w:b/>
          <w:sz w:val="24"/>
        </w:rPr>
        <w:t>江门市中心血站2023-2025年物业管理服务</w:t>
      </w:r>
    </w:p>
    <w:p>
      <w:pPr>
        <w:jc w:val="center"/>
      </w:pPr>
      <w:r>
        <w:rPr>
          <w:b/>
          <w:sz w:val="24"/>
        </w:rPr>
        <w:t>采购人：</w:t>
      </w:r>
      <w:r>
        <w:rPr>
          <w:b/>
          <w:sz w:val="24"/>
        </w:rPr>
        <w:t>江门市中心血站</w:t>
      </w:r>
    </w:p>
    <w:p>
      <w:pPr>
        <w:jc w:val="center"/>
      </w:pPr>
      <w:r>
        <w:rPr>
          <w:b/>
          <w:sz w:val="24"/>
        </w:rPr>
        <w:t>采购代理机构：</w:t>
      </w:r>
      <w:r>
        <w:rPr>
          <w:b/>
          <w:sz w:val="24"/>
        </w:rPr>
        <w:t>江门市政府采购中心</w:t>
      </w:r>
    </w:p>
    <w:p>
      <w:pPr>
        <w:ind w:firstLine="480"/>
      </w:pPr>
    </w:p>
    <w:p>
      <w:r>
        <w:rPr/>
        <w:t xml:space="preserve"> </w:t>
      </w:r>
    </w:p>
    <w:p/>
    <w:p>
      <w:pPr>
        <w:jc w:val="center"/>
      </w:pPr>
      <w:r>
        <w:rPr>
          <w:b/>
          <w:sz w:val="36"/>
        </w:rPr>
        <w:t>第一章投标邀请</w:t>
      </w:r>
    </w:p>
    <w:p>
      <w:pPr>
        <w:ind w:firstLine="480"/>
      </w:pPr>
      <w:r>
        <w:rPr/>
        <w:t>江门市政府采购中心</w:t>
      </w:r>
      <w:r>
        <w:rPr/>
        <w:t>受</w:t>
      </w:r>
      <w:r>
        <w:rPr/>
        <w:t>江门市中心血站</w:t>
      </w:r>
      <w:r>
        <w:rPr/>
        <w:t>的委托，采用</w:t>
      </w:r>
      <w:r>
        <w:rPr/>
        <w:t>公开招标</w:t>
      </w:r>
      <w:r>
        <w:rPr/>
        <w:t>方式组织采购</w:t>
      </w:r>
      <w:r>
        <w:rPr/>
        <w:t>江门市中心血站2023-2025年物业管理服务</w:t>
      </w:r>
      <w:r>
        <w:rPr/>
        <w:t>。欢迎符合资格条件的国内供应商参加投标。</w:t>
      </w:r>
    </w:p>
    <w:p>
      <w:r>
        <w:rPr>
          <w:b/>
          <w:sz w:val="28"/>
        </w:rPr>
        <w:t>一.项目概述</w:t>
      </w:r>
    </w:p>
    <w:p>
      <w:r>
        <w:rPr>
          <w:b/>
          <w:sz w:val="24"/>
        </w:rPr>
        <w:t>1.名称与编号</w:t>
      </w:r>
    </w:p>
    <w:p>
      <w:pPr>
        <w:ind w:firstLine="480"/>
      </w:pPr>
      <w:r>
        <w:rPr/>
        <w:t>项目名称：</w:t>
      </w:r>
      <w:r>
        <w:rPr/>
        <w:t>江门市中心血站2023-2025年物业管理服务</w:t>
      </w:r>
    </w:p>
    <w:p>
      <w:pPr>
        <w:ind w:firstLine="480"/>
      </w:pPr>
      <w:r>
        <w:rPr/>
        <w:t>采购计划编号：</w:t>
      </w:r>
      <w:r>
        <w:rPr/>
        <w:t>440701-2023-01869</w:t>
      </w:r>
    </w:p>
    <w:p>
      <w:pPr>
        <w:ind w:firstLine="480"/>
      </w:pPr>
      <w:r>
        <w:rPr/>
        <w:t>采购项目编号：</w:t>
      </w:r>
      <w:r>
        <w:rPr/>
        <w:t>JM2023-A039</w:t>
      </w:r>
    </w:p>
    <w:p>
      <w:pPr>
        <w:ind w:firstLine="480"/>
      </w:pPr>
      <w:r>
        <w:rPr/>
        <w:t>采购方式：</w:t>
      </w:r>
      <w:r>
        <w:rPr/>
        <w:t>公开招标</w:t>
      </w:r>
    </w:p>
    <w:p>
      <w:pPr>
        <w:ind w:firstLine="480"/>
      </w:pPr>
      <w:r>
        <w:rPr/>
        <w:t>预算金额：</w:t>
      </w:r>
      <w:r>
        <w:rPr/>
        <w:t>1,200,000.00</w:t>
      </w:r>
      <w:r>
        <w:rPr/>
        <w:t>元</w:t>
      </w:r>
    </w:p>
    <w:p>
      <w:r>
        <w:rPr>
          <w:b/>
          <w:sz w:val="24"/>
        </w:rPr>
        <w:t>2.项目内容及需求情况（采购项目技术规格、参数及要求）</w:t>
      </w:r>
    </w:p>
    <w:p>
      <w:pPr>
        <w:ind w:firstLine="480"/>
      </w:pPr>
    </w:p>
    <w:p/>
    <w:p>
      <w:r>
        <w:rPr/>
        <w:t>采购包1(江门市中心血站2023-2025年物业管理服务项目):</w:t>
      </w:r>
    </w:p>
    <w:p>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物业管理服务</w:t>
            </w:r>
          </w:p>
        </w:tc>
        <w:tc>
          <w:tcPr>
            <w:tcW w:type="dxa" w:w="2136"/>
          </w:tcPr>
          <w:p>
            <w:r>
              <w:rPr/>
              <w:t>物业管理服务</w:t>
            </w:r>
          </w:p>
        </w:tc>
        <w:tc>
          <w:tcPr>
            <w:tcW w:type="dxa" w:w="1187"/>
          </w:tcPr>
          <w:p>
            <w:r>
              <w:rPr/>
              <w:t>1.00(项)</w:t>
            </w:r>
          </w:p>
        </w:tc>
        <w:tc>
          <w:tcPr>
            <w:tcW w:type="dxa" w:w="1187"/>
          </w:tcPr>
          <w:p>
            <w:r>
              <w:rPr/>
              <w:t>详见第二章</w:t>
            </w:r>
          </w:p>
        </w:tc>
        <w:tc>
          <w:tcPr>
            <w:tcW w:type="dxa" w:w="1187"/>
          </w:tcPr>
          <w:p>
            <w:r>
              <w:rPr/>
              <w:t>否</w:t>
            </w:r>
          </w:p>
        </w:tc>
      </w:tr>
    </w:tbl>
    <w:p/>
    <w:p>
      <w:r>
        <w:rPr/>
        <w:t>本采购包不接受联合体投标</w:t>
      </w:r>
    </w:p>
    <w:p/>
    <w:p>
      <w:r>
        <w:rPr/>
        <w:t>合同履行期限：本期服务有效期为24个月，从合同签订生效之日起开始计算。</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 如依法免税或不需要缴纳社会保障资金的， 提供相应证明材料。</w:t>
      </w:r>
    </w:p>
    <w:p/>
    <w:p>
      <w:r>
        <w:rPr/>
        <w:t>3）具有良好的商业信誉和健全的财务会计制度：投标人应在投标文件中提供财务报表和财务会计制度。</w:t>
      </w:r>
    </w:p>
    <w:p/>
    <w:p>
      <w:r>
        <w:rPr/>
        <w:t>4）履行合同所必需的设备和专业技术能力：投标人应在投标文件中提供与开展业务有关的设备的资料（照片、图片等）；投标人应在投标文件中提供与开展业务有关的人员技术证明。</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采购包1（江门市中心血站2023-2025年物业管理服务项目）：</w:t>
      </w:r>
      <w:r>
        <w:rPr/>
        <w:t>参与的供应商（联合体）服务全部由符合政策要求的中小企业承接</w:t>
      </w:r>
    </w:p>
    <w:p/>
    <w:p>
      <w:r>
        <w:rPr>
          <w:b/>
          <w:sz w:val="24"/>
        </w:rPr>
        <w:t>3.本项目特定的资格要求：</w:t>
      </w:r>
    </w:p>
    <w:p>
      <w:pPr>
        <w:ind w:firstLine="480"/>
      </w:pPr>
    </w:p>
    <w:p/>
    <w:p>
      <w:r>
        <w:rPr/>
        <w:t>采购包1（江门市中心血站2023-2025年物业管理服务项目）：</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江门市中心血站</w:t>
      </w:r>
    </w:p>
    <w:p>
      <w:pPr>
        <w:ind w:firstLine="480"/>
      </w:pPr>
      <w:r>
        <w:rPr/>
        <w:t>地址：</w:t>
      </w:r>
      <w:r>
        <w:rPr/>
        <w:t>江门市双龙大道星河路12号</w:t>
      </w:r>
    </w:p>
    <w:p>
      <w:pPr>
        <w:ind w:firstLine="480"/>
      </w:pPr>
      <w:r>
        <w:rPr/>
        <w:t>联系方式：</w:t>
      </w:r>
      <w:r>
        <w:rPr/>
        <w:t>0750-3286497</w:t>
      </w:r>
    </w:p>
    <w:p>
      <w:r>
        <w:rPr>
          <w:b/>
          <w:sz w:val="24"/>
        </w:rPr>
        <w:t>2.采购代理机构信息</w:t>
      </w:r>
    </w:p>
    <w:p>
      <w:pPr>
        <w:ind w:firstLine="480"/>
      </w:pPr>
      <w:r>
        <w:rPr/>
        <w:t>名称：</w:t>
      </w:r>
      <w:r>
        <w:rPr/>
        <w:t>江门市政府采购中心</w:t>
      </w:r>
    </w:p>
    <w:p>
      <w:pPr>
        <w:ind w:firstLine="480"/>
      </w:pPr>
      <w:r>
        <w:rPr/>
        <w:t>地址：</w:t>
      </w:r>
      <w:r>
        <w:rPr/>
        <w:t>江门市蓬江区堤西路88号3楼</w:t>
      </w:r>
    </w:p>
    <w:p>
      <w:pPr>
        <w:ind w:firstLine="480"/>
      </w:pPr>
      <w:r>
        <w:rPr/>
        <w:t>联系方式：</w:t>
      </w:r>
      <w:r>
        <w:rPr/>
        <w:t>0750-3509006</w:t>
      </w:r>
    </w:p>
    <w:p>
      <w:r>
        <w:rPr>
          <w:b/>
          <w:sz w:val="24"/>
        </w:rPr>
        <w:t>3.项目联系方式</w:t>
      </w:r>
    </w:p>
    <w:p>
      <w:pPr>
        <w:ind w:firstLine="480"/>
      </w:pPr>
      <w:r>
        <w:rPr/>
        <w:t>项目联系人：</w:t>
      </w:r>
      <w:r>
        <w:rPr/>
        <w:t>周恩如</w:t>
      </w:r>
    </w:p>
    <w:p>
      <w:pPr>
        <w:ind w:firstLine="480"/>
      </w:pPr>
      <w:r>
        <w:rPr/>
        <w:t>电话：</w:t>
      </w:r>
      <w:r>
        <w:rPr/>
        <w:t>0750-3509006</w:t>
      </w:r>
    </w:p>
    <w:p>
      <w:r>
        <w:rPr>
          <w:b/>
          <w:sz w:val="24"/>
        </w:rPr>
        <w:t>4.技术支持联系方式</w:t>
      </w:r>
    </w:p>
    <w:p>
      <w:pPr>
        <w:ind w:firstLine="480"/>
      </w:pPr>
      <w:r>
        <w:rPr/>
        <w:t>云平台联系方式：020-88696588</w:t>
      </w:r>
    </w:p>
    <w:p>
      <w:r>
        <w:rPr/>
        <w:t>采购代理机构：</w:t>
      </w:r>
      <w:r>
        <w:rPr/>
        <w:t>江门市政府采购中心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81"/>
        <w:jc w:val="both"/>
      </w:pPr>
      <w:r>
        <w:rPr>
          <w:b/>
          <w:sz w:val="24"/>
        </w:rPr>
        <w:t>（一）项目说明及总体要求：</w:t>
      </w:r>
    </w:p>
    <w:p>
      <w:pPr>
        <w:ind w:firstLine="481"/>
        <w:jc w:val="both"/>
      </w:pPr>
      <w:r>
        <w:rPr>
          <w:sz w:val="24"/>
        </w:rPr>
        <w:t>1.投标人必须对项目内全部内容进行投标，不允许只对其中部分内容进行投标。</w:t>
      </w:r>
    </w:p>
    <w:p>
      <w:pPr>
        <w:ind w:firstLine="480"/>
        <w:jc w:val="both"/>
      </w:pPr>
      <w:r>
        <w:rPr>
          <w:sz w:val="24"/>
        </w:rPr>
        <w:t>2.采购人根据价格测算情况，设定了本项目的最高限价，评标委员会认为投标人的报价明显低于其他通过符合性审查投标人的报价，有可能影响产品质量或者不能诚信履约的，将</w:t>
      </w:r>
      <w:r>
        <w:rPr>
          <w:sz w:val="24"/>
        </w:rPr>
        <w:t>要求其</w:t>
      </w:r>
      <w:r>
        <w:rPr>
          <w:sz w:val="24"/>
        </w:rPr>
        <w:t>在</w:t>
      </w:r>
      <w:r>
        <w:rPr>
          <w:sz w:val="24"/>
        </w:rPr>
        <w:t>评</w:t>
      </w:r>
      <w:r>
        <w:rPr>
          <w:sz w:val="24"/>
        </w:rPr>
        <w:t>标委员会规定的时间内提供书面说明，必要时提交相关证明材料；投标人不能证明其报价合理性的，评标委员会将其作为无效投标处理。</w:t>
      </w:r>
    </w:p>
    <w:p>
      <w:pPr>
        <w:ind w:firstLine="480"/>
        <w:jc w:val="both"/>
      </w:pPr>
      <w:r>
        <w:rPr>
          <w:sz w:val="24"/>
        </w:rPr>
        <w:t>3.招标文件“技术要求”中，凡标有“★”的地方均被视为实质性条款。投标人要特别加以注意，必须对此回答并完全满足或优于这些要求。否则若有一项带“★”的条款未响应或不满足，将按无效投标处理。标注有“▲”号参数为重要条款，如不满足将导致严重扣分。</w:t>
      </w:r>
    </w:p>
    <w:p/>
    <w:p>
      <w:pPr>
        <w:ind w:firstLine="480"/>
      </w:pPr>
    </w:p>
    <w:p/>
    <w:p>
      <w:r>
        <w:rPr/>
        <w:t>采购包1（江门市中心血站2023-2025年物业管理服务项目）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本期服务有效期为24个月，从合同签订生效之日起开始计算。</w:t>
            </w:r>
          </w:p>
        </w:tc>
      </w:tr>
      <w:tr>
        <w:tc>
          <w:tcPr>
            <w:tcW w:type="dxa" w:w="4153"/>
          </w:tcPr>
          <w:p>
            <w:r>
              <w:rPr/>
              <w:t>标的提供的地点</w:t>
            </w:r>
          </w:p>
        </w:tc>
        <w:tc>
          <w:tcPr>
            <w:tcW w:type="dxa" w:w="4153"/>
          </w:tcPr>
          <w:p/>
          <w:p>
            <w:r>
              <w:rPr/>
              <w:t>江门市蓬江区星河路12号。</w:t>
            </w:r>
          </w:p>
        </w:tc>
      </w:tr>
      <w:tr>
        <w:tc>
          <w:tcPr>
            <w:tcW w:type="dxa" w:w="4153"/>
          </w:tcPr>
          <w:p>
            <w:r>
              <w:rPr/>
              <w:t>付款方式</w:t>
            </w:r>
          </w:p>
        </w:tc>
        <w:tc>
          <w:tcPr>
            <w:tcW w:type="dxa" w:w="4153"/>
          </w:tcPr>
          <w:p/>
          <w:p/>
          <w:p>
            <w:r>
              <w:rPr/>
              <w:t>1期：支付比例100%,按月分期付款。本项目采购资金由采购人自筹解决，经政府采购后确定的中标价格为最终的合同价格，合同款的支付由中标供应商与采购人双方自行结算。每月10号前，采购人在确定中标供应商提供合格服务内容及已将上月工资发放给聘请员工后，凭发票将上月后勤服务费转账给中标供应商。</w:t>
            </w:r>
          </w:p>
        </w:tc>
      </w:tr>
      <w:tr>
        <w:tc>
          <w:tcPr>
            <w:tcW w:type="dxa" w:w="4153"/>
          </w:tcPr>
          <w:p>
            <w:r>
              <w:rPr/>
              <w:t>验收要求</w:t>
            </w:r>
          </w:p>
        </w:tc>
        <w:tc>
          <w:tcPr>
            <w:tcW w:type="dxa" w:w="4153"/>
          </w:tcPr>
          <w:p/>
          <w:p/>
          <w:p/>
          <w:p>
            <w:r>
              <w:rPr/>
              <w:t>1期：1.以国家现行相关管理条例、招标文件和投标文件为验收标准。验收合格后由中标供应商和采购人共同签字确认。 2.采购人协助中标供应商进行相关服务工作。采购人将派专人监督中标供应商相关服务工作标准，并有权不定期对中标供应商的相关服务工作进行满意度调查。</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商务要求，(一)基本要求: 1．本次招标采购内容为江门市中心血站年度物业管理服务。投标人须对本项目采购标的进行整体投标，任何只对本项目采购标的部分内容、数量进行投标都视作无效投标。本项目服务内容包括清洁卫生、绿化、保安，不得将项目中的内容拆散来投标。 2．投标人如有需要到项目现场进行考察的，应事先与采购人联系，不许自行前往，自理相关费用。考察时候为获取采购文件结束之日起下一工作日9:00-11:00。考察地点：江门市中心血站。联系人：黎先生，0750-3286497 。投标人必须认真考察，对服务环境充分了解并对服务过程遇到的问题应有充分的预见，处理的办法及费用由投标人考虑投标报价内风险承包。 3．投标人应当在投标文件中详细列出并提供相关证明文件证明本项目负责人和主要管理、年龄、服务人员的学历、职称、从事相关工作的时间，承担过类似项目名称、责任内容、完成日期以及其它业绩证明材料。 4．投标人应当说明与本项目类似的其它项目的业绩和服务情况等。 5．投标人应当提供相关的财务及资信情况资料，以证明其经营状况以履约能力。 6．采购人将免费为中标供应商提供服务项目中所使用的水电（但不包括中标供应商行政办公所使用的水电）。 7．采购合同: 中标供应商与采购人应当在中标通知书发出之日起的 30 日内签订政府采购合同。采购合同经双方盖章后生效。 8．在中标后的整个作业期间，投标人及其聘请员工若发生人身伤亡、财物或其它损失，无论何种原因所致，采购人和采购代理机构均不负责。 9．在服务期内，如由于中标人管理不善导致采购人财物损失的，由中标人独立承担赔偿责任。 10．投标人应当严格按照招标文件要求如实编写投标文件。 11．本次政府采购的服务对象为医疗卫生单位，投标人在价格上应予以充分的优惠，并提供最佳的售后服务。 (二)最高限价:本项目最高限价为人民币120万元，投标报价是唯一的且不得超过最高限价。投标报价应为人民币含税全包价，包括提供日常管理服务所发生的一切费用。 (三)本项目采购标的对应的中小企业划分标准所属行业为：物业管理业。</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物业管理服务</w:t>
            </w:r>
          </w:p>
        </w:tc>
        <w:tc>
          <w:tcPr>
            <w:tcW w:type="dxa" w:w="933"/>
          </w:tcPr>
          <w:p>
            <w:pPr>
              <w:jc w:val="left"/>
            </w:pPr>
            <w:r>
              <w:rPr/>
              <w:t>物业管理服务</w:t>
            </w:r>
          </w:p>
        </w:tc>
        <w:tc>
          <w:tcPr>
            <w:tcW w:type="dxa" w:w="933"/>
          </w:tcPr>
          <w:p>
            <w:pPr>
              <w:jc w:val="left"/>
            </w:pPr>
            <w:r>
              <w:rPr/>
              <w:t>项</w:t>
            </w:r>
          </w:p>
        </w:tc>
        <w:tc>
          <w:tcPr>
            <w:tcW w:type="dxa" w:w="933"/>
          </w:tcPr>
          <w:p>
            <w:pPr>
              <w:jc w:val="right"/>
            </w:pPr>
            <w:r>
              <w:rPr/>
              <w:t>1.00</w:t>
            </w:r>
          </w:p>
        </w:tc>
        <w:tc>
          <w:tcPr>
            <w:tcW w:type="dxa" w:w="933"/>
          </w:tcPr>
          <w:p>
            <w:pPr>
              <w:jc w:val="right"/>
            </w:pPr>
            <w:r>
              <w:rPr/>
              <w:t>1,200,000.00</w:t>
            </w:r>
          </w:p>
        </w:tc>
        <w:tc>
          <w:tcPr>
            <w:tcW w:type="dxa" w:w="933"/>
          </w:tcPr>
          <w:p>
            <w:pPr>
              <w:jc w:val="right"/>
            </w:pPr>
            <w:r>
              <w:rPr/>
              <w:t>1,200,000.00</w:t>
            </w:r>
          </w:p>
        </w:tc>
        <w:tc>
          <w:tcPr>
            <w:tcW w:type="dxa" w:w="840"/>
          </w:tcPr>
          <w:p>
            <w:r>
              <w:rPr/>
              <w:t>物业管理</w:t>
            </w:r>
          </w:p>
        </w:tc>
        <w:tc>
          <w:tcPr>
            <w:tcW w:type="dxa" w:w="933"/>
          </w:tcPr>
          <w:p>
            <w:r>
              <w:rPr/>
              <w:t>详见附表一</w:t>
            </w:r>
          </w:p>
        </w:tc>
      </w:tr>
    </w:tbl>
    <w:p/>
    <w:p>
      <w:r>
        <w:rPr>
          <w:b/>
        </w:rPr>
        <w:t>附表</w:t>
      </w:r>
      <w:r>
        <w:rPr>
          <w:b/>
        </w:rPr>
        <w:t>一</w:t>
      </w:r>
      <w:r>
        <w:rPr>
          <w:b/>
        </w:rPr>
        <w:t>：</w:t>
      </w:r>
      <w:r>
        <w:rPr>
          <w:b/>
        </w:rPr>
        <w:t>物业管理服务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ind w:firstLine="482"/>
              <w:jc w:val="both"/>
            </w:pPr>
          </w:p>
          <w:p>
            <w:pPr>
              <w:ind w:firstLine="482"/>
              <w:jc w:val="both"/>
            </w:pPr>
          </w:p>
          <w:p>
            <w:pPr>
              <w:ind w:firstLine="482"/>
              <w:jc w:val="both"/>
            </w:pPr>
          </w:p>
          <w:p>
            <w:pPr>
              <w:ind w:firstLine="482"/>
              <w:jc w:val="both"/>
            </w:pPr>
            <w:r>
              <w:rPr>
                <w:b/>
                <w:sz w:val="24"/>
              </w:rPr>
              <w:t>（一）服务内容及要求:</w:t>
            </w:r>
          </w:p>
          <w:p>
            <w:pPr>
              <w:ind w:firstLine="482"/>
              <w:jc w:val="both"/>
            </w:pPr>
            <w:r>
              <w:rPr>
                <w:b/>
                <w:sz w:val="24"/>
              </w:rPr>
              <w:t>1.</w:t>
            </w:r>
            <w:r>
              <w:rPr>
                <w:b/>
                <w:sz w:val="24"/>
              </w:rPr>
              <w:t>服务场所简介：</w:t>
            </w:r>
          </w:p>
          <w:p>
            <w:pPr>
              <w:ind w:firstLine="480"/>
              <w:jc w:val="both"/>
            </w:pPr>
            <w:r>
              <w:rPr>
                <w:sz w:val="24"/>
              </w:rPr>
              <w:t>本项目服务地点为江门市中心血站内，包括：主楼、副楼、单位大院，地处江门市星河路12号，建筑面积为10900㎡，占地面积11129㎡。</w:t>
            </w:r>
          </w:p>
          <w:p>
            <w:pPr>
              <w:ind w:firstLine="480"/>
              <w:jc w:val="both"/>
            </w:pPr>
            <w:r>
              <w:rPr>
                <w:sz w:val="24"/>
              </w:rPr>
              <w:t>清洁卫生范围主要包括：主楼（除去六楼）、副楼（除去员工个人宿舍内部）、单位大院（含鱼池清洗及大院门外三包路面）、血站公务车辆等工作区域和设施的清洁消毒，清洁面积约9000㎡。</w:t>
            </w:r>
          </w:p>
          <w:p>
            <w:pPr>
              <w:ind w:firstLine="482"/>
              <w:jc w:val="both"/>
            </w:pPr>
            <w:r>
              <w:rPr>
                <w:b/>
                <w:sz w:val="24"/>
              </w:rPr>
              <w:t>2.</w:t>
            </w:r>
            <w:r>
              <w:rPr>
                <w:b/>
                <w:sz w:val="24"/>
              </w:rPr>
              <w:t>项目服务总体要求：</w:t>
            </w:r>
          </w:p>
          <w:p>
            <w:pPr>
              <w:ind w:firstLine="480"/>
              <w:jc w:val="both"/>
            </w:pPr>
            <w:r>
              <w:rPr>
                <w:sz w:val="24"/>
              </w:rPr>
              <w:t>(1)</w:t>
            </w:r>
            <w:r>
              <w:rPr>
                <w:sz w:val="24"/>
              </w:rPr>
              <w:t>投标人需配合采购人各科室科长或主任执行后勤服务标准，设立各科室投诉登记册。</w:t>
            </w:r>
          </w:p>
          <w:p>
            <w:pPr>
              <w:ind w:firstLine="480"/>
              <w:jc w:val="both"/>
            </w:pPr>
            <w:r>
              <w:rPr>
                <w:sz w:val="24"/>
              </w:rPr>
              <w:t>(2)</w:t>
            </w:r>
            <w:r>
              <w:rPr>
                <w:sz w:val="24"/>
              </w:rPr>
              <w:t>投标人工作人员保持良好的仪容仪表，配备统一工作服装，不准在办公区域高声喧哗、聊天，提高单位整体形象。</w:t>
            </w:r>
          </w:p>
          <w:p>
            <w:pPr>
              <w:ind w:firstLine="480"/>
              <w:jc w:val="both"/>
            </w:pPr>
            <w:r>
              <w:rPr>
                <w:sz w:val="24"/>
              </w:rPr>
              <w:t>(3)</w:t>
            </w:r>
            <w:r>
              <w:rPr>
                <w:sz w:val="24"/>
              </w:rPr>
              <w:t>投标人工作人员要遵守单位规章制度；不得盗窃、损坏单位的财物或设备设施，否则照价赔偿或交公安机关处理。</w:t>
            </w:r>
          </w:p>
          <w:p>
            <w:pPr>
              <w:ind w:firstLine="480"/>
              <w:jc w:val="both"/>
            </w:pPr>
            <w:r>
              <w:rPr>
                <w:sz w:val="24"/>
              </w:rPr>
              <w:t>(4)</w:t>
            </w:r>
            <w:r>
              <w:rPr>
                <w:sz w:val="24"/>
              </w:rPr>
              <w:t>投标人工作人员必须通过培训，业务知识测试合格后才能上岗，熟悉掌握血站运作的情况，了解血站的服务项目，保证清洁、绿化、保安服务到位。培训清洁人员做好职业暴露防护，中标人需采取有效措施向公司员工提供必要防护用具，避免员工发生职业暴露而感染疾病。培训保安人员掌握安全保卫和基本消防火灾处置技能知识， 采取有效管理措施保证血站环境和消防安全等。负责绿化工作的人员具备绿化养护工作经验。</w:t>
            </w:r>
          </w:p>
          <w:p>
            <w:pPr>
              <w:ind w:firstLine="480"/>
              <w:jc w:val="both"/>
            </w:pPr>
            <w:r>
              <w:rPr>
                <w:sz w:val="24"/>
              </w:rPr>
              <w:t>(5)</w:t>
            </w:r>
            <w:r>
              <w:rPr>
                <w:sz w:val="24"/>
              </w:rPr>
              <w:t>投标人所有工作人员必须做到严格安全生产、文明服务，投标人工作人员的自身健康、安全所引起的全部费用及责任由投标人负责，与采购人无关。由于违反操作规程，和因投标人自身其它原因，对采购人造成的工作影响、经济损失、声誉损害和法律责任，均由投标人承担。</w:t>
            </w:r>
          </w:p>
          <w:p>
            <w:pPr>
              <w:ind w:firstLine="480"/>
              <w:jc w:val="both"/>
            </w:pPr>
            <w:r>
              <w:rPr>
                <w:sz w:val="24"/>
              </w:rPr>
              <w:t>(6)</w:t>
            </w:r>
            <w:r>
              <w:rPr>
                <w:sz w:val="24"/>
              </w:rPr>
              <w:t>投标人所有聘用人员都必须身体健康，所有工作人员正式上岗前由投标人进行培训并提供足够的防护保障，员工感染疾病所引起的费用及责任与采购人无关。</w:t>
            </w:r>
          </w:p>
          <w:p>
            <w:pPr>
              <w:ind w:firstLine="480"/>
              <w:jc w:val="both"/>
            </w:pPr>
            <w:r>
              <w:rPr>
                <w:sz w:val="24"/>
              </w:rPr>
              <w:t>(7)</w:t>
            </w:r>
            <w:r>
              <w:rPr>
                <w:sz w:val="24"/>
              </w:rPr>
              <w:t>投标人应设服务负责人，统一调动、统一管理，每天必须提供24小时服务，随叫随到。</w:t>
            </w:r>
          </w:p>
          <w:p>
            <w:pPr>
              <w:ind w:firstLine="480"/>
              <w:jc w:val="both"/>
            </w:pPr>
            <w:r>
              <w:rPr>
                <w:sz w:val="24"/>
              </w:rPr>
              <w:t>(8)</w:t>
            </w:r>
            <w:r>
              <w:rPr>
                <w:sz w:val="24"/>
              </w:rPr>
              <w:t>投标人工作人员要坚守岗位，不得串岗。</w:t>
            </w:r>
          </w:p>
          <w:p>
            <w:pPr>
              <w:ind w:firstLine="480"/>
              <w:jc w:val="both"/>
            </w:pPr>
            <w:r>
              <w:rPr>
                <w:sz w:val="24"/>
              </w:rPr>
              <w:t>(9)</w:t>
            </w:r>
            <w:r>
              <w:rPr>
                <w:sz w:val="24"/>
              </w:rPr>
              <w:t>投标人所有工作员工必须通过严格的政治思想培训，通过审核，保证员工有良好的思想素质。教育员工注意节约水、电。</w:t>
            </w:r>
          </w:p>
          <w:p>
            <w:pPr>
              <w:ind w:firstLine="560"/>
              <w:jc w:val="both"/>
            </w:pPr>
            <w:r>
              <w:rPr>
                <w:sz w:val="28"/>
              </w:rPr>
              <w:t>★</w:t>
            </w:r>
            <w:r>
              <w:rPr>
                <w:sz w:val="24"/>
              </w:rPr>
              <w:t>（10）投标人安排工作人员不少于14人，其中项目负责人1人、清洁卫生、绿化养护服务人员不少于8人，保安人员不少于5人。</w:t>
            </w:r>
          </w:p>
          <w:p>
            <w:pPr>
              <w:ind w:firstLine="480"/>
              <w:jc w:val="both"/>
            </w:pPr>
            <w:r>
              <w:rPr>
                <w:sz w:val="24"/>
              </w:rPr>
              <w:t>▲（11）投标人保证所派出的保安员在上岗前接受培训时间不少于30日。保安员应是经当地公安部门审核无违法犯罪记录的人员，保安员如跨省、自治区、直辖市为采购人提供保安服务的，应当向服务所在地设区的市级人民政府公安机关备案，并及时将备案证明递交采购人存档。</w:t>
            </w:r>
          </w:p>
          <w:p>
            <w:pPr>
              <w:ind w:firstLine="480"/>
              <w:jc w:val="both"/>
            </w:pPr>
            <w:r>
              <w:rPr>
                <w:sz w:val="24"/>
              </w:rPr>
              <w:t>（12）投标人必须确保有足够的人员投入，必须满足采购人的清洁卫生、绿化养护、保安等需求，确保服务质量要求；须将安排到采购人实施本项目员工姓名、身份证号码和联系电话、体检报告等具体信息名单交采购人确认存档，如到位员工出现离职补充新进员工需在3天内提交名单信息给采购人办公室确认存档。</w:t>
            </w:r>
          </w:p>
          <w:p>
            <w:pPr>
              <w:ind w:firstLine="480"/>
              <w:jc w:val="both"/>
            </w:pPr>
            <w:r>
              <w:rPr>
                <w:sz w:val="24"/>
              </w:rPr>
              <w:t>▲（13）投标人保证安排从事医疗废物收集、运输和暂存处置人员持体检报告、身体健康方可上岗，每年不少于一次体检，所需体检费用由中标人承担，体检报告复印件交中标人存档。中标人应对聘请从事医疗废物收集、运输和医疗废物暂存处置工作人员进行相关职业暴露防护知识培训，保障从业人员规范操作及人身健康安全。</w:t>
            </w:r>
          </w:p>
          <w:p>
            <w:pPr>
              <w:ind w:firstLine="480"/>
              <w:jc w:val="both"/>
            </w:pPr>
            <w:r>
              <w:rPr>
                <w:sz w:val="24"/>
              </w:rPr>
              <w:t>（14）本项目人员配备及素质要求：</w:t>
            </w:r>
          </w:p>
          <w:tbl>
            <w:tblGrid>
              <w:gridCol w:w="686"/>
              <w:gridCol w:w="884"/>
              <w:gridCol w:w="616"/>
              <w:gridCol w:w="3410"/>
            </w:tblGrid>
            <w:tr>
              <w:tc>
                <w:tcPr>
                  <w:tcW w:type="dxa" w:w="686"/>
                  <w:tcBorders>
                    <w:top w:val="single" w:color="000000" w:sz="4"/>
                    <w:left w:val="single" w:color="000000" w:sz="4"/>
                    <w:bottom w:val="single" w:color="000000" w:sz="4"/>
                    <w:right w:val="single" w:color="000000" w:sz="4"/>
                  </w:tcBorders>
                </w:tcPr>
                <w:p>
                  <w:pPr>
                    <w:jc w:val="center"/>
                  </w:pPr>
                  <w:r>
                    <w:rPr>
                      <w:b/>
                      <w:sz w:val="24"/>
                    </w:rPr>
                    <w:t>序号</w:t>
                  </w:r>
                </w:p>
              </w:tc>
              <w:tc>
                <w:tcPr>
                  <w:tcW w:type="dxa" w:w="884"/>
                  <w:tcBorders>
                    <w:top w:val="single" w:color="000000" w:sz="4"/>
                    <w:left w:val="none" w:color="000000" w:sz="4"/>
                    <w:bottom w:val="single" w:color="000000" w:sz="4"/>
                    <w:right w:val="single" w:color="000000" w:sz="4"/>
                  </w:tcBorders>
                </w:tcPr>
                <w:p>
                  <w:pPr>
                    <w:jc w:val="center"/>
                  </w:pPr>
                  <w:r>
                    <w:rPr>
                      <w:b/>
                      <w:sz w:val="24"/>
                    </w:rPr>
                    <w:t>岗位</w:t>
                  </w:r>
                </w:p>
              </w:tc>
              <w:tc>
                <w:tcPr>
                  <w:tcW w:type="dxa" w:w="616"/>
                  <w:tcBorders>
                    <w:top w:val="single" w:color="000000" w:sz="4"/>
                    <w:left w:val="none" w:color="000000" w:sz="4"/>
                    <w:bottom w:val="single" w:color="000000" w:sz="4"/>
                    <w:right w:val="single" w:color="000000" w:sz="4"/>
                  </w:tcBorders>
                </w:tcPr>
                <w:p>
                  <w:pPr>
                    <w:jc w:val="center"/>
                  </w:pPr>
                  <w:r>
                    <w:rPr>
                      <w:b/>
                      <w:sz w:val="24"/>
                    </w:rPr>
                    <w:t>人数</w:t>
                  </w:r>
                </w:p>
                <w:p>
                  <w:pPr>
                    <w:jc w:val="center"/>
                  </w:pPr>
                  <w:r>
                    <w:rPr>
                      <w:b/>
                      <w:sz w:val="24"/>
                    </w:rPr>
                    <w:t>（人）</w:t>
                  </w:r>
                </w:p>
              </w:tc>
              <w:tc>
                <w:tcPr>
                  <w:tcW w:type="dxa" w:w="3410"/>
                  <w:tcBorders>
                    <w:top w:val="single" w:color="000000" w:sz="4"/>
                    <w:left w:val="none" w:color="000000" w:sz="4"/>
                    <w:bottom w:val="single" w:color="000000" w:sz="4"/>
                    <w:right w:val="single" w:color="000000" w:sz="4"/>
                  </w:tcBorders>
                </w:tcPr>
                <w:p>
                  <w:pPr>
                    <w:jc w:val="center"/>
                  </w:pPr>
                  <w:r>
                    <w:rPr>
                      <w:b/>
                      <w:sz w:val="24"/>
                    </w:rPr>
                    <w:t>素质要求</w:t>
                  </w:r>
                </w:p>
              </w:tc>
            </w:tr>
            <w:tr>
              <w:tc>
                <w:tcPr>
                  <w:tcW w:type="dxa" w:w="686"/>
                  <w:tcBorders>
                    <w:top w:val="none" w:color="000000" w:sz="4"/>
                    <w:left w:val="single" w:color="000000" w:sz="4"/>
                    <w:bottom w:val="single" w:color="000000" w:sz="4"/>
                    <w:right w:val="single" w:color="000000" w:sz="4"/>
                  </w:tcBorders>
                </w:tcPr>
                <w:p>
                  <w:pPr>
                    <w:jc w:val="center"/>
                  </w:pPr>
                  <w:r>
                    <w:rPr>
                      <w:sz w:val="24"/>
                    </w:rPr>
                    <w:t>1</w:t>
                  </w:r>
                </w:p>
              </w:tc>
              <w:tc>
                <w:tcPr>
                  <w:tcW w:type="dxa" w:w="884"/>
                  <w:tcBorders>
                    <w:top w:val="none" w:color="000000" w:sz="4"/>
                    <w:left w:val="none" w:color="000000" w:sz="4"/>
                    <w:bottom w:val="single" w:color="000000" w:sz="4"/>
                    <w:right w:val="single" w:color="000000" w:sz="4"/>
                  </w:tcBorders>
                </w:tcPr>
                <w:p>
                  <w:pPr>
                    <w:jc w:val="center"/>
                  </w:pPr>
                  <w:r>
                    <w:rPr>
                      <w:sz w:val="24"/>
                    </w:rPr>
                    <w:t>项目经理</w:t>
                  </w:r>
                </w:p>
              </w:tc>
              <w:tc>
                <w:tcPr>
                  <w:tcW w:type="dxa" w:w="616"/>
                  <w:tcBorders>
                    <w:top w:val="none" w:color="000000" w:sz="4"/>
                    <w:left w:val="none" w:color="000000" w:sz="4"/>
                    <w:bottom w:val="single" w:color="000000" w:sz="4"/>
                    <w:right w:val="single" w:color="000000" w:sz="4"/>
                  </w:tcBorders>
                </w:tcPr>
                <w:p>
                  <w:pPr>
                    <w:jc w:val="center"/>
                  </w:pPr>
                  <w:r>
                    <w:rPr>
                      <w:sz w:val="24"/>
                    </w:rPr>
                    <w:t>1</w:t>
                  </w:r>
                </w:p>
              </w:tc>
              <w:tc>
                <w:tcPr>
                  <w:tcW w:type="dxa" w:w="3410"/>
                  <w:tcBorders>
                    <w:top w:val="none" w:color="000000" w:sz="4"/>
                    <w:left w:val="none" w:color="000000" w:sz="4"/>
                    <w:bottom w:val="single" w:color="000000" w:sz="4"/>
                    <w:right w:val="single" w:color="000000" w:sz="4"/>
                  </w:tcBorders>
                </w:tcPr>
                <w:p>
                  <w:pPr>
                    <w:jc w:val="left"/>
                  </w:pPr>
                  <w:r>
                    <w:rPr>
                      <w:sz w:val="24"/>
                    </w:rPr>
                    <w:t>1.</w:t>
                  </w:r>
                  <w:r>
                    <w:rPr>
                      <w:sz w:val="24"/>
                    </w:rPr>
                    <w:t>具有物业管理类专业大专或以上学历。</w:t>
                  </w:r>
                </w:p>
                <w:p>
                  <w:pPr>
                    <w:jc w:val="left"/>
                  </w:pPr>
                  <w:r>
                    <w:rPr>
                      <w:sz w:val="24"/>
                    </w:rPr>
                    <w:t>2.</w:t>
                  </w:r>
                  <w:r>
                    <w:rPr>
                      <w:sz w:val="24"/>
                    </w:rPr>
                    <w:t>具有政府相关主管部门颁发的物业管理员国家职业技能证书。</w:t>
                  </w:r>
                </w:p>
                <w:p>
                  <w:pPr>
                    <w:jc w:val="left"/>
                  </w:pPr>
                  <w:r>
                    <w:rPr>
                      <w:sz w:val="24"/>
                    </w:rPr>
                    <w:t>3.</w:t>
                  </w:r>
                  <w:r>
                    <w:rPr>
                      <w:sz w:val="24"/>
                    </w:rPr>
                    <w:t>具有政府相关主管部门颁发的防疫员职业技能证书。</w:t>
                  </w:r>
                </w:p>
              </w:tc>
            </w:tr>
            <w:tr>
              <w:tc>
                <w:tcPr>
                  <w:tcW w:type="dxa" w:w="686"/>
                  <w:tcBorders>
                    <w:top w:val="none" w:color="000000" w:sz="4"/>
                    <w:left w:val="single" w:color="000000" w:sz="4"/>
                    <w:bottom w:val="single" w:color="000000" w:sz="4"/>
                    <w:right w:val="single" w:color="000000" w:sz="4"/>
                  </w:tcBorders>
                </w:tcPr>
                <w:p>
                  <w:pPr>
                    <w:jc w:val="center"/>
                  </w:pPr>
                  <w:r>
                    <w:rPr>
                      <w:sz w:val="24"/>
                    </w:rPr>
                    <w:t>2</w:t>
                  </w:r>
                </w:p>
              </w:tc>
              <w:tc>
                <w:tcPr>
                  <w:tcW w:type="dxa" w:w="884"/>
                  <w:tcBorders>
                    <w:top w:val="none" w:color="000000" w:sz="4"/>
                    <w:left w:val="none" w:color="000000" w:sz="4"/>
                    <w:bottom w:val="single" w:color="000000" w:sz="4"/>
                    <w:right w:val="single" w:color="000000" w:sz="4"/>
                  </w:tcBorders>
                </w:tcPr>
                <w:p>
                  <w:pPr>
                    <w:jc w:val="center"/>
                  </w:pPr>
                  <w:r>
                    <w:rPr>
                      <w:sz w:val="24"/>
                    </w:rPr>
                    <w:t>保安班长</w:t>
                  </w:r>
                </w:p>
              </w:tc>
              <w:tc>
                <w:tcPr>
                  <w:tcW w:type="dxa" w:w="616"/>
                  <w:tcBorders>
                    <w:top w:val="none" w:color="000000" w:sz="4"/>
                    <w:left w:val="none" w:color="000000" w:sz="4"/>
                    <w:bottom w:val="single" w:color="000000" w:sz="4"/>
                    <w:right w:val="single" w:color="000000" w:sz="4"/>
                  </w:tcBorders>
                </w:tcPr>
                <w:p>
                  <w:pPr>
                    <w:jc w:val="center"/>
                  </w:pPr>
                  <w:r>
                    <w:rPr>
                      <w:sz w:val="24"/>
                    </w:rPr>
                    <w:t>1</w:t>
                  </w:r>
                </w:p>
              </w:tc>
              <w:tc>
                <w:tcPr>
                  <w:tcW w:type="dxa" w:w="3410"/>
                  <w:tcBorders>
                    <w:top w:val="none" w:color="000000" w:sz="4"/>
                    <w:left w:val="none" w:color="000000" w:sz="4"/>
                    <w:bottom w:val="single" w:color="000000" w:sz="4"/>
                    <w:right w:val="single" w:color="000000" w:sz="4"/>
                  </w:tcBorders>
                </w:tcPr>
                <w:p>
                  <w:pPr>
                    <w:jc w:val="left"/>
                  </w:pPr>
                  <w:r>
                    <w:rPr>
                      <w:sz w:val="24"/>
                    </w:rPr>
                    <w:t>1.</w:t>
                  </w:r>
                  <w:r>
                    <w:rPr>
                      <w:sz w:val="24"/>
                    </w:rPr>
                    <w:t>退伍军人；</w:t>
                  </w:r>
                </w:p>
                <w:p>
                  <w:pPr>
                    <w:jc w:val="left"/>
                  </w:pPr>
                  <w:r>
                    <w:rPr>
                      <w:sz w:val="24"/>
                    </w:rPr>
                    <w:t>2.</w:t>
                  </w:r>
                  <w:r>
                    <w:rPr>
                      <w:sz w:val="24"/>
                    </w:rPr>
                    <w:t>具有大专（或以上）学历；</w:t>
                  </w:r>
                </w:p>
                <w:p>
                  <w:pPr>
                    <w:jc w:val="left"/>
                  </w:pPr>
                  <w:r>
                    <w:rPr>
                      <w:sz w:val="24"/>
                    </w:rPr>
                    <w:t>3.</w:t>
                  </w:r>
                  <w:r>
                    <w:rPr>
                      <w:sz w:val="24"/>
                    </w:rPr>
                    <w:t>具有政府相关主管部门颁发的三级/高级工或以上保安员国家职业技能证书。</w:t>
                  </w:r>
                </w:p>
                <w:p>
                  <w:pPr>
                    <w:jc w:val="left"/>
                  </w:pPr>
                  <w:r>
                    <w:rPr>
                      <w:sz w:val="24"/>
                    </w:rPr>
                    <w:t>4.</w:t>
                  </w:r>
                  <w:r>
                    <w:rPr>
                      <w:sz w:val="24"/>
                    </w:rPr>
                    <w:t>具有政府相关主管部门颁发的消防员/消防设施操作员/建（构）筑物消防员国家职业技能证书。</w:t>
                  </w:r>
                </w:p>
              </w:tc>
            </w:tr>
            <w:tr>
              <w:tc>
                <w:tcPr>
                  <w:tcW w:type="dxa" w:w="686"/>
                  <w:tcBorders>
                    <w:top w:val="none" w:color="000000" w:sz="4"/>
                    <w:left w:val="single" w:color="000000" w:sz="4"/>
                    <w:bottom w:val="single" w:color="000000" w:sz="4"/>
                    <w:right w:val="single" w:color="000000" w:sz="4"/>
                  </w:tcBorders>
                </w:tcPr>
                <w:p>
                  <w:pPr>
                    <w:jc w:val="center"/>
                  </w:pPr>
                  <w:r>
                    <w:rPr>
                      <w:sz w:val="24"/>
                    </w:rPr>
                    <w:t>3</w:t>
                  </w:r>
                </w:p>
              </w:tc>
              <w:tc>
                <w:tcPr>
                  <w:tcW w:type="dxa" w:w="884"/>
                  <w:tcBorders>
                    <w:top w:val="none" w:color="000000" w:sz="4"/>
                    <w:left w:val="none" w:color="000000" w:sz="4"/>
                    <w:bottom w:val="single" w:color="000000" w:sz="4"/>
                    <w:right w:val="single" w:color="000000" w:sz="4"/>
                  </w:tcBorders>
                </w:tcPr>
                <w:p>
                  <w:pPr>
                    <w:jc w:val="center"/>
                  </w:pPr>
                  <w:r>
                    <w:rPr>
                      <w:sz w:val="24"/>
                    </w:rPr>
                    <w:t>绿化员</w:t>
                  </w:r>
                </w:p>
              </w:tc>
              <w:tc>
                <w:tcPr>
                  <w:tcW w:type="dxa" w:w="616"/>
                  <w:tcBorders>
                    <w:top w:val="none" w:color="000000" w:sz="4"/>
                    <w:left w:val="none" w:color="000000" w:sz="4"/>
                    <w:bottom w:val="single" w:color="000000" w:sz="4"/>
                    <w:right w:val="single" w:color="000000" w:sz="4"/>
                  </w:tcBorders>
                </w:tcPr>
                <w:p>
                  <w:pPr>
                    <w:jc w:val="center"/>
                  </w:pPr>
                  <w:r>
                    <w:rPr>
                      <w:sz w:val="24"/>
                    </w:rPr>
                    <w:t>1</w:t>
                  </w:r>
                </w:p>
              </w:tc>
              <w:tc>
                <w:tcPr>
                  <w:tcW w:type="dxa" w:w="3410"/>
                  <w:tcBorders>
                    <w:top w:val="none" w:color="000000" w:sz="4"/>
                    <w:left w:val="none" w:color="000000" w:sz="4"/>
                    <w:bottom w:val="single" w:color="000000" w:sz="4"/>
                    <w:right w:val="single" w:color="000000" w:sz="4"/>
                  </w:tcBorders>
                </w:tcPr>
                <w:p>
                  <w:pPr>
                    <w:jc w:val="left"/>
                  </w:pPr>
                  <w:r>
                    <w:rPr>
                      <w:sz w:val="24"/>
                    </w:rPr>
                    <w:t>具有政府相关主管部门颁发的绿化工/园林绿化工L国家职业技能证书。</w:t>
                  </w:r>
                </w:p>
              </w:tc>
            </w:tr>
            <w:tr>
              <w:tc>
                <w:tcPr>
                  <w:tcW w:type="dxa" w:w="686"/>
                  <w:tcBorders>
                    <w:top w:val="none" w:color="000000" w:sz="4"/>
                    <w:left w:val="single" w:color="000000" w:sz="4"/>
                    <w:bottom w:val="single" w:color="000000" w:sz="4"/>
                    <w:right w:val="single" w:color="000000" w:sz="4"/>
                  </w:tcBorders>
                </w:tcPr>
                <w:p>
                  <w:pPr>
                    <w:jc w:val="center"/>
                  </w:pPr>
                  <w:r>
                    <w:rPr>
                      <w:sz w:val="24"/>
                    </w:rPr>
                    <w:t>4</w:t>
                  </w:r>
                </w:p>
              </w:tc>
              <w:tc>
                <w:tcPr>
                  <w:tcW w:type="dxa" w:w="884"/>
                  <w:tcBorders>
                    <w:top w:val="none" w:color="000000" w:sz="4"/>
                    <w:left w:val="none" w:color="000000" w:sz="4"/>
                    <w:bottom w:val="single" w:color="000000" w:sz="4"/>
                    <w:right w:val="single" w:color="000000" w:sz="4"/>
                  </w:tcBorders>
                </w:tcPr>
                <w:p>
                  <w:pPr>
                    <w:jc w:val="center"/>
                  </w:pPr>
                  <w:r>
                    <w:rPr>
                      <w:sz w:val="24"/>
                    </w:rPr>
                    <w:t>▲</w:t>
                  </w:r>
                  <w:r>
                    <w:rPr>
                      <w:sz w:val="24"/>
                    </w:rPr>
                    <w:t>保洁班长</w:t>
                  </w:r>
                </w:p>
              </w:tc>
              <w:tc>
                <w:tcPr>
                  <w:tcW w:type="dxa" w:w="616"/>
                  <w:tcBorders>
                    <w:top w:val="none" w:color="000000" w:sz="4"/>
                    <w:left w:val="none" w:color="000000" w:sz="4"/>
                    <w:bottom w:val="single" w:color="000000" w:sz="4"/>
                    <w:right w:val="single" w:color="000000" w:sz="4"/>
                  </w:tcBorders>
                </w:tcPr>
                <w:p>
                  <w:pPr>
                    <w:jc w:val="center"/>
                  </w:pPr>
                  <w:r>
                    <w:rPr>
                      <w:sz w:val="24"/>
                    </w:rPr>
                    <w:t>1</w:t>
                  </w:r>
                </w:p>
              </w:tc>
              <w:tc>
                <w:tcPr>
                  <w:tcW w:type="dxa" w:w="3410"/>
                  <w:tcBorders>
                    <w:top w:val="none" w:color="000000" w:sz="4"/>
                    <w:left w:val="none" w:color="000000" w:sz="4"/>
                    <w:bottom w:val="single" w:color="000000" w:sz="4"/>
                    <w:right w:val="single" w:color="000000" w:sz="4"/>
                  </w:tcBorders>
                </w:tcPr>
                <w:p>
                  <w:pPr>
                    <w:jc w:val="left"/>
                  </w:pPr>
                  <w:r>
                    <w:rPr>
                      <w:sz w:val="24"/>
                    </w:rPr>
                    <w:t>具有大专（或以上）学历，有相关工作经验。</w:t>
                  </w:r>
                </w:p>
              </w:tc>
            </w:tr>
            <w:tr>
              <w:tc>
                <w:tcPr>
                  <w:tcW w:type="dxa" w:w="686"/>
                  <w:tcBorders>
                    <w:top w:val="none" w:color="000000" w:sz="4"/>
                    <w:left w:val="single" w:color="000000" w:sz="4"/>
                    <w:bottom w:val="single" w:color="000000" w:sz="4"/>
                    <w:right w:val="single" w:color="000000" w:sz="4"/>
                  </w:tcBorders>
                </w:tcPr>
                <w:p>
                  <w:pPr>
                    <w:jc w:val="center"/>
                  </w:pPr>
                  <w:r>
                    <w:rPr>
                      <w:sz w:val="24"/>
                    </w:rPr>
                    <w:t>5</w:t>
                  </w:r>
                </w:p>
              </w:tc>
              <w:tc>
                <w:tcPr>
                  <w:tcW w:type="dxa" w:w="884"/>
                  <w:tcBorders>
                    <w:top w:val="none" w:color="000000" w:sz="4"/>
                    <w:left w:val="none" w:color="000000" w:sz="4"/>
                    <w:bottom w:val="single" w:color="000000" w:sz="4"/>
                    <w:right w:val="single" w:color="000000" w:sz="4"/>
                  </w:tcBorders>
                </w:tcPr>
                <w:p>
                  <w:pPr>
                    <w:jc w:val="center"/>
                  </w:pPr>
                  <w:r>
                    <w:rPr>
                      <w:sz w:val="24"/>
                    </w:rPr>
                    <w:t>▲</w:t>
                  </w:r>
                  <w:r>
                    <w:rPr>
                      <w:sz w:val="24"/>
                    </w:rPr>
                    <w:t>保安员</w:t>
                  </w:r>
                </w:p>
              </w:tc>
              <w:tc>
                <w:tcPr>
                  <w:tcW w:type="dxa" w:w="616"/>
                  <w:tcBorders>
                    <w:top w:val="none" w:color="000000" w:sz="4"/>
                    <w:left w:val="none" w:color="000000" w:sz="4"/>
                    <w:bottom w:val="single" w:color="000000" w:sz="4"/>
                    <w:right w:val="single" w:color="000000" w:sz="4"/>
                  </w:tcBorders>
                </w:tcPr>
                <w:p>
                  <w:pPr>
                    <w:jc w:val="center"/>
                  </w:pPr>
                  <w:r>
                    <w:rPr>
                      <w:sz w:val="24"/>
                    </w:rPr>
                    <w:t>4</w:t>
                  </w:r>
                </w:p>
              </w:tc>
              <w:tc>
                <w:tcPr>
                  <w:tcW w:type="dxa" w:w="3410"/>
                  <w:tcBorders>
                    <w:top w:val="none" w:color="000000" w:sz="4"/>
                    <w:left w:val="none" w:color="000000" w:sz="4"/>
                    <w:bottom w:val="single" w:color="000000" w:sz="4"/>
                    <w:right w:val="single" w:color="000000" w:sz="4"/>
                  </w:tcBorders>
                </w:tcPr>
                <w:p>
                  <w:pPr>
                    <w:jc w:val="left"/>
                  </w:pPr>
                  <w:r>
                    <w:rPr>
                      <w:sz w:val="24"/>
                    </w:rPr>
                    <w:t>55</w:t>
                  </w:r>
                  <w:r>
                    <w:rPr>
                      <w:sz w:val="24"/>
                    </w:rPr>
                    <w:t>周岁以下，身体健康、能吃苦耐劳，工作认真仔细，责任心强。具有政府相关主管部门颁发的五级/初级工或以上保安员国家职业技能证书或退伍军人或有相关工作经验。（上岗时应有公安机关备案证明）</w:t>
                  </w:r>
                </w:p>
              </w:tc>
            </w:tr>
            <w:tr>
              <w:tc>
                <w:tcPr>
                  <w:tcW w:type="dxa" w:w="686"/>
                  <w:tcBorders>
                    <w:top w:val="none" w:color="000000" w:sz="4"/>
                    <w:left w:val="single" w:color="000000" w:sz="4"/>
                    <w:bottom w:val="single" w:color="000000" w:sz="4"/>
                    <w:right w:val="single" w:color="000000" w:sz="4"/>
                  </w:tcBorders>
                </w:tcPr>
                <w:p>
                  <w:pPr>
                    <w:jc w:val="center"/>
                  </w:pPr>
                  <w:r>
                    <w:rPr>
                      <w:sz w:val="24"/>
                    </w:rPr>
                    <w:t>6</w:t>
                  </w:r>
                </w:p>
              </w:tc>
              <w:tc>
                <w:tcPr>
                  <w:tcW w:type="dxa" w:w="884"/>
                  <w:tcBorders>
                    <w:top w:val="none" w:color="000000" w:sz="4"/>
                    <w:left w:val="none" w:color="000000" w:sz="4"/>
                    <w:bottom w:val="single" w:color="000000" w:sz="4"/>
                    <w:right w:val="single" w:color="000000" w:sz="4"/>
                  </w:tcBorders>
                </w:tcPr>
                <w:p>
                  <w:pPr>
                    <w:jc w:val="center"/>
                  </w:pPr>
                  <w:r>
                    <w:rPr>
                      <w:sz w:val="24"/>
                    </w:rPr>
                    <w:t>▲</w:t>
                  </w:r>
                  <w:r>
                    <w:rPr>
                      <w:sz w:val="24"/>
                    </w:rPr>
                    <w:t>保洁员</w:t>
                  </w:r>
                </w:p>
              </w:tc>
              <w:tc>
                <w:tcPr>
                  <w:tcW w:type="dxa" w:w="616"/>
                  <w:tcBorders>
                    <w:top w:val="none" w:color="000000" w:sz="4"/>
                    <w:left w:val="none" w:color="000000" w:sz="4"/>
                    <w:bottom w:val="single" w:color="000000" w:sz="4"/>
                    <w:right w:val="single" w:color="000000" w:sz="4"/>
                  </w:tcBorders>
                </w:tcPr>
                <w:p>
                  <w:pPr>
                    <w:jc w:val="center"/>
                  </w:pPr>
                  <w:r>
                    <w:rPr>
                      <w:sz w:val="24"/>
                    </w:rPr>
                    <w:t>6</w:t>
                  </w:r>
                </w:p>
              </w:tc>
              <w:tc>
                <w:tcPr>
                  <w:tcW w:type="dxa" w:w="3410"/>
                  <w:tcBorders>
                    <w:top w:val="none" w:color="000000" w:sz="4"/>
                    <w:left w:val="none" w:color="000000" w:sz="4"/>
                    <w:bottom w:val="single" w:color="000000" w:sz="4"/>
                    <w:right w:val="single" w:color="000000" w:sz="4"/>
                  </w:tcBorders>
                </w:tcPr>
                <w:p>
                  <w:pPr>
                    <w:jc w:val="left"/>
                  </w:pPr>
                  <w:r>
                    <w:rPr>
                      <w:sz w:val="24"/>
                    </w:rPr>
                    <w:t>55</w:t>
                  </w:r>
                  <w:r>
                    <w:rPr>
                      <w:sz w:val="24"/>
                    </w:rPr>
                    <w:t>周岁以下，身体健康、能吃苦耐劳，工作认真仔细，责任心强，有相关工作经验。</w:t>
                  </w:r>
                </w:p>
              </w:tc>
            </w:tr>
            <w:tr>
              <w:tc>
                <w:tcPr>
                  <w:tcW w:type="dxa" w:w="1570"/>
                  <w:gridSpan w:val="2"/>
                  <w:tcBorders>
                    <w:top w:val="none" w:color="000000" w:sz="4"/>
                    <w:left w:val="single" w:color="000000" w:sz="4"/>
                    <w:bottom w:val="single" w:color="000000" w:sz="4"/>
                    <w:right w:val="single" w:color="000000" w:sz="4"/>
                  </w:tcBorders>
                </w:tcPr>
                <w:p>
                  <w:pPr>
                    <w:jc w:val="center"/>
                  </w:pPr>
                  <w:r>
                    <w:rPr>
                      <w:sz w:val="24"/>
                    </w:rPr>
                    <w:t>合计</w:t>
                  </w:r>
                </w:p>
              </w:tc>
              <w:tc>
                <w:tcPr>
                  <w:tcW w:type="dxa" w:w="616"/>
                  <w:tcBorders>
                    <w:top w:val="none" w:color="000000" w:sz="4"/>
                    <w:left w:val="none" w:color="000000" w:sz="4"/>
                    <w:bottom w:val="single" w:color="000000" w:sz="4"/>
                    <w:right w:val="single" w:color="000000" w:sz="4"/>
                  </w:tcBorders>
                </w:tcPr>
                <w:p>
                  <w:pPr>
                    <w:jc w:val="center"/>
                  </w:pPr>
                  <w:r>
                    <w:rPr>
                      <w:sz w:val="24"/>
                    </w:rPr>
                    <w:t>14</w:t>
                  </w:r>
                </w:p>
              </w:tc>
              <w:tc>
                <w:tcPr>
                  <w:tcW w:type="dxa" w:w="3410"/>
                  <w:tcBorders>
                    <w:top w:val="none" w:color="000000" w:sz="4"/>
                    <w:left w:val="none" w:color="000000" w:sz="4"/>
                    <w:bottom w:val="single" w:color="000000" w:sz="4"/>
                    <w:right w:val="single" w:color="000000" w:sz="4"/>
                  </w:tcBorders>
                </w:tcPr>
                <w:p>
                  <w:pPr>
                    <w:jc w:val="center"/>
                  </w:pPr>
                </w:p>
              </w:tc>
            </w:tr>
          </w:tbl>
          <w:p>
            <w:pPr>
              <w:ind w:firstLine="480"/>
              <w:jc w:val="both"/>
            </w:pPr>
          </w:p>
          <w:p>
            <w:pPr>
              <w:ind w:firstLine="480"/>
              <w:jc w:val="both"/>
            </w:pPr>
            <w:r>
              <w:rPr>
                <w:sz w:val="24"/>
              </w:rPr>
              <w:t>(15)</w:t>
            </w:r>
            <w:r>
              <w:rPr>
                <w:sz w:val="24"/>
              </w:rPr>
              <w:t>投标人负责提供本项目所需的清洁用品、消毒药品、生活垃圾袋、医疗垃圾袋等与清洁、消毒、防护相关的全部耗材和配套器材，所有耗材质量必须符合国家相关规定，医疗垃圾袋符合国家《医疗废物专用包装物、容器标识和警示标识规定》标准要求，并提交所提供的医疗垃圾袋的有资质认可质量检验报告证明符合国家对医疗废物处置相关要求。投标人负责提供绿化养护植物所需的肥料、杀虫剂、更换泥土等材料并负责运送绿化养护服务过程中如剪枝、除草等产生的垃圾。投标人应当根据保安服务岗位的需要为派出的保安员配备所需的装备，最少应包括对讲机2台，强光手电2把和警棍3根。投标人负责提供本项目工作的办公用品、工作服，严格按国家规定缴纳营业税等税项。</w:t>
            </w:r>
          </w:p>
          <w:p>
            <w:pPr>
              <w:ind w:firstLine="480"/>
              <w:jc w:val="both"/>
            </w:pPr>
            <w:r>
              <w:rPr>
                <w:sz w:val="24"/>
              </w:rPr>
              <w:t>(16)</w:t>
            </w:r>
            <w:r>
              <w:rPr>
                <w:sz w:val="24"/>
              </w:rPr>
              <w:t>采购人的大型会议、大型活动及防洪抢险等自然灾害工作，投标人必须服从采购人的要求，配合派遣人员按采购人需求统一指挥和调动。协助采购人完成会议室桌、椅搬运和协助行政科室完成日常搬运工作（不定期）</w:t>
            </w:r>
          </w:p>
          <w:p>
            <w:pPr>
              <w:ind w:firstLine="480"/>
              <w:jc w:val="both"/>
            </w:pPr>
            <w:r>
              <w:rPr>
                <w:sz w:val="24"/>
              </w:rPr>
              <w:t>(17)</w:t>
            </w:r>
            <w:r>
              <w:rPr>
                <w:sz w:val="24"/>
              </w:rPr>
              <w:t>投标人需严格按照国家规定给所有的员工缴纳各种社会保险（包括养老、医疗、工伤、生育险、失业保险等）和住房公积金。投标人须在投标文件中提供具体、清晰、合理的薪酬方案，</w:t>
            </w:r>
            <w:r>
              <w:rPr>
                <w:color w:val="000000"/>
                <w:sz w:val="24"/>
              </w:rPr>
              <w:t>严格执行广东省、江门市职工最低工资标准规定及职工劳动保障规定。年薪均须包含节假日补贴、加班津贴、绩效奖励等项目以及住房公积金、社会保险、人身意外伤害综合保险等缴付费用。</w:t>
            </w:r>
          </w:p>
          <w:p>
            <w:pPr>
              <w:jc w:val="both"/>
            </w:pPr>
            <w:r>
              <w:rPr>
                <w:sz w:val="24"/>
              </w:rPr>
              <w:t>上述工作岗位人员的工作时间应严格按国家有关法律、法规要求的标准执行，因工作原因产生的加班（含节假日加班）的，投标人应严格按国家有关法律、法规要求的标准给付加班薪资。</w:t>
            </w:r>
          </w:p>
          <w:p>
            <w:pPr>
              <w:ind w:firstLine="480"/>
              <w:jc w:val="both"/>
            </w:pPr>
            <w:r>
              <w:rPr>
                <w:sz w:val="24"/>
              </w:rPr>
              <w:t>(18)</w:t>
            </w:r>
            <w:r>
              <w:rPr>
                <w:sz w:val="24"/>
              </w:rPr>
              <w:t>投标人应按与员工约定的时间如期发放员工工资与福利，不得拖欠员工工资。如因管理不善出现违法违规事件，给采购人造成损失，投标人负责按额赔偿。</w:t>
            </w:r>
          </w:p>
          <w:p>
            <w:pPr>
              <w:ind w:firstLine="480"/>
              <w:jc w:val="both"/>
            </w:pPr>
            <w:r>
              <w:rPr>
                <w:sz w:val="24"/>
              </w:rPr>
              <w:t>3.</w:t>
            </w:r>
            <w:r>
              <w:rPr>
                <w:sz w:val="24"/>
              </w:rPr>
              <w:t>疫情防控</w:t>
            </w:r>
          </w:p>
          <w:p>
            <w:pPr>
              <w:ind w:firstLine="480"/>
              <w:jc w:val="both"/>
            </w:pPr>
            <w:r>
              <w:rPr>
                <w:sz w:val="24"/>
              </w:rPr>
              <w:t>（1）投标人必须根据当地政府疫情防控文件要求和采购人疫情防控具体工作要求，做好相关疫情防控工作方案和应急预案，配备疫情防控管理员；</w:t>
            </w:r>
          </w:p>
          <w:p>
            <w:pPr>
              <w:ind w:firstLine="480"/>
              <w:jc w:val="both"/>
            </w:pPr>
            <w:r>
              <w:rPr>
                <w:sz w:val="24"/>
              </w:rPr>
              <w:t>（2）日常工作中要严格按照疫情防控方案做好人员健康监测、各区域消毒和工作情况登记等；</w:t>
            </w:r>
          </w:p>
          <w:p>
            <w:pPr>
              <w:ind w:firstLine="480"/>
              <w:jc w:val="both"/>
            </w:pPr>
            <w:r>
              <w:rPr>
                <w:sz w:val="24"/>
              </w:rPr>
              <w:t>（3）遇到疫情突发情况，要协助采购人及时做好相关紧急处置和事后处理工作。</w:t>
            </w:r>
          </w:p>
          <w:p>
            <w:pPr>
              <w:ind w:firstLine="480"/>
              <w:jc w:val="both"/>
            </w:pPr>
            <w:r>
              <w:rPr>
                <w:sz w:val="24"/>
              </w:rPr>
              <w:t>4.</w:t>
            </w:r>
            <w:r>
              <w:rPr>
                <w:sz w:val="24"/>
              </w:rPr>
              <w:t>智能化管理要求</w:t>
            </w:r>
          </w:p>
          <w:p>
            <w:pPr>
              <w:ind w:firstLine="480"/>
              <w:jc w:val="both"/>
            </w:pPr>
            <w:r>
              <w:rPr>
                <w:sz w:val="24"/>
              </w:rPr>
              <w:t>（1）本项目为了实现智能化服务管理，提高效率，有效监管各项目的服务质量。需实现对人员、保洁、垃圾分类服务进行派工和多样化报表信息化管理系统功能。</w:t>
            </w:r>
          </w:p>
          <w:p>
            <w:pPr>
              <w:ind w:firstLine="480"/>
              <w:jc w:val="both"/>
            </w:pPr>
            <w:r>
              <w:rPr>
                <w:sz w:val="24"/>
              </w:rPr>
              <w:t>（2）要求中标人服务精细化、可视化、信息化，使用信息化管理系统对现场服务质量进行检查、监控、派工，要求具有以下功能：智慧楼宇管理、智能垃圾分类管理、智能作业监管。以便采购人进行监控考核。</w:t>
            </w:r>
          </w:p>
          <w:p>
            <w:pPr>
              <w:ind w:firstLine="480"/>
              <w:jc w:val="both"/>
            </w:pPr>
            <w:r>
              <w:rPr>
                <w:sz w:val="24"/>
              </w:rPr>
              <w:t>5.</w:t>
            </w:r>
            <w:r>
              <w:rPr>
                <w:sz w:val="24"/>
              </w:rPr>
              <w:t>清洁卫生服务内容、要求和质量标准</w:t>
            </w:r>
          </w:p>
          <w:p>
            <w:pPr>
              <w:ind w:firstLine="480"/>
              <w:jc w:val="both"/>
            </w:pPr>
            <w:r>
              <w:rPr>
                <w:sz w:val="24"/>
              </w:rPr>
              <w:t>(1)</w:t>
            </w:r>
            <w:r>
              <w:rPr>
                <w:sz w:val="24"/>
              </w:rPr>
              <w:t>工作内容及要求：</w:t>
            </w:r>
          </w:p>
          <w:p>
            <w:pPr>
              <w:ind w:firstLine="480"/>
              <w:jc w:val="both"/>
            </w:pPr>
            <w:r>
              <w:rPr>
                <w:sz w:val="24"/>
              </w:rPr>
              <w:t>①投标人负责采购人江门市中心血站“清洁卫生范围内”的地面和所有建筑物（除采血、贮血、检测、成分分离等专业设备清洁之外）以及以下所涉及的各项台桌凳椅和设施清洁消毒服务；</w:t>
            </w:r>
          </w:p>
          <w:p>
            <w:pPr>
              <w:ind w:firstLine="480"/>
              <w:jc w:val="both"/>
            </w:pPr>
            <w:r>
              <w:rPr>
                <w:sz w:val="24"/>
              </w:rPr>
              <w:t>②地面/玻璃门窗/扶手/电梯/风口/灯具清洁；包括窗帘、排气扇定期清洗；</w:t>
            </w:r>
          </w:p>
          <w:p>
            <w:pPr>
              <w:ind w:firstLine="480"/>
              <w:jc w:val="both"/>
            </w:pPr>
            <w:r>
              <w:rPr>
                <w:sz w:val="24"/>
              </w:rPr>
              <w:t>③每年不少于1次全站硬地板/PVC地板护理（硬地板喷磨抛光、硬地板高速抛光、起蜡与重新落蜡）；</w:t>
            </w:r>
          </w:p>
          <w:p>
            <w:pPr>
              <w:ind w:firstLine="480"/>
              <w:jc w:val="both"/>
            </w:pPr>
            <w:r>
              <w:rPr>
                <w:sz w:val="24"/>
              </w:rPr>
              <w:t>④墙身石材磨蜡保养和室内家私保养；</w:t>
            </w:r>
          </w:p>
          <w:p>
            <w:pPr>
              <w:ind w:firstLine="480"/>
              <w:jc w:val="both"/>
            </w:pPr>
            <w:r>
              <w:rPr>
                <w:sz w:val="24"/>
              </w:rPr>
              <w:t>⑤花岗岩类与水磨石地板晶面处理和护理；</w:t>
            </w:r>
          </w:p>
          <w:p>
            <w:pPr>
              <w:ind w:firstLine="480"/>
              <w:jc w:val="both"/>
            </w:pPr>
            <w:r>
              <w:rPr>
                <w:sz w:val="24"/>
              </w:rPr>
              <w:t>⑥墙面/天花清洁；</w:t>
            </w:r>
          </w:p>
          <w:p>
            <w:pPr>
              <w:ind w:firstLine="480"/>
              <w:jc w:val="both"/>
            </w:pPr>
            <w:r>
              <w:rPr>
                <w:sz w:val="24"/>
              </w:rPr>
              <w:t>⑦不锈钢/招牌护理清洁/抛光；</w:t>
            </w:r>
          </w:p>
          <w:p>
            <w:pPr>
              <w:ind w:firstLine="480"/>
              <w:jc w:val="both"/>
            </w:pPr>
            <w:r>
              <w:rPr>
                <w:sz w:val="24"/>
              </w:rPr>
              <w:t>⑧地毯清洁与保养；</w:t>
            </w:r>
          </w:p>
          <w:p>
            <w:pPr>
              <w:ind w:firstLine="480"/>
              <w:jc w:val="both"/>
            </w:pPr>
            <w:r>
              <w:rPr>
                <w:sz w:val="24"/>
              </w:rPr>
              <w:t>⑨所有清洁工作必须遵守医疗卫生行业标准消毒隔离原则；</w:t>
            </w:r>
          </w:p>
          <w:p>
            <w:pPr>
              <w:ind w:firstLine="480"/>
              <w:jc w:val="both"/>
            </w:pPr>
            <w:r>
              <w:rPr>
                <w:sz w:val="24"/>
              </w:rPr>
              <w:t>⑩民用/医疗垃圾包装后按指定地点存放，严格执行《医疗废物管理条例》及采购人制定的各项医疗废物处理流程。</w:t>
            </w:r>
          </w:p>
          <w:p>
            <w:pPr>
              <w:ind w:firstLine="482"/>
              <w:jc w:val="both"/>
            </w:pPr>
            <w:r>
              <w:rPr>
                <w:b/>
                <w:sz w:val="24"/>
              </w:rPr>
              <w:t>⑪</w:t>
            </w:r>
            <w:r>
              <w:rPr>
                <w:sz w:val="24"/>
              </w:rPr>
              <w:t>负责采购方员工午餐分餐、餐具的清洗和消毒工作；负责提供采购方员工工作衣及采血治疗巾的洗涤消毒、烘干、整理和供应；采血止血带的消毒和供应；实验试管器皿洗涤消毒与医疗废物处理交接。</w:t>
            </w:r>
          </w:p>
          <w:p>
            <w:pPr>
              <w:ind w:firstLine="480"/>
              <w:jc w:val="both"/>
            </w:pPr>
            <w:r>
              <w:rPr>
                <w:sz w:val="24"/>
              </w:rPr>
              <w:t>⑫血站公务汽车的日常清洁消毒。</w:t>
            </w:r>
          </w:p>
          <w:p>
            <w:pPr>
              <w:ind w:firstLine="480"/>
              <w:jc w:val="both"/>
            </w:pPr>
            <w:r>
              <w:rPr>
                <w:sz w:val="24"/>
              </w:rPr>
              <w:t>⑬大院鱼池每年最少清洗一次。</w:t>
            </w:r>
          </w:p>
          <w:p>
            <w:pPr>
              <w:ind w:firstLine="480"/>
              <w:jc w:val="both"/>
            </w:pPr>
            <w:r>
              <w:rPr>
                <w:sz w:val="24"/>
              </w:rPr>
              <w:t>(2)</w:t>
            </w:r>
            <w:r>
              <w:rPr>
                <w:sz w:val="24"/>
              </w:rPr>
              <w:t>工作质量标准：</w:t>
            </w:r>
          </w:p>
          <w:p>
            <w:pPr>
              <w:ind w:firstLine="480"/>
              <w:jc w:val="both"/>
            </w:pPr>
            <w:r>
              <w:rPr>
                <w:sz w:val="24"/>
              </w:rPr>
              <w:t>①一般办室或公共场所标准：</w:t>
            </w:r>
          </w:p>
          <w:tbl>
            <w:tblPr>
              <w:tblBorders>
                <w:top w:val="none" w:color="000000" w:sz="4"/>
                <w:left w:val="none" w:color="000000" w:sz="4"/>
                <w:bottom w:val="none" w:color="000000" w:sz="4"/>
                <w:right w:val="none" w:color="000000" w:sz="4"/>
                <w:insideH w:val="none"/>
                <w:insideV w:val="none"/>
              </w:tblBorders>
            </w:tblPr>
            <w:tblGrid>
              <w:gridCol w:w="454"/>
              <w:gridCol w:w="1140"/>
              <w:gridCol w:w="3993"/>
            </w:tblGrid>
            <w:tr>
              <w:tc>
                <w:tcPr>
                  <w:tcW w:type="dxa" w:w="454"/>
                  <w:tcBorders>
                    <w:top w:val="single" w:color="000000" w:sz="4"/>
                    <w:left w:val="single" w:color="000000" w:sz="4"/>
                    <w:bottom w:val="single" w:color="000000" w:sz="4"/>
                    <w:right w:val="single" w:color="000000" w:sz="4"/>
                  </w:tcBorders>
                </w:tcPr>
                <w:p>
                  <w:pPr>
                    <w:jc w:val="center"/>
                  </w:pPr>
                  <w:r>
                    <w:rPr>
                      <w:b/>
                      <w:sz w:val="24"/>
                    </w:rPr>
                    <w:t>序号</w:t>
                  </w:r>
                </w:p>
              </w:tc>
              <w:tc>
                <w:tcPr>
                  <w:tcW w:type="dxa" w:w="1140"/>
                  <w:tcBorders>
                    <w:top w:val="single" w:color="000000" w:sz="4"/>
                    <w:left w:val="none" w:color="000000" w:sz="4"/>
                    <w:bottom w:val="single" w:color="000000" w:sz="4"/>
                    <w:right w:val="single" w:color="000000" w:sz="4"/>
                  </w:tcBorders>
                </w:tcPr>
                <w:p>
                  <w:pPr>
                    <w:jc w:val="center"/>
                  </w:pPr>
                  <w:r>
                    <w:rPr>
                      <w:b/>
                      <w:sz w:val="24"/>
                    </w:rPr>
                    <w:t>项目</w:t>
                  </w:r>
                </w:p>
              </w:tc>
              <w:tc>
                <w:tcPr>
                  <w:tcW w:type="dxa" w:w="3993"/>
                  <w:tcBorders>
                    <w:top w:val="single" w:color="000000" w:sz="4"/>
                    <w:left w:val="none" w:color="000000" w:sz="4"/>
                    <w:bottom w:val="single" w:color="000000" w:sz="4"/>
                    <w:right w:val="single" w:color="000000" w:sz="4"/>
                  </w:tcBorders>
                </w:tcPr>
                <w:p>
                  <w:pPr>
                    <w:jc w:val="center"/>
                  </w:pPr>
                  <w:r>
                    <w:rPr>
                      <w:b/>
                      <w:sz w:val="24"/>
                    </w:rPr>
                    <w:t>质量标准</w:t>
                  </w:r>
                </w:p>
              </w:tc>
            </w:tr>
            <w:tr>
              <w:tc>
                <w:tcPr>
                  <w:tcW w:type="dxa" w:w="454"/>
                  <w:tcBorders>
                    <w:top w:val="none" w:color="000000" w:sz="4"/>
                    <w:left w:val="single" w:color="000000" w:sz="4"/>
                    <w:bottom w:val="single" w:color="000000" w:sz="4"/>
                    <w:right w:val="single" w:color="000000" w:sz="4"/>
                  </w:tcBorders>
                </w:tcPr>
                <w:p>
                  <w:pPr>
                    <w:jc w:val="center"/>
                  </w:pPr>
                  <w:r>
                    <w:rPr>
                      <w:sz w:val="24"/>
                    </w:rPr>
                    <w:t>1</w:t>
                  </w:r>
                </w:p>
              </w:tc>
              <w:tc>
                <w:tcPr>
                  <w:tcW w:type="dxa" w:w="1140"/>
                  <w:tcBorders>
                    <w:top w:val="none" w:color="000000" w:sz="4"/>
                    <w:left w:val="none" w:color="000000" w:sz="4"/>
                    <w:bottom w:val="single" w:color="000000" w:sz="4"/>
                    <w:right w:val="single" w:color="000000" w:sz="4"/>
                  </w:tcBorders>
                </w:tcPr>
                <w:p>
                  <w:pPr>
                    <w:jc w:val="center"/>
                  </w:pPr>
                  <w:r>
                    <w:rPr>
                      <w:sz w:val="24"/>
                    </w:rPr>
                    <w:t>地面</w:t>
                  </w:r>
                </w:p>
              </w:tc>
              <w:tc>
                <w:tcPr>
                  <w:tcW w:type="dxa" w:w="3993"/>
                  <w:tcBorders>
                    <w:top w:val="none" w:color="000000" w:sz="4"/>
                    <w:left w:val="none" w:color="000000" w:sz="4"/>
                    <w:bottom w:val="single" w:color="000000" w:sz="4"/>
                    <w:right w:val="single" w:color="000000" w:sz="4"/>
                  </w:tcBorders>
                </w:tcPr>
                <w:p>
                  <w:pPr>
                    <w:jc w:val="both"/>
                  </w:pPr>
                  <w:r>
                    <w:rPr>
                      <w:sz w:val="24"/>
                    </w:rPr>
                    <w:t>有较好的保养，无灰尘、水渍、杂物，保持干爽有光泽。</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2</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墙壁</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无蜘蛛网、灰尘、污渍，无明显污痕。</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3</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天花板</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无污渍、蜘蛛网。</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4</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镜面</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洁净、光亮，无污渍。</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5</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楼梯</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无沙尘、杂物、污渍，有光泽，以手触摸扶手无明显尘痕。</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6</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不锈钢器具</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无污渍，无腐蚀有一定光泽，表面膜保持良好状态。</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7</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玻璃门窗</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透明、洁净、无水、污渍、手印。</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8</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办公室</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办公用品放置有序，桌椅摆放整齐无灰尘，无垃圾杂物。</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9</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电话</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干净无污痕、灰尘，话筒定期消毒。</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10</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果皮箱</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外表干净，无虫蚁等，无特别异味。</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11</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灯具</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无灰尘，无油渍，表面光亮。</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12</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台、椅</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干净无灰尘，定时清洗干净并消毒。</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16</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公共设施</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干净，无污物、水渍、灰尘。</w:t>
                  </w:r>
                </w:p>
              </w:tc>
            </w:tr>
            <w:tr>
              <w:tc>
                <w:tcPr>
                  <w:tcW w:type="dxa" w:w="454"/>
                  <w:tcBorders>
                    <w:top w:val="none" w:color="000000" w:sz="4"/>
                    <w:left w:val="single" w:color="000000" w:sz="4"/>
                    <w:bottom w:val="single" w:color="000000" w:sz="4"/>
                    <w:right w:val="single" w:color="000000" w:sz="4"/>
                  </w:tcBorders>
                </w:tcPr>
                <w:p>
                  <w:pPr>
                    <w:jc w:val="center"/>
                  </w:pPr>
                  <w:r>
                    <w:rPr>
                      <w:color w:val="000000"/>
                      <w:sz w:val="24"/>
                    </w:rPr>
                    <w:t>17</w:t>
                  </w:r>
                </w:p>
              </w:tc>
              <w:tc>
                <w:tcPr>
                  <w:tcW w:type="dxa" w:w="1140"/>
                  <w:tcBorders>
                    <w:top w:val="none" w:color="000000" w:sz="4"/>
                    <w:left w:val="none" w:color="000000" w:sz="4"/>
                    <w:bottom w:val="single" w:color="000000" w:sz="4"/>
                    <w:right w:val="single" w:color="000000" w:sz="4"/>
                  </w:tcBorders>
                </w:tcPr>
                <w:p>
                  <w:pPr>
                    <w:jc w:val="center"/>
                  </w:pPr>
                  <w:r>
                    <w:rPr>
                      <w:color w:val="000000"/>
                      <w:sz w:val="24"/>
                    </w:rPr>
                    <w:t>厕所、洗漱间</w:t>
                  </w:r>
                </w:p>
              </w:tc>
              <w:tc>
                <w:tcPr>
                  <w:tcW w:type="dxa" w:w="3993"/>
                  <w:tcBorders>
                    <w:top w:val="none" w:color="000000" w:sz="4"/>
                    <w:left w:val="none" w:color="000000" w:sz="4"/>
                    <w:bottom w:val="single" w:color="000000" w:sz="4"/>
                    <w:right w:val="single" w:color="000000" w:sz="4"/>
                  </w:tcBorders>
                </w:tcPr>
                <w:p>
                  <w:pPr>
                    <w:jc w:val="both"/>
                  </w:pPr>
                  <w:r>
                    <w:rPr>
                      <w:color w:val="000000"/>
                      <w:sz w:val="24"/>
                    </w:rPr>
                    <w:t>地面洁净无污物水迹，水台水池无杂物， 便池清洁无臭味，间隔墙、门无污渍。</w:t>
                  </w:r>
                </w:p>
              </w:tc>
            </w:tr>
          </w:tbl>
          <w:p>
            <w:pPr>
              <w:ind w:firstLine="480"/>
              <w:jc w:val="both"/>
            </w:pPr>
          </w:p>
          <w:p>
            <w:pPr>
              <w:ind w:firstLine="480"/>
              <w:jc w:val="both"/>
            </w:pPr>
            <w:r>
              <w:rPr>
                <w:sz w:val="24"/>
              </w:rPr>
              <w:t>②业务区域卫生标准：按照各科室专业要求进行。主要包括地面、墙壁、天花、门窗、工作台面、座椅、盛器、工具等卫生清洁和消毒工作，以及医疗废物处理等。</w:t>
            </w:r>
          </w:p>
          <w:p>
            <w:pPr>
              <w:ind w:firstLine="480"/>
              <w:jc w:val="both"/>
            </w:pPr>
            <w:r>
              <w:rPr>
                <w:sz w:val="24"/>
              </w:rPr>
              <w:t>③公务车辆卫生标准：主要包括车辆内外的清洁，献血车和送血车还包括出车使用后及时安排人员进行车内卫生清洁消毒、 座套的更换等。</w:t>
            </w:r>
          </w:p>
          <w:p>
            <w:pPr>
              <w:ind w:firstLine="480"/>
              <w:jc w:val="both"/>
            </w:pPr>
            <w:r>
              <w:rPr>
                <w:sz w:val="24"/>
              </w:rPr>
              <w:t>6.</w:t>
            </w:r>
            <w:r>
              <w:rPr>
                <w:sz w:val="24"/>
              </w:rPr>
              <w:t>绿化维护服务内容、要求和质量标准</w:t>
            </w:r>
          </w:p>
          <w:p>
            <w:pPr>
              <w:ind w:firstLine="480"/>
              <w:jc w:val="both"/>
            </w:pPr>
            <w:r>
              <w:rPr>
                <w:sz w:val="24"/>
              </w:rPr>
              <w:t>(1)</w:t>
            </w:r>
            <w:r>
              <w:rPr>
                <w:sz w:val="24"/>
              </w:rPr>
              <w:t>工作内容及要求：</w:t>
            </w:r>
          </w:p>
          <w:p>
            <w:pPr>
              <w:ind w:firstLine="480"/>
              <w:jc w:val="both"/>
            </w:pPr>
            <w:r>
              <w:rPr>
                <w:sz w:val="24"/>
              </w:rPr>
              <w:t>①绿化维护人员必须熟悉院内的绿化面积和布局，花草树木的品种、数量、各种特性和培植方法；</w:t>
            </w:r>
          </w:p>
          <w:p>
            <w:pPr>
              <w:ind w:firstLine="480"/>
              <w:jc w:val="both"/>
            </w:pPr>
            <w:r>
              <w:rPr>
                <w:sz w:val="24"/>
              </w:rPr>
              <w:t>②严格按规范对花草树木定期培土、施肥、除杂草和病虫害防治，修剪枝叶、补备、浇水，对大棵的灌木进行选型和越冬保护措施及保持绿化地清洁。</w:t>
            </w:r>
          </w:p>
          <w:p>
            <w:pPr>
              <w:ind w:firstLine="480"/>
              <w:jc w:val="both"/>
            </w:pPr>
            <w:r>
              <w:rPr>
                <w:sz w:val="24"/>
              </w:rPr>
              <w:t>③因台风刮断、保养修剪或枯萎产生的树丫、淤泥等杂物搬运到政府部门指定垃圾收集点费用由中标人自行承担。</w:t>
            </w:r>
          </w:p>
          <w:p>
            <w:pPr>
              <w:ind w:firstLine="480"/>
              <w:jc w:val="both"/>
            </w:pPr>
            <w:r>
              <w:rPr>
                <w:sz w:val="24"/>
              </w:rPr>
              <w:t>(2)</w:t>
            </w:r>
            <w:r>
              <w:rPr>
                <w:sz w:val="24"/>
              </w:rPr>
              <w:t>工作质量标准：</w:t>
            </w:r>
          </w:p>
          <w:p>
            <w:pPr>
              <w:ind w:firstLine="480"/>
              <w:jc w:val="both"/>
            </w:pPr>
            <w:r>
              <w:rPr>
                <w:sz w:val="24"/>
              </w:rPr>
              <w:t>①杀虫：每星期至少检查一遍，如有虫害应及时进行消杀治疗。全院绿化杀虫不少于2次/年（杀虫剂由中标人提供）；</w:t>
            </w:r>
          </w:p>
          <w:p>
            <w:pPr>
              <w:ind w:firstLine="480"/>
              <w:jc w:val="both"/>
            </w:pPr>
            <w:r>
              <w:rPr>
                <w:sz w:val="24"/>
              </w:rPr>
              <w:t>②绿化草皮修剪：应保持绿化植物的整齐、美观；草坪修剪，每年不少于四次；</w:t>
            </w:r>
          </w:p>
          <w:p>
            <w:pPr>
              <w:ind w:firstLine="480"/>
              <w:jc w:val="both"/>
            </w:pPr>
            <w:r>
              <w:rPr>
                <w:sz w:val="24"/>
              </w:rPr>
              <w:t>③施肥（肥料由中标人提供）：每季度应施肥一遍，并保持生长良好；</w:t>
            </w:r>
          </w:p>
          <w:p>
            <w:pPr>
              <w:ind w:firstLine="480"/>
              <w:jc w:val="both"/>
            </w:pPr>
            <w:r>
              <w:rPr>
                <w:sz w:val="24"/>
              </w:rPr>
              <w:t>④补种（植物由采购人提供）：枯死、病死和损伤死亡的绿化植物应及时补种；</w:t>
            </w:r>
          </w:p>
          <w:p>
            <w:pPr>
              <w:ind w:firstLine="480"/>
              <w:jc w:val="both"/>
            </w:pPr>
            <w:r>
              <w:rPr>
                <w:sz w:val="24"/>
              </w:rPr>
              <w:t>⑤保持绿化地清洁：草坪和灌木林内不留杂物，不缺水、不死苗、不断垄，促进花草树木生长。按规范每年12月采取有效措施对植物进行防冻防虫过冬处理。</w:t>
            </w:r>
          </w:p>
          <w:p>
            <w:pPr>
              <w:ind w:firstLine="480"/>
              <w:jc w:val="both"/>
            </w:pPr>
            <w:r>
              <w:rPr>
                <w:sz w:val="24"/>
              </w:rPr>
              <w:t>7.</w:t>
            </w:r>
            <w:r>
              <w:rPr>
                <w:sz w:val="24"/>
              </w:rPr>
              <w:t>保安服务内容、要求和质量标准</w:t>
            </w:r>
          </w:p>
          <w:p>
            <w:pPr>
              <w:ind w:firstLine="480"/>
              <w:jc w:val="both"/>
            </w:pPr>
            <w:r>
              <w:rPr>
                <w:sz w:val="24"/>
              </w:rPr>
              <w:t>(1)</w:t>
            </w:r>
            <w:r>
              <w:rPr>
                <w:sz w:val="24"/>
              </w:rPr>
              <w:t>工作内容及要求：</w:t>
            </w:r>
          </w:p>
          <w:p>
            <w:pPr>
              <w:ind w:firstLine="480"/>
              <w:jc w:val="both"/>
            </w:pPr>
            <w:r>
              <w:rPr>
                <w:sz w:val="24"/>
              </w:rPr>
              <w:t>①中标人制定管理制度并有效执行，负责全天24小时维护单位大院内的治安秩序，做好“防火、防盗、防破坏、防治安灾害事故”，确保区域内人员和财产的安全与完好；</w:t>
            </w:r>
          </w:p>
          <w:p>
            <w:pPr>
              <w:ind w:firstLine="480"/>
              <w:jc w:val="both"/>
            </w:pPr>
            <w:r>
              <w:rPr>
                <w:sz w:val="24"/>
              </w:rPr>
              <w:t>②重点做好单位大院门岗的定点守护工作和服务区域内各楼层的巡查，发现问题及时处理或报告相关部门处理；</w:t>
            </w:r>
          </w:p>
          <w:p>
            <w:pPr>
              <w:ind w:firstLine="480"/>
              <w:jc w:val="both"/>
            </w:pPr>
            <w:r>
              <w:rPr>
                <w:sz w:val="24"/>
              </w:rPr>
              <w:t>③做好停车场秩序管理等重点区域和死角的巡护工作及车辆停放的指挥工作，做好公车领用和归还管理，确保单位正常的工作秩序和人员、 财产安全； 因中标人管理不善导致采购人财产和人员损失将由中标人全额赔偿。</w:t>
            </w:r>
          </w:p>
          <w:p>
            <w:pPr>
              <w:ind w:firstLine="480"/>
              <w:jc w:val="both"/>
            </w:pPr>
            <w:r>
              <w:rPr>
                <w:sz w:val="24"/>
              </w:rPr>
              <w:t>④做好门卫室火灾消防预警设备日常应用保养， 掌握火灾消防基本处置技能和流程。到岗保安人员须掌握门卫室消防设施日常应用操作、监控系统和门禁系统的使用。</w:t>
            </w:r>
          </w:p>
          <w:p>
            <w:pPr>
              <w:ind w:firstLine="480"/>
              <w:jc w:val="both"/>
            </w:pPr>
            <w:r>
              <w:rPr>
                <w:sz w:val="24"/>
              </w:rPr>
              <w:t>⑤做好消防安全巡查工作，懂得“一畅两会”，每天白天定时巡查不少于4次并记录情况；及时处理消防隐患。</w:t>
            </w:r>
          </w:p>
          <w:p>
            <w:pPr>
              <w:ind w:firstLine="480"/>
              <w:jc w:val="both"/>
            </w:pPr>
            <w:r>
              <w:rPr>
                <w:sz w:val="24"/>
              </w:rPr>
              <w:t>⑥值班保安每晚需定时巡查血站大楼各楼层消防和治安情况不少于3次。</w:t>
            </w:r>
          </w:p>
          <w:p>
            <w:pPr>
              <w:ind w:firstLine="480"/>
              <w:jc w:val="both"/>
            </w:pPr>
            <w:r>
              <w:rPr>
                <w:sz w:val="24"/>
              </w:rPr>
              <w:t>(2)</w:t>
            </w:r>
            <w:r>
              <w:rPr>
                <w:sz w:val="24"/>
              </w:rPr>
              <w:t>工作质量标准：</w:t>
            </w:r>
          </w:p>
          <w:p>
            <w:pPr>
              <w:ind w:firstLine="480"/>
              <w:jc w:val="both"/>
            </w:pPr>
            <w:r>
              <w:rPr>
                <w:sz w:val="24"/>
              </w:rPr>
              <w:t>①仪容仪表：按规定着装，佩戴齐全，精神饱满，姿态良好，举止大方，不抄手，背手或手插入衣袋，不勾肩搭背；</w:t>
            </w:r>
          </w:p>
          <w:p>
            <w:pPr>
              <w:ind w:firstLine="480"/>
              <w:jc w:val="both"/>
            </w:pPr>
            <w:r>
              <w:rPr>
                <w:sz w:val="24"/>
              </w:rPr>
              <w:t>②服务态度：微笑服务，主动，热情，耐心，周到，说话和气，礼貌待人，不发生争吵、打斗事件；</w:t>
            </w:r>
          </w:p>
          <w:p>
            <w:pPr>
              <w:ind w:firstLine="480"/>
              <w:jc w:val="both"/>
            </w:pPr>
            <w:r>
              <w:rPr>
                <w:sz w:val="24"/>
              </w:rPr>
              <w:t>③服务要求：按时巡逻，按时到指定地点签到，不出现被盗抢事件，车辆完好无损，不出交通事故，接到报警及时到场处理并报告，处理违章，文明礼貌，及时有效，机动灵活，不失原则，及时发现隐患，不出意外事故；</w:t>
            </w:r>
          </w:p>
          <w:p>
            <w:pPr>
              <w:ind w:firstLine="480"/>
              <w:jc w:val="both"/>
            </w:pPr>
            <w:r>
              <w:rPr>
                <w:sz w:val="24"/>
              </w:rPr>
              <w:t>④工作纪律：按时交接班，不迟到，不早退，忠于职守，不准在岗位上干与工作无关的事，处理问题讲原则，讲方法；</w:t>
            </w:r>
          </w:p>
          <w:p>
            <w:pPr>
              <w:ind w:firstLine="480"/>
              <w:jc w:val="both"/>
            </w:pPr>
            <w:r>
              <w:rPr>
                <w:sz w:val="24"/>
              </w:rPr>
              <w:t>⑤工作要求：服从领导，听从指挥，熟练掌握管理范围内的基本情况、设备的基本位置，善于发现、解决各种突发事件，熟悉车辆基本情况，及时指挥车辆停放，严格把好公车领用和归还关，完成交办的任务；</w:t>
            </w:r>
          </w:p>
          <w:p>
            <w:pPr>
              <w:ind w:firstLine="480"/>
              <w:jc w:val="both"/>
            </w:pPr>
            <w:r>
              <w:rPr>
                <w:sz w:val="24"/>
              </w:rPr>
              <w:t>⑥其他：能遵守培训制度，坚持学习、训练，能遵守保安员职责、权限规定。</w:t>
            </w:r>
          </w:p>
          <w:p>
            <w:pPr>
              <w:ind w:firstLine="480"/>
              <w:jc w:val="both"/>
            </w:pPr>
          </w:p>
          <w:p>
            <w:pPr>
              <w:ind w:firstLine="480"/>
              <w:jc w:val="both"/>
            </w:pPr>
          </w:p>
          <w:p>
            <w:pPr>
              <w:ind w:firstLine="480"/>
              <w:jc w:val="both"/>
            </w:pP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1.采购代理机构：本项目是指江门市政府采购中心，负责整个采购活动的组织，依法负责编制和发布招标文件，对招标文件拥有最终的解释权，不以任何身份出任评标委员会成员。</w:t>
      </w:r>
    </w:p>
    <w:p>
      <w:pPr>
        <w:ind w:firstLine="480"/>
      </w:pPr>
      <w:r>
        <w:rPr/>
        <w:t>2.采购人：本项目是指</w:t>
      </w:r>
      <w:r>
        <w:rPr/>
        <w:t>江门市中心血站</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不收取。</w:t>
            </w:r>
          </w:p>
        </w:tc>
      </w:tr>
      <w:tr>
        <w:tc>
          <w:tcPr>
            <w:tcW w:type="dxa" w:w="1051"/>
          </w:tcPr>
          <w:p>
            <w:r>
              <w:rPr/>
              <w:t>17</w:t>
            </w:r>
          </w:p>
        </w:tc>
        <w:tc>
          <w:tcPr>
            <w:tcW w:type="dxa" w:w="2252"/>
          </w:tcPr>
          <w:p>
            <w:r>
              <w:rPr/>
              <w:t>代理服务费收取方式</w:t>
            </w:r>
          </w:p>
        </w:tc>
        <w:tc>
          <w:tcPr>
            <w:tcW w:type="dxa" w:w="5004"/>
          </w:tcPr>
          <w:p>
            <w:r>
              <w:rPr/>
              <w:t>不收取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江门市政府采购中心</w:t>
      </w:r>
      <w:r>
        <w:rPr/>
        <w:t>代收。具体操作要求详见</w:t>
      </w:r>
      <w:r>
        <w:rPr/>
        <w:t>江门市政府采购中心</w:t>
      </w:r>
      <w:r>
        <w:rPr/>
        <w:t>有关指引，递交事宜请自行咨询</w:t>
      </w:r>
      <w:r>
        <w:rPr/>
        <w:t>江门市政府采购中心</w:t>
      </w:r>
      <w:r>
        <w:rPr/>
        <w:t>；请各投标人在投标文件递交截止时间前按须知前附表规定的金额递交至</w:t>
      </w:r>
      <w:r>
        <w:rPr/>
        <w:t>江门市政府采购中心</w:t>
      </w:r>
      <w:r>
        <w:rPr/>
        <w:t>，到账情况以开标时</w:t>
      </w:r>
      <w:r>
        <w:rPr/>
        <w:t>江门市政府采购中心</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黎先生</w:t>
      </w:r>
    </w:p>
    <w:p>
      <w:pPr>
        <w:ind w:firstLine="480"/>
      </w:pPr>
      <w:r>
        <w:rPr/>
        <w:t>电话：</w:t>
      </w:r>
      <w:r>
        <w:rPr/>
        <w:t>0750-3286497</w:t>
      </w:r>
    </w:p>
    <w:p>
      <w:pPr>
        <w:ind w:firstLine="480"/>
      </w:pPr>
      <w:r>
        <w:rPr/>
        <w:t>传真：</w:t>
      </w:r>
      <w:r>
        <w:rPr/>
        <w:t>/</w:t>
      </w:r>
    </w:p>
    <w:p>
      <w:pPr>
        <w:ind w:firstLine="480"/>
      </w:pPr>
      <w:r>
        <w:rPr/>
        <w:t>邮箱：</w:t>
      </w:r>
      <w:r>
        <w:rPr/>
        <w:t>/</w:t>
      </w:r>
    </w:p>
    <w:p>
      <w:pPr>
        <w:ind w:firstLine="480"/>
      </w:pPr>
      <w:r>
        <w:rPr/>
        <w:t>地址：</w:t>
      </w:r>
      <w:r>
        <w:rPr/>
        <w:t>江门市星河路12号</w:t>
      </w:r>
    </w:p>
    <w:p>
      <w:pPr>
        <w:ind w:firstLine="480"/>
      </w:pPr>
      <w:r>
        <w:rPr/>
        <w:t>邮编：</w:t>
      </w:r>
      <w:r>
        <w:rPr/>
        <w:t>529000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政府采购监督管理机构名称：江门市财政局</w:t>
      </w:r>
    </w:p>
    <w:p>
      <w:r>
        <w:rPr/>
        <w:t>地  址：江门市蓬江区华园中路21-23号</w:t>
      </w:r>
    </w:p>
    <w:p>
      <w:r>
        <w:rPr/>
        <w:t>电  话：0750-3507009</w:t>
      </w:r>
    </w:p>
    <w:p>
      <w:r>
        <w:rPr/>
        <w:t>邮  编：529000</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江门市中心血站2023-2025年物业管理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江门市政府采购中心</w:t>
      </w:r>
      <w:r>
        <w:rPr/>
        <w:t>统一对外发布。</w:t>
      </w:r>
    </w:p>
    <w:p>
      <w:pPr>
        <w:ind w:firstLine="480"/>
      </w:pPr>
      <w:r>
        <w:rPr/>
        <w:t>（2）对</w:t>
      </w:r>
      <w:r>
        <w:rPr/>
        <w:t>江门市政府采购中心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采购包1（江门市中心血站2023-2025年物业管理服务项目）：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采购包1（江门市中心血站2023-2025年物业管理服务项目）：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 如依法免税或不需要缴纳社会保障资金的， 提供相应证明材料。</w:t>
            </w:r>
          </w:p>
        </w:tc>
      </w:tr>
      <w:tr>
        <w:tc>
          <w:tcPr>
            <w:tcW w:type="dxa" w:w="890"/>
          </w:tcPr>
          <w:p>
            <w:r>
              <w:rPr/>
              <w:t>3</w:t>
            </w:r>
          </w:p>
        </w:tc>
        <w:tc>
          <w:tcPr>
            <w:tcW w:type="dxa" w:w="3178"/>
          </w:tcPr>
          <w:p>
            <w:r>
              <w:rPr/>
              <w:t>具有良好的商业信誉和健全的财务会计制度</w:t>
            </w:r>
          </w:p>
        </w:tc>
        <w:tc>
          <w:tcPr>
            <w:tcW w:type="dxa" w:w="4238"/>
          </w:tcPr>
          <w:p>
            <w:r>
              <w:rPr/>
              <w:t>投标人应在投标文件中提供财务报表和财务会计制度。</w:t>
            </w:r>
          </w:p>
        </w:tc>
      </w:tr>
      <w:tr>
        <w:tc>
          <w:tcPr>
            <w:tcW w:type="dxa" w:w="890"/>
          </w:tcPr>
          <w:p>
            <w:r>
              <w:rPr/>
              <w:t>4</w:t>
            </w:r>
          </w:p>
        </w:tc>
        <w:tc>
          <w:tcPr>
            <w:tcW w:type="dxa" w:w="3178"/>
          </w:tcPr>
          <w:p>
            <w:r>
              <w:rPr/>
              <w:t>履行合同所必需的设备和专业技术能力</w:t>
            </w:r>
          </w:p>
        </w:tc>
        <w:tc>
          <w:tcPr>
            <w:tcW w:type="dxa" w:w="4238"/>
          </w:tcPr>
          <w:p>
            <w:r>
              <w:rPr/>
              <w:t>投标人应在投标文件中提供与开展业务有关的设备的资料（照片、图片等）；投标人应在投标文件中提供与开展业务有关的人员技术证明。</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本采购包专门面向中小企业采购</w:t>
            </w:r>
          </w:p>
        </w:tc>
        <w:tc>
          <w:tcPr>
            <w:tcW w:type="dxa" w:w="4238"/>
          </w:tcPr>
          <w:p>
            <w:r>
              <w:rPr/>
              <w:t>参与的供应商（联合体）服务全部由符合政策要求的中小企业承接</w:t>
            </w:r>
          </w:p>
        </w:tc>
      </w:tr>
    </w:tbl>
    <w:p/>
    <w:p>
      <w:pPr>
        <w:ind w:firstLine="480"/>
      </w:pPr>
      <w:r>
        <w:rPr/>
        <w:t>表二符合性审查表：</w:t>
      </w:r>
    </w:p>
    <w:p>
      <w:pPr>
        <w:ind w:firstLine="480"/>
      </w:pPr>
    </w:p>
    <w:p/>
    <w:p>
      <w:r>
        <w:rPr/>
        <w:t>采购包1（江门市中心血站2023-2025年物业管理服务项目）：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投标文件满足招标文件实质性要求。</w:t>
            </w:r>
          </w:p>
        </w:tc>
        <w:tc>
          <w:tcPr>
            <w:tcW w:type="dxa" w:w="4238"/>
          </w:tcPr>
          <w:p>
            <w:r>
              <w:rPr/>
              <w:t>本项目的实质性内容为投标报价、合同履行期限、“★”条款（若有），投标人必须完全满足 上述实质性内容的要求，如果有一项不满足，其投标将被拒绝。</w:t>
            </w:r>
          </w:p>
        </w:tc>
      </w:tr>
      <w:tr>
        <w:tc>
          <w:tcPr>
            <w:tcW w:type="dxa" w:w="890"/>
          </w:tcPr>
          <w:p>
            <w:r>
              <w:rPr/>
              <w:t>2</w:t>
            </w:r>
          </w:p>
        </w:tc>
        <w:tc>
          <w:tcPr>
            <w:tcW w:type="dxa" w:w="3178"/>
          </w:tcPr>
          <w:p>
            <w:r>
              <w:rPr/>
              <w:t>有效的法定代表人/负责人授 权委托书。</w:t>
            </w:r>
          </w:p>
        </w:tc>
        <w:tc>
          <w:tcPr>
            <w:tcW w:type="dxa" w:w="4238"/>
          </w:tcPr>
          <w:p>
            <w:r>
              <w:rPr/>
              <w:t>有效的法定代表人/负责人授权委托书。</w:t>
            </w:r>
          </w:p>
        </w:tc>
      </w:tr>
      <w:tr>
        <w:tc>
          <w:tcPr>
            <w:tcW w:type="dxa" w:w="890"/>
          </w:tcPr>
          <w:p>
            <w:r>
              <w:rPr/>
              <w:t>3</w:t>
            </w:r>
          </w:p>
        </w:tc>
        <w:tc>
          <w:tcPr>
            <w:tcW w:type="dxa" w:w="3178"/>
          </w:tcPr>
          <w:p>
            <w:r>
              <w:rPr/>
              <w:t>投标文件按要求签署、盖章。</w:t>
            </w:r>
          </w:p>
        </w:tc>
        <w:tc>
          <w:tcPr>
            <w:tcW w:type="dxa" w:w="4238"/>
          </w:tcPr>
          <w:p>
            <w:r>
              <w:rPr/>
              <w:t>投标文件对应的格式要求签章、签署或盖章。</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采购包1(江门市中心血站2023-2025年物业管理服务项目):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商务部分10.0分</w:t>
            </w:r>
          </w:p>
          <w:p>
            <w:r>
              <w:rPr/>
              <w:t>技术部分40.0分</w:t>
            </w:r>
          </w:p>
          <w:p>
            <w:r>
              <w:rPr/>
              <w:t>报价得分50.0分</w:t>
            </w:r>
          </w:p>
        </w:tc>
      </w:tr>
      <w:tr>
        <w:tc>
          <w:tcPr>
            <w:tcW w:type="dxa" w:w="922"/>
            <w:gridSpan w:val="2"/>
            <w:vMerge w:val="restart"/>
          </w:tcPr>
          <w:p>
            <w:pPr>
              <w:jc w:val="center"/>
            </w:pPr>
            <w:r>
              <w:rPr/>
              <w:t>技术部分</w:t>
            </w:r>
          </w:p>
        </w:tc>
        <w:tc>
          <w:tcPr>
            <w:tcW w:type="dxa" w:w="2307"/>
          </w:tcPr>
          <w:p>
            <w:pPr>
              <w:jc w:val="left"/>
            </w:pPr>
            <w:r>
              <w:rPr/>
              <w:t>投标服务方案 (24.0分)</w:t>
            </w:r>
          </w:p>
        </w:tc>
        <w:tc>
          <w:tcPr>
            <w:tcW w:type="dxa" w:w="5076"/>
          </w:tcPr>
          <w:p>
            <w:pPr>
              <w:jc w:val="left"/>
            </w:pPr>
            <w:r>
              <w:rPr/>
              <w:t>考察各投标人在投标文件中提供的服务方案对采购人技术标准与要求的响应情况。  （1）服务方案完全满足招标文件中“第二部分 采购需求 2.技术标准与要求”的，得24分; （2）服务方案中每一小项不满足招标文件中“第二部分 采购需求 2.技术标准与要求”中带“▲”重要技术条款要求的，扣4分；每一小项不满足招标文件中“第二部分 采购需求 2.技术标准与要求”中除带“▲”重要技术条款以外要求的，扣2分；本项扣分不超过24分。 投标人需根据服务方案详细填写《技术和服务要求响应表》，评标小组将根据投标人填写《技术和服务要求响应表》进行评分。如投标人填写《技术和服务要求响应表》的内容与投标人提供的服务方案不一致，以《技术和服务要求响应表》填写的内容为准。本部分评分内容为客观分，评标委员会各成员评分须一致。</w:t>
            </w:r>
          </w:p>
        </w:tc>
      </w:tr>
      <w:tr>
        <w:tc>
          <w:tcPr>
            <w:tcW w:type="dxa" w:w="922"/>
            <w:gridSpan w:val="2"/>
            <w:vMerge/>
          </w:tcPr>
          <w:p/>
        </w:tc>
        <w:tc>
          <w:tcPr>
            <w:tcW w:type="dxa" w:w="2307"/>
          </w:tcPr>
          <w:p>
            <w:pPr>
              <w:jc w:val="left"/>
            </w:pPr>
            <w:r>
              <w:rPr/>
              <w:t>突发事件的应急响应 (8.0分)</w:t>
            </w:r>
          </w:p>
        </w:tc>
        <w:tc>
          <w:tcPr>
            <w:tcW w:type="dxa" w:w="5076"/>
          </w:tcPr>
          <w:p>
            <w:pPr>
              <w:jc w:val="left"/>
            </w:pPr>
            <w:r>
              <w:rPr/>
              <w:t>根据投标人提供的应急预案进行评分： 应急预案包括但不限于项目总体应急预案、保洁应急预案、运送应急预案、绿化应急预案等，每涉及一点得2分；没涉及的，得0分，本项最多得8分，本部分评分内容为客观分，评标委员会各成员评分须一致。</w:t>
            </w:r>
          </w:p>
        </w:tc>
      </w:tr>
      <w:tr>
        <w:tc>
          <w:tcPr>
            <w:tcW w:type="dxa" w:w="922"/>
            <w:gridSpan w:val="2"/>
            <w:vMerge/>
          </w:tcPr>
          <w:p/>
        </w:tc>
        <w:tc>
          <w:tcPr>
            <w:tcW w:type="dxa" w:w="2307"/>
          </w:tcPr>
          <w:p>
            <w:pPr>
              <w:jc w:val="left"/>
            </w:pPr>
            <w:r>
              <w:rPr/>
              <w:t>拟参与本项目的项目负责人与项目主要管理、服务人员情况 (8.0分)</w:t>
            </w:r>
          </w:p>
        </w:tc>
        <w:tc>
          <w:tcPr>
            <w:tcW w:type="dxa" w:w="5076"/>
          </w:tcPr>
          <w:p>
            <w:pPr>
              <w:jc w:val="left"/>
            </w:pPr>
            <w:r>
              <w:rPr/>
              <w:t>考查、对比投标人拟派项目负责人与项目主要管理、服务人员情况。 1.参与本项目的项目经理：具有物业管理类专业大专或以上学历的，得2分;具有政府相关主管部门颁发的物业管理员国家职业技能证书或防疫员国家职业技能证书的,得2分。本项最高得分4分。 2.参与本项目的保安队长：具有政府相关主管部门颁发的三级/高级或以上保安员国家职业技能证书的或具有政府相关主管部门颁发的消防员/消防设施操作员/建（构）筑物消防员国家职业技能证书的，得2分。本项最多得2分。 3.参与本项目的绿化员：具有政府相关主管部门颁发的绿化工/园林绿化工L国家职业技能证书的，得2分。本项最多得2分。 （上述人员不能为一人担任多职；需提供上述人员自投标截止日前6个月任意1个月投标人为其缴纳的社会保险有效凭证，复印件加盖投标人公章，未提供相应证明材料的不得分。本部分评分内容为客观分，评标委员会各成员评分须一致。</w:t>
            </w:r>
          </w:p>
        </w:tc>
      </w:tr>
      <w:tr>
        <w:tc>
          <w:tcPr>
            <w:tcW w:type="dxa" w:w="922"/>
            <w:gridSpan w:val="2"/>
          </w:tcPr>
          <w:p>
            <w:pPr>
              <w:jc w:val="center"/>
            </w:pPr>
            <w:r>
              <w:rPr/>
              <w:t>商务部分</w:t>
            </w:r>
          </w:p>
        </w:tc>
        <w:tc>
          <w:tcPr>
            <w:tcW w:type="dxa" w:w="2307"/>
          </w:tcPr>
          <w:p>
            <w:pPr>
              <w:jc w:val="left"/>
            </w:pPr>
            <w:r>
              <w:rPr/>
              <w:t>经营业绩 (10.0分)</w:t>
            </w:r>
          </w:p>
        </w:tc>
        <w:tc>
          <w:tcPr>
            <w:tcW w:type="dxa" w:w="5076"/>
          </w:tcPr>
          <w:p>
            <w:pPr>
              <w:jc w:val="left"/>
            </w:pPr>
            <w:r>
              <w:rPr/>
              <w:t>每提供一份类似项目业绩证明文件得1分，最高10分。需提供合同复印件关键页（含签订合同双方的单位名称、合同项目名称、签订日期的关键页）（加盖公章）和项目业主对项目的评价（优秀、满意或好评等）证明材料，不提供项目评价的业绩不得分，同一服务单位只计算一份合同。本部分评分内容为客观分，评标委员会各成员评分须一致。</w:t>
            </w:r>
          </w:p>
        </w:tc>
      </w:tr>
      <w:tr>
        <w:tc>
          <w:tcPr>
            <w:tcW w:type="dxa" w:w="922"/>
            <w:gridSpan w:val="2"/>
          </w:tcPr>
          <w:p>
            <w:pPr>
              <w:jc w:val="center"/>
            </w:pPr>
            <w:r>
              <w:rPr/>
              <w:t>投标报价</w:t>
            </w:r>
          </w:p>
        </w:tc>
        <w:tc>
          <w:tcPr>
            <w:tcW w:type="dxa" w:w="2307"/>
          </w:tcPr>
          <w:p>
            <w:pPr>
              <w:jc w:val="left"/>
            </w:pPr>
            <w:r>
              <w:rPr/>
              <w:t>投标报价得分 (50.0分)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将综合得分从高到低排出名次，总分第一名为第一中标候选供应商，第二名为第二中标候选供应商，第三名为第三中标候选供应商，以此类推。总得分相同的，按报价得分由高到低排列；总得分相同且报价得分相同的并列。定标：采购人应当自收到评标报告之日起５个工作日内，在评标报告确定的中标候选人名单中按顺序确定中标人。中标候选人并列的，采购人委托评标委员会投票确定中标人，一人一票，不得弃权。</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pPr>
        <w:jc w:val="both"/>
      </w:pPr>
      <w:r>
        <w:rPr>
          <w:b/>
        </w:rPr>
        <w:t>甲方：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color w:val="222222"/>
          <w:sz w:val="27"/>
        </w:rPr>
        <w:t>传真</w:t>
      </w:r>
      <w:r>
        <w:rPr>
          <w:color w:val="222222"/>
          <w:sz w:val="27"/>
        </w:rPr>
        <w:t xml:space="preserve"> </w:t>
      </w:r>
      <w:r>
        <w:rPr>
          <w:color w:val="222222"/>
          <w:sz w:val="27"/>
        </w:rPr>
        <w:t>：</w:t>
      </w:r>
      <w:r>
        <w:rPr>
          <w:color w:val="222222"/>
          <w:sz w:val="27"/>
        </w:rPr>
        <w:t xml:space="preserve"> </w:t>
      </w:r>
      <w:r>
        <w:rPr>
          <w:u w:val="single"/>
        </w:rPr>
        <w:t>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b/>
        </w:rPr>
        <w:t>乙方：</w:t>
      </w:r>
      <w:r>
        <w:rPr>
          <w:b/>
        </w:rPr>
        <w:t xml:space="preserve"> </w:t>
      </w:r>
      <w:r>
        <w:rPr>
          <w:u w:val="single"/>
        </w:rPr>
        <w:t>　　　　　</w:t>
      </w:r>
      <w:r>
        <w:rPr>
          <w:u w:val="single"/>
        </w:rPr>
        <w:t xml:space="preserve"> </w:t>
      </w:r>
      <w:r>
        <w:rPr>
          <w:u w:val="single"/>
        </w:rPr>
        <w:t xml:space="preserve"> </w:t>
      </w:r>
    </w:p>
    <w:p>
      <w:pPr>
        <w:jc w:val="both"/>
      </w:pPr>
      <w:r>
        <w:rPr>
          <w:color w:val="222222"/>
          <w:sz w:val="27"/>
        </w:rPr>
        <w:t>电话：</w:t>
      </w:r>
      <w:r>
        <w:rPr>
          <w:color w:val="222222"/>
          <w:sz w:val="27"/>
        </w:rPr>
        <w:t xml:space="preserve"> </w:t>
      </w:r>
      <w:r>
        <w:rPr>
          <w:u w:val="single"/>
        </w:rPr>
        <w:t>　　　　</w:t>
      </w:r>
      <w:r>
        <w:rPr>
          <w:u w:val="single"/>
        </w:rPr>
        <w:t xml:space="preserve"> </w:t>
      </w:r>
      <w:r>
        <w:rPr>
          <w:u w:val="single"/>
        </w:rPr>
        <w:t xml:space="preserve"> </w:t>
      </w:r>
      <w:r>
        <w:rPr>
          <w:u w:val="single"/>
        </w:rPr>
        <w:t xml:space="preserve"> </w:t>
      </w:r>
      <w:r>
        <w:rPr>
          <w:color w:val="222222"/>
          <w:sz w:val="27"/>
        </w:rPr>
        <w:t>传真：</w:t>
      </w:r>
      <w:r>
        <w:rPr>
          <w:u w:val="single"/>
        </w:rPr>
        <w:t>　　　</w:t>
      </w:r>
      <w:r>
        <w:rPr>
          <w:u w:val="single"/>
        </w:rPr>
        <w:t xml:space="preserve"> </w:t>
      </w:r>
      <w:r>
        <w:rPr>
          <w:u w:val="single"/>
        </w:rPr>
        <w:t xml:space="preserve"> </w:t>
      </w:r>
      <w:r>
        <w:rPr>
          <w:u w:val="single"/>
        </w:rPr>
        <w:t xml:space="preserve"> </w:t>
      </w:r>
      <w:r>
        <w:rPr>
          <w:color w:val="222222"/>
          <w:sz w:val="27"/>
        </w:rPr>
        <w:t>地址：</w:t>
      </w:r>
      <w:r>
        <w:rPr>
          <w:color w:val="222222"/>
          <w:sz w:val="27"/>
        </w:rPr>
        <w:t xml:space="preserve"> </w:t>
      </w:r>
      <w:r>
        <w:rPr>
          <w:u w:val="single"/>
        </w:rPr>
        <w:t>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both"/>
      </w:pPr>
      <w:r>
        <w:rPr>
          <w:color w:val="222222"/>
          <w:sz w:val="27"/>
        </w:rPr>
        <w:t xml:space="preserve"> </w:t>
      </w:r>
      <w:r>
        <w:rPr>
          <w:color w:val="222222"/>
          <w:sz w:val="27"/>
        </w:rPr>
        <w:t xml:space="preserve"> </w:t>
      </w:r>
      <w:r>
        <w:rPr>
          <w:color w:val="222222"/>
          <w:sz w:val="27"/>
        </w:rPr>
        <w:t>根据</w:t>
      </w:r>
      <w:r>
        <w:rPr>
          <w:color w:val="222222"/>
          <w:sz w:val="27"/>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项目</w:t>
      </w:r>
      <w:r>
        <w:rPr>
          <w:u w:val="single"/>
        </w:rPr>
        <w:t xml:space="preserve"> </w:t>
      </w:r>
      <w:r>
        <w:rPr>
          <w:color w:val="222222"/>
          <w:sz w:val="27"/>
        </w:rPr>
        <w:t>的采购结果，按照《中华人民共和国政府采购法》，《</w:t>
      </w:r>
      <w:r>
        <w:rPr>
          <w:color w:val="222222"/>
          <w:sz w:val="27"/>
        </w:rPr>
        <w:t>中华人民共和国民法典(合同编)</w:t>
      </w:r>
      <w:r>
        <w:rPr>
          <w:color w:val="222222"/>
          <w:sz w:val="27"/>
        </w:rPr>
        <w:t>》的规定，经双方协商，本着平等互利和诚实信用的原则，一致同意遵守本合同如下。</w:t>
      </w:r>
    </w:p>
    <w:p>
      <w:pPr>
        <w:jc w:val="both"/>
      </w:pPr>
      <w:r>
        <w:rPr>
          <w:b/>
        </w:rPr>
        <w:t>一、合同金额</w:t>
      </w:r>
    </w:p>
    <w:p>
      <w:pPr>
        <w:jc w:val="both"/>
      </w:pPr>
      <w:r>
        <w:rPr>
          <w:color w:val="222222"/>
          <w:sz w:val="27"/>
        </w:rPr>
        <w:t>　　合同金额为（大写）：_____________元（￥_________元）人民币。</w:t>
      </w:r>
    </w:p>
    <w:p>
      <w:pPr>
        <w:jc w:val="both"/>
      </w:pPr>
      <w:r>
        <w:rPr>
          <w:b/>
        </w:rPr>
        <w:t>二、服务范围</w:t>
      </w:r>
    </w:p>
    <w:p>
      <w:pPr>
        <w:jc w:val="both"/>
      </w:pPr>
      <w:r>
        <w:rPr>
          <w:color w:val="222222"/>
          <w:sz w:val="27"/>
        </w:rPr>
        <w:t>　　甲方聘请乙方提供以下服务：</w:t>
      </w:r>
    </w:p>
    <w:p>
      <w:pPr>
        <w:jc w:val="both"/>
      </w:pPr>
      <w:r>
        <w:rPr>
          <w:color w:val="222222"/>
          <w:sz w:val="27"/>
        </w:rPr>
        <w:t>　　1．</w:t>
      </w:r>
      <w:r>
        <w:rPr>
          <w:u w:val="single"/>
        </w:rPr>
        <w:t>　　　　　　　　　　　</w:t>
      </w:r>
      <w:r>
        <w:rPr>
          <w:color w:val="222222"/>
          <w:sz w:val="27"/>
        </w:rPr>
        <w:t>。</w:t>
      </w:r>
    </w:p>
    <w:p>
      <w:pPr>
        <w:jc w:val="both"/>
      </w:pPr>
      <w:r>
        <w:rPr>
          <w:color w:val="222222"/>
          <w:sz w:val="27"/>
        </w:rPr>
        <w:t>　　2．</w:t>
      </w:r>
      <w:r>
        <w:rPr>
          <w:u w:val="single"/>
        </w:rPr>
        <w:t>　　　　　　　　　　　</w:t>
      </w:r>
    </w:p>
    <w:p>
      <w:pPr>
        <w:jc w:val="both"/>
      </w:pPr>
      <w:r>
        <w:rPr>
          <w:color w:val="222222"/>
          <w:sz w:val="27"/>
        </w:rPr>
        <w:t>……</w:t>
      </w:r>
    </w:p>
    <w:p>
      <w:pPr>
        <w:jc w:val="both"/>
      </w:pPr>
      <w:r>
        <w:rPr>
          <w:b/>
        </w:rPr>
        <w:t>三、甲方乙方的权利和义务</w:t>
      </w:r>
    </w:p>
    <w:p>
      <w:pPr>
        <w:jc w:val="both"/>
      </w:pPr>
      <w:r>
        <w:rPr>
          <w:color w:val="222222"/>
          <w:sz w:val="27"/>
        </w:rPr>
        <w:t>　　1.甲方的权利和义务</w:t>
      </w:r>
    </w:p>
    <w:p>
      <w:pPr>
        <w:jc w:val="both"/>
      </w:pPr>
      <w:r>
        <w:rPr>
          <w:color w:val="222222"/>
          <w:sz w:val="27"/>
        </w:rPr>
        <w:t>　　2.乙方的权利和义务</w:t>
      </w:r>
    </w:p>
    <w:p>
      <w:pPr>
        <w:jc w:val="both"/>
      </w:pPr>
      <w:r>
        <w:rPr>
          <w:b/>
        </w:rPr>
        <w:t>四、服务期间（项目完成期限）</w:t>
      </w:r>
    </w:p>
    <w:p>
      <w:pPr>
        <w:jc w:val="both"/>
      </w:pPr>
      <w:r>
        <w:rPr>
          <w:color w:val="222222"/>
          <w:sz w:val="27"/>
        </w:rPr>
        <w:t>　　</w:t>
      </w:r>
      <w:r>
        <w:rPr>
          <w:color w:val="222222"/>
          <w:sz w:val="24"/>
        </w:rPr>
        <w:t>本期服务有效期为24个月，从合同签订生效之日起开始计算。在此轮服务期限内，江门市中心血站的清洁卫生、绿化养护、保安服务由本项目中标供应商提供。</w:t>
      </w:r>
    </w:p>
    <w:p>
      <w:pPr>
        <w:jc w:val="both"/>
      </w:pPr>
      <w:r>
        <w:rPr>
          <w:b/>
        </w:rPr>
        <w:t>五、付款方式</w:t>
      </w:r>
    </w:p>
    <w:p>
      <w:pPr>
        <w:jc w:val="both"/>
      </w:pPr>
      <w:r>
        <w:rPr>
          <w:color w:val="222222"/>
          <w:sz w:val="27"/>
        </w:rPr>
        <w:t>　　</w:t>
      </w:r>
      <w:r>
        <w:rPr>
          <w:sz w:val="24"/>
        </w:rPr>
        <w:t>按月分期付款。本项目采购资金由采购人自筹解决，经政府采购后确定的中标价格为最终的合同价格，合同款的支付由中标供应商与采购人双方自行结算。每月10号前，采购人在确定中标供应商提供合格服务内容及已将上月工资发放给聘请员工后，凭发票将上月后勤服务费转账给中标供应商。</w:t>
      </w:r>
    </w:p>
    <w:p>
      <w:pPr>
        <w:jc w:val="both"/>
      </w:pPr>
      <w:r>
        <w:rPr>
          <w:b/>
        </w:rPr>
        <w:t>六、知识产权归属</w:t>
      </w:r>
    </w:p>
    <w:p>
      <w:pPr>
        <w:jc w:val="both"/>
      </w:pPr>
      <w:r>
        <w:rPr>
          <w:b/>
        </w:rPr>
        <w:t>/</w:t>
      </w:r>
    </w:p>
    <w:p>
      <w:pPr>
        <w:jc w:val="both"/>
      </w:pPr>
      <w:r>
        <w:rPr>
          <w:b/>
        </w:rPr>
        <w:t>七、保密</w:t>
      </w:r>
    </w:p>
    <w:p>
      <w:pPr>
        <w:jc w:val="both"/>
      </w:pPr>
      <w:r>
        <w:rPr>
          <w:b/>
        </w:rPr>
        <w:t>/</w:t>
      </w:r>
    </w:p>
    <w:p>
      <w:pPr>
        <w:jc w:val="both"/>
      </w:pPr>
      <w:r>
        <w:rPr>
          <w:b/>
        </w:rPr>
        <w:t>八、违约责任与赔偿损失</w:t>
      </w:r>
    </w:p>
    <w:p>
      <w:pPr>
        <w:jc w:val="both"/>
      </w:pPr>
      <w:r>
        <w:rPr>
          <w:color w:val="222222"/>
          <w:sz w:val="27"/>
        </w:rPr>
        <w:t>/</w:t>
      </w:r>
    </w:p>
    <w:p>
      <w:pPr>
        <w:jc w:val="both"/>
      </w:pPr>
      <w:r>
        <w:rPr>
          <w:b/>
        </w:rPr>
        <w:t>九、争议的解决</w:t>
      </w:r>
    </w:p>
    <w:p>
      <w:pPr>
        <w:ind w:firstLine="400"/>
        <w:jc w:val="both"/>
      </w:pPr>
      <w:r>
        <w:rPr>
          <w:color w:val="222222"/>
          <w:sz w:val="27"/>
        </w:rPr>
        <w:t>合同执行过程中发生的任何争议，如双方不能通过友好协商解决，按相关法律法规处理。</w:t>
      </w:r>
      <w:r>
        <w:rPr>
          <w:color w:val="222222"/>
          <w:sz w:val="27"/>
        </w:rPr>
        <w:t xml:space="preserve"> </w:t>
      </w:r>
      <w:r>
        <w:rPr>
          <w:color w:val="222222"/>
          <w:sz w:val="27"/>
        </w:rPr>
        <w:t xml:space="preserve"> </w:t>
      </w:r>
      <w:r>
        <w:rPr>
          <w:color w:val="222222"/>
          <w:sz w:val="27"/>
        </w:rPr>
        <w:t xml:space="preserve"> </w:t>
      </w:r>
      <w:r>
        <w:rPr>
          <w:color w:val="222222"/>
          <w:sz w:val="27"/>
        </w:rPr>
        <w:t xml:space="preserve"> </w:t>
      </w:r>
      <w:r>
        <w:rPr>
          <w:color w:val="222222"/>
          <w:sz w:val="27"/>
        </w:rPr>
        <w:t xml:space="preserve"> </w:t>
      </w:r>
    </w:p>
    <w:p>
      <w:pPr>
        <w:jc w:val="both"/>
      </w:pPr>
      <w:r>
        <w:rPr>
          <w:b/>
        </w:rPr>
        <w:t>十、不可抗力</w:t>
      </w:r>
    </w:p>
    <w:p>
      <w:pPr>
        <w:jc w:val="both"/>
      </w:pPr>
      <w:r>
        <w:rPr>
          <w:color w:val="222222"/>
          <w:sz w:val="27"/>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rPr>
        <w:t>十一、税费</w:t>
      </w:r>
    </w:p>
    <w:p>
      <w:pPr>
        <w:jc w:val="both"/>
      </w:pPr>
      <w:r>
        <w:rPr>
          <w:color w:val="222222"/>
          <w:sz w:val="27"/>
        </w:rPr>
        <w:t>　　在中国境内、外发生的与本合同执行有关的一切税费均由乙方负担。</w:t>
      </w:r>
    </w:p>
    <w:p>
      <w:pPr>
        <w:jc w:val="both"/>
      </w:pPr>
      <w:r>
        <w:rPr>
          <w:b/>
        </w:rPr>
        <w:t>十二、其它</w:t>
      </w:r>
    </w:p>
    <w:p>
      <w:pPr>
        <w:jc w:val="both"/>
      </w:pPr>
      <w:r>
        <w:rPr>
          <w:color w:val="222222"/>
          <w:sz w:val="27"/>
        </w:rPr>
        <w:t>　　1.本合同所有附件、招标文件、投标文件、中标通知书均为合同的有效组成部分，与本合同具有同等法律效力。</w:t>
      </w:r>
    </w:p>
    <w:p>
      <w:pPr>
        <w:jc w:val="both"/>
      </w:pPr>
      <w:r>
        <w:rPr>
          <w:color w:val="222222"/>
          <w:sz w:val="27"/>
        </w:rPr>
        <w:t>　　2.在执行本合同的过程中，所有经双方签署确认的文件（包括会议纪要、补充协议、往来信函）即成为本合同的有效组成部分。</w:t>
      </w:r>
    </w:p>
    <w:p>
      <w:pPr>
        <w:jc w:val="both"/>
      </w:pPr>
      <w:r>
        <w:rPr>
          <w:color w:val="222222"/>
          <w:sz w:val="27"/>
        </w:rPr>
        <w:t>　　3.如一方地址、电话、传真号码有变更，应在变更当日内书面通知对方，否则，应承担相应责任。</w:t>
      </w:r>
    </w:p>
    <w:p>
      <w:pPr>
        <w:jc w:val="both"/>
      </w:pPr>
      <w:r>
        <w:rPr>
          <w:color w:val="222222"/>
          <w:sz w:val="27"/>
        </w:rPr>
        <w:t>　　4.除甲方事先书面同意外，乙方不得部分或全部转让其应履行的合同项下的义务。</w:t>
      </w:r>
    </w:p>
    <w:p>
      <w:pPr>
        <w:jc w:val="both"/>
      </w:pPr>
      <w:r>
        <w:rPr>
          <w:b/>
        </w:rPr>
        <w:t>十三、合同生效</w:t>
      </w:r>
    </w:p>
    <w:p>
      <w:pPr>
        <w:jc w:val="both"/>
      </w:pPr>
      <w:r>
        <w:rPr>
          <w:color w:val="222222"/>
          <w:sz w:val="27"/>
        </w:rPr>
        <w:t>　　1.本合同在甲乙双方法人代表或其授权代表签字盖章后生效。</w:t>
      </w:r>
    </w:p>
    <w:p>
      <w:pPr>
        <w:jc w:val="both"/>
      </w:pPr>
      <w:r>
        <w:rPr>
          <w:color w:val="222222"/>
          <w:sz w:val="27"/>
        </w:rPr>
        <w:t>　　2.合同一式</w:t>
      </w:r>
      <w:r>
        <w:rPr>
          <w:u w:val="single"/>
        </w:rPr>
        <w:t xml:space="preserve"> </w:t>
      </w:r>
      <w:r>
        <w:rPr>
          <w:u w:val="single"/>
        </w:rPr>
        <w:t xml:space="preserve"> </w:t>
      </w:r>
      <w:r>
        <w:rPr>
          <w:u w:val="single"/>
        </w:rPr>
        <w:t xml:space="preserve"> </w:t>
      </w:r>
      <w:r>
        <w:rPr>
          <w:color w:val="222222"/>
          <w:sz w:val="27"/>
        </w:rPr>
        <w:t xml:space="preserve"> </w:t>
      </w:r>
      <w:r>
        <w:rPr>
          <w:color w:val="222222"/>
          <w:sz w:val="27"/>
        </w:rPr>
        <w:t>份。</w:t>
      </w:r>
    </w:p>
    <w:p>
      <w:pPr>
        <w:jc w:val="both"/>
      </w:pPr>
      <w:r>
        <w:rPr>
          <w:color w:val="222222"/>
          <w:sz w:val="27"/>
        </w:rPr>
        <w:t xml:space="preserve"> </w:t>
      </w:r>
    </w:p>
    <w:p>
      <w:pPr>
        <w:jc w:val="both"/>
      </w:pPr>
      <w:r>
        <w:rPr>
          <w:b/>
        </w:rPr>
        <w:t>甲方（盖章）：</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乙方（盖章）：</w:t>
      </w:r>
    </w:p>
    <w:p>
      <w:pPr>
        <w:jc w:val="both"/>
      </w:pPr>
      <w:r>
        <w:rPr>
          <w:b/>
        </w:rPr>
        <w:t>代表：</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 xml:space="preserve"> </w:t>
      </w:r>
      <w:r>
        <w:rPr>
          <w:b/>
        </w:rPr>
        <w:t>代表：</w:t>
      </w:r>
    </w:p>
    <w:p>
      <w:pPr>
        <w:jc w:val="both"/>
      </w:pPr>
      <w:r>
        <w:rPr>
          <w:color w:val="222222"/>
          <w:sz w:val="27"/>
        </w:rPr>
        <w:t>签订地点：</w:t>
      </w:r>
    </w:p>
    <w:p>
      <w:pPr>
        <w:jc w:val="both"/>
      </w:pPr>
      <w:r>
        <w:rPr>
          <w:color w:val="222222"/>
          <w:sz w:val="27"/>
        </w:rPr>
        <w:t>签订日期：　　　年　　月　　日</w:t>
      </w:r>
      <w:r>
        <w:rPr>
          <w:color w:val="222222"/>
          <w:sz w:val="27"/>
        </w:rPr>
        <w:t xml:space="preserve"> </w:t>
      </w:r>
      <w:r>
        <w:rPr>
          <w:color w:val="222222"/>
          <w:sz w:val="27"/>
        </w:rPr>
        <w:t>签订日期：　　　年　　月　　日</w:t>
      </w:r>
    </w:p>
    <w:p>
      <w:pPr>
        <w:jc w:val="both"/>
      </w:pPr>
      <w:r>
        <w:rPr>
          <w:color w:val="222222"/>
          <w:sz w:val="27"/>
        </w:rPr>
        <w:t>开户名称：</w:t>
      </w:r>
    </w:p>
    <w:p>
      <w:pPr>
        <w:jc w:val="both"/>
      </w:pPr>
      <w:r>
        <w:rPr>
          <w:color w:val="222222"/>
          <w:sz w:val="27"/>
        </w:rPr>
        <w:t>银行帐号：</w:t>
      </w:r>
    </w:p>
    <w:p>
      <w:pPr>
        <w:jc w:val="both"/>
      </w:pPr>
      <w:r>
        <w:rPr>
          <w:color w:val="222222"/>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440701-2023-01869</w:t>
      </w:r>
    </w:p>
    <w:p>
      <w:pPr>
        <w:jc w:val="center"/>
      </w:pPr>
      <w:r>
        <w:rPr>
          <w:b/>
          <w:sz w:val="24"/>
        </w:rPr>
        <w:t>采购项目编号：</w:t>
      </w:r>
      <w:r>
        <w:rPr>
          <w:b/>
          <w:sz w:val="24"/>
        </w:rPr>
        <w:t>JM2023-A039</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江门市政府采购中心</w:t>
      </w:r>
    </w:p>
    <w:p>
      <w:pPr>
        <w:ind w:firstLine="480"/>
      </w:pPr>
      <w:r>
        <w:rPr/>
        <w:t>你方组织的</w:t>
      </w:r>
      <w:r>
        <w:rPr>
          <w:u w:val="single"/>
        </w:rPr>
        <w:t>“</w:t>
      </w:r>
      <w:r>
        <w:rPr>
          <w:u w:val="single"/>
        </w:rPr>
        <w:t>江门市中心血站2023-2025年物业管理服务</w:t>
      </w:r>
      <w:r>
        <w:rPr>
          <w:u w:val="single"/>
        </w:rPr>
        <w:t>”</w:t>
      </w:r>
      <w:r>
        <w:rPr/>
        <w:t>项目的招标[采购项目编号为：</w:t>
      </w:r>
      <w:r>
        <w:rPr>
          <w:u w:val="single"/>
        </w:rPr>
        <w:t>JM2023-A039</w:t>
      </w:r>
      <w:r>
        <w:rPr/>
        <w:t>]，我方愿参与投标。</w:t>
      </w:r>
    </w:p>
    <w:p>
      <w:pPr>
        <w:ind w:firstLine="480"/>
      </w:pPr>
      <w:r>
        <w:rPr/>
        <w:t>我方确认收到贵方提供的</w:t>
      </w:r>
      <w:r>
        <w:rPr>
          <w:u w:val="single"/>
        </w:rPr>
        <w:t>“</w:t>
      </w:r>
      <w:r>
        <w:rPr>
          <w:u w:val="single"/>
        </w:rPr>
        <w:t>江门市中心血站2023-2025年物业管理服务</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江门市政府采购中心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江门市中心血站2023-2025年物业管理服务</w:t>
      </w:r>
      <w:r>
        <w:rPr/>
        <w:t>”项目采购[采购项目编号为</w:t>
      </w:r>
      <w:r>
        <w:rPr/>
        <w:t>JM2023-A039</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江门市中心血站</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江门市政府采购中心</w:t>
      </w:r>
    </w:p>
    <w:p>
      <w:pPr>
        <w:ind w:firstLine="480"/>
      </w:pPr>
      <w:r>
        <w:rPr/>
        <w:t>如果我方在贵采购代理机构组织的</w:t>
      </w:r>
      <w:r>
        <w:rPr/>
        <w:t>江门市中心血站2023-2025年物业管理服务</w:t>
      </w:r>
      <w:r>
        <w:rPr/>
        <w:t>招标中获中标（采购项目编号：</w:t>
      </w:r>
      <w:r>
        <w:rPr/>
        <w:t>JM2023-A039</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江门市政府采购中心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江门市政府采购中心</w:t>
      </w:r>
    </w:p>
    <w:p>
      <w:pPr>
        <w:ind w:firstLine="480"/>
      </w:pPr>
      <w:r>
        <w:rPr/>
        <w:t>我单位已登记并准备参与“</w:t>
      </w:r>
      <w:r>
        <w:rPr/>
        <w:t>江门市中心血站2023-2025年物业管理服务</w:t>
      </w:r>
      <w:r>
        <w:rPr/>
        <w:t>”项目（采购项目编号：</w:t>
      </w:r>
      <w:r>
        <w:rPr/>
        <w:t>JM2023-A039</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