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440701-2023-00642</w:t>
      </w:r>
    </w:p>
    <w:p>
      <w:pPr>
        <w:jc w:val="center"/>
      </w:pPr>
      <w:r>
        <w:rPr>
          <w:b/>
          <w:sz w:val="24"/>
        </w:rPr>
        <w:t>采购项目编号：</w:t>
      </w:r>
      <w:r>
        <w:rPr>
          <w:b/>
          <w:sz w:val="24"/>
        </w:rPr>
        <w:t>CLF0122JM01ZC33</w:t>
      </w:r>
    </w:p>
    <w:p>
      <w:pPr>
        <w:jc w:val="center"/>
      </w:pPr>
      <w:r>
        <w:rPr>
          <w:b/>
          <w:sz w:val="24"/>
        </w:rPr>
        <w:t>项目名称：</w:t>
      </w:r>
      <w:r>
        <w:rPr>
          <w:b/>
          <w:sz w:val="24"/>
        </w:rPr>
        <w:t>江门市中心医院彩色多普勒超声波诊断仪采购项目</w:t>
      </w:r>
    </w:p>
    <w:p>
      <w:pPr>
        <w:jc w:val="center"/>
      </w:pPr>
      <w:r>
        <w:rPr>
          <w:b/>
          <w:sz w:val="24"/>
        </w:rPr>
        <w:t>采购人：</w:t>
      </w:r>
      <w:r>
        <w:rPr>
          <w:b/>
          <w:sz w:val="24"/>
        </w:rPr>
        <w:t>江门市中心医院</w:t>
      </w:r>
    </w:p>
    <w:p>
      <w:pPr>
        <w:jc w:val="center"/>
      </w:pPr>
      <w:r>
        <w:rPr>
          <w:b/>
          <w:sz w:val="24"/>
        </w:rPr>
        <w:t>采购代理机构：</w:t>
      </w:r>
      <w:r>
        <w:rPr>
          <w:b/>
          <w:sz w:val="24"/>
        </w:rPr>
        <w:t>采联国际招标采购集团有限公司</w:t>
      </w:r>
    </w:p>
    <w:p>
      <w:pPr>
        <w:ind w:firstLine="480"/>
      </w:pPr>
    </w:p>
    <w:p>
      <w:r>
        <w:rPr/>
        <w:t xml:space="preserve"> </w:t>
      </w:r>
    </w:p>
    <w:p/>
    <w:p>
      <w:pPr>
        <w:jc w:val="center"/>
      </w:pPr>
      <w:r>
        <w:rPr>
          <w:b/>
          <w:sz w:val="36"/>
        </w:rPr>
        <w:t>第一章投标邀请</w:t>
      </w:r>
    </w:p>
    <w:p>
      <w:pPr>
        <w:ind w:firstLine="480"/>
      </w:pPr>
      <w:r>
        <w:rPr/>
        <w:t>采联国际招标采购集团有限公司</w:t>
      </w:r>
      <w:r>
        <w:rPr/>
        <w:t>受</w:t>
      </w:r>
      <w:r>
        <w:rPr/>
        <w:t>江门市中心医院</w:t>
      </w:r>
      <w:r>
        <w:rPr/>
        <w:t>的委托，采用</w:t>
      </w:r>
      <w:r>
        <w:rPr/>
        <w:t>公开招标</w:t>
      </w:r>
      <w:r>
        <w:rPr/>
        <w:t>方式组织采购</w:t>
      </w:r>
      <w:r>
        <w:rPr/>
        <w:t>江门市中心医院彩色多普勒超声波诊断仪采购项目</w:t>
      </w:r>
      <w:r>
        <w:rPr/>
        <w:t>。欢迎符合资格条件的国内供应商参加投标。</w:t>
      </w:r>
    </w:p>
    <w:p>
      <w:r>
        <w:rPr>
          <w:b/>
          <w:sz w:val="28"/>
        </w:rPr>
        <w:t>一.项目概述</w:t>
      </w:r>
    </w:p>
    <w:p>
      <w:r>
        <w:rPr>
          <w:b/>
          <w:sz w:val="24"/>
        </w:rPr>
        <w:t>1.名称与编号</w:t>
      </w:r>
    </w:p>
    <w:p>
      <w:pPr>
        <w:ind w:firstLine="480"/>
      </w:pPr>
      <w:r>
        <w:rPr/>
        <w:t>项目名称：</w:t>
      </w:r>
      <w:r>
        <w:rPr/>
        <w:t>江门市中心医院彩色多普勒超声波诊断仪采购项目</w:t>
      </w:r>
    </w:p>
    <w:p>
      <w:pPr>
        <w:ind w:firstLine="480"/>
      </w:pPr>
      <w:r>
        <w:rPr/>
        <w:t>采购计划编号：</w:t>
      </w:r>
      <w:r>
        <w:rPr/>
        <w:t>440701-2023-00642</w:t>
      </w:r>
    </w:p>
    <w:p>
      <w:pPr>
        <w:ind w:firstLine="480"/>
      </w:pPr>
      <w:r>
        <w:rPr/>
        <w:t>采购项目编号：</w:t>
      </w:r>
      <w:r>
        <w:rPr/>
        <w:t>CLF0122JM01ZC33</w:t>
      </w:r>
    </w:p>
    <w:p>
      <w:pPr>
        <w:ind w:firstLine="480"/>
      </w:pPr>
      <w:r>
        <w:rPr/>
        <w:t>采购方式：</w:t>
      </w:r>
      <w:r>
        <w:rPr/>
        <w:t>公开招标</w:t>
      </w:r>
    </w:p>
    <w:p>
      <w:pPr>
        <w:ind w:firstLine="480"/>
      </w:pPr>
      <w:r>
        <w:rPr/>
        <w:t>预算金额：</w:t>
      </w:r>
      <w:r>
        <w:rPr/>
        <w:t>2,300,000.00</w:t>
      </w:r>
      <w:r>
        <w:rPr/>
        <w:t>元</w:t>
      </w:r>
    </w:p>
    <w:p>
      <w:r>
        <w:rPr>
          <w:b/>
          <w:sz w:val="24"/>
        </w:rPr>
        <w:t>2.项目内容及需求情况（采购项目技术规格、参数及要求）</w:t>
      </w:r>
    </w:p>
    <w:p>
      <w:pPr>
        <w:ind w:firstLine="480"/>
      </w:pPr>
    </w:p>
    <w:p/>
    <w:p>
      <w:r>
        <w:rPr/>
        <w:t>采购包1(江门市中心医院彩色多普勒超声波诊断仪采购项目):</w:t>
      </w:r>
    </w:p>
    <w:p>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医用超声波仪器及设备</w:t>
            </w:r>
          </w:p>
        </w:tc>
        <w:tc>
          <w:tcPr>
            <w:tcW w:type="dxa" w:w="2136"/>
          </w:tcPr>
          <w:p>
            <w:r>
              <w:rPr/>
              <w:t>彩色多普勒超声波诊断仪</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合同履行期限：合同签订后90个日历日内完成安装调试并具备验收条件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
      <w:r>
        <w:rPr/>
        <w:t>2）有依法缴纳税收和社会保障资金的良好记录：提供2022年至今任意1个月缴纳税收的凭据证明材料复印件；如依法免税的，应提供相关材料； 提供2022年至今任意1个月社会保障资金的凭据证明材料复印件；如依法不需要缴纳社会保障资金的，应提供相关材料；</w:t>
      </w:r>
    </w:p>
    <w:p/>
    <w:p>
      <w:r>
        <w:rPr/>
        <w:t>3）具有良好的商业信誉和健全的财务会计制度：提供2021年度的财务状况报告或2022年至今任意1个月的财务状况报告复印件，或银行出具的资信证明材料复印件；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采购包1（江门市中心医院彩色多普勒超声波诊断仪采购项目）：</w:t>
      </w:r>
      <w:r>
        <w:rPr/>
        <w:t>无</w:t>
      </w:r>
    </w:p>
    <w:p/>
    <w:p>
      <w:r>
        <w:rPr>
          <w:b/>
          <w:sz w:val="24"/>
        </w:rPr>
        <w:t>3.本项目特定的资格要求：</w:t>
      </w:r>
    </w:p>
    <w:p>
      <w:pPr>
        <w:ind w:firstLine="480"/>
      </w:pPr>
    </w:p>
    <w:p/>
    <w:p>
      <w:r>
        <w:rPr/>
        <w:t>采购包1（江门市中心医院彩色多普勒超声波诊断仪采购项目）：</w:t>
      </w:r>
    </w:p>
    <w:p/>
    <w:p>
      <w:r>
        <w:rPr/>
        <w:t>1)投标人未被列入“信用中国”网站(www.creditchina.gov.cn)以下任何记录名单之一：①失信被执行人；②重大税收违法失信主体；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公司的，同时对该分公司所属总公司（总所）进行信用记录查询，该分公司所属总公司（总所）存在不良信用记录的，视同供应商存在不良信用记录。）</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3)1）如投标人为生产企业：所投产品为第二、三类医疗器械，提供监督管理部门签发的有效的《医疗器械生产许可证》复印件；（如国家另有规定，则适用其规定）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采联国际招标采购集团有限公司（www.chinapsp.cn）</w:t>
      </w:r>
    </w:p>
    <w:p>
      <w:r>
        <w:rPr>
          <w:b/>
          <w:sz w:val="28"/>
        </w:rPr>
        <w:t>六.本项目联系方式：</w:t>
      </w:r>
    </w:p>
    <w:p>
      <w:r>
        <w:rPr>
          <w:b/>
          <w:sz w:val="24"/>
        </w:rPr>
        <w:t>1.采购人信息</w:t>
      </w:r>
    </w:p>
    <w:p>
      <w:pPr>
        <w:ind w:firstLine="480"/>
      </w:pPr>
      <w:r>
        <w:rPr/>
        <w:t>名称：</w:t>
      </w:r>
      <w:r>
        <w:rPr/>
        <w:t>江门市中心医院</w:t>
      </w:r>
    </w:p>
    <w:p>
      <w:pPr>
        <w:ind w:firstLine="480"/>
      </w:pPr>
      <w:r>
        <w:rPr/>
        <w:t>地址：</w:t>
      </w:r>
      <w:r>
        <w:rPr/>
        <w:t>广东省江门市蓬江区海傍街23号</w:t>
      </w:r>
    </w:p>
    <w:p>
      <w:pPr>
        <w:ind w:firstLine="480"/>
      </w:pPr>
      <w:r>
        <w:rPr/>
        <w:t>联系方式：</w:t>
      </w:r>
      <w:r>
        <w:rPr/>
        <w:t>0750-3363721</w:t>
      </w:r>
    </w:p>
    <w:p>
      <w:r>
        <w:rPr>
          <w:b/>
          <w:sz w:val="24"/>
        </w:rPr>
        <w:t>2.采购代理机构信息</w:t>
      </w:r>
    </w:p>
    <w:p>
      <w:pPr>
        <w:ind w:firstLine="480"/>
      </w:pPr>
      <w:r>
        <w:rPr/>
        <w:t>名称：</w:t>
      </w:r>
      <w:r>
        <w:rPr/>
        <w:t>采联国际招标采购集团有限公司</w:t>
      </w:r>
    </w:p>
    <w:p>
      <w:pPr>
        <w:ind w:firstLine="480"/>
      </w:pPr>
      <w:r>
        <w:rPr/>
        <w:t>地址：</w:t>
      </w:r>
      <w:r>
        <w:rPr/>
        <w:t>广州市环市东路472号粤海大厦23楼</w:t>
      </w:r>
    </w:p>
    <w:p>
      <w:pPr>
        <w:ind w:firstLine="480"/>
      </w:pPr>
      <w:r>
        <w:rPr/>
        <w:t>联系方式：</w:t>
      </w:r>
      <w:r>
        <w:rPr/>
        <w:t>0750-3390080-609/608</w:t>
      </w:r>
    </w:p>
    <w:p>
      <w:r>
        <w:rPr>
          <w:b/>
          <w:sz w:val="24"/>
        </w:rPr>
        <w:t>3.项目联系方式</w:t>
      </w:r>
    </w:p>
    <w:p>
      <w:pPr>
        <w:ind w:firstLine="480"/>
      </w:pPr>
      <w:r>
        <w:rPr/>
        <w:t>项目联系人：</w:t>
      </w:r>
      <w:r>
        <w:rPr/>
        <w:t>谢女士/赵女士</w:t>
      </w:r>
    </w:p>
    <w:p>
      <w:pPr>
        <w:ind w:firstLine="480"/>
      </w:pPr>
      <w:r>
        <w:rPr/>
        <w:t>电话：</w:t>
      </w:r>
      <w:r>
        <w:rPr/>
        <w:t>0750-3390080-609/608</w:t>
      </w:r>
    </w:p>
    <w:p>
      <w:r>
        <w:rPr>
          <w:b/>
          <w:sz w:val="24"/>
        </w:rPr>
        <w:t>4.技术支持联系方式</w:t>
      </w:r>
    </w:p>
    <w:p>
      <w:pPr>
        <w:ind w:firstLine="480"/>
      </w:pPr>
      <w:r>
        <w:rPr/>
        <w:t>云平台联系方式：020-88696588</w:t>
      </w:r>
    </w:p>
    <w:p>
      <w:r>
        <w:rPr/>
        <w:t>采购代理机构：</w:t>
      </w:r>
      <w:r>
        <w:rPr/>
        <w:t>采联国际招标采购集团有限公司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有关说明</w:t>
      </w:r>
    </w:p>
    <w:p>
      <w:pPr>
        <w:jc w:val="both"/>
      </w:pPr>
      <w:r>
        <w:rPr>
          <w:sz w:val="24"/>
        </w:rPr>
        <w:t>1.投标人须对本项目的采购标的进行整体投标，任何只对本项目采购标的其中一部分内容、数量进行的投标都被视为无效投标。</w:t>
      </w:r>
    </w:p>
    <w:p>
      <w:pPr>
        <w:jc w:val="both"/>
      </w:pPr>
      <w:r>
        <w:rPr>
          <w:sz w:val="24"/>
        </w:rPr>
        <w:t>2.</w:t>
      </w:r>
      <w:r>
        <w:rPr>
          <w:sz w:val="24"/>
        </w:rPr>
        <w:t>如</w:t>
      </w:r>
      <w:r>
        <w:rPr>
          <w:sz w:val="24"/>
        </w:rPr>
        <w:t>所</w:t>
      </w:r>
      <w:r>
        <w:rPr>
          <w:sz w:val="24"/>
        </w:rPr>
        <w:t>投标产品为进口产品，</w:t>
      </w:r>
      <w:r>
        <w:rPr>
          <w:sz w:val="24"/>
        </w:rPr>
        <w:t>投标人投标时请</w:t>
      </w:r>
      <w:r>
        <w:rPr>
          <w:sz w:val="24"/>
        </w:rPr>
        <w:t>提供有效的厂家授权证明资料</w:t>
      </w:r>
      <w:r>
        <w:rPr>
          <w:sz w:val="24"/>
        </w:rPr>
        <w:t>，否则将导致无效投标。</w:t>
      </w:r>
    </w:p>
    <w:p>
      <w:pPr>
        <w:jc w:val="both"/>
      </w:pPr>
      <w:r>
        <w:rPr>
          <w:sz w:val="24"/>
        </w:rPr>
        <w:t>3.</w:t>
      </w:r>
      <w:r>
        <w:rPr>
          <w:sz w:val="24"/>
        </w:rPr>
        <w:t>本</w:t>
      </w:r>
      <w:r>
        <w:rPr>
          <w:sz w:val="24"/>
        </w:rPr>
        <w:t>项目的</w:t>
      </w:r>
      <w:r>
        <w:rPr>
          <w:sz w:val="24"/>
        </w:rPr>
        <w:t>彩色多普勒超声波诊断仪</w:t>
      </w:r>
      <w:r>
        <w:rPr>
          <w:sz w:val="24"/>
        </w:rPr>
        <w:t>允许采购本国产品或不属于国家法律法规政策明确规定限制的进口产品。</w:t>
      </w:r>
    </w:p>
    <w:p/>
    <w:p>
      <w:pPr>
        <w:ind w:firstLine="480"/>
      </w:pPr>
    </w:p>
    <w:p/>
    <w:p>
      <w:r>
        <w:rPr/>
        <w:t>采购包1（江门市中心医院彩色多普勒超声波诊断仪采购项目）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合同签订后90个日历日内完成安装调试并具备验收条件</w:t>
            </w:r>
          </w:p>
        </w:tc>
      </w:tr>
      <w:tr>
        <w:tc>
          <w:tcPr>
            <w:tcW w:type="dxa" w:w="4153"/>
          </w:tcPr>
          <w:p>
            <w:r>
              <w:rPr/>
              <w:t>标的提供的地点</w:t>
            </w:r>
          </w:p>
        </w:tc>
        <w:tc>
          <w:tcPr>
            <w:tcW w:type="dxa" w:w="4153"/>
          </w:tcPr>
          <w:p/>
          <w:p>
            <w:r>
              <w:rPr/>
              <w:t>广东省江门市中心医院采购人指定地点</w:t>
            </w:r>
          </w:p>
        </w:tc>
      </w:tr>
      <w:tr>
        <w:tc>
          <w:tcPr>
            <w:tcW w:type="dxa" w:w="4153"/>
          </w:tcPr>
          <w:p>
            <w:r>
              <w:rPr/>
              <w:t>付款方式</w:t>
            </w:r>
          </w:p>
        </w:tc>
        <w:tc>
          <w:tcPr>
            <w:tcW w:type="dxa" w:w="4153"/>
          </w:tcPr>
          <w:p/>
          <w:p/>
          <w:p>
            <w:r>
              <w:rPr/>
              <w:t>1期：支付比例30%,1、合同款支付：（1）第一期：合同签订生效后的30个工作日内，将合同总金额的30%支付给中标人。</w:t>
            </w:r>
          </w:p>
          <w:p/>
          <w:p>
            <w:r>
              <w:rPr/>
              <w:t>2期：支付比例70%,（2）第二期：设备运到指定地点，安装调试完毕并验收合格入库后且中标人完成履约保证金相关手续后30个工作日内将合同总金额的70%支付给中标人。 （3）中标人须在第二期付款时间前30日提供合法有效的全额发票给采购人。   （4）违约责任：采购人逾期付款的，每日应向中标人偿付合同总额的1‰作为违约金，违约金上限不超过合同总金额的10%。 2、付款方式：采用支票、银行汇票、网银转账三种形式。</w:t>
            </w:r>
          </w:p>
        </w:tc>
      </w:tr>
      <w:tr>
        <w:tc>
          <w:tcPr>
            <w:tcW w:type="dxa" w:w="4153"/>
          </w:tcPr>
          <w:p>
            <w:r>
              <w:rPr/>
              <w:t>验收要求</w:t>
            </w:r>
          </w:p>
        </w:tc>
        <w:tc>
          <w:tcPr>
            <w:tcW w:type="dxa" w:w="4153"/>
          </w:tcPr>
          <w:p/>
          <w:p/>
          <w:p/>
          <w:p>
            <w:r>
              <w:rPr/>
              <w:t>1期：合同设备验收 1.全部合同货物到达交货地点且采购人收到验收申请后1个月内进行验收。 2.设备验收在采购人和中标人双方共同参与下按国家有关的规定、规范进行； 3.验收时如发现所交付的设备有短装、次品、损坏或其它不符合本合同规定之情形者，采购人应作出详尽的现场记录，或由采购人、中标人双方签署备忘录。此现场记录或备忘录可用作补充、缺失和更换损坏部件的有效证据。因此产生的有关费用由中标人承担； 4.如果合同设备运输和安装过程中因事故造成货物短缺、损坏，中标人应及时安排补货、换货， 以保证合同设备安装的成功完成。换货的相关费用由中标人承担； 5.中标人保证合同项下提供的设备不侵犯任何第三方的专利、商标或版权。否则，中标人须承担对第三方的专利或版权的侵权责任并承担因此而发生的所有费用。</w:t>
            </w:r>
          </w:p>
        </w:tc>
      </w:tr>
      <w:tr>
        <w:tc>
          <w:tcPr>
            <w:tcW w:type="dxa" w:w="4153"/>
          </w:tcPr>
          <w:p>
            <w:r>
              <w:rPr/>
              <w:t>履约保证金</w:t>
            </w:r>
          </w:p>
        </w:tc>
        <w:tc>
          <w:tcPr>
            <w:tcW w:type="dxa" w:w="4153"/>
          </w:tcPr>
          <w:p/>
          <w:p/>
          <w:p/>
          <w:p/>
          <w:p>
            <w:r>
              <w:rPr/>
              <w:t>收取比例：5%,说明：履约保证金 1.提交说明 （1）时间：中标人收到第一期货款后的5个工作日内； （2）金额：合同总金额的5%； （3）方式：可转账或采取银行保函形式 2.退还说明： （1）时间、方式和条件：银行保函有效期至合同履约结束；如转账支付履约保证金的，2年免费保修期满后的60日内由采购人不计利息退还履约保证金，免费保修期依然生效。 （2）中标人质保期违反合同及其附件约定的任何义务，采购人有权在履约保证金中直接扣除中标人应向采购人支付的违约金或损失赔偿额，如有不足的，中标人应按照采购人要求对超过的部分予以赔偿。采购人扣除履约保证金后，中标人应按照采购人要求补足履约保证金。</w:t>
            </w:r>
          </w:p>
        </w:tc>
      </w:tr>
      <w:tr>
        <w:tc>
          <w:tcPr>
            <w:tcW w:type="dxa" w:w="4153"/>
          </w:tcPr>
          <w:p>
            <w:r>
              <w:rPr/>
              <w:t>其他</w:t>
            </w:r>
          </w:p>
        </w:tc>
        <w:tc>
          <w:tcPr>
            <w:tcW w:type="dxa" w:w="4153"/>
          </w:tcPr>
          <w:p/>
        </w:tc>
      </w:tr>
    </w:tbl>
    <w:p/>
    <w:p>
      <w:r>
        <w:rPr/>
        <w:t>其他商务需求</w:t>
      </w:r>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交付验收标准依次序对照适用标准</w:t>
            </w:r>
          </w:p>
        </w:tc>
        <w:tc>
          <w:tcPr>
            <w:tcW w:type="dxa" w:w="2076"/>
          </w:tcPr>
          <w:p>
            <w:pPr>
              <w:jc w:val="left"/>
            </w:pPr>
            <w:r>
              <w:rPr/>
              <w:t>1.符合中华人民共和国国家安全质量标准、环保标准或行业标准； 2.符合招标文件和响应承诺中采购人认可的合理最佳配置、参数及各项要求； 3.货物来源国官方标准。</w:t>
            </w:r>
          </w:p>
        </w:tc>
      </w:tr>
      <w:tr>
        <w:tc>
          <w:tcPr>
            <w:tcW w:type="dxa" w:w="2076"/>
          </w:tcPr>
          <w:p>
            <w:pPr>
              <w:jc w:val="center"/>
            </w:pPr>
          </w:p>
        </w:tc>
        <w:tc>
          <w:tcPr>
            <w:tcW w:type="dxa" w:w="2076"/>
          </w:tcPr>
          <w:p>
            <w:pPr>
              <w:jc w:val="center"/>
            </w:pPr>
            <w:r>
              <w:rPr/>
              <w:t>2</w:t>
            </w:r>
          </w:p>
        </w:tc>
        <w:tc>
          <w:tcPr>
            <w:tcW w:type="dxa" w:w="2076"/>
          </w:tcPr>
          <w:p>
            <w:pPr>
              <w:jc w:val="left"/>
            </w:pPr>
            <w:r>
              <w:rPr/>
              <w:t>设备要求</w:t>
            </w:r>
          </w:p>
        </w:tc>
        <w:tc>
          <w:tcPr>
            <w:tcW w:type="dxa" w:w="2076"/>
          </w:tcPr>
          <w:p>
            <w:pPr>
              <w:jc w:val="left"/>
            </w:pPr>
            <w:r>
              <w:rPr/>
              <w:t>1.货物为原制造商制造的全新产品，整机无污染，无侵权行为、表面无划损、无任何缺陷隐患，在中国境内可依常规安全合法使用。 2.货物为原厂商未启封全新包装，具出厂合格证，序列号、包装箱号与出厂批号一致，并可追索查阅。 3.有关键主机设备的用户手册、保修手册、有关单证资料及配备件、随机工具等，使用操作及安全须知等重要资料应附有中文说明； 4.如投标人为经营企业，提供制造商对其在本次投标中提供该货物的正式授权书。</w:t>
            </w:r>
          </w:p>
        </w:tc>
      </w:tr>
      <w:tr>
        <w:tc>
          <w:tcPr>
            <w:tcW w:type="dxa" w:w="2076"/>
          </w:tcPr>
          <w:p>
            <w:pPr>
              <w:jc w:val="center"/>
            </w:pPr>
            <w:r>
              <w:rPr/>
              <w:t>★</w:t>
            </w:r>
          </w:p>
        </w:tc>
        <w:tc>
          <w:tcPr>
            <w:tcW w:type="dxa" w:w="2076"/>
          </w:tcPr>
          <w:p>
            <w:pPr>
              <w:jc w:val="center"/>
            </w:pPr>
            <w:r>
              <w:rPr/>
              <w:t>3</w:t>
            </w:r>
          </w:p>
        </w:tc>
        <w:tc>
          <w:tcPr>
            <w:tcW w:type="dxa" w:w="2076"/>
          </w:tcPr>
          <w:p>
            <w:pPr>
              <w:jc w:val="left"/>
            </w:pPr>
            <w:r>
              <w:rPr/>
              <w:t>履约保证金</w:t>
            </w:r>
          </w:p>
        </w:tc>
        <w:tc>
          <w:tcPr>
            <w:tcW w:type="dxa" w:w="2076"/>
          </w:tcPr>
          <w:p>
            <w:pPr>
              <w:jc w:val="left"/>
            </w:pPr>
            <w:r>
              <w:rPr/>
              <w:t>1.提交说明 （1）时间：中标人收到第一期货款后的5个工作日内； （2）金额：合同总金额的5%； （3）方式：可转账或采取银行保函形式 2.退还说明： （1）时间、方式和条件：银行保函有效期至合同履约结束；如转账支付履约保证金的，2年免费保修期满后的60日内由采购人不计利息退还履约保证金，免费保修期依然生效。 中标人质保期违反合同及其附件约定的任何义务，采购人有权在履约保证金中直接扣除中标人应向采购人支付的违约金或损失赔偿额，如有不足的，中标人应按照采购人要求对超过的部分予以赔偿。采购人扣除履约保证金后，中标人应按照采购人要求补足履约保证金</w:t>
            </w:r>
          </w:p>
        </w:tc>
      </w:tr>
      <w:tr>
        <w:tc>
          <w:tcPr>
            <w:tcW w:type="dxa" w:w="2076"/>
          </w:tcPr>
          <w:p>
            <w:pPr>
              <w:jc w:val="center"/>
            </w:pPr>
          </w:p>
        </w:tc>
        <w:tc>
          <w:tcPr>
            <w:tcW w:type="dxa" w:w="2076"/>
          </w:tcPr>
          <w:p>
            <w:pPr>
              <w:jc w:val="center"/>
            </w:pPr>
            <w:r>
              <w:rPr/>
              <w:t>4</w:t>
            </w:r>
          </w:p>
        </w:tc>
        <w:tc>
          <w:tcPr>
            <w:tcW w:type="dxa" w:w="2076"/>
          </w:tcPr>
          <w:p>
            <w:pPr>
              <w:jc w:val="left"/>
            </w:pPr>
            <w:r>
              <w:rPr/>
              <w:t>包装和运输</w:t>
            </w:r>
          </w:p>
        </w:tc>
        <w:tc>
          <w:tcPr>
            <w:tcW w:type="dxa" w:w="2076"/>
          </w:tcPr>
          <w:p>
            <w:pPr>
              <w:jc w:val="left"/>
            </w:pPr>
            <w:r>
              <w:rPr/>
              <w:t>1.中标人应提供运至交付地点所需要的包装，包装应符合经济、牢固、美观的要求，采取防潮、防晒、防锈、防振及防止其它损坏的必要措施，以防止货物在运转中损坏或变质。 2.包装必须要符合相关法律、法规的要求，包括与环境、职业健康和安全有关的法律、法规标准。 3.运输包装应根据产品的特点及国家相关标准标注有相应的运输标志。 4.中标人负责将货物运输并卸载到采购人指定地点。</w:t>
            </w:r>
          </w:p>
        </w:tc>
      </w:tr>
      <w:tr>
        <w:tc>
          <w:tcPr>
            <w:tcW w:type="dxa" w:w="2076"/>
          </w:tcPr>
          <w:p>
            <w:pPr>
              <w:jc w:val="center"/>
            </w:pPr>
            <w:r>
              <w:rPr/>
              <w:t>★</w:t>
            </w:r>
          </w:p>
        </w:tc>
        <w:tc>
          <w:tcPr>
            <w:tcW w:type="dxa" w:w="2076"/>
          </w:tcPr>
          <w:p>
            <w:pPr>
              <w:jc w:val="center"/>
            </w:pPr>
            <w:r>
              <w:rPr/>
              <w:t>5</w:t>
            </w:r>
          </w:p>
        </w:tc>
        <w:tc>
          <w:tcPr>
            <w:tcW w:type="dxa" w:w="2076"/>
          </w:tcPr>
          <w:p>
            <w:pPr>
              <w:jc w:val="left"/>
            </w:pPr>
            <w:r>
              <w:rPr/>
              <w:t>保修期</w:t>
            </w:r>
          </w:p>
        </w:tc>
        <w:tc>
          <w:tcPr>
            <w:tcW w:type="dxa" w:w="2076"/>
          </w:tcPr>
          <w:p>
            <w:pPr>
              <w:jc w:val="left"/>
            </w:pPr>
            <w:r>
              <w:rPr/>
              <w:t>保修期为不少于3年，保修期自本合同项下的设备经采购人及中标人双方验收合格之日起计算，保修期内中标人对所供货物实行包修、包换、包退、包维护保养，期满后可同时提供终身维修保养服务。</w:t>
            </w:r>
          </w:p>
        </w:tc>
      </w:tr>
      <w:tr>
        <w:tc>
          <w:tcPr>
            <w:tcW w:type="dxa" w:w="2076"/>
          </w:tcPr>
          <w:p>
            <w:pPr>
              <w:jc w:val="center"/>
            </w:pPr>
          </w:p>
        </w:tc>
        <w:tc>
          <w:tcPr>
            <w:tcW w:type="dxa" w:w="2076"/>
          </w:tcPr>
          <w:p>
            <w:pPr>
              <w:jc w:val="center"/>
            </w:pPr>
            <w:r>
              <w:rPr/>
              <w:t>6</w:t>
            </w:r>
          </w:p>
        </w:tc>
        <w:tc>
          <w:tcPr>
            <w:tcW w:type="dxa" w:w="2076"/>
          </w:tcPr>
          <w:p>
            <w:pPr>
              <w:jc w:val="left"/>
            </w:pPr>
            <w:r>
              <w:rPr/>
              <w:t>售后服务</w:t>
            </w:r>
          </w:p>
        </w:tc>
        <w:tc>
          <w:tcPr>
            <w:tcW w:type="dxa" w:w="2076"/>
          </w:tcPr>
          <w:p>
            <w:pPr>
              <w:jc w:val="left"/>
            </w:pPr>
            <w:r>
              <w:rPr/>
              <w:t>1.保修期 对采购人的服务通知，中标人在接报后1小时内响应，4小时内到达现场，48小时内处理完毕。若在48小时内仍未能有效解决，中标人须免费提供同档次的设备予采购人临时使用。 2.安装与调试 2.1中标人必须依照招标文件的要求和投标文件的承诺，将设备、系统安装并调试至正常运行的最佳状态。 2.2合同设备安装 2.2.1中标人负责合同设备的安装，一切费用由中标人负责。 2.2.2中标人安装时须对各安装场地内的其他设备、设施有良好保护措施。 3.培训要求 3.1在设备安装和调试完成后，中标人应提供培训服务，提供专业技术人员对采购人科室使用设备人员和相关管理人员进行一周培训，并保证两名以上操作人员熟练掌握操作技术为止。 3.2中标人需制定详细的培训内容和培训计划。 3.3如遇设备升级更新，中标人需及时提供更新操作指导。</w:t>
            </w:r>
          </w:p>
        </w:tc>
      </w:tr>
      <w:tr>
        <w:tc>
          <w:tcPr>
            <w:tcW w:type="dxa" w:w="2076"/>
          </w:tcPr>
          <w:p>
            <w:pPr>
              <w:jc w:val="center"/>
            </w:pPr>
          </w:p>
        </w:tc>
        <w:tc>
          <w:tcPr>
            <w:tcW w:type="dxa" w:w="2076"/>
          </w:tcPr>
          <w:p>
            <w:pPr>
              <w:jc w:val="center"/>
            </w:pPr>
            <w:r>
              <w:rPr/>
              <w:t>7</w:t>
            </w:r>
          </w:p>
        </w:tc>
        <w:tc>
          <w:tcPr>
            <w:tcW w:type="dxa" w:w="2076"/>
          </w:tcPr>
          <w:p>
            <w:pPr>
              <w:jc w:val="left"/>
            </w:pPr>
            <w:r>
              <w:rPr/>
              <w:t>保险</w:t>
            </w:r>
          </w:p>
        </w:tc>
        <w:tc>
          <w:tcPr>
            <w:tcW w:type="dxa" w:w="2076"/>
          </w:tcPr>
          <w:p>
            <w:pPr>
              <w:jc w:val="left"/>
            </w:pPr>
            <w:r>
              <w:rPr/>
              <w:t>货物交付运输前，采购人已经支付部分或全部款项的，中标人应当办理以采购人为受益人的货物“一切险”，投保金额不少于采购人已经支付款项总额，保险保至项目最终交货地点。</w:t>
            </w:r>
          </w:p>
        </w:tc>
      </w:tr>
      <w:tr>
        <w:tc>
          <w:tcPr>
            <w:tcW w:type="dxa" w:w="2076"/>
          </w:tcPr>
          <w:p>
            <w:pPr>
              <w:jc w:val="center"/>
            </w:pPr>
            <w:r>
              <w:rPr/>
              <w:t>★</w:t>
            </w:r>
          </w:p>
        </w:tc>
        <w:tc>
          <w:tcPr>
            <w:tcW w:type="dxa" w:w="2076"/>
          </w:tcPr>
          <w:p>
            <w:pPr>
              <w:jc w:val="center"/>
            </w:pPr>
            <w:r>
              <w:rPr/>
              <w:t>8</w:t>
            </w:r>
          </w:p>
        </w:tc>
        <w:tc>
          <w:tcPr>
            <w:tcW w:type="dxa" w:w="2076"/>
          </w:tcPr>
          <w:p>
            <w:pPr>
              <w:jc w:val="left"/>
            </w:pPr>
            <w:r>
              <w:rPr/>
              <w:t>付款及结算方式</w:t>
            </w:r>
          </w:p>
        </w:tc>
        <w:tc>
          <w:tcPr>
            <w:tcW w:type="dxa" w:w="2076"/>
          </w:tcPr>
          <w:p>
            <w:pPr>
              <w:jc w:val="left"/>
            </w:pPr>
            <w:r>
              <w:rPr/>
              <w:t>1、合同款支付： （1）第一期：合同签订生效后的30个工作日内，将合同总金额的30%支付给中标人。  （2）第二期：设备运到指定地点，安装调试完毕并验收合格入库后且中标人完成履约保证金相关手续后30个工作日内将合同总金额的70%支付给中标人。 （3）中标人须在第二期付款时间前30日提供合法有效的全额发票给采购人。   （4）违约责任：采购人逾期付款的，每日应向中标人偿付合同总额的1‰作为违约金，违约金上限不超过合同总金额的10%。 2、付款方式：采用支票、银行汇票、网银转账三种形式。</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医用超声波仪器及设备</w:t>
            </w:r>
          </w:p>
        </w:tc>
        <w:tc>
          <w:tcPr>
            <w:tcW w:type="dxa" w:w="831"/>
          </w:tcPr>
          <w:p>
            <w:pPr>
              <w:jc w:val="left"/>
            </w:pPr>
            <w:r>
              <w:rPr/>
              <w:t>彩色多普勒超声波诊断仪</w:t>
            </w:r>
          </w:p>
        </w:tc>
        <w:tc>
          <w:tcPr>
            <w:tcW w:type="dxa" w:w="831"/>
          </w:tcPr>
          <w:p>
            <w:pPr>
              <w:jc w:val="left"/>
            </w:pPr>
            <w:r>
              <w:rPr/>
              <w:t>套</w:t>
            </w:r>
          </w:p>
        </w:tc>
        <w:tc>
          <w:tcPr>
            <w:tcW w:type="dxa" w:w="831"/>
          </w:tcPr>
          <w:p>
            <w:pPr>
              <w:jc w:val="right"/>
            </w:pPr>
            <w:r>
              <w:rPr/>
              <w:t>1.00</w:t>
            </w:r>
          </w:p>
        </w:tc>
        <w:tc>
          <w:tcPr>
            <w:tcW w:type="dxa" w:w="831"/>
          </w:tcPr>
          <w:p>
            <w:pPr>
              <w:jc w:val="right"/>
            </w:pPr>
            <w:r>
              <w:rPr/>
              <w:t>2,300,000.00</w:t>
            </w:r>
          </w:p>
        </w:tc>
        <w:tc>
          <w:tcPr>
            <w:tcW w:type="dxa" w:w="831"/>
          </w:tcPr>
          <w:p>
            <w:pPr>
              <w:jc w:val="right"/>
            </w:pPr>
            <w:r>
              <w:rPr/>
              <w:t>2,300,000.00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彩色多普勒超声波诊断仪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4"/>
              </w:rPr>
              <w:t>如所投产品为医疗器械，须按以下要求提供证明文件：（如国家另有规定，则适用其规定）</w:t>
            </w:r>
          </w:p>
          <w:p>
            <w:pPr>
              <w:jc w:val="both"/>
            </w:pPr>
            <w:r>
              <w:rPr>
                <w:sz w:val="24"/>
              </w:rPr>
              <w:t>（</w:t>
            </w:r>
            <w:r>
              <w:rPr>
                <w:sz w:val="24"/>
              </w:rPr>
              <w:t>1）如投标人为生产企业，所投产品属于第一类医疗器械，则在投标时提供有效的《医疗器械生产备案凭证》复印件；</w:t>
            </w:r>
          </w:p>
          <w:p>
            <w:pPr>
              <w:jc w:val="both"/>
            </w:pPr>
            <w:r>
              <w:rPr>
                <w:sz w:val="24"/>
              </w:rPr>
              <w:t>（</w:t>
            </w:r>
            <w:r>
              <w:rPr>
                <w:sz w:val="24"/>
              </w:rPr>
              <w:t>2）如投标人为经营企业，所投产品为第二类医疗器械，则在投标时提供有效的《医疗器械经营备案凭证》或承诺供货时提供有效的《医疗器械经营备案凭证》复印件；（提供承诺书或备案证明复印件，不提供视为不响应）</w:t>
            </w:r>
          </w:p>
          <w:p>
            <w:pPr>
              <w:jc w:val="both"/>
            </w:pPr>
            <w:r>
              <w:rPr>
                <w:sz w:val="24"/>
              </w:rPr>
              <w:t>（</w:t>
            </w:r>
            <w:r>
              <w:rPr>
                <w:sz w:val="24"/>
              </w:rPr>
              <w:t>3）如所投产品属于第一类医疗器械，则在投标时提供有效的医疗器械备案证明复印件，或承诺供货时提供有效的医疗器械备案证明复印件；（提供承诺书或备案证明复印件，不提供视为不响应）</w:t>
            </w:r>
          </w:p>
          <w:p>
            <w:pPr>
              <w:jc w:val="both"/>
            </w:pPr>
            <w:r>
              <w:rPr>
                <w:sz w:val="24"/>
              </w:rPr>
              <w:t>（</w:t>
            </w:r>
            <w:r>
              <w:rPr>
                <w:sz w:val="24"/>
              </w:rPr>
              <w:t>4）如所投产品属于第二类或第三类医疗器械，提供有效的《医疗器械注册证》（提供《医疗器械注册证》复印件）</w:t>
            </w:r>
          </w:p>
        </w:tc>
      </w:tr>
      <w:tr>
        <w:tc>
          <w:tcPr>
            <w:tcW w:type="dxa" w:w="2076"/>
          </w:tcPr>
          <w:p>
            <w:r>
              <w:rPr/>
              <w:t>★</w:t>
            </w:r>
          </w:p>
        </w:tc>
        <w:tc>
          <w:tcPr>
            <w:tcW w:type="dxa" w:w="415"/>
          </w:tcPr>
          <w:p>
            <w:r>
              <w:rPr/>
              <w:t>2</w:t>
            </w:r>
          </w:p>
        </w:tc>
        <w:tc>
          <w:tcPr>
            <w:tcW w:type="dxa" w:w="5814"/>
          </w:tcPr>
          <w:p>
            <w:pPr>
              <w:jc w:val="both"/>
            </w:pPr>
            <w:r>
              <w:rPr>
                <w:sz w:val="24"/>
              </w:rPr>
              <w:t>投标人须在投标文件中附上所投产品的配置清单、规格型号、注册证编号（如有）、单价。</w:t>
            </w:r>
          </w:p>
        </w:tc>
      </w:tr>
      <w:tr>
        <w:tc>
          <w:tcPr>
            <w:tcW w:type="dxa" w:w="2076"/>
          </w:tcPr>
          <w:p>
            <w:r>
              <w:rPr/>
              <w:t>★</w:t>
            </w:r>
          </w:p>
        </w:tc>
        <w:tc>
          <w:tcPr>
            <w:tcW w:type="dxa" w:w="415"/>
          </w:tcPr>
          <w:p>
            <w:r>
              <w:rPr/>
              <w:t>3</w:t>
            </w:r>
          </w:p>
        </w:tc>
        <w:tc>
          <w:tcPr>
            <w:tcW w:type="dxa" w:w="5814"/>
          </w:tcPr>
          <w:p>
            <w:pPr>
              <w:jc w:val="both"/>
            </w:pPr>
            <w:r>
              <w:rPr>
                <w:sz w:val="24"/>
              </w:rPr>
              <w:t>为</w:t>
            </w:r>
            <w:r>
              <w:rPr>
                <w:sz w:val="24"/>
              </w:rPr>
              <w:t>方便采购人后续工作安排，如所投产品需有耗材，需投标人在投标文件中提供所投设备的试剂耗材信息，包括但不限于耗材名称、规格型号、单价、注册证编号（如有），但不纳入本项目采购范围，提供《耗材报价表》。</w:t>
            </w:r>
            <w:r>
              <w:rPr>
                <w:b/>
                <w:sz w:val="24"/>
              </w:rPr>
              <w:t>如所投产品无需耗材，投标人需提供所投产品无耗材的说明。</w:t>
            </w:r>
          </w:p>
        </w:tc>
      </w:tr>
      <w:tr>
        <w:tc>
          <w:tcPr>
            <w:tcW w:type="dxa" w:w="2076"/>
          </w:tcPr>
          <w:p>
            <w:r>
              <w:rPr/>
              <w:t>▲</w:t>
            </w:r>
          </w:p>
        </w:tc>
        <w:tc>
          <w:tcPr>
            <w:tcW w:type="dxa" w:w="415"/>
          </w:tcPr>
          <w:p>
            <w:r>
              <w:rPr/>
              <w:t>4</w:t>
            </w:r>
          </w:p>
        </w:tc>
        <w:tc>
          <w:tcPr>
            <w:tcW w:type="dxa" w:w="5814"/>
          </w:tcPr>
          <w:p>
            <w:pPr>
              <w:jc w:val="both"/>
            </w:pPr>
            <w:r>
              <w:rPr>
                <w:b/>
                <w:color w:val="000000"/>
                <w:sz w:val="24"/>
              </w:rPr>
              <w:t>系统通用功能</w:t>
            </w:r>
          </w:p>
          <w:p>
            <w:pPr>
              <w:jc w:val="both"/>
            </w:pPr>
            <w:r>
              <w:rPr>
                <w:color w:val="000000"/>
                <w:sz w:val="24"/>
              </w:rPr>
              <w:t>可激活成像探头接口：≥4个相同规格的无针式探头接口</w:t>
            </w:r>
          </w:p>
        </w:tc>
      </w:tr>
      <w:tr>
        <w:tc>
          <w:tcPr>
            <w:tcW w:type="dxa" w:w="2076"/>
          </w:tcPr>
          <w:p>
            <w:r>
              <w:rPr/>
              <w:t>▲</w:t>
            </w:r>
          </w:p>
        </w:tc>
        <w:tc>
          <w:tcPr>
            <w:tcW w:type="dxa" w:w="415"/>
          </w:tcPr>
          <w:p>
            <w:r>
              <w:rPr/>
              <w:t>5</w:t>
            </w:r>
          </w:p>
        </w:tc>
        <w:tc>
          <w:tcPr>
            <w:tcW w:type="dxa" w:w="5814"/>
          </w:tcPr>
          <w:p>
            <w:pPr>
              <w:jc w:val="both"/>
            </w:pPr>
            <w:r>
              <w:rPr>
                <w:b/>
                <w:color w:val="000000"/>
                <w:sz w:val="24"/>
              </w:rPr>
              <w:t>系统通用功能</w:t>
            </w:r>
          </w:p>
          <w:p>
            <w:pPr>
              <w:jc w:val="both"/>
            </w:pPr>
            <w:r>
              <w:rPr>
                <w:color w:val="000000"/>
                <w:sz w:val="24"/>
              </w:rPr>
              <w:t>实时双平面显示：同步实时显示双／三平面探头两个不同的成像平面</w:t>
            </w:r>
          </w:p>
        </w:tc>
      </w:tr>
      <w:tr>
        <w:tc>
          <w:tcPr>
            <w:tcW w:type="dxa" w:w="2076"/>
          </w:tcPr>
          <w:p>
            <w:r>
              <w:rPr/>
              <w:t>▲</w:t>
            </w:r>
          </w:p>
        </w:tc>
        <w:tc>
          <w:tcPr>
            <w:tcW w:type="dxa" w:w="415"/>
          </w:tcPr>
          <w:p>
            <w:r>
              <w:rPr/>
              <w:t>6</w:t>
            </w:r>
          </w:p>
        </w:tc>
        <w:tc>
          <w:tcPr>
            <w:tcW w:type="dxa" w:w="5814"/>
          </w:tcPr>
          <w:p>
            <w:pPr>
              <w:jc w:val="both"/>
            </w:pPr>
            <w:r>
              <w:rPr>
                <w:b/>
                <w:color w:val="000000"/>
                <w:sz w:val="24"/>
              </w:rPr>
              <w:t>系统通用功能</w:t>
            </w:r>
          </w:p>
          <w:p>
            <w:pPr>
              <w:jc w:val="both"/>
            </w:pPr>
            <w:r>
              <w:rPr>
                <w:color w:val="000000"/>
                <w:sz w:val="24"/>
              </w:rPr>
              <w:t>封闭式操作面板，防液体泼溅，可使用</w:t>
            </w:r>
            <w:r>
              <w:rPr>
                <w:color w:val="000000"/>
                <w:sz w:val="24"/>
              </w:rPr>
              <w:t>≥</w:t>
            </w:r>
            <w:r>
              <w:rPr>
                <w:color w:val="000000"/>
                <w:sz w:val="24"/>
              </w:rPr>
              <w:t>70%乙醇擦拭</w:t>
            </w:r>
          </w:p>
        </w:tc>
      </w:tr>
      <w:tr>
        <w:tc>
          <w:tcPr>
            <w:tcW w:type="dxa" w:w="2076"/>
          </w:tcPr>
          <w:p>
            <w:r>
              <w:rPr/>
              <w:t>▲</w:t>
            </w:r>
          </w:p>
        </w:tc>
        <w:tc>
          <w:tcPr>
            <w:tcW w:type="dxa" w:w="415"/>
          </w:tcPr>
          <w:p>
            <w:r>
              <w:rPr/>
              <w:t>7</w:t>
            </w:r>
          </w:p>
        </w:tc>
        <w:tc>
          <w:tcPr>
            <w:tcW w:type="dxa" w:w="5814"/>
          </w:tcPr>
          <w:p>
            <w:pPr>
              <w:jc w:val="both"/>
            </w:pPr>
            <w:r>
              <w:rPr>
                <w:b/>
                <w:color w:val="000000"/>
                <w:sz w:val="24"/>
              </w:rPr>
              <w:t>探头规格：</w:t>
            </w:r>
          </w:p>
          <w:p>
            <w:pPr>
              <w:jc w:val="both"/>
            </w:pPr>
            <w:r>
              <w:rPr>
                <w:color w:val="000000"/>
                <w:sz w:val="24"/>
              </w:rPr>
              <w:t>电子凸阵探头：电子凸阵扫描，扫描角度</w:t>
            </w:r>
            <w:r>
              <w:rPr>
                <w:color w:val="000000"/>
                <w:sz w:val="24"/>
              </w:rPr>
              <w:t>≥62°，中心频率：2.0MHz-6.0MHz，二维成像可选中心频率≥4个，多普勒成像的中心频率≥2个；探头上具有快捷键，可进行图像冻结、存储等操作</w:t>
            </w:r>
          </w:p>
        </w:tc>
      </w:tr>
      <w:tr>
        <w:tc>
          <w:tcPr>
            <w:tcW w:type="dxa" w:w="2076"/>
          </w:tcPr>
          <w:p>
            <w:r>
              <w:rPr/>
              <w:t>▲</w:t>
            </w:r>
          </w:p>
        </w:tc>
        <w:tc>
          <w:tcPr>
            <w:tcW w:type="dxa" w:w="415"/>
          </w:tcPr>
          <w:p>
            <w:r>
              <w:rPr/>
              <w:t>8</w:t>
            </w:r>
          </w:p>
        </w:tc>
        <w:tc>
          <w:tcPr>
            <w:tcW w:type="dxa" w:w="5814"/>
          </w:tcPr>
          <w:p>
            <w:pPr>
              <w:jc w:val="both"/>
            </w:pPr>
            <w:r>
              <w:rPr>
                <w:b/>
                <w:color w:val="000000"/>
                <w:sz w:val="24"/>
              </w:rPr>
              <w:t>探头规格：</w:t>
            </w:r>
          </w:p>
          <w:p>
            <w:pPr>
              <w:jc w:val="both"/>
            </w:pPr>
            <w:r>
              <w:rPr>
                <w:color w:val="000000"/>
                <w:sz w:val="24"/>
              </w:rPr>
              <w:t>腹腔镜术中探头：电子凸阵扫描，扫描角度</w:t>
            </w:r>
            <w:r>
              <w:rPr>
                <w:color w:val="000000"/>
                <w:sz w:val="24"/>
              </w:rPr>
              <w:t>≥36°中心频率：5MHz-10MHz，二维成像和多普勒成像可选中心频率分别≥3个；探头前端的扫描阵列可做四向弯曲，最大弯曲角度≥90°；探头具备穿刺引导孔，最大可容纳13G穿刺针；可变角度，头端可四向弯曲，灵活操作；锁止装置，可锁定弯曲角度，单手</w:t>
            </w:r>
            <w:r>
              <w:rPr>
                <w:color w:val="000000"/>
                <w:sz w:val="24"/>
              </w:rPr>
              <w:t>可</w:t>
            </w:r>
            <w:r>
              <w:rPr>
                <w:color w:val="000000"/>
                <w:sz w:val="24"/>
              </w:rPr>
              <w:t>操作；凸阵探头，可提供更大图像视野；消毒灭菌，可满足环氧乙烷、低温等离子等多种现代化消毒方式</w:t>
            </w:r>
          </w:p>
        </w:tc>
      </w:tr>
      <w:tr>
        <w:tc>
          <w:tcPr>
            <w:tcW w:type="dxa" w:w="2076"/>
          </w:tcPr>
          <w:p>
            <w:r>
              <w:rPr/>
              <w:t>▲</w:t>
            </w:r>
          </w:p>
        </w:tc>
        <w:tc>
          <w:tcPr>
            <w:tcW w:type="dxa" w:w="415"/>
          </w:tcPr>
          <w:p>
            <w:r>
              <w:rPr/>
              <w:t>9</w:t>
            </w:r>
          </w:p>
        </w:tc>
        <w:tc>
          <w:tcPr>
            <w:tcW w:type="dxa" w:w="5814"/>
          </w:tcPr>
          <w:p>
            <w:pPr>
              <w:jc w:val="both"/>
            </w:pPr>
            <w:r>
              <w:rPr>
                <w:b/>
                <w:color w:val="000000"/>
                <w:sz w:val="24"/>
              </w:rPr>
              <w:t>探头规格：</w:t>
            </w:r>
          </w:p>
          <w:p>
            <w:pPr>
              <w:jc w:val="both"/>
            </w:pPr>
            <w:r>
              <w:rPr>
                <w:color w:val="000000"/>
                <w:sz w:val="24"/>
              </w:rPr>
              <w:t>双平面腔内探头，由凸阵和线阵组成，广角度凸阵扫描角度</w:t>
            </w:r>
            <w:r>
              <w:rPr>
                <w:color w:val="000000"/>
                <w:sz w:val="24"/>
              </w:rPr>
              <w:t>≥138°，超宽视野线阵宽度≥65mm，两组阵列频率相同，中心频率：5MHz-12MHz，二维和多普勒成像频率分别≥3个</w:t>
            </w:r>
            <w:r>
              <w:rPr>
                <w:color w:val="000000"/>
                <w:sz w:val="24"/>
              </w:rPr>
              <w:t>，</w:t>
            </w:r>
            <w:r>
              <w:rPr>
                <w:color w:val="000000"/>
                <w:sz w:val="24"/>
              </w:rPr>
              <w:t>探头上具有快捷键，可进行图像冻结、存储等操作</w:t>
            </w:r>
          </w:p>
        </w:tc>
      </w:tr>
      <w:tr>
        <w:tc>
          <w:tcPr>
            <w:tcW w:type="dxa" w:w="2076"/>
          </w:tcPr>
          <w:p>
            <w:r>
              <w:rPr/>
              <w:t>▲</w:t>
            </w:r>
          </w:p>
        </w:tc>
        <w:tc>
          <w:tcPr>
            <w:tcW w:type="dxa" w:w="415"/>
          </w:tcPr>
          <w:p>
            <w:r>
              <w:rPr/>
              <w:t>10</w:t>
            </w:r>
          </w:p>
        </w:tc>
        <w:tc>
          <w:tcPr>
            <w:tcW w:type="dxa" w:w="5814"/>
          </w:tcPr>
          <w:p>
            <w:pPr>
              <w:jc w:val="both"/>
            </w:pPr>
            <w:r>
              <w:rPr>
                <w:b/>
                <w:color w:val="000000"/>
                <w:sz w:val="24"/>
              </w:rPr>
              <w:t>探头规格：</w:t>
            </w:r>
          </w:p>
          <w:p>
            <w:pPr>
              <w:jc w:val="both"/>
            </w:pPr>
            <w:r>
              <w:rPr>
                <w:color w:val="000000"/>
                <w:sz w:val="24"/>
              </w:rPr>
              <w:t>探头防护等级：探头具备专用防水盖，</w:t>
            </w:r>
            <w:r>
              <w:rPr>
                <w:color w:val="000000"/>
                <w:sz w:val="24"/>
              </w:rPr>
              <w:t>≥</w:t>
            </w:r>
            <w:r>
              <w:rPr>
                <w:color w:val="000000"/>
                <w:sz w:val="24"/>
              </w:rPr>
              <w:t>IP57防尘防水标准，可耐受浸泡清洗和消毒</w:t>
            </w:r>
            <w:r>
              <w:rPr>
                <w:color w:val="000000"/>
                <w:sz w:val="24"/>
              </w:rPr>
              <w:t>；</w:t>
            </w:r>
          </w:p>
        </w:tc>
      </w:tr>
      <w:tr>
        <w:tc>
          <w:tcPr>
            <w:tcW w:type="dxa" w:w="2076"/>
          </w:tcPr>
          <w:p>
            <w:r>
              <w:rPr/>
              <w:t>▲</w:t>
            </w:r>
          </w:p>
        </w:tc>
        <w:tc>
          <w:tcPr>
            <w:tcW w:type="dxa" w:w="415"/>
          </w:tcPr>
          <w:p>
            <w:r>
              <w:rPr/>
              <w:t>11</w:t>
            </w:r>
          </w:p>
        </w:tc>
        <w:tc>
          <w:tcPr>
            <w:tcW w:type="dxa" w:w="5814"/>
          </w:tcPr>
          <w:p>
            <w:pPr>
              <w:jc w:val="both"/>
            </w:pPr>
            <w:r>
              <w:rPr>
                <w:b/>
                <w:color w:val="000000"/>
                <w:sz w:val="24"/>
              </w:rPr>
              <w:t>二维灰阶显像</w:t>
            </w:r>
            <w:r>
              <w:rPr>
                <w:color w:val="000000"/>
                <w:sz w:val="24"/>
              </w:rPr>
              <w:t>方式：脉冲波多普勒：</w:t>
            </w:r>
            <w:r>
              <w:rPr>
                <w:color w:val="000000"/>
                <w:sz w:val="24"/>
              </w:rPr>
              <w:t>PWD,CWD，HPRF</w:t>
            </w:r>
          </w:p>
        </w:tc>
      </w:tr>
      <w:tr>
        <w:tc>
          <w:tcPr>
            <w:tcW w:type="dxa" w:w="2076"/>
          </w:tcPr>
          <w:p/>
        </w:tc>
        <w:tc>
          <w:tcPr>
            <w:tcW w:type="dxa" w:w="415"/>
          </w:tcPr>
          <w:p>
            <w:r>
              <w:rPr/>
              <w:t>12</w:t>
            </w:r>
          </w:p>
        </w:tc>
        <w:tc>
          <w:tcPr>
            <w:tcW w:type="dxa" w:w="5814"/>
          </w:tcPr>
          <w:p>
            <w:pPr>
              <w:jc w:val="both"/>
            </w:pPr>
            <w:r>
              <w:rPr>
                <w:b/>
                <w:color w:val="000000"/>
                <w:sz w:val="24"/>
              </w:rPr>
              <w:t>彩色多普勒超声波诊断仪使用用途：常规扫描、术中成像、腹部成像</w:t>
            </w:r>
          </w:p>
          <w:p>
            <w:pPr>
              <w:jc w:val="both"/>
            </w:pPr>
            <w:r>
              <w:rPr>
                <w:b/>
                <w:color w:val="000000"/>
                <w:sz w:val="24"/>
              </w:rPr>
              <w:t>1.</w:t>
            </w:r>
            <w:r>
              <w:rPr>
                <w:b/>
                <w:color w:val="000000"/>
                <w:sz w:val="24"/>
              </w:rPr>
              <w:t>主机包括：</w:t>
            </w:r>
          </w:p>
          <w:p>
            <w:pPr>
              <w:jc w:val="both"/>
            </w:pPr>
            <w:r>
              <w:rPr>
                <w:color w:val="000000"/>
                <w:sz w:val="24"/>
              </w:rPr>
              <w:t>1.1</w:t>
            </w:r>
            <w:r>
              <w:rPr>
                <w:color w:val="000000"/>
                <w:sz w:val="24"/>
              </w:rPr>
              <w:t>≥19英寸立式彩色液晶显示器</w:t>
            </w:r>
            <w:r>
              <w:rPr>
                <w:color w:val="000000"/>
                <w:sz w:val="24"/>
              </w:rPr>
              <w:t>；</w:t>
            </w:r>
            <w:r>
              <w:rPr>
                <w:sz w:val="24"/>
              </w:rPr>
              <w:t>分辨率</w:t>
            </w:r>
            <w:r>
              <w:rPr>
                <w:sz w:val="24"/>
              </w:rPr>
              <w:t>≥</w:t>
            </w:r>
            <w:r>
              <w:rPr>
                <w:sz w:val="24"/>
              </w:rPr>
              <w:t>1024*1280</w:t>
            </w:r>
            <w:r>
              <w:rPr>
                <w:sz w:val="24"/>
              </w:rPr>
              <w:t>；</w:t>
            </w:r>
          </w:p>
          <w:p>
            <w:pPr>
              <w:jc w:val="both"/>
            </w:pPr>
            <w:r>
              <w:rPr>
                <w:color w:val="000000"/>
                <w:sz w:val="24"/>
              </w:rPr>
              <w:t>1.2</w:t>
            </w:r>
            <w:r>
              <w:rPr>
                <w:color w:val="000000"/>
                <w:sz w:val="24"/>
              </w:rPr>
              <w:t>二维灰阶成像和</w:t>
            </w:r>
            <w:r>
              <w:rPr>
                <w:color w:val="000000"/>
                <w:sz w:val="24"/>
              </w:rPr>
              <w:t>M型显示模式</w:t>
            </w:r>
            <w:r>
              <w:rPr>
                <w:color w:val="000000"/>
                <w:sz w:val="24"/>
              </w:rPr>
              <w:t>；</w:t>
            </w:r>
          </w:p>
          <w:p>
            <w:pPr>
              <w:jc w:val="both"/>
            </w:pPr>
            <w:r>
              <w:rPr>
                <w:color w:val="000000"/>
                <w:sz w:val="24"/>
              </w:rPr>
              <w:t>1.3</w:t>
            </w:r>
            <w:r>
              <w:rPr>
                <w:color w:val="000000"/>
                <w:sz w:val="24"/>
              </w:rPr>
              <w:t>彩色多普勒血流成像单元</w:t>
            </w:r>
            <w:r>
              <w:rPr>
                <w:color w:val="000000"/>
                <w:sz w:val="24"/>
              </w:rPr>
              <w:t>；</w:t>
            </w:r>
          </w:p>
          <w:p>
            <w:pPr>
              <w:jc w:val="both"/>
            </w:pPr>
            <w:r>
              <w:rPr>
                <w:color w:val="000000"/>
                <w:sz w:val="24"/>
              </w:rPr>
              <w:t>1.4</w:t>
            </w:r>
            <w:r>
              <w:rPr>
                <w:color w:val="000000"/>
                <w:sz w:val="24"/>
              </w:rPr>
              <w:t>频谱多普勒显示和分析单元</w:t>
            </w:r>
            <w:r>
              <w:rPr>
                <w:color w:val="000000"/>
                <w:sz w:val="24"/>
              </w:rPr>
              <w:t>；</w:t>
            </w:r>
          </w:p>
          <w:p>
            <w:pPr>
              <w:jc w:val="both"/>
            </w:pPr>
            <w:r>
              <w:rPr>
                <w:color w:val="000000"/>
                <w:sz w:val="24"/>
              </w:rPr>
              <w:t>1.5</w:t>
            </w:r>
            <w:r>
              <w:rPr>
                <w:color w:val="000000"/>
                <w:sz w:val="24"/>
              </w:rPr>
              <w:t>组织谐波成像功能</w:t>
            </w:r>
            <w:r>
              <w:rPr>
                <w:color w:val="000000"/>
                <w:sz w:val="24"/>
              </w:rPr>
              <w:t>；</w:t>
            </w:r>
          </w:p>
          <w:p>
            <w:pPr>
              <w:jc w:val="both"/>
            </w:pPr>
            <w:r>
              <w:rPr>
                <w:color w:val="000000"/>
                <w:sz w:val="24"/>
              </w:rPr>
              <w:t>1.6</w:t>
            </w:r>
            <w:r>
              <w:rPr>
                <w:color w:val="000000"/>
                <w:sz w:val="24"/>
              </w:rPr>
              <w:t>梯形视野扩展成像功能</w:t>
            </w:r>
            <w:r>
              <w:rPr>
                <w:color w:val="000000"/>
                <w:sz w:val="24"/>
              </w:rPr>
              <w:t>；</w:t>
            </w:r>
          </w:p>
          <w:p>
            <w:pPr>
              <w:jc w:val="both"/>
            </w:pPr>
            <w:r>
              <w:rPr>
                <w:color w:val="000000"/>
                <w:sz w:val="24"/>
              </w:rPr>
              <w:t>1.7</w:t>
            </w:r>
            <w:r>
              <w:rPr>
                <w:color w:val="000000"/>
                <w:sz w:val="24"/>
              </w:rPr>
              <w:t>角度复合成像</w:t>
            </w:r>
            <w:r>
              <w:rPr>
                <w:color w:val="000000"/>
                <w:sz w:val="24"/>
              </w:rPr>
              <w:t>(ACI)技术</w:t>
            </w:r>
            <w:r>
              <w:rPr>
                <w:color w:val="000000"/>
                <w:sz w:val="24"/>
              </w:rPr>
              <w:t>；</w:t>
            </w:r>
          </w:p>
          <w:p>
            <w:pPr>
              <w:jc w:val="both"/>
            </w:pPr>
            <w:r>
              <w:rPr>
                <w:color w:val="000000"/>
                <w:sz w:val="24"/>
              </w:rPr>
              <w:t>1.8</w:t>
            </w:r>
            <w:r>
              <w:rPr>
                <w:color w:val="000000"/>
                <w:sz w:val="24"/>
              </w:rPr>
              <w:t>增强组织分辨率</w:t>
            </w:r>
            <w:r>
              <w:rPr>
                <w:color w:val="000000"/>
                <w:sz w:val="24"/>
              </w:rPr>
              <w:t>(ETD)技术</w:t>
            </w:r>
            <w:r>
              <w:rPr>
                <w:color w:val="000000"/>
                <w:sz w:val="24"/>
              </w:rPr>
              <w:t>；</w:t>
            </w:r>
          </w:p>
          <w:p>
            <w:pPr>
              <w:jc w:val="both"/>
            </w:pPr>
            <w:r>
              <w:rPr>
                <w:color w:val="000000"/>
                <w:sz w:val="24"/>
              </w:rPr>
              <w:t>1.9</w:t>
            </w:r>
            <w:r>
              <w:rPr>
                <w:color w:val="000000"/>
                <w:sz w:val="24"/>
              </w:rPr>
              <w:t>内置剪辑编辑器，可在机编辑动态视频并进行存储</w:t>
            </w:r>
            <w:r>
              <w:rPr>
                <w:color w:val="000000"/>
                <w:sz w:val="24"/>
              </w:rPr>
              <w:t>。</w:t>
            </w:r>
          </w:p>
          <w:p>
            <w:pPr>
              <w:jc w:val="both"/>
            </w:pPr>
            <w:r>
              <w:rPr>
                <w:b/>
                <w:color w:val="000000"/>
                <w:sz w:val="24"/>
              </w:rPr>
              <w:t>2.</w:t>
            </w:r>
            <w:r>
              <w:rPr>
                <w:b/>
                <w:color w:val="000000"/>
                <w:sz w:val="24"/>
              </w:rPr>
              <w:t>测量和分析：</w:t>
            </w:r>
            <w:r>
              <w:rPr>
                <w:color w:val="000000"/>
                <w:sz w:val="24"/>
              </w:rPr>
              <w:t>(B型、M型、频谱多普勒、彩色多普勒)</w:t>
            </w:r>
          </w:p>
          <w:p>
            <w:pPr>
              <w:jc w:val="both"/>
            </w:pPr>
            <w:r>
              <w:rPr>
                <w:color w:val="000000"/>
                <w:sz w:val="24"/>
              </w:rPr>
              <w:t>2.1</w:t>
            </w:r>
            <w:r>
              <w:rPr>
                <w:color w:val="000000"/>
                <w:sz w:val="24"/>
              </w:rPr>
              <w:t>一般测量</w:t>
            </w:r>
            <w:r>
              <w:rPr>
                <w:color w:val="000000"/>
                <w:sz w:val="24"/>
              </w:rPr>
              <w:t>；</w:t>
            </w:r>
          </w:p>
          <w:p>
            <w:pPr>
              <w:jc w:val="both"/>
            </w:pPr>
            <w:r>
              <w:rPr>
                <w:color w:val="000000"/>
                <w:sz w:val="24"/>
              </w:rPr>
              <w:t>2.2</w:t>
            </w:r>
            <w:r>
              <w:rPr>
                <w:color w:val="000000"/>
                <w:sz w:val="24"/>
              </w:rPr>
              <w:t>心脏功能测量与分析（</w:t>
            </w:r>
            <w:r>
              <w:rPr>
                <w:color w:val="000000"/>
                <w:sz w:val="24"/>
              </w:rPr>
              <w:t>B型、M型、D型、TDI、B/CFI/M型）</w:t>
            </w:r>
            <w:r>
              <w:rPr>
                <w:color w:val="000000"/>
                <w:sz w:val="24"/>
              </w:rPr>
              <w:t>；</w:t>
            </w:r>
          </w:p>
          <w:p>
            <w:pPr>
              <w:jc w:val="both"/>
            </w:pPr>
            <w:r>
              <w:rPr>
                <w:color w:val="000000"/>
                <w:sz w:val="24"/>
              </w:rPr>
              <w:t>2.3</w:t>
            </w:r>
            <w:r>
              <w:rPr>
                <w:color w:val="000000"/>
                <w:sz w:val="24"/>
              </w:rPr>
              <w:t>妇、产科测量与分析</w:t>
            </w:r>
            <w:r>
              <w:rPr>
                <w:color w:val="000000"/>
                <w:sz w:val="24"/>
              </w:rPr>
              <w:t>；</w:t>
            </w:r>
          </w:p>
          <w:p>
            <w:pPr>
              <w:jc w:val="both"/>
            </w:pPr>
            <w:r>
              <w:rPr>
                <w:color w:val="000000"/>
                <w:sz w:val="24"/>
              </w:rPr>
              <w:t>2.4</w:t>
            </w:r>
            <w:r>
              <w:rPr>
                <w:color w:val="000000"/>
                <w:sz w:val="24"/>
              </w:rPr>
              <w:t>血管血流测量与分析</w:t>
            </w:r>
            <w:r>
              <w:rPr>
                <w:color w:val="000000"/>
                <w:sz w:val="24"/>
              </w:rPr>
              <w:t>。</w:t>
            </w:r>
          </w:p>
          <w:p>
            <w:pPr>
              <w:jc w:val="both"/>
            </w:pPr>
            <w:r>
              <w:rPr>
                <w:b/>
                <w:color w:val="000000"/>
                <w:sz w:val="24"/>
              </w:rPr>
              <w:t>3.</w:t>
            </w:r>
            <w:r>
              <w:rPr>
                <w:b/>
                <w:color w:val="000000"/>
                <w:sz w:val="24"/>
              </w:rPr>
              <w:t>具备</w:t>
            </w:r>
            <w:r>
              <w:rPr>
                <w:b/>
                <w:color w:val="000000"/>
                <w:sz w:val="24"/>
              </w:rPr>
              <w:t>图像存储与</w:t>
            </w:r>
            <w:r>
              <w:rPr>
                <w:b/>
                <w:color w:val="000000"/>
                <w:sz w:val="24"/>
              </w:rPr>
              <w:t>(电影)回放重现</w:t>
            </w:r>
            <w:r>
              <w:rPr>
                <w:b/>
                <w:color w:val="000000"/>
                <w:sz w:val="24"/>
              </w:rPr>
              <w:t>功能</w:t>
            </w:r>
          </w:p>
          <w:p>
            <w:pPr>
              <w:jc w:val="both"/>
            </w:pPr>
            <w:r>
              <w:rPr>
                <w:b/>
                <w:color w:val="000000"/>
                <w:sz w:val="24"/>
              </w:rPr>
              <w:t>4.</w:t>
            </w:r>
            <w:r>
              <w:rPr>
                <w:b/>
                <w:color w:val="000000"/>
                <w:sz w:val="24"/>
              </w:rPr>
              <w:t>输入</w:t>
            </w:r>
            <w:r>
              <w:rPr>
                <w:b/>
                <w:color w:val="000000"/>
                <w:sz w:val="24"/>
              </w:rPr>
              <w:t>/输出信号：</w:t>
            </w:r>
          </w:p>
          <w:p>
            <w:pPr>
              <w:jc w:val="both"/>
            </w:pPr>
            <w:r>
              <w:rPr>
                <w:color w:val="000000"/>
                <w:sz w:val="24"/>
              </w:rPr>
              <w:t>4.1</w:t>
            </w:r>
            <w:r>
              <w:rPr>
                <w:color w:val="000000"/>
                <w:sz w:val="24"/>
              </w:rPr>
              <w:t>输入：复合彩色视频</w:t>
            </w:r>
            <w:r>
              <w:rPr>
                <w:color w:val="000000"/>
                <w:sz w:val="24"/>
              </w:rPr>
              <w:t>、</w:t>
            </w:r>
            <w:r>
              <w:rPr>
                <w:color w:val="000000"/>
                <w:sz w:val="24"/>
              </w:rPr>
              <w:t>S-视频</w:t>
            </w:r>
            <w:r>
              <w:rPr>
                <w:color w:val="000000"/>
                <w:sz w:val="24"/>
              </w:rPr>
              <w:t>；</w:t>
            </w:r>
          </w:p>
          <w:p>
            <w:pPr>
              <w:jc w:val="both"/>
            </w:pPr>
            <w:r>
              <w:rPr>
                <w:color w:val="000000"/>
                <w:sz w:val="24"/>
              </w:rPr>
              <w:t>4.2</w:t>
            </w:r>
            <w:r>
              <w:rPr>
                <w:color w:val="000000"/>
                <w:sz w:val="24"/>
              </w:rPr>
              <w:t>输出：复合彩色视频、</w:t>
            </w:r>
            <w:r>
              <w:rPr>
                <w:color w:val="000000"/>
                <w:sz w:val="24"/>
              </w:rPr>
              <w:t>S-视频、DVI数字视频、USB接口</w:t>
            </w:r>
            <w:r>
              <w:rPr>
                <w:color w:val="000000"/>
                <w:sz w:val="24"/>
              </w:rPr>
              <w:t>；</w:t>
            </w:r>
          </w:p>
          <w:p>
            <w:pPr>
              <w:jc w:val="both"/>
            </w:pPr>
            <w:r>
              <w:rPr>
                <w:color w:val="000000"/>
                <w:sz w:val="24"/>
              </w:rPr>
              <w:t>4.3</w:t>
            </w:r>
            <w:r>
              <w:rPr>
                <w:color w:val="000000"/>
                <w:sz w:val="24"/>
              </w:rPr>
              <w:t>图像管理与记录装置：硬盘、</w:t>
            </w:r>
            <w:r>
              <w:rPr>
                <w:color w:val="000000"/>
                <w:sz w:val="24"/>
              </w:rPr>
              <w:t>DVD/CD、外接USB存储设备</w:t>
            </w:r>
            <w:r>
              <w:rPr>
                <w:color w:val="000000"/>
                <w:sz w:val="24"/>
              </w:rPr>
              <w:t>；</w:t>
            </w:r>
          </w:p>
          <w:p>
            <w:pPr>
              <w:jc w:val="both"/>
            </w:pPr>
            <w:r>
              <w:rPr>
                <w:color w:val="000000"/>
                <w:sz w:val="24"/>
              </w:rPr>
              <w:t>4.4</w:t>
            </w:r>
            <w:r>
              <w:rPr>
                <w:color w:val="000000"/>
                <w:sz w:val="24"/>
              </w:rPr>
              <w:t>超声图像存档与病案管理功能（非外置工作站应用），在主机中完成病人静态图像和动态图像的存储、管理及回放</w:t>
            </w:r>
            <w:r>
              <w:rPr>
                <w:color w:val="000000"/>
                <w:sz w:val="24"/>
              </w:rPr>
              <w:t>；</w:t>
            </w:r>
          </w:p>
          <w:p>
            <w:pPr>
              <w:jc w:val="both"/>
            </w:pPr>
            <w:r>
              <w:rPr>
                <w:color w:val="000000"/>
                <w:sz w:val="24"/>
              </w:rPr>
              <w:t>4.5</w:t>
            </w:r>
            <w:r>
              <w:rPr>
                <w:color w:val="000000"/>
                <w:sz w:val="24"/>
              </w:rPr>
              <w:t>存储：可在硬盘、</w:t>
            </w:r>
            <w:r>
              <w:rPr>
                <w:color w:val="000000"/>
                <w:sz w:val="24"/>
              </w:rPr>
              <w:t>DVD/CD、外接USB存储设备中以多种文件格式（PNG、 AVI、 MPEG、DICOM等）存储静态及动态图像，硬盘容量≥500G</w:t>
            </w:r>
            <w:r>
              <w:rPr>
                <w:color w:val="000000"/>
                <w:sz w:val="24"/>
              </w:rPr>
              <w:t>。</w:t>
            </w:r>
          </w:p>
          <w:p>
            <w:pPr>
              <w:jc w:val="both"/>
            </w:pPr>
            <w:r>
              <w:rPr>
                <w:b/>
                <w:color w:val="000000"/>
                <w:sz w:val="24"/>
              </w:rPr>
              <w:t>5.</w:t>
            </w:r>
            <w:r>
              <w:rPr>
                <w:b/>
                <w:color w:val="000000"/>
                <w:sz w:val="24"/>
              </w:rPr>
              <w:t>系统通用功能</w:t>
            </w:r>
          </w:p>
          <w:p>
            <w:pPr>
              <w:jc w:val="both"/>
            </w:pPr>
            <w:r>
              <w:rPr>
                <w:color w:val="000000"/>
                <w:sz w:val="24"/>
              </w:rPr>
              <w:t>5.1</w:t>
            </w:r>
            <w:r>
              <w:rPr>
                <w:color w:val="000000"/>
                <w:sz w:val="24"/>
              </w:rPr>
              <w:t>监视器：</w:t>
            </w:r>
            <w:r>
              <w:rPr>
                <w:color w:val="000000"/>
                <w:sz w:val="24"/>
              </w:rPr>
              <w:t>≥19″彩色立式液晶显示器</w:t>
            </w:r>
            <w:r>
              <w:rPr>
                <w:color w:val="000000"/>
                <w:sz w:val="24"/>
              </w:rPr>
              <w:t>；</w:t>
            </w:r>
            <w:r>
              <w:rPr>
                <w:sz w:val="24"/>
              </w:rPr>
              <w:t>分辨率</w:t>
            </w:r>
            <w:r>
              <w:rPr>
                <w:sz w:val="24"/>
              </w:rPr>
              <w:t>≥1024*1280</w:t>
            </w:r>
            <w:r>
              <w:rPr>
                <w:sz w:val="24"/>
              </w:rPr>
              <w:t>；</w:t>
            </w:r>
          </w:p>
          <w:p>
            <w:pPr>
              <w:jc w:val="both"/>
            </w:pPr>
            <w:r>
              <w:rPr>
                <w:color w:val="000000"/>
                <w:sz w:val="24"/>
              </w:rPr>
              <w:t>5.2</w:t>
            </w:r>
            <w:r>
              <w:rPr>
                <w:sz w:val="20"/>
              </w:rPr>
              <w:t xml:space="preserve"> </w:t>
            </w:r>
            <w:r>
              <w:rPr>
                <w:color w:val="000000"/>
                <w:sz w:val="24"/>
              </w:rPr>
              <w:t>预设条件：针对不同的检查脏器，预置最佳化图像的检查条件，减少操作时的调节，及常用所需的外部调节及组合调节</w:t>
            </w:r>
            <w:r>
              <w:rPr>
                <w:color w:val="000000"/>
                <w:sz w:val="24"/>
              </w:rPr>
              <w:t>；</w:t>
            </w:r>
          </w:p>
          <w:p>
            <w:pPr>
              <w:jc w:val="both"/>
            </w:pPr>
            <w:r>
              <w:rPr>
                <w:b/>
                <w:color w:val="000000"/>
                <w:sz w:val="24"/>
              </w:rPr>
              <w:t>6.</w:t>
            </w:r>
            <w:r>
              <w:rPr>
                <w:b/>
                <w:color w:val="000000"/>
                <w:sz w:val="24"/>
              </w:rPr>
              <w:t>探头规格：</w:t>
            </w:r>
          </w:p>
          <w:p>
            <w:pPr>
              <w:jc w:val="both"/>
            </w:pPr>
            <w:r>
              <w:rPr>
                <w:color w:val="000000"/>
                <w:sz w:val="24"/>
              </w:rPr>
              <w:t>6.1</w:t>
            </w:r>
            <w:r>
              <w:rPr>
                <w:color w:val="000000"/>
                <w:sz w:val="24"/>
              </w:rPr>
              <w:t>性能：超宽频带变频探头，频率范围</w:t>
            </w:r>
            <w:r>
              <w:rPr>
                <w:color w:val="000000"/>
                <w:sz w:val="24"/>
              </w:rPr>
              <w:t>2-20MHz</w:t>
            </w:r>
            <w:r>
              <w:rPr>
                <w:color w:val="000000"/>
                <w:sz w:val="24"/>
              </w:rPr>
              <w:t>；</w:t>
            </w:r>
          </w:p>
          <w:p>
            <w:pPr>
              <w:jc w:val="both"/>
            </w:pPr>
            <w:r>
              <w:rPr>
                <w:color w:val="000000"/>
                <w:sz w:val="24"/>
              </w:rPr>
              <w:t>6.2</w:t>
            </w:r>
            <w:r>
              <w:rPr>
                <w:color w:val="000000"/>
                <w:sz w:val="24"/>
              </w:rPr>
              <w:t>阵元</w:t>
            </w:r>
            <w:r>
              <w:rPr>
                <w:color w:val="000000"/>
                <w:sz w:val="24"/>
              </w:rPr>
              <w:t>（</w:t>
            </w:r>
            <w:r>
              <w:rPr>
                <w:color w:val="000000"/>
                <w:sz w:val="24"/>
              </w:rPr>
              <w:t>优于或等于）</w:t>
            </w:r>
            <w:r>
              <w:rPr>
                <w:color w:val="000000"/>
                <w:sz w:val="24"/>
              </w:rPr>
              <w:t>：</w:t>
            </w:r>
            <w:r>
              <w:rPr>
                <w:color w:val="000000"/>
                <w:sz w:val="24"/>
              </w:rPr>
              <w:t>160、95</w:t>
            </w:r>
            <w:r>
              <w:rPr>
                <w:color w:val="000000"/>
                <w:sz w:val="24"/>
              </w:rPr>
              <w:t>、横向</w:t>
            </w:r>
            <w:r>
              <w:rPr>
                <w:color w:val="000000"/>
                <w:sz w:val="24"/>
              </w:rPr>
              <w:t>128，矢向192</w:t>
            </w:r>
            <w:r>
              <w:rPr>
                <w:color w:val="000000"/>
                <w:sz w:val="24"/>
              </w:rPr>
              <w:t>；</w:t>
            </w:r>
          </w:p>
          <w:p>
            <w:pPr>
              <w:jc w:val="both"/>
            </w:pPr>
            <w:r>
              <w:rPr>
                <w:color w:val="000000"/>
                <w:sz w:val="24"/>
              </w:rPr>
              <w:t>6.3</w:t>
            </w:r>
            <w:r>
              <w:rPr>
                <w:color w:val="000000"/>
                <w:sz w:val="24"/>
              </w:rPr>
              <w:t>B/D兼用：线阵：B/PWD 凸阵：B/PWD</w:t>
            </w:r>
            <w:r>
              <w:rPr>
                <w:color w:val="000000"/>
                <w:sz w:val="24"/>
              </w:rPr>
              <w:t>；</w:t>
            </w:r>
          </w:p>
          <w:p>
            <w:pPr>
              <w:jc w:val="both"/>
            </w:pPr>
            <w:r>
              <w:rPr>
                <w:color w:val="000000"/>
                <w:sz w:val="24"/>
              </w:rPr>
              <w:t>6.4</w:t>
            </w:r>
            <w:r>
              <w:rPr>
                <w:sz w:val="20"/>
              </w:rPr>
              <w:t xml:space="preserve"> </w:t>
            </w:r>
            <w:r>
              <w:rPr>
                <w:color w:val="000000"/>
                <w:sz w:val="24"/>
              </w:rPr>
              <w:t>穿刺引导：具备专用的穿刺引导装置</w:t>
            </w:r>
            <w:r>
              <w:rPr>
                <w:color w:val="000000"/>
                <w:sz w:val="24"/>
              </w:rPr>
              <w:t>。</w:t>
            </w:r>
          </w:p>
          <w:p>
            <w:pPr>
              <w:jc w:val="both"/>
            </w:pPr>
            <w:r>
              <w:rPr>
                <w:b/>
                <w:color w:val="000000"/>
                <w:sz w:val="24"/>
              </w:rPr>
              <w:t>7.</w:t>
            </w:r>
            <w:r>
              <w:rPr>
                <w:b/>
                <w:color w:val="000000"/>
                <w:sz w:val="24"/>
              </w:rPr>
              <w:t>二维灰阶显像：</w:t>
            </w:r>
          </w:p>
          <w:p>
            <w:pPr>
              <w:jc w:val="both"/>
            </w:pPr>
            <w:r>
              <w:rPr>
                <w:color w:val="000000"/>
                <w:sz w:val="24"/>
              </w:rPr>
              <w:t>7.1</w:t>
            </w:r>
            <w:r>
              <w:rPr>
                <w:color w:val="000000"/>
                <w:sz w:val="24"/>
              </w:rPr>
              <w:t>超宽频带波束形成器，数字式全程动态聚焦，数字式可变孔径</w:t>
            </w:r>
            <w:r>
              <w:rPr>
                <w:color w:val="000000"/>
                <w:sz w:val="24"/>
              </w:rPr>
              <w:t>；</w:t>
            </w:r>
          </w:p>
          <w:p>
            <w:pPr>
              <w:jc w:val="both"/>
            </w:pPr>
            <w:r>
              <w:rPr>
                <w:color w:val="000000"/>
                <w:sz w:val="24"/>
              </w:rPr>
              <w:t>7.2</w:t>
            </w:r>
            <w:r>
              <w:rPr>
                <w:color w:val="000000"/>
                <w:sz w:val="24"/>
              </w:rPr>
              <w:t>发射声束聚焦：发射</w:t>
            </w:r>
            <w:r>
              <w:rPr>
                <w:color w:val="000000"/>
                <w:sz w:val="24"/>
              </w:rPr>
              <w:t>≥8段</w:t>
            </w:r>
            <w:r>
              <w:rPr>
                <w:color w:val="000000"/>
                <w:sz w:val="24"/>
              </w:rPr>
              <w:t>；</w:t>
            </w:r>
          </w:p>
          <w:p>
            <w:pPr>
              <w:jc w:val="both"/>
            </w:pPr>
            <w:r>
              <w:rPr>
                <w:color w:val="000000"/>
                <w:sz w:val="24"/>
              </w:rPr>
              <w:t>7.3</w:t>
            </w:r>
            <w:r>
              <w:rPr>
                <w:color w:val="000000"/>
                <w:sz w:val="24"/>
              </w:rPr>
              <w:t>增益调节：</w:t>
            </w:r>
            <w:r>
              <w:rPr>
                <w:color w:val="000000"/>
                <w:sz w:val="24"/>
              </w:rPr>
              <w:t>B/M可独立调节，STC（DGC）分段≥8</w:t>
            </w:r>
            <w:r>
              <w:rPr>
                <w:color w:val="000000"/>
                <w:sz w:val="24"/>
              </w:rPr>
              <w:t>；</w:t>
            </w:r>
          </w:p>
          <w:p>
            <w:pPr>
              <w:jc w:val="both"/>
            </w:pPr>
            <w:r>
              <w:rPr>
                <w:color w:val="000000"/>
                <w:sz w:val="24"/>
              </w:rPr>
              <w:t>7.4</w:t>
            </w:r>
            <w:r>
              <w:rPr>
                <w:color w:val="000000"/>
                <w:sz w:val="24"/>
              </w:rPr>
              <w:t>成像速率：系统最高成像速率</w:t>
            </w:r>
            <w:r>
              <w:rPr>
                <w:color w:val="000000"/>
                <w:sz w:val="24"/>
              </w:rPr>
              <w:t>≥200帧/秒</w:t>
            </w:r>
            <w:r>
              <w:rPr>
                <w:color w:val="000000"/>
                <w:sz w:val="24"/>
              </w:rPr>
              <w:t>；</w:t>
            </w:r>
          </w:p>
          <w:p>
            <w:pPr>
              <w:jc w:val="both"/>
            </w:pPr>
            <w:r>
              <w:rPr>
                <w:color w:val="000000"/>
                <w:sz w:val="24"/>
              </w:rPr>
              <w:t>7.5</w:t>
            </w:r>
            <w:r>
              <w:rPr>
                <w:color w:val="000000"/>
                <w:sz w:val="24"/>
              </w:rPr>
              <w:t>最大显示深度</w:t>
            </w:r>
            <w:r>
              <w:rPr>
                <w:color w:val="000000"/>
                <w:sz w:val="24"/>
              </w:rPr>
              <w:t>≥30cm</w:t>
            </w:r>
            <w:r>
              <w:rPr>
                <w:color w:val="000000"/>
                <w:sz w:val="24"/>
              </w:rPr>
              <w:t>；</w:t>
            </w:r>
          </w:p>
          <w:p>
            <w:pPr>
              <w:jc w:val="both"/>
            </w:pPr>
            <w:r>
              <w:rPr>
                <w:color w:val="000000"/>
                <w:sz w:val="24"/>
              </w:rPr>
              <w:t>7.6</w:t>
            </w:r>
            <w:r>
              <w:rPr>
                <w:sz w:val="20"/>
              </w:rPr>
              <w:t xml:space="preserve"> </w:t>
            </w:r>
            <w:r>
              <w:rPr>
                <w:color w:val="000000"/>
                <w:sz w:val="24"/>
              </w:rPr>
              <w:t>显示方式：</w:t>
            </w:r>
            <w:r>
              <w:rPr>
                <w:color w:val="000000"/>
                <w:sz w:val="24"/>
              </w:rPr>
              <w:t>B/D、M/D、D</w:t>
            </w:r>
            <w:r>
              <w:rPr>
                <w:color w:val="000000"/>
                <w:sz w:val="24"/>
              </w:rPr>
              <w:t>；</w:t>
            </w:r>
          </w:p>
          <w:p>
            <w:pPr>
              <w:jc w:val="both"/>
            </w:pPr>
            <w:r>
              <w:rPr>
                <w:color w:val="000000"/>
                <w:sz w:val="24"/>
              </w:rPr>
              <w:t>7.7</w:t>
            </w:r>
            <w:r>
              <w:rPr>
                <w:sz w:val="20"/>
              </w:rPr>
              <w:t xml:space="preserve"> </w:t>
            </w:r>
            <w:r>
              <w:rPr>
                <w:color w:val="000000"/>
                <w:sz w:val="24"/>
              </w:rPr>
              <w:t>频谱显示具有自动包络，智能化显示功能</w:t>
            </w:r>
            <w:r>
              <w:rPr>
                <w:color w:val="000000"/>
                <w:sz w:val="24"/>
              </w:rPr>
              <w:t>；</w:t>
            </w:r>
          </w:p>
          <w:p>
            <w:pPr>
              <w:jc w:val="both"/>
            </w:pPr>
            <w:r>
              <w:rPr>
                <w:color w:val="000000"/>
                <w:sz w:val="24"/>
              </w:rPr>
              <w:t>7.8</w:t>
            </w:r>
            <w:r>
              <w:rPr>
                <w:sz w:val="20"/>
              </w:rPr>
              <w:t xml:space="preserve"> </w:t>
            </w:r>
            <w:r>
              <w:rPr>
                <w:color w:val="000000"/>
                <w:sz w:val="24"/>
              </w:rPr>
              <w:t>最大测量速度：</w:t>
            </w:r>
            <w:r>
              <w:rPr>
                <w:color w:val="000000"/>
                <w:sz w:val="24"/>
              </w:rPr>
              <w:t>PWD 2 MHz：正向或反向血流速度最大≥8.05 m/s； CWD 4.8 MHz：正向或反向血流速度最大≥19.7 m/s</w:t>
            </w:r>
            <w:r>
              <w:rPr>
                <w:color w:val="000000"/>
                <w:sz w:val="24"/>
              </w:rPr>
              <w:t>；</w:t>
            </w:r>
          </w:p>
          <w:p>
            <w:pPr>
              <w:jc w:val="both"/>
            </w:pPr>
            <w:r>
              <w:rPr>
                <w:color w:val="000000"/>
                <w:sz w:val="24"/>
              </w:rPr>
              <w:t>7.9</w:t>
            </w:r>
            <w:r>
              <w:rPr>
                <w:color w:val="000000"/>
                <w:sz w:val="24"/>
              </w:rPr>
              <w:t>最低测量速度：</w:t>
            </w:r>
            <w:r>
              <w:rPr>
                <w:color w:val="000000"/>
                <w:sz w:val="24"/>
              </w:rPr>
              <w:t>≤1mm/s(非噪声信号)</w:t>
            </w:r>
            <w:r>
              <w:rPr>
                <w:color w:val="000000"/>
                <w:sz w:val="24"/>
              </w:rPr>
              <w:t>；</w:t>
            </w:r>
          </w:p>
          <w:p>
            <w:pPr>
              <w:jc w:val="both"/>
            </w:pPr>
            <w:r>
              <w:rPr>
                <w:color w:val="000000"/>
                <w:sz w:val="24"/>
              </w:rPr>
              <w:t>7.10电影回放时间：≥30秒</w:t>
            </w:r>
            <w:r>
              <w:rPr>
                <w:color w:val="000000"/>
                <w:sz w:val="24"/>
              </w:rPr>
              <w:t>；</w:t>
            </w:r>
          </w:p>
          <w:p>
            <w:pPr>
              <w:jc w:val="both"/>
            </w:pPr>
            <w:r>
              <w:rPr>
                <w:color w:val="000000"/>
                <w:sz w:val="24"/>
              </w:rPr>
              <w:t>7.11取样宽度及位置范围：宽度1mm至20mm</w:t>
            </w:r>
            <w:r>
              <w:rPr>
                <w:color w:val="000000"/>
                <w:sz w:val="24"/>
              </w:rPr>
              <w:t>；</w:t>
            </w:r>
          </w:p>
          <w:p>
            <w:pPr>
              <w:jc w:val="both"/>
            </w:pPr>
            <w:r>
              <w:rPr>
                <w:color w:val="000000"/>
                <w:sz w:val="24"/>
              </w:rPr>
              <w:t>7.12显示控制：反转显示(左/右；上/下)、B—刷新、B/D双同步、B/C/D三同步</w:t>
            </w:r>
            <w:r>
              <w:rPr>
                <w:color w:val="000000"/>
                <w:sz w:val="24"/>
              </w:rPr>
              <w:t>。</w:t>
            </w:r>
          </w:p>
          <w:p>
            <w:pPr>
              <w:jc w:val="both"/>
            </w:pPr>
            <w:r>
              <w:rPr>
                <w:color w:val="000000"/>
                <w:sz w:val="24"/>
              </w:rPr>
              <w:t>8.</w:t>
            </w:r>
            <w:r>
              <w:rPr>
                <w:b/>
                <w:color w:val="000000"/>
                <w:sz w:val="24"/>
              </w:rPr>
              <w:t>彩色多普勒</w:t>
            </w:r>
            <w:r>
              <w:rPr>
                <w:b/>
                <w:color w:val="000000"/>
                <w:sz w:val="24"/>
              </w:rPr>
              <w:t>：</w:t>
            </w:r>
          </w:p>
          <w:p>
            <w:pPr>
              <w:jc w:val="both"/>
            </w:pPr>
            <w:r>
              <w:rPr>
                <w:color w:val="000000"/>
                <w:sz w:val="24"/>
              </w:rPr>
              <w:t>8.1</w:t>
            </w:r>
            <w:r>
              <w:rPr>
                <w:color w:val="000000"/>
                <w:sz w:val="24"/>
              </w:rPr>
              <w:t>显示方式：能量显示、速度显示、方差显示、</w:t>
            </w:r>
            <w:r>
              <w:rPr>
                <w:color w:val="000000"/>
                <w:sz w:val="24"/>
              </w:rPr>
              <w:t>B/C/D三同步</w:t>
            </w:r>
            <w:r>
              <w:rPr>
                <w:color w:val="000000"/>
                <w:sz w:val="24"/>
              </w:rPr>
              <w:t>；</w:t>
            </w:r>
          </w:p>
          <w:p>
            <w:pPr>
              <w:jc w:val="both"/>
            </w:pPr>
            <w:r>
              <w:rPr>
                <w:color w:val="000000"/>
                <w:sz w:val="24"/>
              </w:rPr>
              <w:t>8.2</w:t>
            </w:r>
            <w:r>
              <w:rPr>
                <w:color w:val="000000"/>
                <w:sz w:val="24"/>
              </w:rPr>
              <w:t>彩色增强功能：能量图</w:t>
            </w:r>
            <w:r>
              <w:rPr>
                <w:color w:val="000000"/>
                <w:sz w:val="24"/>
              </w:rPr>
              <w:t>；</w:t>
            </w:r>
          </w:p>
          <w:p>
            <w:pPr>
              <w:jc w:val="both"/>
            </w:pPr>
            <w:r>
              <w:rPr>
                <w:color w:val="000000"/>
                <w:sz w:val="24"/>
              </w:rPr>
              <w:t>8.3</w:t>
            </w:r>
            <w:r>
              <w:rPr>
                <w:color w:val="000000"/>
                <w:sz w:val="24"/>
              </w:rPr>
              <w:t>彩色和二维</w:t>
            </w:r>
            <w:r>
              <w:rPr>
                <w:color w:val="000000"/>
                <w:sz w:val="24"/>
              </w:rPr>
              <w:t>/频谱多普勒可独立变频</w:t>
            </w:r>
            <w:r>
              <w:rPr>
                <w:color w:val="000000"/>
                <w:sz w:val="24"/>
              </w:rPr>
              <w:t>；</w:t>
            </w:r>
          </w:p>
          <w:p>
            <w:pPr>
              <w:jc w:val="both"/>
            </w:pPr>
            <w:r>
              <w:rPr>
                <w:color w:val="000000"/>
                <w:sz w:val="24"/>
              </w:rPr>
              <w:t>8.4</w:t>
            </w:r>
            <w:r>
              <w:rPr>
                <w:color w:val="000000"/>
                <w:sz w:val="24"/>
              </w:rPr>
              <w:t>扇形扫描角度：</w:t>
            </w:r>
            <w:r>
              <w:rPr>
                <w:color w:val="000000"/>
                <w:sz w:val="24"/>
              </w:rPr>
              <w:t>5°~90°选择</w:t>
            </w:r>
            <w:r>
              <w:rPr>
                <w:color w:val="000000"/>
                <w:sz w:val="24"/>
              </w:rPr>
              <w:t>；</w:t>
            </w:r>
          </w:p>
          <w:p>
            <w:pPr>
              <w:jc w:val="both"/>
            </w:pPr>
            <w:r>
              <w:rPr>
                <w:color w:val="000000"/>
                <w:sz w:val="24"/>
              </w:rPr>
              <w:t>8.5</w:t>
            </w:r>
            <w:r>
              <w:rPr>
                <w:color w:val="000000"/>
                <w:sz w:val="24"/>
              </w:rPr>
              <w:t>显示位置调整：线阵扫描感兴趣的图像范围：</w:t>
            </w:r>
            <w:r>
              <w:rPr>
                <w:color w:val="000000"/>
                <w:sz w:val="24"/>
              </w:rPr>
              <w:t>-30°～+30°</w:t>
            </w:r>
            <w:r>
              <w:rPr>
                <w:color w:val="000000"/>
                <w:sz w:val="24"/>
              </w:rPr>
              <w:t>；</w:t>
            </w:r>
          </w:p>
          <w:p>
            <w:pPr>
              <w:jc w:val="both"/>
            </w:pPr>
            <w:r>
              <w:rPr>
                <w:color w:val="000000"/>
                <w:sz w:val="24"/>
              </w:rPr>
              <w:t>8.6</w:t>
            </w:r>
            <w:r>
              <w:rPr>
                <w:color w:val="000000"/>
                <w:sz w:val="24"/>
              </w:rPr>
              <w:t xml:space="preserve"> </w:t>
            </w:r>
            <w:r>
              <w:rPr>
                <w:color w:val="000000"/>
                <w:sz w:val="24"/>
              </w:rPr>
              <w:t>彩色显示帧频：最大彩色成像帧频</w:t>
            </w:r>
            <w:r>
              <w:rPr>
                <w:color w:val="000000"/>
                <w:sz w:val="24"/>
              </w:rPr>
              <w:t>≥200帧/秒</w:t>
            </w:r>
            <w:r>
              <w:rPr>
                <w:color w:val="000000"/>
                <w:sz w:val="24"/>
              </w:rPr>
              <w:t>；</w:t>
            </w:r>
          </w:p>
          <w:p>
            <w:pPr>
              <w:jc w:val="both"/>
            </w:pPr>
            <w:r>
              <w:rPr>
                <w:color w:val="000000"/>
                <w:sz w:val="24"/>
              </w:rPr>
              <w:t>8.7</w:t>
            </w:r>
            <w:r>
              <w:rPr>
                <w:color w:val="000000"/>
                <w:sz w:val="24"/>
              </w:rPr>
              <w:t>显示控制：零位移动分级可调、黑</w:t>
            </w:r>
            <w:r>
              <w:rPr>
                <w:color w:val="000000"/>
                <w:sz w:val="24"/>
              </w:rPr>
              <w:t>/白与彩色比较、彩色对比</w:t>
            </w:r>
            <w:r>
              <w:rPr>
                <w:color w:val="000000"/>
                <w:sz w:val="24"/>
              </w:rPr>
              <w:t>；</w:t>
            </w:r>
          </w:p>
          <w:p>
            <w:pPr>
              <w:jc w:val="both"/>
            </w:pPr>
            <w:r>
              <w:rPr>
                <w:color w:val="000000"/>
                <w:sz w:val="24"/>
              </w:rPr>
              <w:t>8.8</w:t>
            </w:r>
            <w:r>
              <w:rPr>
                <w:color w:val="000000"/>
                <w:sz w:val="24"/>
              </w:rPr>
              <w:t>彩色显示速度：最低平均血流测量速度</w:t>
            </w:r>
            <w:r>
              <w:rPr>
                <w:color w:val="000000"/>
                <w:sz w:val="24"/>
              </w:rPr>
              <w:t>≤1mm/s</w:t>
            </w:r>
            <w:r>
              <w:rPr>
                <w:color w:val="000000"/>
                <w:sz w:val="24"/>
              </w:rPr>
              <w:t>；</w:t>
            </w:r>
          </w:p>
          <w:p>
            <w:pPr>
              <w:jc w:val="both"/>
            </w:pPr>
            <w:r>
              <w:rPr>
                <w:color w:val="000000"/>
                <w:sz w:val="24"/>
              </w:rPr>
              <w:t>8.9</w:t>
            </w:r>
            <w:r>
              <w:rPr>
                <w:color w:val="000000"/>
                <w:sz w:val="24"/>
              </w:rPr>
              <w:t>彩色分辨率：最小血管空间分辨率</w:t>
            </w:r>
            <w:r>
              <w:rPr>
                <w:color w:val="000000"/>
                <w:sz w:val="24"/>
              </w:rPr>
              <w:t>≤0.2mm</w:t>
            </w:r>
            <w:r>
              <w:rPr>
                <w:color w:val="000000"/>
                <w:sz w:val="24"/>
              </w:rPr>
              <w:t>；</w:t>
            </w:r>
          </w:p>
          <w:p>
            <w:pPr>
              <w:jc w:val="both"/>
            </w:pPr>
            <w:r>
              <w:rPr>
                <w:color w:val="000000"/>
                <w:sz w:val="24"/>
              </w:rPr>
              <w:t>8.10</w:t>
            </w:r>
            <w:r>
              <w:rPr>
                <w:color w:val="000000"/>
                <w:sz w:val="24"/>
              </w:rPr>
              <w:t>超声功率输出调节：</w:t>
            </w:r>
            <w:r>
              <w:rPr>
                <w:color w:val="000000"/>
                <w:sz w:val="24"/>
              </w:rPr>
              <w:t>B/M、PWD、CWD、彩色多普勒输出功率可调</w:t>
            </w:r>
            <w:r>
              <w:rPr>
                <w:color w:val="000000"/>
                <w:sz w:val="24"/>
              </w:rPr>
              <w:t>。</w:t>
            </w:r>
          </w:p>
          <w:p>
            <w:pPr>
              <w:jc w:val="both"/>
            </w:pPr>
            <w:r>
              <w:rPr>
                <w:color w:val="000000"/>
                <w:sz w:val="24"/>
              </w:rPr>
              <w:t>9.</w:t>
            </w:r>
            <w:r>
              <w:rPr>
                <w:b/>
                <w:color w:val="000000"/>
                <w:sz w:val="24"/>
              </w:rPr>
              <w:t>配置清单</w:t>
            </w:r>
            <w:r>
              <w:rPr>
                <w:b/>
                <w:color w:val="000000"/>
                <w:sz w:val="24"/>
              </w:rPr>
              <w:t>≥：</w:t>
            </w:r>
            <w:r>
              <w:rPr>
                <w:color w:val="000000"/>
                <w:sz w:val="24"/>
              </w:rPr>
              <w:t>（</w:t>
            </w:r>
            <w:r>
              <w:rPr>
                <w:color w:val="000000"/>
                <w:sz w:val="24"/>
              </w:rPr>
              <w:t>采用最新的软硬件版本</w:t>
            </w:r>
            <w:r>
              <w:rPr>
                <w:color w:val="000000"/>
                <w:sz w:val="24"/>
              </w:rPr>
              <w:t>）</w:t>
            </w:r>
          </w:p>
          <w:tbl>
            <w:tblPr>
              <w:tblBorders>
                <w:top w:val="none" w:color="000000" w:sz="4"/>
                <w:left w:val="none" w:color="000000" w:sz="4"/>
                <w:bottom w:val="none" w:color="000000" w:sz="4"/>
                <w:right w:val="none" w:color="000000" w:sz="4"/>
                <w:insideH w:val="none"/>
                <w:insideV w:val="none"/>
              </w:tblBorders>
            </w:tblPr>
            <w:tblGrid>
              <w:gridCol w:w="766"/>
              <w:gridCol w:w="2705"/>
              <w:gridCol w:w="2128"/>
            </w:tblGrid>
            <w:tr>
              <w:tc>
                <w:tcPr>
                  <w:tcW w:type="dxa" w:w="766"/>
                  <w:tcBorders>
                    <w:top w:val="single" w:color="000000" w:sz="4"/>
                    <w:left w:val="single" w:color="000000" w:sz="4"/>
                    <w:bottom w:val="single" w:color="000000" w:sz="4"/>
                    <w:right w:val="single" w:color="000000" w:sz="4"/>
                  </w:tcBorders>
                  <w:vAlign w:val="top"/>
                </w:tcPr>
                <w:p>
                  <w:pPr>
                    <w:jc w:val="center"/>
                  </w:pPr>
                  <w:r>
                    <w:rPr>
                      <w:color w:val="000000"/>
                      <w:sz w:val="24"/>
                    </w:rPr>
                    <w:t>序号</w:t>
                  </w:r>
                </w:p>
              </w:tc>
              <w:tc>
                <w:tcPr>
                  <w:tcW w:type="dxa" w:w="2705"/>
                  <w:tcBorders>
                    <w:top w:val="single" w:color="000000" w:sz="4"/>
                    <w:left w:val="single" w:color="000000" w:sz="4"/>
                    <w:bottom w:val="single" w:color="000000" w:sz="4"/>
                    <w:right w:val="single" w:color="000000" w:sz="4"/>
                  </w:tcBorders>
                  <w:vAlign w:val="top"/>
                </w:tcPr>
                <w:p>
                  <w:pPr>
                    <w:jc w:val="center"/>
                  </w:pPr>
                  <w:r>
                    <w:rPr>
                      <w:color w:val="000000"/>
                      <w:sz w:val="24"/>
                    </w:rPr>
                    <w:t>配件名称</w:t>
                  </w:r>
                </w:p>
              </w:tc>
              <w:tc>
                <w:tcPr>
                  <w:tcW w:type="dxa" w:w="2128"/>
                  <w:tcBorders>
                    <w:top w:val="single" w:color="000000" w:sz="4"/>
                    <w:left w:val="single" w:color="000000" w:sz="4"/>
                    <w:bottom w:val="single" w:color="000000" w:sz="4"/>
                    <w:right w:val="single" w:color="000000" w:sz="4"/>
                  </w:tcBorders>
                  <w:vAlign w:val="top"/>
                </w:tcPr>
                <w:p>
                  <w:pPr>
                    <w:jc w:val="center"/>
                  </w:pPr>
                  <w:r>
                    <w:rPr>
                      <w:color w:val="000000"/>
                      <w:sz w:val="24"/>
                    </w:rPr>
                    <w:t>数量（套）</w:t>
                  </w:r>
                </w:p>
              </w:tc>
            </w:tr>
            <w:tr>
              <w:tc>
                <w:tcPr>
                  <w:tcW w:type="dxa" w:w="766"/>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2705"/>
                  <w:tcBorders>
                    <w:top w:val="none" w:color="000000" w:sz="4"/>
                    <w:left w:val="single" w:color="000000" w:sz="4"/>
                    <w:bottom w:val="single" w:color="000000" w:sz="4"/>
                    <w:right w:val="single" w:color="000000" w:sz="4"/>
                  </w:tcBorders>
                  <w:vAlign w:val="top"/>
                </w:tcPr>
                <w:p>
                  <w:pPr>
                    <w:jc w:val="left"/>
                  </w:pPr>
                  <w:r>
                    <w:rPr>
                      <w:color w:val="000000"/>
                      <w:sz w:val="24"/>
                    </w:rPr>
                    <w:t>主机</w:t>
                  </w:r>
                </w:p>
              </w:tc>
              <w:tc>
                <w:tcPr>
                  <w:tcW w:type="dxa" w:w="2128"/>
                  <w:tcBorders>
                    <w:top w:val="none" w:color="000000" w:sz="4"/>
                    <w:left w:val="single" w:color="000000" w:sz="4"/>
                    <w:bottom w:val="single" w:color="000000" w:sz="4"/>
                    <w:right w:val="single" w:color="000000" w:sz="4"/>
                  </w:tcBorders>
                  <w:vAlign w:val="top"/>
                </w:tcPr>
                <w:p>
                  <w:pPr>
                    <w:jc w:val="center"/>
                  </w:pPr>
                  <w:r>
                    <w:rPr>
                      <w:color w:val="000000"/>
                      <w:sz w:val="24"/>
                    </w:rPr>
                    <w:t>1</w:t>
                  </w:r>
                </w:p>
              </w:tc>
            </w:tr>
            <w:tr>
              <w:tc>
                <w:tcPr>
                  <w:tcW w:type="dxa" w:w="766"/>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2705"/>
                  <w:tcBorders>
                    <w:top w:val="none" w:color="000000" w:sz="4"/>
                    <w:left w:val="single" w:color="000000" w:sz="4"/>
                    <w:bottom w:val="single" w:color="000000" w:sz="4"/>
                    <w:right w:val="single" w:color="000000" w:sz="4"/>
                  </w:tcBorders>
                  <w:vAlign w:val="top"/>
                </w:tcPr>
                <w:p>
                  <w:pPr>
                    <w:jc w:val="left"/>
                  </w:pPr>
                  <w:r>
                    <w:rPr>
                      <w:color w:val="000000"/>
                      <w:sz w:val="24"/>
                    </w:rPr>
                    <w:t>电子凸阵探头</w:t>
                  </w:r>
                </w:p>
              </w:tc>
              <w:tc>
                <w:tcPr>
                  <w:tcW w:type="dxa" w:w="2128"/>
                  <w:tcBorders>
                    <w:top w:val="none" w:color="000000" w:sz="4"/>
                    <w:left w:val="single" w:color="000000" w:sz="4"/>
                    <w:bottom w:val="single" w:color="000000" w:sz="4"/>
                    <w:right w:val="single" w:color="000000" w:sz="4"/>
                  </w:tcBorders>
                  <w:vAlign w:val="top"/>
                </w:tcPr>
                <w:p>
                  <w:pPr>
                    <w:jc w:val="center"/>
                  </w:pPr>
                  <w:r>
                    <w:rPr>
                      <w:color w:val="000000"/>
                      <w:sz w:val="24"/>
                    </w:rPr>
                    <w:t>1</w:t>
                  </w:r>
                </w:p>
              </w:tc>
            </w:tr>
            <w:tr>
              <w:tc>
                <w:tcPr>
                  <w:tcW w:type="dxa" w:w="766"/>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2705"/>
                  <w:tcBorders>
                    <w:top w:val="none" w:color="000000" w:sz="4"/>
                    <w:left w:val="single" w:color="000000" w:sz="4"/>
                    <w:bottom w:val="single" w:color="000000" w:sz="4"/>
                    <w:right w:val="single" w:color="000000" w:sz="4"/>
                  </w:tcBorders>
                  <w:vAlign w:val="top"/>
                </w:tcPr>
                <w:p>
                  <w:pPr>
                    <w:jc w:val="left"/>
                  </w:pPr>
                  <w:r>
                    <w:rPr>
                      <w:color w:val="000000"/>
                      <w:sz w:val="24"/>
                    </w:rPr>
                    <w:t>凸阵探头全金属穿刺架</w:t>
                  </w:r>
                </w:p>
              </w:tc>
              <w:tc>
                <w:tcPr>
                  <w:tcW w:type="dxa" w:w="2128"/>
                  <w:tcBorders>
                    <w:top w:val="none" w:color="000000" w:sz="4"/>
                    <w:left w:val="single" w:color="000000" w:sz="4"/>
                    <w:bottom w:val="single" w:color="000000" w:sz="4"/>
                    <w:right w:val="single" w:color="000000" w:sz="4"/>
                  </w:tcBorders>
                  <w:vAlign w:val="top"/>
                </w:tcPr>
                <w:p>
                  <w:pPr>
                    <w:jc w:val="center"/>
                  </w:pPr>
                  <w:r>
                    <w:rPr>
                      <w:color w:val="000000"/>
                      <w:sz w:val="24"/>
                    </w:rPr>
                    <w:t>3</w:t>
                  </w:r>
                </w:p>
              </w:tc>
            </w:tr>
            <w:tr>
              <w:tc>
                <w:tcPr>
                  <w:tcW w:type="dxa" w:w="766"/>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2705"/>
                  <w:tcBorders>
                    <w:top w:val="none" w:color="000000" w:sz="4"/>
                    <w:left w:val="single" w:color="000000" w:sz="4"/>
                    <w:bottom w:val="single" w:color="000000" w:sz="4"/>
                    <w:right w:val="single" w:color="000000" w:sz="4"/>
                  </w:tcBorders>
                  <w:vAlign w:val="top"/>
                </w:tcPr>
                <w:p>
                  <w:pPr>
                    <w:jc w:val="left"/>
                  </w:pPr>
                  <w:r>
                    <w:rPr>
                      <w:color w:val="000000"/>
                      <w:sz w:val="24"/>
                    </w:rPr>
                    <w:t>四向弯曲电子凸阵腹腔镜术中探头</w:t>
                  </w:r>
                </w:p>
              </w:tc>
              <w:tc>
                <w:tcPr>
                  <w:tcW w:type="dxa" w:w="2128"/>
                  <w:tcBorders>
                    <w:top w:val="none" w:color="000000" w:sz="4"/>
                    <w:left w:val="single" w:color="000000" w:sz="4"/>
                    <w:bottom w:val="single" w:color="000000" w:sz="4"/>
                    <w:right w:val="single" w:color="000000" w:sz="4"/>
                  </w:tcBorders>
                  <w:vAlign w:val="top"/>
                </w:tcPr>
                <w:p>
                  <w:pPr>
                    <w:jc w:val="center"/>
                  </w:pPr>
                  <w:r>
                    <w:rPr>
                      <w:color w:val="000000"/>
                      <w:sz w:val="24"/>
                    </w:rPr>
                    <w:t>1</w:t>
                  </w:r>
                </w:p>
              </w:tc>
            </w:tr>
            <w:tr>
              <w:tc>
                <w:tcPr>
                  <w:tcW w:type="dxa" w:w="766"/>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2705"/>
                  <w:tcBorders>
                    <w:top w:val="none" w:color="000000" w:sz="4"/>
                    <w:left w:val="single" w:color="000000" w:sz="4"/>
                    <w:bottom w:val="single" w:color="000000" w:sz="4"/>
                    <w:right w:val="single" w:color="000000" w:sz="4"/>
                  </w:tcBorders>
                  <w:vAlign w:val="top"/>
                </w:tcPr>
                <w:p>
                  <w:pPr>
                    <w:jc w:val="left"/>
                  </w:pPr>
                  <w:r>
                    <w:rPr>
                      <w:color w:val="000000"/>
                      <w:sz w:val="24"/>
                    </w:rPr>
                    <w:t>电子微凸阵</w:t>
                  </w:r>
                  <w:r>
                    <w:rPr>
                      <w:color w:val="000000"/>
                      <w:sz w:val="24"/>
                    </w:rPr>
                    <w:t>-线阵双平面腔内探头</w:t>
                  </w:r>
                </w:p>
              </w:tc>
              <w:tc>
                <w:tcPr>
                  <w:tcW w:type="dxa" w:w="2128"/>
                  <w:tcBorders>
                    <w:top w:val="none" w:color="000000" w:sz="4"/>
                    <w:left w:val="single" w:color="000000" w:sz="4"/>
                    <w:bottom w:val="single" w:color="000000" w:sz="4"/>
                    <w:right w:val="single" w:color="000000" w:sz="4"/>
                  </w:tcBorders>
                  <w:vAlign w:val="top"/>
                </w:tcPr>
                <w:p>
                  <w:pPr>
                    <w:jc w:val="center"/>
                  </w:pPr>
                  <w:r>
                    <w:rPr>
                      <w:color w:val="000000"/>
                      <w:sz w:val="24"/>
                    </w:rPr>
                    <w:t>1</w:t>
                  </w:r>
                </w:p>
              </w:tc>
            </w:tr>
            <w:tr>
              <w:tc>
                <w:tcPr>
                  <w:tcW w:type="dxa" w:w="766"/>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2705"/>
                  <w:tcBorders>
                    <w:top w:val="none" w:color="000000" w:sz="4"/>
                    <w:left w:val="single" w:color="000000" w:sz="4"/>
                    <w:bottom w:val="single" w:color="000000" w:sz="4"/>
                    <w:right w:val="single" w:color="000000" w:sz="4"/>
                  </w:tcBorders>
                  <w:vAlign w:val="top"/>
                </w:tcPr>
                <w:p>
                  <w:pPr>
                    <w:jc w:val="left"/>
                  </w:pPr>
                  <w:r>
                    <w:rPr>
                      <w:color w:val="000000"/>
                      <w:sz w:val="24"/>
                    </w:rPr>
                    <w:t>双平面腔内探头</w:t>
                  </w:r>
                  <w:r>
                    <w:rPr>
                      <w:color w:val="000000"/>
                      <w:sz w:val="24"/>
                    </w:rPr>
                    <w:t>全金属经会阴穿刺架</w:t>
                  </w:r>
                </w:p>
              </w:tc>
              <w:tc>
                <w:tcPr>
                  <w:tcW w:type="dxa" w:w="2128"/>
                  <w:tcBorders>
                    <w:top w:val="none" w:color="000000" w:sz="4"/>
                    <w:left w:val="single" w:color="000000" w:sz="4"/>
                    <w:bottom w:val="single" w:color="000000" w:sz="4"/>
                    <w:right w:val="single" w:color="000000" w:sz="4"/>
                  </w:tcBorders>
                  <w:vAlign w:val="top"/>
                </w:tcPr>
                <w:p>
                  <w:pPr>
                    <w:jc w:val="center"/>
                  </w:pPr>
                  <w:r>
                    <w:rPr>
                      <w:color w:val="000000"/>
                      <w:sz w:val="24"/>
                    </w:rPr>
                    <w:t>2</w:t>
                  </w:r>
                </w:p>
              </w:tc>
            </w:tr>
            <w:tr>
              <w:tc>
                <w:tcPr>
                  <w:tcW w:type="dxa" w:w="3471"/>
                  <w:gridSpan w:val="2"/>
                  <w:tcBorders>
                    <w:top w:val="none" w:color="000000" w:sz="4"/>
                    <w:left w:val="single" w:color="000000" w:sz="4"/>
                    <w:bottom w:val="single" w:color="000000" w:sz="4"/>
                    <w:right w:val="single" w:color="000000" w:sz="4"/>
                  </w:tcBorders>
                  <w:vAlign w:val="top"/>
                </w:tcPr>
                <w:p>
                  <w:pPr>
                    <w:jc w:val="center"/>
                  </w:pPr>
                  <w:r>
                    <w:rPr>
                      <w:color w:val="000000"/>
                      <w:sz w:val="24"/>
                    </w:rPr>
                    <w:t>合计</w:t>
                  </w:r>
                </w:p>
              </w:tc>
              <w:tc>
                <w:tcPr>
                  <w:tcW w:type="dxa" w:w="2128"/>
                  <w:tcBorders>
                    <w:top w:val="none" w:color="000000" w:sz="4"/>
                    <w:left w:val="single" w:color="000000" w:sz="4"/>
                    <w:bottom w:val="single" w:color="000000" w:sz="4"/>
                    <w:right w:val="single" w:color="000000" w:sz="4"/>
                  </w:tcBorders>
                  <w:vAlign w:val="top"/>
                </w:tcPr>
                <w:p>
                  <w:pPr>
                    <w:jc w:val="center"/>
                  </w:pPr>
                  <w:r>
                    <w:rPr>
                      <w:color w:val="000000"/>
                      <w:sz w:val="24"/>
                    </w:rPr>
                    <w:t>9</w:t>
                  </w:r>
                </w:p>
              </w:tc>
            </w:tr>
          </w:tbl>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1.采购代理机构：本项目是指采联国际招标采购集团有限公司，负责整个采购活动的组织，依法负责编制和发布招标文件，对招标文件拥有最终的解释权，不以任何身份出任评标委员会成员。</w:t>
      </w:r>
    </w:p>
    <w:p>
      <w:pPr>
        <w:ind w:firstLine="480"/>
      </w:pPr>
      <w:r>
        <w:rPr/>
        <w:t>2.采购人：本项目是指</w:t>
      </w:r>
      <w:r>
        <w:rPr/>
        <w:t>江门市中心医院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照差额定率累进法向采购代理机构按如下标准和规定缴纳采购代理服务费，以中标通知书中的中标金额作为采购代理服务费的计算基数。参照中华人民共和国国家发展计划委员会颁发的计价格〔2002〕1980号、发改办价格〔2003〕857 号及发改价格〔2011〕534号文规定的“货物类”计费标准下浮20%计算并缴纳，采购代理服务费不足8000元的按8000元收取。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商品包装和快递包装，本项目如涉及商品包装、快递包装，应当满足以下要求： （一）商品包装环保要求 1.商品包装层数不得超过3层，空隙率不大于40%； 2.商品包装尽可能使用单一材质的包装材料，如因功能需求必需使用不同材质，不同材质间应便于分离； 3.商品包装中铅、汞、镉、六价铬的总含量应不大于100mg/kg；（必要时，采购人可要求履约验收时提供第三方检测机构出具的检测报告复印件） 4.商品包装印刷使用的油墨中挥发性有机化合物(VOCs)含量应不大于5%（以重量计）；（必要时，采购人可要求履约验收时提供第三方检测机构出具的检测报告复印件） 5.塑料材质商品包装上呈现的印刷颜色不得超过6色； 6.纸质商品包装应使用75%以上的可再生纤维原料生产； 7.木质商品包装的原料应来源于可持续性森林。 （二）商品包装检测方法 1.商品包装中重金属（铅、汞、镉、六价铬）总量的检测按照GB/T10004-2008《包装用塑料复合膜、袋干法复合、挤出复合》规定的方法进行。 2.商品包装印刷使用的油墨中挥发性有机化合物(VOCs)的检测按照GB/T23986-2009《色漆和清漆挥发性有机化合物(VOC)含量的测定气相色谱法》规定的方法进行。 （三）快递包装环保要求 1.快递包装中重金属（铅、汞、镉、六价铬）总量应不大于100mg/kg；（必要时，采购人可要求履约验收时提供第三方检测机构出具的检测报告复印件） 2.快递包装印刷使用的油墨中不应添加邻苯二甲酸酯，其挥发性有机化合物(VOCs)含量应不大于5%（以重量计）；（必要时，采购人可要求履约验收时提供第三方检测机构出具的检测报告复印件） 3.快递包装中使用纸基材的包装材料，纸基材中的有机氯的含量应不大于150mg/kg；（必要时，采购人可要求履约验收时提供第三方检测机构出具的检测报告复印件） 4.快递包装中使用塑料基材的包装材料不得使用邻苯二甲酸二异壬酯、邻苯二甲酸二正辛酯、邻苯二甲酸二(2-乙基)己酯、邻苯二甲酸二异癸酯、邻苯二甲酸丁基苄基酯、邻苯二甲酸二丁酯等作为增塑剂； 5.快递中使用的塑料包装袋不得使用聚氯乙烯作为原料，且原料应为单一材质制成，生物分解率大于60%；（必要时，采购人可要求履约验收时提供第三方检测机构出具的检测报告复印件） 6.快递中使用的充气类填充物不得使用聚氯乙烯作为原料，且原料为单一材质制成，生物分解率大于60%； 7.快递中使用的集装袋应为单一材质制成，其重复使用次数应不小于80次； 8.快递中应使用幅宽不大于45mm的生物降解胶带；（必要时，采购人可要求履约验收时提供第三方检测机构出具的检测报告复印件） 9.快递包装中不得使用溶剂型胶粘剂； 10.快递应使用电子面单； 11.直接使用商品包装作为快递包装的商品，其商品包装满足《商品包装政府采购需求标准（试行）》即可； 12.快递包装产品质量和封装方式应符合相关国家或行业标准技术指标要求。 （四）快递包装检测方法  1.快递包装中重金属（铅、汞、镉、六价铬）总量的检测按照GB/T10004-2008《包装用塑料复合膜、袋干法复合、挤出复合》规定的方法进行。 2.快递包装印刷使用的油墨中挥发性有机化合物(VOCs)的检测按照GB/T23986-2009《色漆和清漆挥发性有机化合物(VOC)含量的测定气相色谱法》规定的方法进行。 3.快递包装所使用的塑料包装的生物降解率的检测按照GB/T20197-2006《降解塑料的定义、分类、标识和降解性能要求》规定的方法进行。 4.快递包装使用纸基材的包装材料中有机氯的检测按照GB/T22904-2008《纸浆、纸和纸板总氯和有机氯的检定》规定的方法进行。 5.快递包装中使用的生物降解胶带的生物降解率的检测按照GB/T19277.1《受控堆肥条件下材料最终需氧生物分解能力的测定采用测定释放的二氧化碳的方法 第1部分：通用方法》规定的方法进行。 （五）项目验收时，采购人将根据上述要求对商品包装和快递包装组织验收工作。</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采联国际招标采购集团有限公司</w:t>
      </w:r>
      <w:r>
        <w:rPr/>
        <w:t>代收。具体操作要求详见</w:t>
      </w:r>
      <w:r>
        <w:rPr/>
        <w:t>采联国际招标采购集团有限公司</w:t>
      </w:r>
      <w:r>
        <w:rPr/>
        <w:t>有关指引，递交事宜请自行咨询</w:t>
      </w:r>
      <w:r>
        <w:rPr/>
        <w:t>采联国际招标采购集团有限公司</w:t>
      </w:r>
      <w:r>
        <w:rPr/>
        <w:t>；请各投标人在投标文件递交截止时间前按须知前附表规定的金额递交至</w:t>
      </w:r>
      <w:r>
        <w:rPr/>
        <w:t>采联国际招标采购集团有限公司</w:t>
      </w:r>
      <w:r>
        <w:rPr/>
        <w:t>，到账情况以开标时</w:t>
      </w:r>
      <w:r>
        <w:rPr/>
        <w:t>采联国际招标采购集团有限公司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采联国际招标采购集团有限公司（www.chinapsp.cn）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采联国际招标采购集团有限公司（www.chinapsp.cn）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赵小姐</w:t>
      </w:r>
    </w:p>
    <w:p>
      <w:pPr>
        <w:ind w:firstLine="480"/>
      </w:pPr>
      <w:r>
        <w:rPr/>
        <w:t>电话：</w:t>
      </w:r>
      <w:r>
        <w:rPr/>
        <w:t>0750-3390080</w:t>
      </w:r>
    </w:p>
    <w:p>
      <w:pPr>
        <w:ind w:firstLine="480"/>
      </w:pPr>
      <w:r>
        <w:rPr/>
        <w:t>传真：</w:t>
      </w:r>
      <w:r>
        <w:rPr/>
        <w:t>0750-3390080</w:t>
      </w:r>
    </w:p>
    <w:p>
      <w:pPr>
        <w:ind w:firstLine="480"/>
      </w:pPr>
      <w:r>
        <w:rPr/>
        <w:t>邮箱：</w:t>
      </w:r>
      <w:r>
        <w:rPr/>
        <w:t>jmzy@chinapsp.cn</w:t>
      </w:r>
    </w:p>
    <w:p>
      <w:pPr>
        <w:ind w:firstLine="480"/>
      </w:pPr>
      <w:r>
        <w:rPr/>
        <w:t>地址：</w:t>
      </w:r>
      <w:r>
        <w:rPr/>
        <w:t>江门市蓬江区迎宾大道131号中信银行大厦1403室</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中心医院彩色多普勒超声波诊断仪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采联国际招标采购集团有限公司</w:t>
      </w:r>
      <w:r>
        <w:rPr/>
        <w:t>统一对外发布。</w:t>
      </w:r>
    </w:p>
    <w:p>
      <w:pPr>
        <w:ind w:firstLine="480"/>
      </w:pPr>
      <w:r>
        <w:rPr/>
        <w:t>（2）对</w:t>
      </w:r>
      <w:r>
        <w:rPr/>
        <w:t>采联国际招标采购集团有限公司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采购包1（江门市中心医院彩色多普勒超声波诊断仪采购项目）：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采购包1（江门市中心医院彩色多普勒超声波诊断仪采购项目）：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提供2022年至今任意1个月缴纳税收的凭据证明材料复印件；如依法免税的，应提供相关材料； 提供2022年至今任意1个月社会保障资金的凭据证明材料复印件；如依法不需要缴纳社会保障资金的，应提供相关材料；</w:t>
            </w:r>
          </w:p>
        </w:tc>
      </w:tr>
      <w:tr>
        <w:tc>
          <w:tcPr>
            <w:tcW w:type="dxa" w:w="890"/>
          </w:tcPr>
          <w:p>
            <w:r>
              <w:rPr/>
              <w:t>3</w:t>
            </w:r>
          </w:p>
        </w:tc>
        <w:tc>
          <w:tcPr>
            <w:tcW w:type="dxa" w:w="3178"/>
          </w:tcPr>
          <w:p>
            <w:r>
              <w:rPr/>
              <w:t>具有良好的商业信誉和健全的财务会计制度</w:t>
            </w:r>
          </w:p>
        </w:tc>
        <w:tc>
          <w:tcPr>
            <w:tcW w:type="dxa" w:w="4238"/>
          </w:tcPr>
          <w:p>
            <w:r>
              <w:rPr/>
              <w:t>提供2021年度的财务状况报告或2022年至今任意1个月的财务状况报告复印件，或银行出具的资信证明材料复印件；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以下任何记录名单之一：①失信被执行人；②重大税收违法失信主体；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公司的，同时对该分公司所属总公司（总所）进行信用记录查询，该分公司所属总公司（总所）存在不良信用记录的，视同供应商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本项目的特定资格要求</w:t>
            </w:r>
          </w:p>
        </w:tc>
        <w:tc>
          <w:tcPr>
            <w:tcW w:type="dxa" w:w="4238"/>
          </w:tcPr>
          <w:p>
            <w:r>
              <w:rPr/>
              <w:t>1）如投标人为生产企业：所投产品为第二、三类医疗器械，提供监督管理部门签发的有效的《医疗器械生产许可证》复印件；（如国家另有规定，则适用其规定）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采购包1（江门市中心医院彩色多普勒超声波诊断仪采购项目）：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按照招标文件规定要求签署、盖章且投标文件有法定代表人签字或盖个人名章（或签字人有法定代表人有效授权书）的；</w:t>
            </w:r>
          </w:p>
        </w:tc>
        <w:tc>
          <w:tcPr>
            <w:tcW w:type="dxa" w:w="4238"/>
          </w:tcPr>
          <w:p>
            <w:r>
              <w:rPr/>
              <w:t>按照招标文件规定要求签署、盖章且投标文件有法定代表人签字或盖个人名章（或签字人有法定代表人有效授权书）的；</w:t>
            </w:r>
          </w:p>
        </w:tc>
      </w:tr>
      <w:tr>
        <w:tc>
          <w:tcPr>
            <w:tcW w:type="dxa" w:w="890"/>
          </w:tcPr>
          <w:p>
            <w:r>
              <w:rPr/>
              <w:t>2</w:t>
            </w:r>
          </w:p>
        </w:tc>
        <w:tc>
          <w:tcPr>
            <w:tcW w:type="dxa" w:w="3178"/>
          </w:tcPr>
          <w:p>
            <w:r>
              <w:rPr/>
              <w:t>投标函已提交并符合招标文件要求的，且投标有效期不少于招标文件中载明的投标有效期；</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投标报价未超过本项目最高限价的；</w:t>
            </w:r>
          </w:p>
        </w:tc>
        <w:tc>
          <w:tcPr>
            <w:tcW w:type="dxa" w:w="4238"/>
          </w:tcPr>
          <w:p>
            <w:r>
              <w:rPr/>
              <w:t>投标报价未超过本项目最高限价的；</w:t>
            </w:r>
          </w:p>
        </w:tc>
      </w:tr>
      <w:tr>
        <w:tc>
          <w:tcPr>
            <w:tcW w:type="dxa" w:w="890"/>
          </w:tcPr>
          <w:p>
            <w:r>
              <w:rPr/>
              <w:t>4</w:t>
            </w:r>
          </w:p>
        </w:tc>
        <w:tc>
          <w:tcPr>
            <w:tcW w:type="dxa" w:w="3178"/>
          </w:tcPr>
          <w:p>
            <w:r>
              <w:rPr/>
              <w:t>投标文件未出现选择性报价或有附加条件报价的情形；</w:t>
            </w:r>
          </w:p>
        </w:tc>
        <w:tc>
          <w:tcPr>
            <w:tcW w:type="dxa" w:w="4238"/>
          </w:tcPr>
          <w:p>
            <w:r>
              <w:rPr/>
              <w:t>投标文件未出现选择性报价或有附加条件报价的情形；</w:t>
            </w:r>
          </w:p>
        </w:tc>
      </w:tr>
      <w:tr>
        <w:tc>
          <w:tcPr>
            <w:tcW w:type="dxa" w:w="890"/>
          </w:tcPr>
          <w:p>
            <w:r>
              <w:rPr/>
              <w:t>5</w:t>
            </w:r>
          </w:p>
        </w:tc>
        <w:tc>
          <w:tcPr>
            <w:tcW w:type="dxa" w:w="3178"/>
          </w:tcPr>
          <w:p>
            <w:r>
              <w:rPr/>
              <w:t>投标文件完全满足招标文件的实质性条款（即标注★号条款）无负偏离的；</w:t>
            </w:r>
          </w:p>
        </w:tc>
        <w:tc>
          <w:tcPr>
            <w:tcW w:type="dxa" w:w="4238"/>
          </w:tcPr>
          <w:p>
            <w:r>
              <w:rPr/>
              <w:t>投标文件完全满足招标文件的实质性条款（即标注★号条款）无负偏离的；</w:t>
            </w:r>
          </w:p>
        </w:tc>
      </w:tr>
      <w:tr>
        <w:tc>
          <w:tcPr>
            <w:tcW w:type="dxa" w:w="890"/>
          </w:tcPr>
          <w:p>
            <w:r>
              <w:rPr/>
              <w:t>6</w:t>
            </w:r>
          </w:p>
        </w:tc>
        <w:tc>
          <w:tcPr>
            <w:tcW w:type="dxa" w:w="3178"/>
          </w:tcPr>
          <w:p>
            <w:r>
              <w:rPr/>
              <w:t>投标文件没有招标文件中规定的其它无效投标条款的；</w:t>
            </w:r>
          </w:p>
        </w:tc>
        <w:tc>
          <w:tcPr>
            <w:tcW w:type="dxa" w:w="4238"/>
          </w:tcPr>
          <w:p>
            <w:r>
              <w:rPr/>
              <w:t>投标文件没有招标文件中规定的其它无效投标条款的；</w:t>
            </w:r>
          </w:p>
        </w:tc>
      </w:tr>
      <w:tr>
        <w:tc>
          <w:tcPr>
            <w:tcW w:type="dxa" w:w="890"/>
          </w:tcPr>
          <w:p>
            <w:r>
              <w:rPr/>
              <w:t>7</w:t>
            </w:r>
          </w:p>
        </w:tc>
        <w:tc>
          <w:tcPr>
            <w:tcW w:type="dxa" w:w="3178"/>
          </w:tcPr>
          <w:p>
            <w:r>
              <w:rPr/>
              <w:t>按有关法律、法规、规章不属于投标无效的。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采购包1(江门市中心医院彩色多普勒超声波诊断仪采购项目):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采购需求书中带▲号的重要技术条款的响应情况 (30.0分)</w:t>
            </w:r>
          </w:p>
        </w:tc>
        <w:tc>
          <w:tcPr>
            <w:tcW w:type="dxa" w:w="5076"/>
          </w:tcPr>
          <w:p>
            <w:pPr>
              <w:jc w:val="left"/>
            </w:pPr>
            <w:r>
              <w:rPr/>
              <w:t>投标人所投产品全部满足采购需求书中带“▲”的重要技术条款的，得30分； 有1项条款为负偏离的，得24分； 有2项条款为负偏离的，得18分； 有3项条款为负偏离的，得12分； 有4项条款为负偏离的，得6分； 有5项（含）以上条款为负偏离的，得0分。</w:t>
            </w:r>
          </w:p>
        </w:tc>
      </w:tr>
      <w:tr>
        <w:tc>
          <w:tcPr>
            <w:tcW w:type="dxa" w:w="922"/>
            <w:gridSpan w:val="2"/>
            <w:vMerge/>
          </w:tcPr>
          <w:p/>
        </w:tc>
        <w:tc>
          <w:tcPr>
            <w:tcW w:type="dxa" w:w="2307"/>
          </w:tcPr>
          <w:p>
            <w:pPr>
              <w:jc w:val="left"/>
            </w:pPr>
            <w:r>
              <w:rPr/>
              <w:t>采购需求书中不带▲号的一般条款的响应情况 (20.0分)</w:t>
            </w:r>
          </w:p>
        </w:tc>
        <w:tc>
          <w:tcPr>
            <w:tcW w:type="dxa" w:w="5076"/>
          </w:tcPr>
          <w:p>
            <w:pPr>
              <w:jc w:val="left"/>
            </w:pPr>
            <w:r>
              <w:rPr/>
              <w:t>投标人所投产品全部满足采购需求书中不带“▲”的一般条款，得20分； 有1项条款为负偏离或不响应的，得17.5分； 有2项条款为负偏离或不响应的，得15分； 有3项条款为负偏离或不响应的，得12.5分； 有4项条款为负偏离或不响应的，得10分； 有5项条款为负偏离或不响应的，得7.5分； 有6项条款为负偏离或不响应的，得5分； 有7项条款为负偏离或不响应的，得2.5分； 有8项（含）以上条款为负偏离或不响应的，得0分。</w:t>
            </w:r>
          </w:p>
        </w:tc>
      </w:tr>
      <w:tr>
        <w:tc>
          <w:tcPr>
            <w:tcW w:type="dxa" w:w="922"/>
            <w:gridSpan w:val="2"/>
            <w:vMerge/>
          </w:tcPr>
          <w:p/>
        </w:tc>
        <w:tc>
          <w:tcPr>
            <w:tcW w:type="dxa" w:w="2307"/>
          </w:tcPr>
          <w:p>
            <w:pPr>
              <w:jc w:val="left"/>
            </w:pPr>
            <w:r>
              <w:rPr/>
              <w:t>与所投产品同类型或同系列的产品在国内的销售情况 (5.0分)</w:t>
            </w:r>
          </w:p>
        </w:tc>
        <w:tc>
          <w:tcPr>
            <w:tcW w:type="dxa" w:w="5076"/>
          </w:tcPr>
          <w:p>
            <w:pPr>
              <w:jc w:val="left"/>
            </w:pPr>
            <w:r>
              <w:rPr/>
              <w:t>考察与所投产品同类型或同系列的产品在国内的销售情况，提供销售客户清单等情况介绍材料。 销售客户20家（含）或以上，得5分； 销售客户10家（含）至19家（含），得3分； 销售客户1家（含）至9家（含），得1分； 其他或无清单等介绍材料，得0分。 投标人对各自提供的业绩材料的真实性负责，如存在提供虚假材料情况，将承担相应的法律责任。</w:t>
            </w:r>
          </w:p>
        </w:tc>
      </w:tr>
      <w:tr>
        <w:tc>
          <w:tcPr>
            <w:tcW w:type="dxa" w:w="922"/>
            <w:gridSpan w:val="2"/>
            <w:vMerge/>
          </w:tcPr>
          <w:p/>
        </w:tc>
        <w:tc>
          <w:tcPr>
            <w:tcW w:type="dxa" w:w="2307"/>
          </w:tcPr>
          <w:p>
            <w:pPr>
              <w:jc w:val="left"/>
            </w:pPr>
            <w:r>
              <w:rPr/>
              <w:t>售后服务内容（一） (2.0分)</w:t>
            </w:r>
            <w:r>
              <w:rPr/>
              <w:t>，（等次分值选择：</w:t>
            </w:r>
            <w:r>
              <w:rPr/>
              <w:t>0.0;</w:t>
            </w:r>
            <w:r>
              <w:rPr/>
              <w:t>0.5;</w:t>
            </w:r>
            <w:r>
              <w:rPr/>
              <w:t>1.0;</w:t>
            </w:r>
            <w:r>
              <w:rPr/>
              <w:t>2.0;</w:t>
            </w:r>
            <w:r>
              <w:rPr/>
              <w:t>）</w:t>
            </w:r>
          </w:p>
        </w:tc>
        <w:tc>
          <w:tcPr>
            <w:tcW w:type="dxa" w:w="5076"/>
          </w:tcPr>
          <w:p>
            <w:pPr>
              <w:jc w:val="left"/>
            </w:pPr>
            <w:r>
              <w:rPr/>
              <w:t>评分内容： 投标人须针对本项目需求提供售后服务内容，包括下述内容： 1.服务响应计划（供货期、完工期、保修期限、服务响应时间）； 2.零配件供应情况； 3.维保服务内容等。 满足以上3项要求得2分，满足以上2项要求得1分，满足以上1项要求得0.5分，其他不得分。</w:t>
            </w:r>
          </w:p>
        </w:tc>
      </w:tr>
      <w:tr>
        <w:tc>
          <w:tcPr>
            <w:tcW w:type="dxa" w:w="922"/>
            <w:gridSpan w:val="2"/>
            <w:vMerge/>
          </w:tcPr>
          <w:p/>
        </w:tc>
        <w:tc>
          <w:tcPr>
            <w:tcW w:type="dxa" w:w="2307"/>
          </w:tcPr>
          <w:p>
            <w:pPr>
              <w:jc w:val="left"/>
            </w:pPr>
            <w:r>
              <w:rPr/>
              <w:t>售后服务内容（二） (3.0分)</w:t>
            </w:r>
            <w:r>
              <w:rPr/>
              <w:t>，（等次分值选择：</w:t>
            </w:r>
            <w:r>
              <w:rPr/>
              <w:t>0.0;</w:t>
            </w:r>
            <w:r>
              <w:rPr/>
              <w:t>1.0;</w:t>
            </w:r>
            <w:r>
              <w:rPr/>
              <w:t>2.0;</w:t>
            </w:r>
            <w:r>
              <w:rPr/>
              <w:t>3.0;</w:t>
            </w:r>
            <w:r>
              <w:rPr/>
              <w:t>）</w:t>
            </w:r>
          </w:p>
        </w:tc>
        <w:tc>
          <w:tcPr>
            <w:tcW w:type="dxa" w:w="5076"/>
          </w:tcPr>
          <w:p>
            <w:pPr>
              <w:jc w:val="left"/>
            </w:pPr>
            <w:r>
              <w:rPr/>
              <w:t>在售后服务内容（一）基础上，按照下列要求进行加分： 1.有具体的时间节点和步骤； 2.有具体的人员安排及明确的分工； 3.对突发情况有具体的应对措施； 每体现一点内容加1分，最多加3分。 不提不得分。</w:t>
            </w:r>
          </w:p>
        </w:tc>
      </w:tr>
      <w:tr>
        <w:tc>
          <w:tcPr>
            <w:tcW w:type="dxa" w:w="922"/>
            <w:gridSpan w:val="2"/>
            <w:vMerge w:val="restart"/>
          </w:tcPr>
          <w:p>
            <w:pPr>
              <w:jc w:val="center"/>
            </w:pPr>
            <w:r>
              <w:rPr/>
              <w:t>商务部分</w:t>
            </w:r>
          </w:p>
        </w:tc>
        <w:tc>
          <w:tcPr>
            <w:tcW w:type="dxa" w:w="2307"/>
          </w:tcPr>
          <w:p>
            <w:pPr>
              <w:jc w:val="left"/>
            </w:pPr>
            <w:r>
              <w:rPr/>
              <w:t>投标人企业信誉或企业认证 (2.0分)</w:t>
            </w:r>
          </w:p>
        </w:tc>
        <w:tc>
          <w:tcPr>
            <w:tcW w:type="dxa" w:w="5076"/>
          </w:tcPr>
          <w:p>
            <w:pPr>
              <w:jc w:val="left"/>
            </w:pPr>
            <w:r>
              <w:rPr/>
              <w:t>投标人具有以下其中任意一种证书或评价得2分，满分2分。 1、职业健康安全管理体系认证证书； 2、环境管理体系认证证书； 3、质量管理体系认证证书； 4、用户满意度调查表或用户评价（评价需为正面，同一客户/同一项目多份评价只计一份）。 提供有效期内的证书复印件，无提供不得分。</w:t>
            </w:r>
          </w:p>
        </w:tc>
      </w:tr>
      <w:tr>
        <w:tc>
          <w:tcPr>
            <w:tcW w:type="dxa" w:w="922"/>
            <w:gridSpan w:val="2"/>
            <w:vMerge/>
          </w:tcPr>
          <w:p/>
        </w:tc>
        <w:tc>
          <w:tcPr>
            <w:tcW w:type="dxa" w:w="2307"/>
          </w:tcPr>
          <w:p>
            <w:pPr>
              <w:jc w:val="left"/>
            </w:pPr>
            <w:r>
              <w:rPr/>
              <w:t>投标人同类医疗设备供货的能力 (4.0分)</w:t>
            </w:r>
          </w:p>
        </w:tc>
        <w:tc>
          <w:tcPr>
            <w:tcW w:type="dxa" w:w="5076"/>
          </w:tcPr>
          <w:p>
            <w:pPr>
              <w:jc w:val="left"/>
            </w:pPr>
            <w:r>
              <w:rPr/>
              <w:t>投标人2019年1月以来同类医疗设备供货的业绩，每个得2分，最高得4分。 提供以投标人名义签订的合同复印件作为评价证明资料，以签订合同的时间为准。</w:t>
            </w:r>
          </w:p>
        </w:tc>
      </w:tr>
      <w:tr>
        <w:tc>
          <w:tcPr>
            <w:tcW w:type="dxa" w:w="922"/>
            <w:gridSpan w:val="2"/>
            <w:vMerge/>
          </w:tcPr>
          <w:p/>
        </w:tc>
        <w:tc>
          <w:tcPr>
            <w:tcW w:type="dxa" w:w="2307"/>
          </w:tcPr>
          <w:p>
            <w:pPr>
              <w:jc w:val="left"/>
            </w:pPr>
            <w:r>
              <w:rPr/>
              <w:t>合同条款的响应情况 (4.0分)</w:t>
            </w:r>
          </w:p>
        </w:tc>
        <w:tc>
          <w:tcPr>
            <w:tcW w:type="dxa" w:w="5076"/>
          </w:tcPr>
          <w:p>
            <w:pPr>
              <w:jc w:val="left"/>
            </w:pPr>
            <w:r>
              <w:rPr/>
              <w:t>投标人全部满足合同条款的，得4分； 有1项条款为负偏离的，得3分； 有2项条款为负偏离的，得2分； 有3项条款为负偏离的，得1分； 有4项（含）以上条款为负偏离的，得0分。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Pr>
        <w:jc w:val="center"/>
      </w:pPr>
      <w:r>
        <w:rPr>
          <w:b/>
          <w:sz w:val="44"/>
        </w:rPr>
        <w:t>江门市中心医院医疗设备采购</w:t>
      </w:r>
      <w:r>
        <w:rPr>
          <w:b/>
          <w:sz w:val="44"/>
        </w:rPr>
        <w:t>合同</w:t>
      </w:r>
    </w:p>
    <w:p>
      <w:pPr>
        <w:jc w:val="center"/>
      </w:pPr>
    </w:p>
    <w:p>
      <w:pPr>
        <w:jc w:val="both"/>
      </w:pPr>
      <w:r>
        <w:rPr>
          <w:sz w:val="24"/>
        </w:rPr>
        <w:t>购货单位：江门市中心医院</w:t>
      </w:r>
      <w:r>
        <w:rPr>
          <w:sz w:val="24"/>
        </w:rPr>
        <w:t xml:space="preserve">            </w:t>
      </w:r>
      <w:r>
        <w:rPr>
          <w:sz w:val="24"/>
        </w:rPr>
        <w:t>（以下简称甲方）</w:t>
      </w:r>
    </w:p>
    <w:p>
      <w:pPr>
        <w:jc w:val="both"/>
      </w:pPr>
      <w:r>
        <w:rPr>
          <w:sz w:val="24"/>
        </w:rPr>
        <w:t>供货单位：</w:t>
      </w:r>
      <w:r>
        <w:rPr>
          <w:sz w:val="20"/>
          <w:u w:val="single"/>
        </w:rPr>
        <w:t xml:space="preserve">                           </w:t>
      </w:r>
      <w:r>
        <w:rPr>
          <w:sz w:val="24"/>
        </w:rPr>
        <w:t>（以下简称乙方）</w:t>
      </w:r>
    </w:p>
    <w:p>
      <w:pPr>
        <w:jc w:val="both"/>
      </w:pPr>
    </w:p>
    <w:p>
      <w:pPr>
        <w:ind w:firstLine="480"/>
        <w:jc w:val="both"/>
      </w:pPr>
      <w:r>
        <w:rPr>
          <w:sz w:val="24"/>
        </w:rPr>
        <w:t>甲乙双方根据《中华人民共和国民法典》、《中华人民共和国政府采购法》等有关法律法规的规定，按照</w:t>
      </w:r>
      <w:r>
        <w:rPr>
          <w:sz w:val="20"/>
          <w:u w:val="single"/>
        </w:rPr>
        <w:t xml:space="preserve">     </w:t>
      </w:r>
      <w:r>
        <w:rPr>
          <w:sz w:val="24"/>
        </w:rPr>
        <w:t>年</w:t>
      </w:r>
      <w:r>
        <w:rPr>
          <w:sz w:val="20"/>
          <w:u w:val="single"/>
        </w:rPr>
        <w:t xml:space="preserve">    </w:t>
      </w:r>
      <w:r>
        <w:rPr>
          <w:sz w:val="24"/>
        </w:rPr>
        <w:t>月</w:t>
      </w:r>
      <w:r>
        <w:rPr>
          <w:sz w:val="20"/>
          <w:u w:val="single"/>
        </w:rPr>
        <w:t xml:space="preserve">    </w:t>
      </w:r>
      <w:r>
        <w:rPr>
          <w:sz w:val="24"/>
        </w:rPr>
        <w:t>日江门市中心医院医疗设备采购项目</w:t>
      </w:r>
      <w:r>
        <w:rPr>
          <w:sz w:val="20"/>
          <w:u w:val="single"/>
        </w:rPr>
        <w:t xml:space="preserve">                     </w:t>
      </w:r>
      <w:r>
        <w:rPr>
          <w:sz w:val="24"/>
        </w:rPr>
        <w:t>的采购结果、招标文件、乙方的投标文件及澄清文件和中标通知书（以上文件发生冲突时以较高标准为准）的要求，经双方协商一致，订立合同如下：</w:t>
      </w:r>
    </w:p>
    <w:p>
      <w:pPr>
        <w:jc w:val="left"/>
      </w:pPr>
      <w:r>
        <w:rPr>
          <w:b/>
          <w:sz w:val="24"/>
        </w:rPr>
        <w:t>第一条</w:t>
      </w:r>
      <w:r>
        <w:rPr>
          <w:b/>
          <w:sz w:val="24"/>
        </w:rPr>
        <w:t xml:space="preserve"> </w:t>
      </w:r>
      <w:r>
        <w:rPr>
          <w:b/>
          <w:sz w:val="24"/>
        </w:rPr>
        <w:t>项目的名称、项目总价和项目货物的清单（如名称、数量、规格、单价、型号、品牌和技术指标等）</w:t>
      </w:r>
    </w:p>
    <w:p>
      <w:pPr>
        <w:jc w:val="both"/>
      </w:pPr>
      <w:r>
        <w:rPr>
          <w:sz w:val="24"/>
        </w:rPr>
        <w:t>（一）项目名称：</w:t>
      </w:r>
      <w:r>
        <w:rPr>
          <w:sz w:val="20"/>
          <w:u w:val="single"/>
        </w:rPr>
        <w:t xml:space="preserve">                      </w:t>
      </w:r>
      <w:r>
        <w:rPr>
          <w:sz w:val="24"/>
        </w:rPr>
        <w:t>。</w:t>
      </w:r>
      <w:r>
        <w:rPr>
          <w:sz w:val="24"/>
        </w:rPr>
        <w:t xml:space="preserve"> </w:t>
      </w:r>
      <w:r>
        <w:rPr>
          <w:sz w:val="20"/>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69"/>
        <w:gridCol w:w="1002"/>
        <w:gridCol w:w="1200"/>
        <w:gridCol w:w="1770"/>
        <w:gridCol w:w="1114"/>
        <w:gridCol w:w="618"/>
        <w:gridCol w:w="990"/>
        <w:gridCol w:w="1002"/>
      </w:tblGrid>
      <w:tr>
        <w:tc>
          <w:tcPr>
            <w:tcW w:type="dxa" w:w="569"/>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002"/>
            <w:tcBorders>
              <w:top w:val="single" w:color="000000" w:sz="4"/>
              <w:left w:val="single" w:color="000000" w:sz="4"/>
              <w:bottom w:val="single" w:color="000000" w:sz="4"/>
              <w:right w:val="single" w:color="000000" w:sz="4"/>
            </w:tcBorders>
            <w:vAlign w:val="top"/>
          </w:tcPr>
          <w:p>
            <w:pPr>
              <w:jc w:val="center"/>
            </w:pPr>
            <w:r>
              <w:rPr>
                <w:b/>
                <w:sz w:val="24"/>
              </w:rPr>
              <w:t>货物名称</w:t>
            </w:r>
          </w:p>
        </w:tc>
        <w:tc>
          <w:tcPr>
            <w:tcW w:type="dxa" w:w="1200"/>
            <w:tcBorders>
              <w:top w:val="single" w:color="000000" w:sz="4"/>
              <w:left w:val="single" w:color="000000" w:sz="4"/>
              <w:bottom w:val="single" w:color="000000" w:sz="4"/>
              <w:right w:val="single" w:color="000000" w:sz="4"/>
            </w:tcBorders>
            <w:vAlign w:val="top"/>
          </w:tcPr>
          <w:p>
            <w:pPr>
              <w:jc w:val="center"/>
            </w:pPr>
            <w:r>
              <w:rPr>
                <w:b/>
                <w:sz w:val="24"/>
              </w:rPr>
              <w:t>注册证名称</w:t>
            </w:r>
          </w:p>
        </w:tc>
        <w:tc>
          <w:tcPr>
            <w:tcW w:type="dxa" w:w="1770"/>
            <w:tcBorders>
              <w:top w:val="single" w:color="000000" w:sz="4"/>
              <w:left w:val="single" w:color="000000" w:sz="4"/>
              <w:bottom w:val="single" w:color="000000" w:sz="4"/>
              <w:right w:val="single" w:color="000000" w:sz="4"/>
            </w:tcBorders>
            <w:vAlign w:val="top"/>
          </w:tcPr>
          <w:p>
            <w:pPr>
              <w:jc w:val="center"/>
            </w:pPr>
            <w:r>
              <w:rPr>
                <w:b/>
                <w:sz w:val="24"/>
              </w:rPr>
              <w:t>产地和制造商名称</w:t>
            </w:r>
          </w:p>
        </w:tc>
        <w:tc>
          <w:tcPr>
            <w:tcW w:type="dxa" w:w="1114"/>
            <w:tcBorders>
              <w:top w:val="single" w:color="000000" w:sz="4"/>
              <w:left w:val="single" w:color="000000" w:sz="4"/>
              <w:bottom w:val="single" w:color="000000" w:sz="4"/>
              <w:right w:val="single" w:color="000000" w:sz="4"/>
            </w:tcBorders>
            <w:vAlign w:val="top"/>
          </w:tcPr>
          <w:p>
            <w:pPr>
              <w:jc w:val="center"/>
            </w:pPr>
            <w:r>
              <w:rPr>
                <w:b/>
                <w:sz w:val="24"/>
              </w:rPr>
              <w:t>规格、型号</w:t>
            </w:r>
          </w:p>
        </w:tc>
        <w:tc>
          <w:tcPr>
            <w:tcW w:type="dxa" w:w="618"/>
            <w:tcBorders>
              <w:top w:val="single" w:color="000000" w:sz="4"/>
              <w:left w:val="single" w:color="000000" w:sz="4"/>
              <w:bottom w:val="single" w:color="000000" w:sz="4"/>
              <w:right w:val="single" w:color="000000" w:sz="4"/>
            </w:tcBorders>
            <w:vAlign w:val="top"/>
          </w:tcPr>
          <w:p>
            <w:pPr>
              <w:jc w:val="center"/>
            </w:pPr>
            <w:r>
              <w:rPr>
                <w:b/>
                <w:sz w:val="24"/>
              </w:rPr>
              <w:t>数量</w:t>
            </w:r>
          </w:p>
        </w:tc>
        <w:tc>
          <w:tcPr>
            <w:tcW w:type="dxa" w:w="990"/>
            <w:tcBorders>
              <w:top w:val="single" w:color="000000" w:sz="4"/>
              <w:left w:val="single" w:color="000000" w:sz="4"/>
              <w:bottom w:val="single" w:color="000000" w:sz="4"/>
              <w:right w:val="single" w:color="000000" w:sz="4"/>
            </w:tcBorders>
            <w:vAlign w:val="top"/>
          </w:tcPr>
          <w:p>
            <w:pPr>
              <w:jc w:val="center"/>
            </w:pPr>
            <w:r>
              <w:rPr>
                <w:b/>
                <w:sz w:val="24"/>
              </w:rPr>
              <w:t>单价（元）</w:t>
            </w:r>
          </w:p>
        </w:tc>
        <w:tc>
          <w:tcPr>
            <w:tcW w:type="dxa" w:w="1002"/>
            <w:tcBorders>
              <w:top w:val="single" w:color="000000" w:sz="4"/>
              <w:left w:val="single" w:color="000000" w:sz="4"/>
              <w:bottom w:val="single" w:color="000000" w:sz="4"/>
              <w:right w:val="single" w:color="000000" w:sz="4"/>
            </w:tcBorders>
            <w:vAlign w:val="top"/>
          </w:tcPr>
          <w:p>
            <w:pPr>
              <w:jc w:val="center"/>
            </w:pPr>
            <w:r>
              <w:rPr>
                <w:b/>
                <w:sz w:val="24"/>
              </w:rPr>
              <w:t>总价（</w:t>
            </w:r>
            <w:r>
              <w:rPr>
                <w:b/>
                <w:sz w:val="24"/>
              </w:rPr>
              <w:t>元）</w:t>
            </w:r>
          </w:p>
        </w:tc>
      </w:tr>
      <w:tr>
        <w:tc>
          <w:tcPr>
            <w:tcW w:type="dxa" w:w="569"/>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002"/>
            <w:tcBorders>
              <w:top w:val="none" w:color="000000" w:sz="4"/>
              <w:left w:val="single" w:color="000000" w:sz="4"/>
              <w:bottom w:val="single" w:color="000000" w:sz="4"/>
              <w:right w:val="single" w:color="000000" w:sz="4"/>
            </w:tcBorders>
            <w:vAlign w:val="top"/>
          </w:tcPr>
          <w:p>
            <w:pPr>
              <w:jc w:val="center"/>
            </w:pPr>
          </w:p>
        </w:tc>
        <w:tc>
          <w:tcPr>
            <w:tcW w:type="dxa" w:w="1200"/>
            <w:tcBorders>
              <w:top w:val="none" w:color="000000" w:sz="4"/>
              <w:left w:val="single" w:color="000000" w:sz="4"/>
              <w:bottom w:val="single" w:color="000000" w:sz="4"/>
              <w:right w:val="single" w:color="000000" w:sz="4"/>
            </w:tcBorders>
            <w:vAlign w:val="top"/>
          </w:tcPr>
          <w:p>
            <w:pPr>
              <w:jc w:val="center"/>
            </w:pPr>
          </w:p>
        </w:tc>
        <w:tc>
          <w:tcPr>
            <w:tcW w:type="dxa" w:w="1770"/>
            <w:tcBorders>
              <w:top w:val="none" w:color="000000" w:sz="4"/>
              <w:left w:val="single" w:color="000000" w:sz="4"/>
              <w:bottom w:val="single" w:color="000000" w:sz="4"/>
              <w:right w:val="single" w:color="000000" w:sz="4"/>
            </w:tcBorders>
            <w:vAlign w:val="top"/>
          </w:tcPr>
          <w:p>
            <w:pPr>
              <w:jc w:val="center"/>
            </w:pPr>
          </w:p>
        </w:tc>
        <w:tc>
          <w:tcPr>
            <w:tcW w:type="dxa" w:w="1114"/>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1002"/>
            <w:tcBorders>
              <w:top w:val="none" w:color="000000" w:sz="4"/>
              <w:left w:val="single" w:color="000000" w:sz="4"/>
              <w:bottom w:val="single" w:color="000000" w:sz="4"/>
              <w:right w:val="single" w:color="000000" w:sz="4"/>
            </w:tcBorders>
            <w:vAlign w:val="top"/>
          </w:tcPr>
          <w:p>
            <w:pPr>
              <w:jc w:val="center"/>
            </w:pPr>
          </w:p>
        </w:tc>
      </w:tr>
      <w:tr>
        <w:tc>
          <w:tcPr>
            <w:tcW w:type="dxa" w:w="8265"/>
            <w:gridSpan w:val="8"/>
            <w:tcBorders>
              <w:top w:val="none" w:color="000000" w:sz="4"/>
              <w:left w:val="single" w:color="000000" w:sz="4"/>
              <w:bottom w:val="single" w:color="000000" w:sz="4"/>
              <w:right w:val="single" w:color="000000" w:sz="4"/>
            </w:tcBorders>
            <w:vAlign w:val="top"/>
          </w:tcPr>
          <w:p>
            <w:pPr>
              <w:jc w:val="both"/>
            </w:pPr>
            <w:r>
              <w:rPr>
                <w:sz w:val="24"/>
              </w:rPr>
              <w:t>项目总价：人民币（大写）：</w:t>
            </w:r>
            <w:r>
              <w:rPr>
                <w:sz w:val="20"/>
                <w:u w:val="single"/>
              </w:rPr>
              <w:t xml:space="preserve">              </w:t>
            </w:r>
            <w:r>
              <w:rPr>
                <w:sz w:val="20"/>
                <w:u w:val="single"/>
              </w:rPr>
              <w:t xml:space="preserve"> </w:t>
            </w:r>
            <w:r>
              <w:rPr>
                <w:sz w:val="24"/>
              </w:rPr>
              <w:t>；（小写）</w:t>
            </w:r>
            <w:r>
              <w:rPr>
                <w:sz w:val="24"/>
                <w:u w:val="single"/>
              </w:rPr>
              <w:t xml:space="preserve">¥             </w:t>
            </w:r>
            <w:r>
              <w:rPr>
                <w:sz w:val="24"/>
              </w:rPr>
              <w:t>。</w:t>
            </w:r>
          </w:p>
        </w:tc>
      </w:tr>
      <w:tr>
        <w:tc>
          <w:tcPr>
            <w:tcW w:type="dxa" w:w="8265"/>
            <w:gridSpan w:val="8"/>
            <w:tcBorders>
              <w:top w:val="none" w:color="000000" w:sz="4"/>
              <w:left w:val="single" w:color="000000" w:sz="4"/>
              <w:bottom w:val="single" w:color="000000" w:sz="4"/>
              <w:right w:val="single" w:color="000000" w:sz="4"/>
            </w:tcBorders>
            <w:vAlign w:val="top"/>
          </w:tcPr>
          <w:p>
            <w:pPr>
              <w:jc w:val="left"/>
            </w:pPr>
            <w:r>
              <w:rPr>
                <w:sz w:val="24"/>
              </w:rPr>
              <w:t>备注：</w:t>
            </w:r>
            <w:r>
              <w:rPr>
                <w:sz w:val="24"/>
              </w:rPr>
              <w:t>注册证编号：</w:t>
            </w:r>
            <w:r>
              <w:rPr>
                <w:sz w:val="20"/>
                <w:u w:val="single"/>
              </w:rPr>
              <w:t xml:space="preserve">                </w:t>
            </w:r>
            <w:r>
              <w:rPr>
                <w:sz w:val="24"/>
              </w:rPr>
              <w:t>。</w:t>
            </w:r>
          </w:p>
        </w:tc>
      </w:tr>
    </w:tbl>
    <w:p>
      <w:pPr>
        <w:jc w:val="both"/>
      </w:pPr>
      <w:r>
        <w:rPr>
          <w:sz w:val="24"/>
        </w:rPr>
        <w:t>（二）项目总价是完成项目的含税全包价，所有价格变动的风险均由乙方承担，甲方不需再向乙方支付任何其他费用。</w:t>
      </w:r>
    </w:p>
    <w:p>
      <w:pPr>
        <w:jc w:val="both"/>
      </w:pPr>
      <w:r>
        <w:rPr>
          <w:sz w:val="24"/>
        </w:rPr>
        <w:t>（三）货物清单：详见合同附后配置清单。</w:t>
      </w:r>
    </w:p>
    <w:p>
      <w:pPr>
        <w:jc w:val="both"/>
      </w:pPr>
      <w:r>
        <w:rPr>
          <w:sz w:val="24"/>
        </w:rPr>
        <w:t>（四）服务内容：按照本合同约定、招标文件、乙方的投标文件（以上文件发生冲突时以较高标准为准）执行。</w:t>
      </w:r>
    </w:p>
    <w:p>
      <w:pPr>
        <w:jc w:val="left"/>
      </w:pPr>
      <w:r>
        <w:rPr>
          <w:b/>
          <w:sz w:val="24"/>
        </w:rPr>
        <w:t>第二条</w:t>
      </w:r>
      <w:r>
        <w:rPr>
          <w:b/>
          <w:sz w:val="24"/>
        </w:rPr>
        <w:t xml:space="preserve"> </w:t>
      </w:r>
      <w:r>
        <w:rPr>
          <w:b/>
          <w:sz w:val="24"/>
        </w:rPr>
        <w:t>货物的质量要求、售后服务及损害赔偿</w:t>
      </w:r>
    </w:p>
    <w:p>
      <w:pPr>
        <w:jc w:val="both"/>
      </w:pPr>
      <w:r>
        <w:rPr>
          <w:sz w:val="24"/>
        </w:rPr>
        <w:t>（一）货物的质量要求：符合国家有关标准、制造厂家标准，按照本合同约定、招标文件、乙方的投标文件、澄清文件和中标通知书（以上文件发生冲突时以较高标准为准）的要求执行。</w:t>
      </w:r>
    </w:p>
    <w:p>
      <w:pPr>
        <w:jc w:val="both"/>
      </w:pPr>
      <w:r>
        <w:rPr>
          <w:sz w:val="24"/>
        </w:rPr>
        <w:t>（二）售后服务要求：</w:t>
      </w:r>
    </w:p>
    <w:p>
      <w:pPr>
        <w:jc w:val="both"/>
      </w:pPr>
      <w:r>
        <w:rPr>
          <w:sz w:val="24"/>
        </w:rPr>
        <w:t>乙方按照甲方招标文件、乙方投标文件执行，包括但不限于以下要求：</w:t>
      </w:r>
    </w:p>
    <w:p>
      <w:pPr>
        <w:jc w:val="both"/>
      </w:pPr>
      <w:r>
        <w:rPr>
          <w:sz w:val="24"/>
        </w:rPr>
        <w:t>1、乙方须有属本公司的可随时上门作维修及检测的工程师，设备出现故障时能在</w:t>
      </w:r>
      <w:r>
        <w:rPr>
          <w:sz w:val="20"/>
          <w:u w:val="single"/>
        </w:rPr>
        <w:t xml:space="preserve">     </w:t>
      </w:r>
      <w:r>
        <w:rPr>
          <w:sz w:val="24"/>
        </w:rPr>
        <w:t>小时内响应，</w:t>
      </w:r>
      <w:r>
        <w:rPr>
          <w:sz w:val="20"/>
          <w:u w:val="single"/>
        </w:rPr>
        <w:t xml:space="preserve">     </w:t>
      </w:r>
      <w:r>
        <w:rPr>
          <w:sz w:val="24"/>
        </w:rPr>
        <w:t>小时内上门维修</w:t>
      </w:r>
      <w:r>
        <w:rPr>
          <w:sz w:val="24"/>
        </w:rPr>
        <w:t>，</w:t>
      </w:r>
      <w:r>
        <w:rPr>
          <w:sz w:val="20"/>
          <w:u w:val="single"/>
        </w:rPr>
        <w:t xml:space="preserve">     </w:t>
      </w:r>
      <w:r>
        <w:rPr>
          <w:sz w:val="24"/>
        </w:rPr>
        <w:t>小时内处理完毕。若在规定时间内，乙方仍未能有效解决，甲方有权另行委托第三方提供服务或要求乙方免费提供同档次的设备或零部件予甲方临时使用，由此产生的</w:t>
      </w:r>
      <w:r>
        <w:rPr>
          <w:sz w:val="24"/>
        </w:rPr>
        <w:t>相关费用由乙方承担。</w:t>
      </w:r>
    </w:p>
    <w:p>
      <w:pPr>
        <w:jc w:val="both"/>
      </w:pPr>
      <w:r>
        <w:rPr>
          <w:sz w:val="24"/>
        </w:rPr>
        <w:t>2、乙方须负责本合同下所有设备免费保修</w:t>
      </w:r>
      <w:r>
        <w:rPr>
          <w:sz w:val="20"/>
          <w:u w:val="single"/>
        </w:rPr>
        <w:t xml:space="preserve">     </w:t>
      </w:r>
      <w:r>
        <w:rPr>
          <w:sz w:val="24"/>
        </w:rPr>
        <w:t>年，保修期自本合同项下的设备经甲乙双方验收合格之日起计算</w:t>
      </w:r>
      <w:r>
        <w:rPr>
          <w:sz w:val="24"/>
        </w:rPr>
        <w:t>。</w:t>
      </w:r>
      <w:r>
        <w:rPr>
          <w:sz w:val="24"/>
        </w:rPr>
        <w:t>免费维修的范围</w:t>
      </w:r>
      <w:r>
        <w:rPr>
          <w:sz w:val="24"/>
        </w:rPr>
        <w:t>包括但不限于更换零件费用及维修工时费等；</w:t>
      </w:r>
      <w:r>
        <w:rPr>
          <w:sz w:val="24"/>
        </w:rPr>
        <w:t>保修期内，乙方须提供</w:t>
      </w:r>
      <w:r>
        <w:rPr>
          <w:sz w:val="24"/>
        </w:rPr>
        <w:t>7*24小时服务。</w:t>
      </w:r>
      <w:r>
        <w:rPr>
          <w:sz w:val="24"/>
        </w:rPr>
        <w:t>乙方维修热线：</w:t>
      </w:r>
      <w:r>
        <w:rPr>
          <w:sz w:val="20"/>
          <w:u w:val="single"/>
        </w:rPr>
        <w:t xml:space="preserve">             </w:t>
      </w:r>
      <w:r>
        <w:rPr>
          <w:sz w:val="24"/>
        </w:rPr>
        <w:t>。本合同期内乙方不得擅自变更或取消服务热线，如须变更或取消的，应提前</w:t>
      </w:r>
      <w:r>
        <w:rPr>
          <w:sz w:val="24"/>
        </w:rPr>
        <w:t>5个工作日以书面形式通知甲方，否则乙方应承担因服务热线变更或取消造成的一切不利后果。</w:t>
      </w:r>
    </w:p>
    <w:p>
      <w:pPr>
        <w:jc w:val="both"/>
      </w:pPr>
      <w:r>
        <w:rPr>
          <w:sz w:val="24"/>
        </w:rPr>
        <w:t>3、乙方负责现场或厂家培训甲方有关技术人员，直至掌握操作技术为止。</w:t>
      </w:r>
    </w:p>
    <w:p>
      <w:pPr>
        <w:jc w:val="both"/>
      </w:pPr>
      <w:r>
        <w:rPr>
          <w:sz w:val="24"/>
        </w:rPr>
        <w:t>（三）如因乙方货物质量或设计原因，导致甲方损失，乙方应予以赔偿。</w:t>
      </w:r>
    </w:p>
    <w:p>
      <w:pPr>
        <w:jc w:val="left"/>
      </w:pPr>
      <w:r>
        <w:rPr>
          <w:b/>
          <w:sz w:val="24"/>
        </w:rPr>
        <w:t>第三条</w:t>
      </w:r>
      <w:r>
        <w:rPr>
          <w:b/>
          <w:sz w:val="24"/>
        </w:rPr>
        <w:t xml:space="preserve"> </w:t>
      </w:r>
      <w:r>
        <w:rPr>
          <w:b/>
          <w:sz w:val="24"/>
        </w:rPr>
        <w:t>交货和安装</w:t>
      </w:r>
    </w:p>
    <w:p>
      <w:pPr>
        <w:jc w:val="both"/>
      </w:pPr>
      <w:r>
        <w:rPr>
          <w:sz w:val="24"/>
        </w:rPr>
        <w:t>（一）交货期：</w:t>
      </w:r>
      <w:r>
        <w:rPr>
          <w:sz w:val="24"/>
        </w:rPr>
        <w:t>所有货物须在</w:t>
      </w:r>
      <w:r>
        <w:rPr>
          <w:sz w:val="24"/>
        </w:rPr>
        <w:t>合同签订后</w:t>
      </w:r>
      <w:r>
        <w:rPr>
          <w:sz w:val="20"/>
          <w:u w:val="single"/>
        </w:rPr>
        <w:t xml:space="preserve">     </w:t>
      </w:r>
      <w:r>
        <w:rPr>
          <w:sz w:val="24"/>
        </w:rPr>
        <w:t>内</w:t>
      </w:r>
      <w:r>
        <w:rPr>
          <w:sz w:val="24"/>
        </w:rPr>
        <w:t>安装、调试完毕，能够投入使用并且通过验收</w:t>
      </w:r>
      <w:r>
        <w:rPr>
          <w:sz w:val="24"/>
        </w:rPr>
        <w:t>。</w:t>
      </w:r>
    </w:p>
    <w:p>
      <w:pPr>
        <w:jc w:val="both"/>
      </w:pPr>
      <w:r>
        <w:rPr>
          <w:sz w:val="24"/>
        </w:rPr>
        <w:t>（二）交货方式：乙方负责将货物送至江门市中心医院指定地点。</w:t>
      </w:r>
    </w:p>
    <w:p>
      <w:pPr>
        <w:jc w:val="both"/>
      </w:pPr>
      <w:r>
        <w:rPr>
          <w:sz w:val="24"/>
        </w:rPr>
        <w:t>（三）设备的安装：由乙方负责。</w:t>
      </w:r>
    </w:p>
    <w:p>
      <w:pPr>
        <w:jc w:val="left"/>
      </w:pPr>
      <w:r>
        <w:rPr>
          <w:b/>
          <w:sz w:val="24"/>
        </w:rPr>
        <w:t>第四条</w:t>
      </w:r>
      <w:r>
        <w:rPr>
          <w:b/>
          <w:sz w:val="24"/>
        </w:rPr>
        <w:t xml:space="preserve"> </w:t>
      </w:r>
      <w:r>
        <w:rPr>
          <w:b/>
          <w:sz w:val="24"/>
        </w:rPr>
        <w:t>货款的结算</w:t>
      </w:r>
    </w:p>
    <w:p>
      <w:pPr>
        <w:jc w:val="both"/>
      </w:pPr>
      <w:r>
        <w:rPr>
          <w:sz w:val="24"/>
        </w:rPr>
        <w:t>（</w:t>
      </w:r>
      <w:r>
        <w:rPr>
          <w:sz w:val="24"/>
        </w:rPr>
        <w:t>一</w:t>
      </w:r>
      <w:r>
        <w:rPr>
          <w:sz w:val="24"/>
        </w:rPr>
        <w:t>）</w:t>
      </w:r>
      <w:r>
        <w:rPr>
          <w:sz w:val="24"/>
        </w:rPr>
        <w:t>具体结算</w:t>
      </w:r>
      <w:r>
        <w:rPr>
          <w:sz w:val="24"/>
        </w:rPr>
        <w:t>方</w:t>
      </w:r>
      <w:r>
        <w:rPr>
          <w:sz w:val="24"/>
        </w:rPr>
        <w:t>式：</w:t>
      </w:r>
    </w:p>
    <w:p>
      <w:pPr>
        <w:jc w:val="both"/>
      </w:pPr>
      <w:r>
        <w:rPr>
          <w:sz w:val="24"/>
        </w:rPr>
        <w:t>1.</w:t>
      </w:r>
      <w:r>
        <w:rPr>
          <w:sz w:val="24"/>
        </w:rPr>
        <w:t>第一期：合同签订生效后的</w:t>
      </w:r>
      <w:r>
        <w:rPr>
          <w:sz w:val="24"/>
        </w:rPr>
        <w:t>30个工作日内，将合同总金额的</w:t>
      </w:r>
      <w:r>
        <w:rPr>
          <w:sz w:val="24"/>
        </w:rPr>
        <w:t>3</w:t>
      </w:r>
      <w:r>
        <w:rPr>
          <w:sz w:val="24"/>
        </w:rPr>
        <w:t>0%（</w:t>
      </w:r>
      <w:r>
        <w:rPr>
          <w:sz w:val="24"/>
        </w:rPr>
        <w:t>即</w:t>
      </w:r>
      <w:r>
        <w:rPr>
          <w:sz w:val="24"/>
        </w:rPr>
        <w:t>¥</w:t>
      </w:r>
      <w:r>
        <w:rPr>
          <w:sz w:val="20"/>
          <w:u w:val="single"/>
        </w:rPr>
        <w:t xml:space="preserve">      </w:t>
      </w:r>
      <w:r>
        <w:rPr>
          <w:sz w:val="24"/>
        </w:rPr>
        <w:t>）</w:t>
      </w:r>
      <w:r>
        <w:rPr>
          <w:sz w:val="24"/>
        </w:rPr>
        <w:t>支付给乙方。</w:t>
      </w:r>
    </w:p>
    <w:p>
      <w:pPr>
        <w:jc w:val="both"/>
      </w:pPr>
      <w:r>
        <w:rPr>
          <w:sz w:val="24"/>
        </w:rPr>
        <w:t>2.</w:t>
      </w:r>
      <w:r>
        <w:rPr>
          <w:sz w:val="24"/>
        </w:rPr>
        <w:t>乙方须在收到第一期货款后的</w:t>
      </w:r>
      <w:r>
        <w:rPr>
          <w:sz w:val="24"/>
        </w:rPr>
        <w:t>5个工作日内</w:t>
      </w:r>
      <w:r>
        <w:rPr>
          <w:sz w:val="24"/>
        </w:rPr>
        <w:t>向甲方支付</w:t>
      </w:r>
      <w:r>
        <w:rPr>
          <w:sz w:val="24"/>
        </w:rPr>
        <w:t>合同总金额</w:t>
      </w:r>
      <w:r>
        <w:rPr>
          <w:sz w:val="24"/>
        </w:rPr>
        <w:t>的</w:t>
      </w:r>
      <w:r>
        <w:rPr>
          <w:sz w:val="24"/>
        </w:rPr>
        <w:t>5%（</w:t>
      </w:r>
      <w:r>
        <w:rPr>
          <w:sz w:val="24"/>
        </w:rPr>
        <w:t>即</w:t>
      </w:r>
      <w:r>
        <w:rPr>
          <w:sz w:val="24"/>
        </w:rPr>
        <w:t>¥</w:t>
      </w:r>
      <w:r>
        <w:rPr>
          <w:sz w:val="20"/>
          <w:u w:val="single"/>
        </w:rPr>
        <w:t xml:space="preserve">      </w:t>
      </w:r>
      <w:r>
        <w:rPr>
          <w:sz w:val="24"/>
        </w:rPr>
        <w:t>）</w:t>
      </w:r>
      <w:r>
        <w:rPr>
          <w:sz w:val="24"/>
        </w:rPr>
        <w:t>作为履约保证金，可转账或采取</w:t>
      </w:r>
      <w:r>
        <w:rPr>
          <w:sz w:val="24"/>
        </w:rPr>
        <w:t>银行保函</w:t>
      </w:r>
      <w:r>
        <w:rPr>
          <w:sz w:val="24"/>
        </w:rPr>
        <w:t>形式</w:t>
      </w:r>
      <w:r>
        <w:rPr>
          <w:sz w:val="24"/>
        </w:rPr>
        <w:t>，银行保函有效期至合同履约结束；</w:t>
      </w:r>
      <w:r>
        <w:rPr>
          <w:sz w:val="24"/>
        </w:rPr>
        <w:t>如转账支付履约保证金的，</w:t>
      </w:r>
      <w:r>
        <w:rPr>
          <w:sz w:val="24"/>
        </w:rPr>
        <w:t>2年免费保修期满后的60日内由甲方不计利息退还履约保证金，免费保修期依然生效。</w:t>
      </w:r>
    </w:p>
    <w:p>
      <w:pPr>
        <w:jc w:val="both"/>
      </w:pPr>
      <w:r>
        <w:rPr>
          <w:sz w:val="24"/>
        </w:rPr>
        <w:t>3.第二期：设备运到指定地点，安装调试完毕并验收合格入库后且乙方完成履约保证金相关手续后30个工作日内将合同总金额的70%（即¥</w:t>
      </w:r>
      <w:r>
        <w:rPr>
          <w:sz w:val="20"/>
          <w:u w:val="single"/>
        </w:rPr>
        <w:t xml:space="preserve">      </w:t>
      </w:r>
      <w:r>
        <w:rPr>
          <w:sz w:val="24"/>
        </w:rPr>
        <w:t>）支付给乙方。</w:t>
      </w:r>
    </w:p>
    <w:p>
      <w:pPr>
        <w:jc w:val="both"/>
      </w:pPr>
      <w:r>
        <w:rPr>
          <w:sz w:val="24"/>
        </w:rPr>
        <w:t>4.</w:t>
      </w:r>
      <w:r>
        <w:rPr>
          <w:sz w:val="24"/>
        </w:rPr>
        <w:t>乙方质保期违反合同及其附件约定的任何义务，甲方有权在履约保证金中直接扣除乙方应向甲方支付的违约金或损失赔偿额，如有不足的，乙方应按照甲方要求对超过的部分予以赔偿。甲方扣除履约保证金后，乙方应按照甲方要求补足履约保证金。</w:t>
      </w:r>
    </w:p>
    <w:p>
      <w:pPr>
        <w:jc w:val="left"/>
      </w:pPr>
      <w:r>
        <w:rPr>
          <w:sz w:val="24"/>
        </w:rPr>
        <w:t>（</w:t>
      </w:r>
      <w:r>
        <w:rPr>
          <w:sz w:val="24"/>
        </w:rPr>
        <w:t>二</w:t>
      </w:r>
      <w:r>
        <w:rPr>
          <w:sz w:val="24"/>
        </w:rPr>
        <w:t>）乙方须在第二期付款时间前</w:t>
      </w:r>
      <w:r>
        <w:rPr>
          <w:sz w:val="24"/>
        </w:rPr>
        <w:t>30日提供合法有效的全额发票给甲方。</w:t>
      </w:r>
      <w:r>
        <w:rPr>
          <w:b/>
          <w:sz w:val="20"/>
        </w:rPr>
        <w:t xml:space="preserve"> </w:t>
      </w:r>
      <w:r>
        <w:rPr>
          <w:b/>
          <w:sz w:val="20"/>
        </w:rPr>
        <w:t xml:space="preserve">     </w:t>
      </w:r>
    </w:p>
    <w:p>
      <w:pPr>
        <w:jc w:val="left"/>
      </w:pPr>
      <w:r>
        <w:rPr>
          <w:b/>
          <w:sz w:val="24"/>
        </w:rPr>
        <w:t>第五条</w:t>
      </w:r>
      <w:r>
        <w:rPr>
          <w:b/>
          <w:sz w:val="24"/>
        </w:rPr>
        <w:t xml:space="preserve"> </w:t>
      </w:r>
      <w:r>
        <w:rPr>
          <w:b/>
          <w:sz w:val="24"/>
        </w:rPr>
        <w:t>验收方式</w:t>
      </w:r>
    </w:p>
    <w:p>
      <w:pPr>
        <w:jc w:val="both"/>
      </w:pPr>
      <w:r>
        <w:rPr>
          <w:sz w:val="24"/>
        </w:rPr>
        <w:t>（一）验收时间：设备安装调试完毕正常运行后</w:t>
      </w:r>
      <w:r>
        <w:rPr>
          <w:sz w:val="24"/>
        </w:rPr>
        <w:t>1个月内。</w:t>
      </w:r>
    </w:p>
    <w:p>
      <w:pPr>
        <w:jc w:val="both"/>
      </w:pPr>
      <w:r>
        <w:rPr>
          <w:sz w:val="24"/>
        </w:rPr>
        <w:t>（二）验收方法：甲方派遣有经验有能力的人员检验产品和工程的质量和指标。</w:t>
      </w:r>
    </w:p>
    <w:p>
      <w:pPr>
        <w:jc w:val="both"/>
      </w:pPr>
      <w:r>
        <w:rPr>
          <w:sz w:val="24"/>
        </w:rPr>
        <w:t>（三）验收标准：符合本合同约定、招标文件、乙方的投标文件、澄清文件和中标通知书（以上文件发生冲突时以较高标准为准）的要求；单证齐全，有产品合格证（或质量保证书）、发票和其它应当具有单证文件。</w:t>
      </w:r>
    </w:p>
    <w:p>
      <w:pPr>
        <w:jc w:val="left"/>
      </w:pPr>
      <w:r>
        <w:rPr>
          <w:b/>
          <w:sz w:val="24"/>
        </w:rPr>
        <w:t>第六条</w:t>
      </w:r>
      <w:r>
        <w:rPr>
          <w:b/>
          <w:sz w:val="24"/>
        </w:rPr>
        <w:t xml:space="preserve"> </w:t>
      </w:r>
      <w:r>
        <w:rPr>
          <w:b/>
          <w:sz w:val="24"/>
        </w:rPr>
        <w:t>对产品异议的时间和办法</w:t>
      </w:r>
    </w:p>
    <w:p>
      <w:pPr>
        <w:jc w:val="both"/>
      </w:pPr>
      <w:r>
        <w:rPr>
          <w:sz w:val="24"/>
        </w:rPr>
        <w:t>（一）甲方在验收中，如果发现货物的品种、型号、数量、规格、质量或有关</w:t>
      </w:r>
      <w:r>
        <w:rPr>
          <w:sz w:val="24"/>
        </w:rPr>
        <w:t>服务、</w:t>
      </w:r>
      <w:r>
        <w:rPr>
          <w:sz w:val="24"/>
        </w:rPr>
        <w:t>软件及有关工程不合规定的，应妥为保管，并在三十日内向乙方提出书面异议。甲方怠于通知或者自货物收到之日起三个月内未通知乙方的，视为货物合乎规定。</w:t>
      </w:r>
    </w:p>
    <w:p>
      <w:pPr>
        <w:jc w:val="both"/>
      </w:pPr>
      <w:r>
        <w:rPr>
          <w:sz w:val="24"/>
        </w:rPr>
        <w:t>（二）乙方在接到甲方书面异议后，应在十天内处理，否则，视为乙方承认该货物存在甲方所指出的瑕疵并同意甲方提出的处理意见。</w:t>
      </w:r>
    </w:p>
    <w:p>
      <w:pPr>
        <w:jc w:val="left"/>
      </w:pPr>
      <w:r>
        <w:rPr>
          <w:b/>
          <w:sz w:val="24"/>
        </w:rPr>
        <w:t>第七条</w:t>
      </w:r>
      <w:r>
        <w:rPr>
          <w:b/>
          <w:sz w:val="24"/>
        </w:rPr>
        <w:t xml:space="preserve"> </w:t>
      </w:r>
      <w:r>
        <w:rPr>
          <w:b/>
          <w:sz w:val="24"/>
        </w:rPr>
        <w:t>乙方的违约责任</w:t>
      </w:r>
    </w:p>
    <w:p>
      <w:pPr>
        <w:jc w:val="left"/>
      </w:pPr>
      <w:r>
        <w:rPr>
          <w:sz w:val="24"/>
        </w:rPr>
        <w:t>（一）乙方不能交货的，甲方不向乙方付款。甲方有权解除本合同，乙方应向甲方偿付合同总价的百分之</w:t>
      </w:r>
      <w:r>
        <w:rPr>
          <w:sz w:val="24"/>
        </w:rPr>
        <w:t>15作为违约金，违约金不足以弥补甲方损失的，乙方应赔偿甲方实际损失。</w:t>
      </w:r>
    </w:p>
    <w:p>
      <w:pPr>
        <w:jc w:val="left"/>
      </w:pPr>
      <w:r>
        <w:rPr>
          <w:sz w:val="24"/>
        </w:rPr>
        <w:t>（二）乙方所交设备种类、数量、规格、质量和技术性能等不符合合同规定的，由乙方负责包换或包修，并承担修理、调换或退货而支付的实际费用，并向甲方偿付合同总价的百分之</w:t>
      </w:r>
      <w:r>
        <w:rPr>
          <w:sz w:val="24"/>
        </w:rPr>
        <w:t>10作为违约金。如乙方换货或修理后，设备仍不能达到合同约定</w:t>
      </w:r>
      <w:r>
        <w:rPr>
          <w:sz w:val="24"/>
        </w:rPr>
        <w:t>或乙方不按上述规定整改</w:t>
      </w:r>
      <w:r>
        <w:rPr>
          <w:sz w:val="24"/>
        </w:rPr>
        <w:t>的，甲方有权解除本合同，甲方解除本合同的，乙方应当退还甲方已经支付的款项，乙方还应向甲方支付合同总价的百分之</w:t>
      </w:r>
      <w:r>
        <w:rPr>
          <w:sz w:val="24"/>
        </w:rPr>
        <w:t>20作为违约金，违约金不足以弥补甲方损失的，乙方应赔偿甲方实际损失。</w:t>
      </w:r>
    </w:p>
    <w:p>
      <w:pPr>
        <w:jc w:val="left"/>
      </w:pPr>
      <w:r>
        <w:rPr>
          <w:sz w:val="24"/>
        </w:rPr>
        <w:t>（三）乙方逾期交货的，每日应向甲方偿付合同总额的百分之</w:t>
      </w:r>
      <w:r>
        <w:rPr>
          <w:sz w:val="24"/>
        </w:rPr>
        <w:t>0.1作为违约金，逾期达到30天及以上的，视为不能交货。</w:t>
      </w:r>
    </w:p>
    <w:p>
      <w:pPr>
        <w:jc w:val="left"/>
      </w:pPr>
      <w:r>
        <w:rPr>
          <w:sz w:val="24"/>
        </w:rPr>
        <w:t>（四）除本合同另有约定外，乙方每次违反本合同约定的，须按照合同总价的</w:t>
      </w:r>
      <w:r>
        <w:rPr>
          <w:sz w:val="24"/>
        </w:rPr>
        <w:t>3%向甲方支付违约金，违约金不足以弥补甲方损失的，乙方应赔偿甲方实际损失。</w:t>
      </w:r>
    </w:p>
    <w:p>
      <w:pPr>
        <w:jc w:val="left"/>
      </w:pPr>
      <w:r>
        <w:rPr>
          <w:b/>
          <w:sz w:val="24"/>
        </w:rPr>
        <w:t>第八条</w:t>
      </w:r>
      <w:r>
        <w:rPr>
          <w:b/>
          <w:sz w:val="24"/>
        </w:rPr>
        <w:t xml:space="preserve"> </w:t>
      </w:r>
      <w:r>
        <w:rPr>
          <w:b/>
          <w:sz w:val="24"/>
        </w:rPr>
        <w:t>甲方的违约责任</w:t>
      </w:r>
    </w:p>
    <w:p>
      <w:pPr>
        <w:jc w:val="left"/>
      </w:pPr>
      <w:r>
        <w:rPr>
          <w:sz w:val="24"/>
        </w:rPr>
        <w:t>（一）甲</w:t>
      </w:r>
      <w:r>
        <w:rPr>
          <w:sz w:val="24"/>
        </w:rPr>
        <w:t>方逾期付款的，每日应向乙方偿付合同总额的百分之</w:t>
      </w:r>
      <w:r>
        <w:rPr>
          <w:sz w:val="24"/>
        </w:rPr>
        <w:t>0.1作为违约金，违约金上限不超过合同总金额的10%。</w:t>
      </w:r>
    </w:p>
    <w:p>
      <w:pPr>
        <w:jc w:val="left"/>
      </w:pPr>
      <w:r>
        <w:rPr>
          <w:sz w:val="24"/>
        </w:rPr>
        <w:t>（二）甲方违反合同规定拒绝接受货物的，应当承担由此而对乙方造成的损失，违约金上限不超过合同总金额的</w:t>
      </w:r>
      <w:r>
        <w:rPr>
          <w:sz w:val="24"/>
        </w:rPr>
        <w:t>10%。</w:t>
      </w:r>
    </w:p>
    <w:p>
      <w:pPr>
        <w:jc w:val="left"/>
      </w:pPr>
      <w:r>
        <w:rPr>
          <w:b/>
          <w:sz w:val="24"/>
        </w:rPr>
        <w:t>第九条</w:t>
      </w:r>
      <w:r>
        <w:rPr>
          <w:b/>
          <w:sz w:val="24"/>
        </w:rPr>
        <w:t xml:space="preserve"> </w:t>
      </w:r>
      <w:r>
        <w:rPr>
          <w:b/>
          <w:sz w:val="24"/>
        </w:rPr>
        <w:t>不可抗力</w:t>
      </w:r>
    </w:p>
    <w:p>
      <w:pPr>
        <w:jc w:val="left"/>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jc w:val="left"/>
      </w:pPr>
      <w:r>
        <w:rPr>
          <w:b/>
          <w:sz w:val="24"/>
        </w:rPr>
        <w:t>第十条</w:t>
      </w:r>
      <w:r>
        <w:rPr>
          <w:b/>
          <w:sz w:val="24"/>
        </w:rPr>
        <w:t xml:space="preserve"> </w:t>
      </w:r>
      <w:r>
        <w:rPr>
          <w:b/>
          <w:sz w:val="24"/>
        </w:rPr>
        <w:t>争议的解决</w:t>
      </w:r>
    </w:p>
    <w:p>
      <w:pPr>
        <w:jc w:val="left"/>
      </w:pPr>
      <w:r>
        <w:rPr>
          <w:sz w:val="24"/>
        </w:rPr>
        <w:t>（一）如因货物的质量问题发生争议，由法定的质量技术鉴定机构进行质量鉴定，双方应当服从该鉴定的结论。</w:t>
      </w:r>
    </w:p>
    <w:p>
      <w:pPr>
        <w:jc w:val="left"/>
      </w:pPr>
      <w:r>
        <w:rPr>
          <w:sz w:val="24"/>
        </w:rPr>
        <w:t>（二）若执行本合同的过程中发生纠纷，双方当事人应当及时协商解决；协商不成时，可向合同签订地人民法院提起诉讼。</w:t>
      </w:r>
    </w:p>
    <w:p>
      <w:pPr>
        <w:jc w:val="left"/>
      </w:pPr>
      <w:r>
        <w:rPr>
          <w:b/>
          <w:sz w:val="24"/>
        </w:rPr>
        <w:t>第十一条</w:t>
      </w:r>
      <w:r>
        <w:rPr>
          <w:b/>
          <w:sz w:val="24"/>
        </w:rPr>
        <w:t xml:space="preserve"> </w:t>
      </w:r>
      <w:r>
        <w:rPr>
          <w:b/>
          <w:sz w:val="24"/>
        </w:rPr>
        <w:t>监督和管理</w:t>
      </w:r>
    </w:p>
    <w:p>
      <w:pPr>
        <w:jc w:val="left"/>
      </w:pPr>
      <w:r>
        <w:rPr>
          <w:sz w:val="24"/>
        </w:rPr>
        <w:t>（一）甲乙双方经协商一致需变更合同实质性条款或订立补充合同的，应先取得甲方管理部门和监督部门的同意，并将相关资料备案。</w:t>
      </w:r>
    </w:p>
    <w:p>
      <w:pPr>
        <w:jc w:val="left"/>
      </w:pPr>
      <w:r>
        <w:rPr>
          <w:sz w:val="24"/>
        </w:rPr>
        <w:t>（二）甲乙双方均应自觉配合甲方管理部门和监督部门对合同履行情况的监督检查，如实反映情况，提供有关资料。否则，将对有关单位、当事人按照有关规定予以处罚。</w:t>
      </w:r>
    </w:p>
    <w:p>
      <w:pPr>
        <w:jc w:val="left"/>
      </w:pPr>
      <w:r>
        <w:rPr>
          <w:b/>
          <w:sz w:val="24"/>
        </w:rPr>
        <w:t>第十二条</w:t>
      </w:r>
      <w:r>
        <w:rPr>
          <w:b/>
          <w:sz w:val="24"/>
        </w:rPr>
        <w:t xml:space="preserve"> </w:t>
      </w:r>
      <w:r>
        <w:rPr>
          <w:b/>
          <w:sz w:val="24"/>
        </w:rPr>
        <w:t>无效合同</w:t>
      </w:r>
    </w:p>
    <w:p>
      <w:pPr>
        <w:jc w:val="left"/>
      </w:pPr>
      <w:r>
        <w:rPr>
          <w:sz w:val="24"/>
        </w:rPr>
        <w:t>甲乙双方如因违反法律和有关规定，合同被宣告无效的，有过错的一方应当承担赔偿责任，双方都有过错的，各自承担相应的责任。</w:t>
      </w:r>
    </w:p>
    <w:p>
      <w:pPr>
        <w:jc w:val="left"/>
      </w:pPr>
      <w:r>
        <w:rPr>
          <w:b/>
          <w:sz w:val="24"/>
        </w:rPr>
        <w:t>第十三条</w:t>
      </w:r>
      <w:r>
        <w:rPr>
          <w:b/>
          <w:sz w:val="24"/>
        </w:rPr>
        <w:t xml:space="preserve"> </w:t>
      </w:r>
      <w:r>
        <w:rPr>
          <w:b/>
          <w:sz w:val="24"/>
        </w:rPr>
        <w:t>投诉</w:t>
      </w:r>
    </w:p>
    <w:p>
      <w:pPr>
        <w:jc w:val="left"/>
      </w:pPr>
      <w:r>
        <w:rPr>
          <w:sz w:val="24"/>
        </w:rPr>
        <w:t>甲方如对乙方所提供的货物质量及服务提出投诉，经核查如属有效投诉并超过三次，甲方管理部门和监督部门有权取消乙方的中标资格，并按有关规定接受处理。</w:t>
      </w:r>
    </w:p>
    <w:p>
      <w:pPr>
        <w:jc w:val="left"/>
      </w:pPr>
      <w:r>
        <w:rPr>
          <w:b/>
          <w:sz w:val="24"/>
        </w:rPr>
        <w:t>第十四条</w:t>
      </w:r>
      <w:r>
        <w:rPr>
          <w:b/>
          <w:sz w:val="24"/>
        </w:rPr>
        <w:t xml:space="preserve"> </w:t>
      </w:r>
      <w:r>
        <w:rPr>
          <w:b/>
          <w:sz w:val="24"/>
        </w:rPr>
        <w:t>附则</w:t>
      </w:r>
    </w:p>
    <w:p>
      <w:pPr>
        <w:jc w:val="left"/>
      </w:pPr>
      <w:r>
        <w:rPr>
          <w:sz w:val="24"/>
        </w:rPr>
        <w:t>（一）本合同一式</w:t>
      </w:r>
      <w:r>
        <w:rPr>
          <w:sz w:val="24"/>
        </w:rPr>
        <w:t>四</w:t>
      </w:r>
      <w:r>
        <w:rPr>
          <w:sz w:val="24"/>
        </w:rPr>
        <w:t>份，甲</w:t>
      </w:r>
      <w:r>
        <w:rPr>
          <w:sz w:val="24"/>
        </w:rPr>
        <w:t>方执两份，</w:t>
      </w:r>
      <w:r>
        <w:rPr>
          <w:sz w:val="24"/>
        </w:rPr>
        <w:t>乙方执一份，一份</w:t>
      </w:r>
      <w:r>
        <w:rPr>
          <w:sz w:val="20"/>
          <w:u w:val="single"/>
        </w:rPr>
        <w:t xml:space="preserve">            </w:t>
      </w:r>
      <w:r>
        <w:rPr>
          <w:sz w:val="24"/>
        </w:rPr>
        <w:t>招标公司存档，具有同等法律效力。合同附件为本合同的组成部分，与本合同正文具有同等法律效力。</w:t>
      </w:r>
    </w:p>
    <w:p>
      <w:pPr>
        <w:jc w:val="left"/>
      </w:pPr>
      <w:r>
        <w:rPr>
          <w:sz w:val="24"/>
        </w:rPr>
        <w:t>（二）本合同自甲乙双方签字盖章后生效。</w:t>
      </w:r>
    </w:p>
    <w:p>
      <w:pPr>
        <w:jc w:val="both"/>
      </w:pPr>
    </w:p>
    <w:p>
      <w:pPr>
        <w:jc w:val="both"/>
      </w:pPr>
      <w:r>
        <w:rPr>
          <w:sz w:val="24"/>
        </w:rPr>
        <w:t>购货单位（甲方）：</w:t>
      </w:r>
      <w:r>
        <w:rPr>
          <w:sz w:val="24"/>
        </w:rPr>
        <w:t xml:space="preserve">            </w:t>
      </w:r>
      <w:r>
        <w:rPr>
          <w:sz w:val="24"/>
        </w:rPr>
        <w:t>供货单位（乙方）：</w:t>
      </w:r>
    </w:p>
    <w:p>
      <w:pPr>
        <w:jc w:val="both"/>
      </w:pPr>
      <w:r>
        <w:rPr>
          <w:sz w:val="24"/>
        </w:rPr>
        <w:t>江门市中心医院</w:t>
      </w:r>
      <w:r>
        <w:rPr>
          <w:sz w:val="24"/>
        </w:rPr>
        <w:t xml:space="preserve">                </w:t>
      </w:r>
      <w:r>
        <w:rPr>
          <w:sz w:val="20"/>
          <w:u w:val="single"/>
        </w:rPr>
        <w:t xml:space="preserve">                                                          </w:t>
      </w:r>
    </w:p>
    <w:p>
      <w:pPr>
        <w:jc w:val="both"/>
      </w:pPr>
      <w:r>
        <w:rPr>
          <w:sz w:val="24"/>
        </w:rPr>
        <w:t>法定代表人：</w:t>
      </w:r>
      <w:r>
        <w:rPr>
          <w:sz w:val="24"/>
        </w:rPr>
        <w:t xml:space="preserve">                  </w:t>
      </w:r>
      <w:r>
        <w:rPr>
          <w:sz w:val="24"/>
        </w:rPr>
        <w:t>法定代表人：</w:t>
      </w:r>
    </w:p>
    <w:p>
      <w:pPr>
        <w:jc w:val="both"/>
      </w:pPr>
      <w:r>
        <w:rPr>
          <w:sz w:val="24"/>
        </w:rPr>
        <w:t>委托代理人：</w:t>
      </w:r>
      <w:r>
        <w:rPr>
          <w:sz w:val="24"/>
        </w:rPr>
        <w:t xml:space="preserve">                  </w:t>
      </w:r>
      <w:r>
        <w:rPr>
          <w:sz w:val="24"/>
        </w:rPr>
        <w:t>委托代理人：</w:t>
      </w:r>
    </w:p>
    <w:p>
      <w:pPr>
        <w:jc w:val="both"/>
      </w:pPr>
      <w:r>
        <w:rPr>
          <w:sz w:val="24"/>
        </w:rPr>
        <w:t>地址：</w:t>
      </w:r>
      <w:r>
        <w:rPr>
          <w:sz w:val="24"/>
        </w:rPr>
        <w:t xml:space="preserve">                        </w:t>
      </w:r>
      <w:r>
        <w:rPr>
          <w:sz w:val="24"/>
        </w:rPr>
        <w:t>地址：</w:t>
      </w:r>
    </w:p>
    <w:p>
      <w:pPr>
        <w:jc w:val="both"/>
      </w:pPr>
      <w:r>
        <w:rPr>
          <w:sz w:val="24"/>
        </w:rPr>
        <w:t>开户银行：</w:t>
      </w:r>
      <w:r>
        <w:rPr>
          <w:sz w:val="24"/>
        </w:rPr>
        <w:t xml:space="preserve">                    </w:t>
      </w:r>
      <w:r>
        <w:rPr>
          <w:sz w:val="24"/>
        </w:rPr>
        <w:t>开户银行：</w:t>
      </w:r>
    </w:p>
    <w:p>
      <w:pPr>
        <w:jc w:val="both"/>
      </w:pPr>
      <w:r>
        <w:rPr>
          <w:sz w:val="24"/>
        </w:rPr>
        <w:t>账号：</w:t>
      </w:r>
      <w:r>
        <w:rPr>
          <w:sz w:val="24"/>
        </w:rPr>
        <w:t xml:space="preserve">                        </w:t>
      </w:r>
      <w:r>
        <w:rPr>
          <w:sz w:val="24"/>
        </w:rPr>
        <w:t>账号：</w:t>
      </w:r>
    </w:p>
    <w:p>
      <w:pPr>
        <w:jc w:val="both"/>
      </w:pPr>
      <w:r>
        <w:rPr>
          <w:sz w:val="24"/>
        </w:rPr>
        <w:t>电话：</w:t>
      </w:r>
      <w:r>
        <w:rPr>
          <w:sz w:val="24"/>
        </w:rPr>
        <w:t xml:space="preserve">                        </w:t>
      </w:r>
      <w:r>
        <w:rPr>
          <w:sz w:val="24"/>
        </w:rPr>
        <w:t>电话：</w:t>
      </w:r>
    </w:p>
    <w:p>
      <w:pPr>
        <w:jc w:val="both"/>
      </w:pPr>
      <w:r>
        <w:rPr>
          <w:sz w:val="24"/>
        </w:rPr>
        <w:t>签约时间：</w:t>
      </w: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r>
        <w:rPr>
          <w:sz w:val="24"/>
        </w:rPr>
        <w:t>签约地点：江门市中心医院</w:t>
      </w:r>
    </w:p>
    <w:p>
      <w:pPr>
        <w:jc w:val="both"/>
      </w:pPr>
    </w:p>
    <w:p>
      <w:pPr>
        <w:jc w:val="both"/>
      </w:pPr>
      <w:r>
        <w:rPr>
          <w:sz w:val="24"/>
        </w:rPr>
        <w:t>以下为配置清单：</w:t>
      </w:r>
    </w:p>
    <w:p>
      <w:pPr>
        <w:jc w:val="center"/>
      </w:pPr>
      <w:r>
        <w:rPr>
          <w:sz w:val="24"/>
        </w:rPr>
        <w:t>项目名称：</w:t>
      </w:r>
      <w:r>
        <w:rPr>
          <w:sz w:val="20"/>
          <w:u w:val="single"/>
        </w:rPr>
        <w:t xml:space="preserve">                 </w:t>
      </w:r>
      <w:r>
        <w:rPr>
          <w:sz w:val="24"/>
        </w:rPr>
        <w:t>。</w:t>
      </w:r>
    </w:p>
    <w:p/>
    <w:p>
      <w:pPr>
        <w:jc w:val="both"/>
      </w:pPr>
    </w:p>
    <w:p>
      <w:pPr>
        <w:jc w:val="both"/>
      </w:pPr>
      <w:r>
        <w:rPr>
          <w:sz w:val="24"/>
        </w:rPr>
        <w:t>耗材清单：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64"/>
        <w:gridCol w:w="950"/>
        <w:gridCol w:w="881"/>
        <w:gridCol w:w="861"/>
        <w:gridCol w:w="854"/>
        <w:gridCol w:w="949"/>
        <w:gridCol w:w="655"/>
        <w:gridCol w:w="896"/>
        <w:gridCol w:w="896"/>
        <w:gridCol w:w="896"/>
      </w:tblGrid>
      <w:tr>
        <w:tc>
          <w:tcPr>
            <w:tcW w:type="dxa" w:w="464"/>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950"/>
            <w:tcBorders>
              <w:top w:val="single" w:color="000000" w:sz="4"/>
              <w:left w:val="single" w:color="000000" w:sz="4"/>
              <w:bottom w:val="single" w:color="000000" w:sz="4"/>
              <w:right w:val="single" w:color="000000" w:sz="4"/>
            </w:tcBorders>
            <w:vAlign w:val="top"/>
          </w:tcPr>
          <w:p>
            <w:pPr>
              <w:jc w:val="center"/>
            </w:pPr>
            <w:r>
              <w:rPr>
                <w:b/>
                <w:sz w:val="24"/>
              </w:rPr>
              <w:t>产品名称</w:t>
            </w:r>
          </w:p>
        </w:tc>
        <w:tc>
          <w:tcPr>
            <w:tcW w:type="dxa" w:w="881"/>
            <w:tcBorders>
              <w:top w:val="single" w:color="000000" w:sz="4"/>
              <w:left w:val="single" w:color="000000" w:sz="4"/>
              <w:bottom w:val="single" w:color="000000" w:sz="4"/>
              <w:right w:val="single" w:color="000000" w:sz="4"/>
            </w:tcBorders>
            <w:vAlign w:val="top"/>
          </w:tcPr>
          <w:p>
            <w:pPr>
              <w:ind w:firstLine="241"/>
              <w:jc w:val="both"/>
            </w:pPr>
            <w:r>
              <w:rPr>
                <w:b/>
                <w:sz w:val="24"/>
              </w:rPr>
              <w:t>产品型号</w:t>
            </w:r>
          </w:p>
        </w:tc>
        <w:tc>
          <w:tcPr>
            <w:tcW w:type="dxa" w:w="861"/>
            <w:tcBorders>
              <w:top w:val="single" w:color="000000" w:sz="4"/>
              <w:left w:val="single" w:color="000000" w:sz="4"/>
              <w:bottom w:val="single" w:color="000000" w:sz="4"/>
              <w:right w:val="single" w:color="000000" w:sz="4"/>
            </w:tcBorders>
            <w:vAlign w:val="top"/>
          </w:tcPr>
          <w:p>
            <w:pPr>
              <w:ind w:firstLine="241"/>
              <w:jc w:val="both"/>
            </w:pPr>
            <w:r>
              <w:rPr>
                <w:b/>
                <w:sz w:val="24"/>
              </w:rPr>
              <w:t>产品规格</w:t>
            </w:r>
          </w:p>
        </w:tc>
        <w:tc>
          <w:tcPr>
            <w:tcW w:type="dxa" w:w="854"/>
            <w:tcBorders>
              <w:top w:val="single" w:color="000000" w:sz="4"/>
              <w:left w:val="single" w:color="000000" w:sz="4"/>
              <w:bottom w:val="single" w:color="000000" w:sz="4"/>
              <w:right w:val="single" w:color="000000" w:sz="4"/>
            </w:tcBorders>
            <w:vAlign w:val="top"/>
          </w:tcPr>
          <w:p>
            <w:pPr>
              <w:jc w:val="center"/>
            </w:pPr>
            <w:r>
              <w:rPr>
                <w:b/>
                <w:sz w:val="24"/>
              </w:rPr>
              <w:t>注册证号</w:t>
            </w:r>
          </w:p>
        </w:tc>
        <w:tc>
          <w:tcPr>
            <w:tcW w:type="dxa" w:w="949"/>
            <w:tcBorders>
              <w:top w:val="single" w:color="000000" w:sz="4"/>
              <w:left w:val="single" w:color="000000" w:sz="4"/>
              <w:bottom w:val="single" w:color="000000" w:sz="4"/>
              <w:right w:val="single" w:color="000000" w:sz="4"/>
            </w:tcBorders>
            <w:vAlign w:val="top"/>
          </w:tcPr>
          <w:p>
            <w:pPr>
              <w:jc w:val="center"/>
            </w:pPr>
            <w:r>
              <w:rPr>
                <w:b/>
                <w:sz w:val="24"/>
              </w:rPr>
              <w:t>生产厂家</w:t>
            </w:r>
          </w:p>
        </w:tc>
        <w:tc>
          <w:tcPr>
            <w:tcW w:type="dxa" w:w="655"/>
            <w:tcBorders>
              <w:top w:val="single" w:color="000000" w:sz="4"/>
              <w:left w:val="single" w:color="000000" w:sz="4"/>
              <w:bottom w:val="single" w:color="000000" w:sz="4"/>
              <w:right w:val="single" w:color="000000" w:sz="4"/>
            </w:tcBorders>
            <w:vAlign w:val="top"/>
          </w:tcPr>
          <w:p>
            <w:pPr>
              <w:jc w:val="center"/>
            </w:pPr>
            <w:r>
              <w:rPr>
                <w:b/>
                <w:sz w:val="24"/>
              </w:rPr>
              <w:t>单位</w:t>
            </w:r>
          </w:p>
        </w:tc>
        <w:tc>
          <w:tcPr>
            <w:tcW w:type="dxa" w:w="896"/>
            <w:tcBorders>
              <w:top w:val="single" w:color="000000" w:sz="4"/>
              <w:left w:val="single" w:color="000000" w:sz="4"/>
              <w:bottom w:val="single" w:color="000000" w:sz="4"/>
              <w:right w:val="single" w:color="000000" w:sz="4"/>
            </w:tcBorders>
            <w:vAlign w:val="top"/>
          </w:tcPr>
          <w:p>
            <w:pPr>
              <w:jc w:val="center"/>
            </w:pPr>
          </w:p>
          <w:p>
            <w:pPr>
              <w:jc w:val="center"/>
            </w:pPr>
            <w:r>
              <w:rPr>
                <w:b/>
                <w:sz w:val="24"/>
              </w:rPr>
              <w:t>单价</w:t>
            </w:r>
          </w:p>
          <w:p>
            <w:pPr>
              <w:jc w:val="center"/>
            </w:pPr>
            <w:r>
              <w:rPr>
                <w:b/>
                <w:sz w:val="24"/>
              </w:rPr>
              <w:t>(人民币）</w:t>
            </w:r>
          </w:p>
        </w:tc>
        <w:tc>
          <w:tcPr>
            <w:tcW w:type="dxa" w:w="896"/>
            <w:tcBorders>
              <w:top w:val="single" w:color="000000" w:sz="4"/>
              <w:left w:val="single" w:color="000000" w:sz="4"/>
              <w:bottom w:val="single" w:color="000000" w:sz="4"/>
              <w:right w:val="single" w:color="000000" w:sz="4"/>
            </w:tcBorders>
            <w:vAlign w:val="top"/>
          </w:tcPr>
          <w:p>
            <w:pPr>
              <w:jc w:val="center"/>
            </w:pPr>
            <w:r>
              <w:rPr>
                <w:b/>
                <w:sz w:val="24"/>
              </w:rPr>
              <w:t>药交</w:t>
            </w:r>
            <w:r>
              <w:rPr>
                <w:b/>
                <w:sz w:val="24"/>
              </w:rPr>
              <w:t>id</w:t>
            </w:r>
          </w:p>
        </w:tc>
        <w:tc>
          <w:tcPr>
            <w:tcW w:type="dxa" w:w="896"/>
            <w:tcBorders>
              <w:top w:val="single" w:color="000000" w:sz="4"/>
              <w:left w:val="single" w:color="000000" w:sz="4"/>
              <w:bottom w:val="single" w:color="000000" w:sz="4"/>
              <w:right w:val="single" w:color="000000" w:sz="4"/>
            </w:tcBorders>
            <w:vAlign w:val="top"/>
          </w:tcPr>
          <w:p>
            <w:pPr>
              <w:jc w:val="center"/>
            </w:pPr>
            <w:r>
              <w:rPr>
                <w:b/>
                <w:sz w:val="24"/>
              </w:rPr>
              <w:t>备注</w:t>
            </w:r>
          </w:p>
        </w:tc>
      </w:tr>
      <w:tr>
        <w:tc>
          <w:tcPr>
            <w:tcW w:type="dxa" w:w="464"/>
            <w:tcBorders>
              <w:top w:val="none" w:color="000000" w:sz="4"/>
              <w:left w:val="single" w:color="000000" w:sz="4"/>
              <w:bottom w:val="single" w:color="000000" w:sz="4"/>
              <w:right w:val="single" w:color="000000" w:sz="4"/>
            </w:tcBorders>
            <w:vAlign w:val="top"/>
          </w:tcPr>
          <w:p>
            <w:pPr>
              <w:jc w:val="both"/>
            </w:pPr>
          </w:p>
        </w:tc>
        <w:tc>
          <w:tcPr>
            <w:tcW w:type="dxa" w:w="950"/>
            <w:tcBorders>
              <w:top w:val="none" w:color="000000" w:sz="4"/>
              <w:left w:val="single" w:color="000000" w:sz="4"/>
              <w:bottom w:val="single" w:color="000000" w:sz="4"/>
              <w:right w:val="single" w:color="000000" w:sz="4"/>
            </w:tcBorders>
            <w:vAlign w:val="top"/>
          </w:tcPr>
          <w:p>
            <w:pPr>
              <w:jc w:val="both"/>
            </w:pPr>
          </w:p>
        </w:tc>
        <w:tc>
          <w:tcPr>
            <w:tcW w:type="dxa" w:w="881"/>
            <w:tcBorders>
              <w:top w:val="none" w:color="000000" w:sz="4"/>
              <w:left w:val="single" w:color="000000" w:sz="4"/>
              <w:bottom w:val="single" w:color="000000" w:sz="4"/>
              <w:right w:val="single" w:color="000000" w:sz="4"/>
            </w:tcBorders>
            <w:vAlign w:val="top"/>
          </w:tcPr>
          <w:p>
            <w:pPr>
              <w:jc w:val="left"/>
            </w:pPr>
          </w:p>
        </w:tc>
        <w:tc>
          <w:tcPr>
            <w:tcW w:type="dxa" w:w="861"/>
            <w:tcBorders>
              <w:top w:val="none" w:color="000000" w:sz="4"/>
              <w:left w:val="single" w:color="000000" w:sz="4"/>
              <w:bottom w:val="single" w:color="000000" w:sz="4"/>
              <w:right w:val="single" w:color="000000" w:sz="4"/>
            </w:tcBorders>
            <w:vAlign w:val="top"/>
          </w:tcPr>
          <w:p>
            <w:pPr>
              <w:jc w:val="left"/>
            </w:pPr>
          </w:p>
        </w:tc>
        <w:tc>
          <w:tcPr>
            <w:tcW w:type="dxa" w:w="854"/>
            <w:tcBorders>
              <w:top w:val="none" w:color="000000" w:sz="4"/>
              <w:left w:val="single" w:color="000000" w:sz="4"/>
              <w:bottom w:val="single" w:color="000000" w:sz="4"/>
              <w:right w:val="single" w:color="000000" w:sz="4"/>
            </w:tcBorders>
            <w:vAlign w:val="top"/>
          </w:tcPr>
          <w:p>
            <w:pPr>
              <w:jc w:val="center"/>
            </w:pPr>
          </w:p>
        </w:tc>
        <w:tc>
          <w:tcPr>
            <w:tcW w:type="dxa" w:w="949"/>
            <w:tcBorders>
              <w:top w:val="none" w:color="000000" w:sz="4"/>
              <w:left w:val="single" w:color="000000" w:sz="4"/>
              <w:bottom w:val="single" w:color="000000" w:sz="4"/>
              <w:right w:val="single" w:color="000000" w:sz="4"/>
            </w:tcBorders>
            <w:vAlign w:val="top"/>
          </w:tcPr>
          <w:p>
            <w:pPr>
              <w:jc w:val="center"/>
            </w:pPr>
          </w:p>
        </w:tc>
        <w:tc>
          <w:tcPr>
            <w:tcW w:type="dxa" w:w="655"/>
            <w:tcBorders>
              <w:top w:val="none" w:color="000000" w:sz="4"/>
              <w:left w:val="single" w:color="000000" w:sz="4"/>
              <w:bottom w:val="single" w:color="000000" w:sz="4"/>
              <w:right w:val="single" w:color="000000" w:sz="4"/>
            </w:tcBorders>
            <w:vAlign w:val="top"/>
          </w:tcPr>
          <w:p>
            <w:pPr>
              <w:jc w:val="center"/>
            </w:pPr>
          </w:p>
        </w:tc>
        <w:tc>
          <w:tcPr>
            <w:tcW w:type="dxa" w:w="896"/>
            <w:tcBorders>
              <w:top w:val="none" w:color="000000" w:sz="4"/>
              <w:left w:val="single" w:color="000000" w:sz="4"/>
              <w:bottom w:val="single" w:color="000000" w:sz="4"/>
              <w:right w:val="single" w:color="000000" w:sz="4"/>
            </w:tcBorders>
            <w:vAlign w:val="top"/>
          </w:tcPr>
          <w:p>
            <w:pPr>
              <w:jc w:val="center"/>
            </w:pPr>
          </w:p>
        </w:tc>
        <w:tc>
          <w:tcPr>
            <w:tcW w:type="dxa" w:w="896"/>
            <w:tcBorders>
              <w:top w:val="none" w:color="000000" w:sz="4"/>
              <w:left w:val="single" w:color="000000" w:sz="4"/>
              <w:bottom w:val="single" w:color="000000" w:sz="4"/>
              <w:right w:val="single" w:color="000000" w:sz="4"/>
            </w:tcBorders>
            <w:vAlign w:val="top"/>
          </w:tcPr>
          <w:p>
            <w:pPr>
              <w:jc w:val="center"/>
            </w:pPr>
          </w:p>
        </w:tc>
        <w:tc>
          <w:tcPr>
            <w:tcW w:type="dxa" w:w="896"/>
            <w:tcBorders>
              <w:top w:val="none" w:color="000000" w:sz="4"/>
              <w:left w:val="single" w:color="000000" w:sz="4"/>
              <w:bottom w:val="single" w:color="000000" w:sz="4"/>
              <w:right w:val="single" w:color="000000" w:sz="4"/>
            </w:tcBorders>
            <w:vAlign w:val="top"/>
          </w:tcPr>
          <w:p>
            <w:pPr>
              <w:jc w:val="center"/>
            </w:pPr>
          </w:p>
        </w:tc>
      </w:tr>
      <w:tr>
        <w:tc>
          <w:tcPr>
            <w:tcW w:type="dxa" w:w="464"/>
            <w:tcBorders>
              <w:top w:val="none" w:color="000000" w:sz="4"/>
              <w:left w:val="single" w:color="000000" w:sz="4"/>
              <w:bottom w:val="single" w:color="000000" w:sz="4"/>
              <w:right w:val="single" w:color="000000" w:sz="4"/>
            </w:tcBorders>
            <w:vAlign w:val="top"/>
          </w:tcPr>
          <w:p>
            <w:pPr>
              <w:jc w:val="both"/>
            </w:pPr>
          </w:p>
        </w:tc>
        <w:tc>
          <w:tcPr>
            <w:tcW w:type="dxa" w:w="950"/>
            <w:tcBorders>
              <w:top w:val="none" w:color="000000" w:sz="4"/>
              <w:left w:val="single" w:color="000000" w:sz="4"/>
              <w:bottom w:val="single" w:color="000000" w:sz="4"/>
              <w:right w:val="single" w:color="000000" w:sz="4"/>
            </w:tcBorders>
            <w:vAlign w:val="top"/>
          </w:tcPr>
          <w:p>
            <w:pPr>
              <w:jc w:val="both"/>
            </w:pPr>
          </w:p>
        </w:tc>
        <w:tc>
          <w:tcPr>
            <w:tcW w:type="dxa" w:w="881"/>
            <w:tcBorders>
              <w:top w:val="none" w:color="000000" w:sz="4"/>
              <w:left w:val="single" w:color="000000" w:sz="4"/>
              <w:bottom w:val="single" w:color="000000" w:sz="4"/>
              <w:right w:val="single" w:color="000000" w:sz="4"/>
            </w:tcBorders>
            <w:vAlign w:val="top"/>
          </w:tcPr>
          <w:p>
            <w:pPr>
              <w:jc w:val="left"/>
            </w:pPr>
          </w:p>
        </w:tc>
        <w:tc>
          <w:tcPr>
            <w:tcW w:type="dxa" w:w="861"/>
            <w:tcBorders>
              <w:top w:val="none" w:color="000000" w:sz="4"/>
              <w:left w:val="single" w:color="000000" w:sz="4"/>
              <w:bottom w:val="single" w:color="000000" w:sz="4"/>
              <w:right w:val="single" w:color="000000" w:sz="4"/>
            </w:tcBorders>
            <w:vAlign w:val="top"/>
          </w:tcPr>
          <w:p>
            <w:pPr>
              <w:jc w:val="left"/>
            </w:pPr>
          </w:p>
        </w:tc>
        <w:tc>
          <w:tcPr>
            <w:tcW w:type="dxa" w:w="854"/>
            <w:tcBorders>
              <w:top w:val="none" w:color="000000" w:sz="4"/>
              <w:left w:val="single" w:color="000000" w:sz="4"/>
              <w:bottom w:val="single" w:color="000000" w:sz="4"/>
              <w:right w:val="single" w:color="000000" w:sz="4"/>
            </w:tcBorders>
            <w:vAlign w:val="top"/>
          </w:tcPr>
          <w:p>
            <w:pPr>
              <w:jc w:val="center"/>
            </w:pPr>
          </w:p>
        </w:tc>
        <w:tc>
          <w:tcPr>
            <w:tcW w:type="dxa" w:w="949"/>
            <w:tcBorders>
              <w:top w:val="none" w:color="000000" w:sz="4"/>
              <w:left w:val="single" w:color="000000" w:sz="4"/>
              <w:bottom w:val="single" w:color="000000" w:sz="4"/>
              <w:right w:val="single" w:color="000000" w:sz="4"/>
            </w:tcBorders>
            <w:vAlign w:val="top"/>
          </w:tcPr>
          <w:p>
            <w:pPr>
              <w:jc w:val="center"/>
            </w:pPr>
          </w:p>
        </w:tc>
        <w:tc>
          <w:tcPr>
            <w:tcW w:type="dxa" w:w="655"/>
            <w:tcBorders>
              <w:top w:val="none" w:color="000000" w:sz="4"/>
              <w:left w:val="single" w:color="000000" w:sz="4"/>
              <w:bottom w:val="single" w:color="000000" w:sz="4"/>
              <w:right w:val="single" w:color="000000" w:sz="4"/>
            </w:tcBorders>
            <w:vAlign w:val="top"/>
          </w:tcPr>
          <w:p>
            <w:pPr>
              <w:jc w:val="center"/>
            </w:pPr>
          </w:p>
        </w:tc>
        <w:tc>
          <w:tcPr>
            <w:tcW w:type="dxa" w:w="896"/>
            <w:tcBorders>
              <w:top w:val="none" w:color="000000" w:sz="4"/>
              <w:left w:val="single" w:color="000000" w:sz="4"/>
              <w:bottom w:val="single" w:color="000000" w:sz="4"/>
              <w:right w:val="single" w:color="000000" w:sz="4"/>
            </w:tcBorders>
            <w:vAlign w:val="top"/>
          </w:tcPr>
          <w:p>
            <w:pPr>
              <w:jc w:val="center"/>
            </w:pPr>
          </w:p>
        </w:tc>
        <w:tc>
          <w:tcPr>
            <w:tcW w:type="dxa" w:w="896"/>
            <w:tcBorders>
              <w:top w:val="none" w:color="000000" w:sz="4"/>
              <w:left w:val="single" w:color="000000" w:sz="4"/>
              <w:bottom w:val="single" w:color="000000" w:sz="4"/>
              <w:right w:val="single" w:color="000000" w:sz="4"/>
            </w:tcBorders>
            <w:vAlign w:val="top"/>
          </w:tcPr>
          <w:p>
            <w:pPr>
              <w:jc w:val="center"/>
            </w:pPr>
          </w:p>
        </w:tc>
        <w:tc>
          <w:tcPr>
            <w:tcW w:type="dxa" w:w="896"/>
            <w:tcBorders>
              <w:top w:val="none" w:color="000000" w:sz="4"/>
              <w:left w:val="single" w:color="000000" w:sz="4"/>
              <w:bottom w:val="single" w:color="000000" w:sz="4"/>
              <w:right w:val="single" w:color="000000" w:sz="4"/>
            </w:tcBorders>
            <w:vAlign w:val="top"/>
          </w:tcPr>
          <w:p>
            <w:pPr>
              <w:jc w:val="center"/>
            </w:pPr>
          </w:p>
        </w:tc>
      </w:tr>
    </w:tbl>
    <w:p>
      <w:pPr>
        <w:jc w:val="center"/>
      </w:pPr>
    </w:p>
    <w:p>
      <w:pPr>
        <w:ind w:firstLine="4819"/>
        <w:jc w:val="both"/>
      </w:pPr>
    </w:p>
    <w:p>
      <w:pPr>
        <w:jc w:val="both"/>
      </w:pPr>
    </w:p>
    <w:p/>
    <w:p>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440701-2023-00642</w:t>
      </w:r>
    </w:p>
    <w:p>
      <w:pPr>
        <w:jc w:val="center"/>
      </w:pPr>
      <w:r>
        <w:rPr>
          <w:b/>
          <w:sz w:val="24"/>
        </w:rPr>
        <w:t>采购项目编号：</w:t>
      </w:r>
      <w:r>
        <w:rPr>
          <w:b/>
          <w:sz w:val="24"/>
        </w:rPr>
        <w:t>CLF0122JM01ZC33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采联国际招标采购集团有限公司</w:t>
      </w:r>
    </w:p>
    <w:p>
      <w:pPr>
        <w:ind w:firstLine="480"/>
      </w:pPr>
      <w:r>
        <w:rPr/>
        <w:t>你方组织的</w:t>
      </w:r>
      <w:r>
        <w:rPr>
          <w:u w:val="single"/>
        </w:rPr>
        <w:t>“</w:t>
      </w:r>
      <w:r>
        <w:rPr>
          <w:u w:val="single"/>
        </w:rPr>
        <w:t>江门市中心医院彩色多普勒超声波诊断仪采购项目</w:t>
      </w:r>
      <w:r>
        <w:rPr>
          <w:u w:val="single"/>
        </w:rPr>
        <w:t>”</w:t>
      </w:r>
      <w:r>
        <w:rPr/>
        <w:t>项目的招标[采购项目编号为：</w:t>
      </w:r>
      <w:r>
        <w:rPr>
          <w:u w:val="single"/>
        </w:rPr>
        <w:t>CLF0122JM01ZC33</w:t>
      </w:r>
      <w:r>
        <w:rPr/>
        <w:t>]，我方愿参与投标。</w:t>
      </w:r>
    </w:p>
    <w:p>
      <w:pPr>
        <w:ind w:firstLine="480"/>
      </w:pPr>
      <w:r>
        <w:rPr/>
        <w:t>我方确认收到贵方提供的</w:t>
      </w:r>
      <w:r>
        <w:rPr>
          <w:u w:val="single"/>
        </w:rPr>
        <w:t>“</w:t>
      </w:r>
      <w:r>
        <w:rPr>
          <w:u w:val="single"/>
        </w:rPr>
        <w:t>江门市中心医院彩色多普勒超声波诊断仪采购项目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采联国际招标采购集团有限公司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江门市中心医院彩色多普勒超声波诊断仪采购项目</w:t>
      </w:r>
      <w:r>
        <w:rPr/>
        <w:t>”项目采购[采购项目编号为</w:t>
      </w:r>
      <w:r>
        <w:rPr/>
        <w:t>CLF0122JM01ZC33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采联国际招标采购集团有限公司</w:t>
      </w:r>
    </w:p>
    <w:p>
      <w:pPr>
        <w:ind w:firstLine="480"/>
      </w:pPr>
      <w:r>
        <w:rPr/>
        <w:t>如果我方在贵采购代理机构组织的</w:t>
      </w:r>
      <w:r>
        <w:rPr/>
        <w:t>江门市中心医院彩色多普勒超声波诊断仪采购项目</w:t>
      </w:r>
      <w:r>
        <w:rPr/>
        <w:t>招标中获中标（采购项目编号：</w:t>
      </w:r>
      <w:r>
        <w:rPr/>
        <w:t>CLF0122JM01ZC33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采联国际招标采购集团有限公司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采联国际招标采购集团有限公司</w:t>
      </w:r>
    </w:p>
    <w:p>
      <w:pPr>
        <w:ind w:firstLine="480"/>
      </w:pPr>
      <w:r>
        <w:rPr/>
        <w:t>我单位已登记并准备参与“</w:t>
      </w:r>
      <w:r>
        <w:rPr/>
        <w:t>江门市中心医院彩色多普勒超声波诊断仪采购项目</w:t>
      </w:r>
      <w:r>
        <w:rPr/>
        <w:t>”项目（采购项目编号：</w:t>
      </w:r>
      <w:r>
        <w:rPr/>
        <w:t>CLF0122JM01ZC33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