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440701-2023-00290</w:t>
      </w:r>
    </w:p>
    <w:p>
      <w:pPr>
        <w:jc w:val="center"/>
      </w:pPr>
      <w:r>
        <w:rPr>
          <w:b/>
          <w:sz w:val="24"/>
        </w:rPr>
        <w:t>采购项目编号：</w:t>
      </w:r>
      <w:r>
        <w:rPr>
          <w:b/>
          <w:sz w:val="24"/>
        </w:rPr>
        <w:t>440701-2023-00290</w:t>
      </w:r>
    </w:p>
    <w:p>
      <w:pPr>
        <w:jc w:val="center"/>
      </w:pPr>
      <w:r>
        <w:rPr>
          <w:b/>
          <w:sz w:val="24"/>
        </w:rPr>
        <w:t>项目名称：</w:t>
      </w:r>
      <w:r>
        <w:rPr>
          <w:b/>
          <w:sz w:val="24"/>
        </w:rPr>
        <w:t>江门市中心医院彩超机采购项目</w:t>
      </w:r>
    </w:p>
    <w:p>
      <w:pPr>
        <w:jc w:val="center"/>
      </w:pPr>
      <w:r>
        <w:rPr>
          <w:b/>
          <w:sz w:val="24"/>
        </w:rPr>
        <w:t>采购人：</w:t>
      </w:r>
      <w:r>
        <w:rPr>
          <w:b/>
          <w:sz w:val="24"/>
        </w:rPr>
        <w:t>江门市中心医院</w:t>
      </w:r>
    </w:p>
    <w:p>
      <w:pPr>
        <w:jc w:val="center"/>
      </w:pPr>
      <w:r>
        <w:rPr>
          <w:b/>
          <w:sz w:val="24"/>
        </w:rPr>
        <w:t>采购代理机构：</w:t>
      </w:r>
      <w:r>
        <w:rPr>
          <w:b/>
          <w:sz w:val="24"/>
        </w:rPr>
        <w:t>广东省机电设备招标中心有限公司</w:t>
      </w:r>
    </w:p>
    <w:p>
      <w:pPr>
        <w:ind w:firstLine="480"/>
      </w:pPr>
    </w:p>
    <w:p>
      <w:r>
        <w:rPr/>
        <w:t xml:space="preserve"> </w:t>
      </w:r>
    </w:p>
    <w:p/>
    <w:p>
      <w:pPr>
        <w:jc w:val="center"/>
      </w:pPr>
      <w:r>
        <w:rPr>
          <w:b/>
          <w:sz w:val="36"/>
        </w:rPr>
        <w:t>第一章投标邀请</w:t>
      </w:r>
    </w:p>
    <w:p>
      <w:pPr>
        <w:ind w:firstLine="480"/>
      </w:pPr>
      <w:r>
        <w:rPr/>
        <w:t>广东省机电设备招标中心有限公司</w:t>
      </w:r>
      <w:r>
        <w:rPr/>
        <w:t>受</w:t>
      </w:r>
      <w:r>
        <w:rPr/>
        <w:t>江门市中心医院</w:t>
      </w:r>
      <w:r>
        <w:rPr/>
        <w:t>的委托，采用</w:t>
      </w:r>
      <w:r>
        <w:rPr/>
        <w:t>公开招标</w:t>
      </w:r>
      <w:r>
        <w:rPr/>
        <w:t>方式组织采购</w:t>
      </w:r>
      <w:r>
        <w:rPr/>
        <w:t>江门市中心医院彩超机采购项目</w:t>
      </w:r>
      <w:r>
        <w:rPr/>
        <w:t>。欢迎符合资格条件的国内供应商参加投标。</w:t>
      </w:r>
    </w:p>
    <w:p>
      <w:r>
        <w:rPr>
          <w:b/>
          <w:sz w:val="28"/>
        </w:rPr>
        <w:t>一.项目概述</w:t>
      </w:r>
    </w:p>
    <w:p>
      <w:r>
        <w:rPr>
          <w:b/>
          <w:sz w:val="24"/>
        </w:rPr>
        <w:t>1.名称与编号</w:t>
      </w:r>
    </w:p>
    <w:p>
      <w:pPr>
        <w:ind w:firstLine="480"/>
      </w:pPr>
      <w:r>
        <w:rPr/>
        <w:t>项目名称：</w:t>
      </w:r>
      <w:r>
        <w:rPr/>
        <w:t>江门市中心医院彩超机采购项目</w:t>
      </w:r>
    </w:p>
    <w:p>
      <w:pPr>
        <w:ind w:firstLine="480"/>
      </w:pPr>
      <w:r>
        <w:rPr/>
        <w:t>采购计划编号：</w:t>
      </w:r>
      <w:r>
        <w:rPr/>
        <w:t>440701-2023-00290</w:t>
      </w:r>
    </w:p>
    <w:p>
      <w:pPr>
        <w:ind w:firstLine="480"/>
      </w:pPr>
      <w:r>
        <w:rPr/>
        <w:t>采购项目编号：</w:t>
      </w:r>
      <w:r>
        <w:rPr/>
        <w:t>440701-2023-00290</w:t>
      </w:r>
    </w:p>
    <w:p>
      <w:pPr>
        <w:ind w:firstLine="480"/>
      </w:pPr>
      <w:r>
        <w:rPr/>
        <w:t>采购方式：</w:t>
      </w:r>
      <w:r>
        <w:rPr/>
        <w:t>公开招标</w:t>
      </w:r>
    </w:p>
    <w:p>
      <w:pPr>
        <w:ind w:firstLine="480"/>
      </w:pPr>
      <w:r>
        <w:rPr/>
        <w:t>预算金额：</w:t>
      </w:r>
      <w:r>
        <w:rPr/>
        <w:t>2,380,000.00</w:t>
      </w:r>
      <w:r>
        <w:rPr/>
        <w:t>元</w:t>
      </w:r>
    </w:p>
    <w:p>
      <w:r>
        <w:rPr>
          <w:b/>
          <w:sz w:val="24"/>
        </w:rPr>
        <w:t>2.项目内容及需求情况（采购项目技术规格、参数及要求）</w:t>
      </w:r>
    </w:p>
    <w:p>
      <w:pPr>
        <w:ind w:firstLine="480"/>
      </w:pPr>
    </w:p>
    <w:p/>
    <w:p>
      <w:r>
        <w:rPr/>
        <w:t>采购包1(江门市中心医院彩超机采购项目):</w:t>
      </w:r>
    </w:p>
    <w:p>
      <w:r>
        <w:rPr/>
        <w:t>采购包预算金额：2,380,000.00元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医用超声波仪器及设备</w:t>
            </w:r>
          </w:p>
        </w:tc>
        <w:tc>
          <w:tcPr>
            <w:tcW w:type="dxa" w:w="2136"/>
          </w:tcPr>
          <w:p>
            <w:r>
              <w:rPr/>
              <w:t>彩超机</w:t>
            </w:r>
          </w:p>
        </w:tc>
        <w:tc>
          <w:tcPr>
            <w:tcW w:type="dxa" w:w="1187"/>
          </w:tcPr>
          <w:p>
            <w:r>
              <w:rPr/>
              <w:t>2.0000(套)</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3）具有良好的商业信誉和健全的财务会计制度：供应商必须具有良好的商业信誉和健全的财务会计制度（提供2021年度财务状况报告，或2022年任意一个月的财务报表，或基本开户行出具的资信证明）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采购包1（江门市中心医院彩超机采购项目）：</w:t>
      </w:r>
    </w:p>
    <w:p/>
    <w:p>
      <w:r>
        <w:rPr/>
        <w:t>1)供应商为制造商的须具备《医疗器械生产企业许可证》；供应商为代理商的须具备《医疗器械经营企业许可证》（经营第三类医疗器械）或《医疗器械经营备案凭证》（经营第二类医疗器械）（如国家另有规定，从其规定）。</w:t>
      </w:r>
    </w:p>
    <w:p/>
    <w:p>
      <w:r>
        <w:rPr/>
        <w:t>2)供应商所投产品(如属于医疗器械)须具备有效的《医疗器械产品注册证》。</w:t>
      </w:r>
    </w:p>
    <w:p/>
    <w:p>
      <w:r>
        <w:rPr/>
        <w:t>3)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4)单位负责人为同一人或者存在直接控股、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江门市中心医院</w:t>
      </w:r>
    </w:p>
    <w:p>
      <w:pPr>
        <w:ind w:firstLine="480"/>
      </w:pPr>
      <w:r>
        <w:rPr/>
        <w:t>地址：</w:t>
      </w:r>
      <w:r>
        <w:rPr/>
        <w:t>广东省江门市蓬江区海傍街23号</w:t>
      </w:r>
    </w:p>
    <w:p>
      <w:pPr>
        <w:ind w:firstLine="480"/>
      </w:pPr>
      <w:r>
        <w:rPr/>
        <w:t>联系方式：</w:t>
      </w:r>
      <w:r>
        <w:rPr/>
        <w:t>0750-3363721</w:t>
      </w:r>
    </w:p>
    <w:p>
      <w:r>
        <w:rPr>
          <w:b/>
          <w:sz w:val="24"/>
        </w:rPr>
        <w:t>2.采购代理机构信息</w:t>
      </w:r>
    </w:p>
    <w:p>
      <w:pPr>
        <w:ind w:firstLine="480"/>
      </w:pPr>
      <w:r>
        <w:rPr/>
        <w:t>名称：</w:t>
      </w:r>
      <w:r>
        <w:rPr/>
        <w:t>广东省机电设备招标中心有限公司</w:t>
      </w:r>
    </w:p>
    <w:p>
      <w:pPr>
        <w:ind w:firstLine="480"/>
      </w:pPr>
      <w:r>
        <w:rPr/>
        <w:t>地址：</w:t>
      </w:r>
      <w:r>
        <w:rPr/>
        <w:t>广东省广州市越秀区东风中路515号东照大厦5楼</w:t>
      </w:r>
    </w:p>
    <w:p>
      <w:pPr>
        <w:ind w:firstLine="480"/>
      </w:pPr>
      <w:r>
        <w:rPr/>
        <w:t>联系方式：</w:t>
      </w:r>
      <w:r>
        <w:rPr/>
        <w:t>0750-3808281、6188780</w:t>
      </w:r>
    </w:p>
    <w:p>
      <w:r>
        <w:rPr>
          <w:b/>
          <w:sz w:val="24"/>
        </w:rPr>
        <w:t>3.项目联系方式</w:t>
      </w:r>
    </w:p>
    <w:p>
      <w:pPr>
        <w:ind w:firstLine="480"/>
      </w:pPr>
      <w:r>
        <w:rPr/>
        <w:t>项目联系人：</w:t>
      </w:r>
      <w:r>
        <w:rPr/>
        <w:t>谭婉瑜</w:t>
      </w:r>
    </w:p>
    <w:p>
      <w:pPr>
        <w:ind w:firstLine="480"/>
      </w:pPr>
      <w:r>
        <w:rPr/>
        <w:t>电话：</w:t>
      </w:r>
      <w:r>
        <w:rPr/>
        <w:t>0750-3808281、6188780</w:t>
      </w:r>
    </w:p>
    <w:p>
      <w:r>
        <w:rPr>
          <w:b/>
          <w:sz w:val="24"/>
        </w:rPr>
        <w:t>4.技术支持联系方式</w:t>
      </w:r>
    </w:p>
    <w:p>
      <w:pPr>
        <w:ind w:firstLine="480"/>
      </w:pPr>
      <w:r>
        <w:rPr/>
        <w:t>云平台联系方式：020-88696588</w:t>
      </w:r>
    </w:p>
    <w:p>
      <w:r>
        <w:rPr/>
        <w:t>采购代理机构：</w:t>
      </w:r>
      <w:r>
        <w:rPr/>
        <w:t>广东省机电设备招标中心有限公司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color w:val="000000"/>
          <w:sz w:val="21"/>
        </w:rPr>
        <w:t>（</w:t>
      </w:r>
      <w:r>
        <w:rPr>
          <w:color w:val="000000"/>
          <w:sz w:val="21"/>
        </w:rPr>
        <w:t>1</w:t>
      </w:r>
      <w:r>
        <w:rPr>
          <w:color w:val="000000"/>
          <w:sz w:val="21"/>
        </w:rPr>
        <w:t>）本项目为江门市中心医院彩超机采购项目，采购数量</w:t>
      </w:r>
      <w:r>
        <w:rPr>
          <w:color w:val="000000"/>
          <w:sz w:val="21"/>
        </w:rPr>
        <w:t>2套。</w:t>
      </w:r>
      <w:r>
        <w:rPr>
          <w:color w:val="000000"/>
          <w:sz w:val="21"/>
        </w:rPr>
        <w:t>设备用途及说明：</w:t>
      </w:r>
      <w:r>
        <w:rPr>
          <w:color w:val="000000"/>
          <w:sz w:val="21"/>
        </w:rPr>
        <w:t>高端全身应用型彩色多普勒超声波诊断系统，主要用于腹部、心脏、妇产、泌尿、浅表小器官与血管、儿科、肌骨神经、介入诊疗、高端体检及临床学术研究</w:t>
      </w:r>
    </w:p>
    <w:p>
      <w:pPr>
        <w:jc w:val="both"/>
      </w:pPr>
      <w:r>
        <w:rPr>
          <w:sz w:val="21"/>
        </w:rPr>
        <w:t>（</w:t>
      </w:r>
      <w:r>
        <w:rPr>
          <w:sz w:val="21"/>
        </w:rPr>
        <w:t>2</w:t>
      </w:r>
      <w:r>
        <w:rPr>
          <w:sz w:val="21"/>
        </w:rPr>
        <w:t>）</w:t>
      </w:r>
      <w:r>
        <w:rPr>
          <w:sz w:val="21"/>
        </w:rPr>
        <w:t>投标人须对本项目的采购标的进行整体投标，任何只对本项目采购标的其中一部分内容、数量进行的投标都被视为无效投标。</w:t>
      </w:r>
    </w:p>
    <w:p>
      <w:pPr>
        <w:jc w:val="both"/>
      </w:pPr>
      <w:r>
        <w:rPr>
          <w:sz w:val="21"/>
        </w:rPr>
        <w:t>（</w:t>
      </w:r>
      <w:r>
        <w:rPr>
          <w:sz w:val="21"/>
        </w:rPr>
        <w:t>3</w:t>
      </w:r>
      <w:r>
        <w:rPr>
          <w:sz w:val="21"/>
        </w:rPr>
        <w:t>）如所投标产品为进口产品，投标人投标时请提供有效的厂家授权证明资料。</w:t>
      </w:r>
    </w:p>
    <w:p/>
    <w:p>
      <w:pPr>
        <w:ind w:firstLine="480"/>
      </w:pPr>
    </w:p>
    <w:p/>
    <w:p>
      <w:r>
        <w:rPr/>
        <w:t>采购包1（江门市中心医院彩超机采购项目）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合同签订后30个日历日内交货</w:t>
            </w:r>
          </w:p>
        </w:tc>
      </w:tr>
      <w:tr>
        <w:tc>
          <w:tcPr>
            <w:tcW w:type="dxa" w:w="4153"/>
          </w:tcPr>
          <w:p>
            <w:r>
              <w:rPr/>
              <w:t>标的提供的地点</w:t>
            </w:r>
          </w:p>
        </w:tc>
        <w:tc>
          <w:tcPr>
            <w:tcW w:type="dxa" w:w="4153"/>
          </w:tcPr>
          <w:p/>
          <w:p>
            <w:r>
              <w:rPr/>
              <w:t>江门市中心医院采购人指定地点</w:t>
            </w:r>
          </w:p>
        </w:tc>
      </w:tr>
      <w:tr>
        <w:tc>
          <w:tcPr>
            <w:tcW w:type="dxa" w:w="4153"/>
          </w:tcPr>
          <w:p>
            <w:r>
              <w:rPr/>
              <w:t>付款方式</w:t>
            </w:r>
          </w:p>
        </w:tc>
        <w:tc>
          <w:tcPr>
            <w:tcW w:type="dxa" w:w="4153"/>
          </w:tcPr>
          <w:p/>
          <w:p/>
          <w:p>
            <w:r>
              <w:rPr/>
              <w:t>1期：支付比例100%,1、合同款支付： 1.1.第一期：合同签订生效后的30个工作日内，将合同总金额的30%支付给乙方。  1.2.第二期：项目安装调试完毕并验收合格入库后的60日内将合同总金额的60%支付给乙方。 1.3.第三期：2年免费保修期满后的60日内，将合同总金额的10%支付给乙方。 1.4.乙方须在第二期付款时间前30日提供合法有效的全额发票给甲方。 2、付款方式：采用支票、银行汇票、银行转账三种形式。</w:t>
            </w:r>
          </w:p>
        </w:tc>
      </w:tr>
      <w:tr>
        <w:tc>
          <w:tcPr>
            <w:tcW w:type="dxa" w:w="4153"/>
          </w:tcPr>
          <w:p>
            <w:r>
              <w:rPr/>
              <w:t>验收要求</w:t>
            </w:r>
          </w:p>
        </w:tc>
        <w:tc>
          <w:tcPr>
            <w:tcW w:type="dxa" w:w="4153"/>
          </w:tcPr>
          <w:p/>
          <w:p/>
          <w:p/>
          <w:p>
            <w:r>
              <w:rPr/>
              <w:t>1期：详见合同文本</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付款方式</w:t>
            </w:r>
          </w:p>
        </w:tc>
        <w:tc>
          <w:tcPr>
            <w:tcW w:type="dxa" w:w="2076"/>
          </w:tcPr>
          <w:p>
            <w:pPr>
              <w:jc w:val="left"/>
            </w:pPr>
            <w:r>
              <w:rPr/>
              <w:t>1、合同款支付： 1.1.第一期：合同签订生效后的30个工作日内，将合同总金额的30%支付给乙方。 1.2.第二期：项目安装调试完毕并验收合格入库后的60日内将合同总金额的60%支付给乙方。 1.3.第三期：2年免费保修期满后的60日内，将合同总金额的10%支付给乙方。 1.4.乙方须在第二期付款时间前30日提供合法有效的全额发票给甲方。 2、付款方式：采用支票、银行汇票、银行转账三种形式。</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医用超声波仪器及设备</w:t>
            </w:r>
          </w:p>
        </w:tc>
        <w:tc>
          <w:tcPr>
            <w:tcW w:type="dxa" w:w="831"/>
          </w:tcPr>
          <w:p>
            <w:pPr>
              <w:jc w:val="left"/>
            </w:pPr>
            <w:r>
              <w:rPr/>
              <w:t>彩超机</w:t>
            </w:r>
          </w:p>
        </w:tc>
        <w:tc>
          <w:tcPr>
            <w:tcW w:type="dxa" w:w="831"/>
          </w:tcPr>
          <w:p>
            <w:pPr>
              <w:jc w:val="left"/>
            </w:pPr>
            <w:r>
              <w:rPr/>
              <w:t>套</w:t>
            </w:r>
          </w:p>
        </w:tc>
        <w:tc>
          <w:tcPr>
            <w:tcW w:type="dxa" w:w="831"/>
          </w:tcPr>
          <w:p>
            <w:pPr>
              <w:jc w:val="right"/>
            </w:pPr>
            <w:r>
              <w:rPr/>
              <w:t>2.00</w:t>
            </w:r>
          </w:p>
        </w:tc>
        <w:tc>
          <w:tcPr>
            <w:tcW w:type="dxa" w:w="831"/>
          </w:tcPr>
          <w:p>
            <w:pPr>
              <w:jc w:val="right"/>
            </w:pPr>
            <w:r>
              <w:rPr/>
              <w:t>1,190,000.00</w:t>
            </w:r>
          </w:p>
        </w:tc>
        <w:tc>
          <w:tcPr>
            <w:tcW w:type="dxa" w:w="831"/>
          </w:tcPr>
          <w:p>
            <w:pPr>
              <w:jc w:val="right"/>
            </w:pPr>
            <w:r>
              <w:rPr/>
              <w:t>2,380,000.00</w:t>
            </w:r>
          </w:p>
        </w:tc>
        <w:tc>
          <w:tcPr>
            <w:tcW w:type="dxa" w:w="831"/>
          </w:tcPr>
          <w:p>
            <w:r>
              <w:rPr/>
              <w:t>工业</w:t>
            </w:r>
          </w:p>
        </w:tc>
        <w:tc>
          <w:tcPr>
            <w:tcW w:type="dxa" w:w="831"/>
          </w:tcPr>
          <w:p>
            <w:r>
              <w:rPr/>
              <w:t>详见附表一</w:t>
            </w:r>
          </w:p>
        </w:tc>
      </w:tr>
    </w:tbl>
    <w:p/>
    <w:p>
      <w:r>
        <w:rPr>
          <w:b/>
        </w:rPr>
        <w:t>附表</w:t>
      </w:r>
      <w:r>
        <w:rPr>
          <w:b/>
        </w:rPr>
        <w:t>一</w:t>
      </w:r>
      <w:r>
        <w:rPr>
          <w:b/>
        </w:rPr>
        <w:t>：</w:t>
      </w:r>
      <w:r>
        <w:rPr>
          <w:b/>
        </w:rPr>
        <w:t>彩超机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w:t>
            </w:r>
            <w:r>
              <w:rPr>
                <w:b/>
                <w:color w:val="000000"/>
                <w:sz w:val="21"/>
              </w:rPr>
              <w:t>主要规格及系统概述</w:t>
            </w:r>
          </w:p>
        </w:tc>
      </w:tr>
      <w:tr>
        <w:tc>
          <w:tcPr>
            <w:tcW w:type="dxa" w:w="2076"/>
          </w:tcPr>
          <w:p/>
        </w:tc>
        <w:tc>
          <w:tcPr>
            <w:tcW w:type="dxa" w:w="415"/>
          </w:tcPr>
          <w:p>
            <w:r>
              <w:rPr/>
              <w:t>2</w:t>
            </w:r>
          </w:p>
        </w:tc>
        <w:tc>
          <w:tcPr>
            <w:tcW w:type="dxa" w:w="5814"/>
          </w:tcPr>
          <w:p>
            <w:r>
              <w:rPr>
                <w:b/>
                <w:color w:val="000000"/>
                <w:sz w:val="22"/>
              </w:rPr>
              <w:t>1.主机系统性能概括：</w:t>
            </w:r>
          </w:p>
        </w:tc>
      </w:tr>
      <w:tr>
        <w:tc>
          <w:tcPr>
            <w:tcW w:type="dxa" w:w="2076"/>
          </w:tcPr>
          <w:p/>
        </w:tc>
        <w:tc>
          <w:tcPr>
            <w:tcW w:type="dxa" w:w="415"/>
          </w:tcPr>
          <w:p>
            <w:r>
              <w:rPr/>
              <w:t>3</w:t>
            </w:r>
          </w:p>
        </w:tc>
        <w:tc>
          <w:tcPr>
            <w:tcW w:type="dxa" w:w="5814"/>
          </w:tcPr>
          <w:p>
            <w:r>
              <w:rPr/>
              <w:t xml:space="preserve">1.1 </w:t>
            </w:r>
            <w:r>
              <w:rPr>
                <w:color w:val="000000"/>
                <w:sz w:val="21"/>
              </w:rPr>
              <w:t>≥23英寸宽屏高分辨率监视器，具备万向关节臂设计，可实现上下左右前后任意方位调节，可前后折叠</w:t>
            </w:r>
          </w:p>
        </w:tc>
      </w:tr>
      <w:tr>
        <w:tc>
          <w:tcPr>
            <w:tcW w:type="dxa" w:w="2076"/>
          </w:tcPr>
          <w:p>
            <w:r>
              <w:rPr/>
              <w:t>▲</w:t>
            </w:r>
          </w:p>
        </w:tc>
        <w:tc>
          <w:tcPr>
            <w:tcW w:type="dxa" w:w="415"/>
          </w:tcPr>
          <w:p>
            <w:r>
              <w:rPr/>
              <w:t>4</w:t>
            </w:r>
          </w:p>
        </w:tc>
        <w:tc>
          <w:tcPr>
            <w:tcW w:type="dxa" w:w="5814"/>
          </w:tcPr>
          <w:p>
            <w:r>
              <w:rPr>
                <w:color w:val="000000"/>
                <w:sz w:val="21"/>
              </w:rPr>
              <w:t>▲</w:t>
            </w:r>
            <w:r>
              <w:rPr/>
              <w:t>1.2</w:t>
            </w:r>
            <w:r>
              <w:rPr>
                <w:color w:val="000000"/>
                <w:sz w:val="21"/>
              </w:rPr>
              <w:t>液晶触摸屏≥</w:t>
            </w:r>
            <w:r>
              <w:rPr>
                <w:color w:val="000000"/>
                <w:sz w:val="21"/>
              </w:rPr>
              <w:t>12</w:t>
            </w:r>
            <w:r>
              <w:rPr>
                <w:color w:val="000000"/>
                <w:sz w:val="21"/>
              </w:rPr>
              <w:t>英寸，支持界面编辑及滑动翻页功能</w:t>
            </w:r>
          </w:p>
        </w:tc>
      </w:tr>
      <w:tr>
        <w:tc>
          <w:tcPr>
            <w:tcW w:type="dxa" w:w="2076"/>
          </w:tcPr>
          <w:p/>
        </w:tc>
        <w:tc>
          <w:tcPr>
            <w:tcW w:type="dxa" w:w="415"/>
          </w:tcPr>
          <w:p>
            <w:r>
              <w:rPr/>
              <w:t>5</w:t>
            </w:r>
          </w:p>
        </w:tc>
        <w:tc>
          <w:tcPr>
            <w:tcW w:type="dxa" w:w="5814"/>
          </w:tcPr>
          <w:p>
            <w:r>
              <w:rPr/>
              <w:t xml:space="preserve">1.3 </w:t>
            </w:r>
            <w:r>
              <w:rPr>
                <w:color w:val="000000"/>
                <w:sz w:val="21"/>
              </w:rPr>
              <w:t>操作面板支持调节高度、前后左右位置及旋转，支持抽拉式式键盘</w:t>
            </w:r>
          </w:p>
        </w:tc>
      </w:tr>
      <w:tr>
        <w:tc>
          <w:tcPr>
            <w:tcW w:type="dxa" w:w="2076"/>
          </w:tcPr>
          <w:p/>
        </w:tc>
        <w:tc>
          <w:tcPr>
            <w:tcW w:type="dxa" w:w="415"/>
          </w:tcPr>
          <w:p>
            <w:r>
              <w:rPr/>
              <w:t>6</w:t>
            </w:r>
          </w:p>
        </w:tc>
        <w:tc>
          <w:tcPr>
            <w:tcW w:type="dxa" w:w="5814"/>
          </w:tcPr>
          <w:p>
            <w:pPr>
              <w:jc w:val="both"/>
            </w:pPr>
            <w:r>
              <w:rPr>
                <w:color w:val="000000"/>
                <w:sz w:val="21"/>
              </w:rPr>
              <w:t>1.4 原始数据储存，可对回放图像进行多种参数调节</w:t>
            </w:r>
          </w:p>
        </w:tc>
      </w:tr>
      <w:tr>
        <w:tc>
          <w:tcPr>
            <w:tcW w:type="dxa" w:w="2076"/>
          </w:tcPr>
          <w:p>
            <w:r>
              <w:rPr/>
              <w:t>▲</w:t>
            </w:r>
          </w:p>
        </w:tc>
        <w:tc>
          <w:tcPr>
            <w:tcW w:type="dxa" w:w="415"/>
          </w:tcPr>
          <w:p>
            <w:r>
              <w:rPr/>
              <w:t>7</w:t>
            </w:r>
          </w:p>
        </w:tc>
        <w:tc>
          <w:tcPr>
            <w:tcW w:type="dxa" w:w="5814"/>
          </w:tcPr>
          <w:p>
            <w:r>
              <w:rPr>
                <w:color w:val="000000"/>
                <w:sz w:val="21"/>
              </w:rPr>
              <w:t>▲1.5</w:t>
            </w:r>
            <w:r>
              <w:rPr>
                <w:color w:val="000000"/>
                <w:sz w:val="21"/>
              </w:rPr>
              <w:t>采用全域聚焦成像技术，图像无聚焦点或聚焦带</w:t>
            </w:r>
          </w:p>
        </w:tc>
      </w:tr>
      <w:tr>
        <w:tc>
          <w:tcPr>
            <w:tcW w:type="dxa" w:w="2076"/>
          </w:tcPr>
          <w:p/>
        </w:tc>
        <w:tc>
          <w:tcPr>
            <w:tcW w:type="dxa" w:w="415"/>
          </w:tcPr>
          <w:p>
            <w:r>
              <w:rPr/>
              <w:t>8</w:t>
            </w:r>
          </w:p>
        </w:tc>
        <w:tc>
          <w:tcPr>
            <w:tcW w:type="dxa" w:w="5814"/>
          </w:tcPr>
          <w:p>
            <w:r>
              <w:rPr/>
              <w:t>1.6 智能像素优化技术：提高图像整体空间分辨率、对比分辨率和信噪比，可调节开关。</w:t>
            </w:r>
          </w:p>
        </w:tc>
      </w:tr>
      <w:tr>
        <w:tc>
          <w:tcPr>
            <w:tcW w:type="dxa" w:w="2076"/>
          </w:tcPr>
          <w:p/>
        </w:tc>
        <w:tc>
          <w:tcPr>
            <w:tcW w:type="dxa" w:w="415"/>
          </w:tcPr>
          <w:p>
            <w:r>
              <w:rPr/>
              <w:t>9</w:t>
            </w:r>
          </w:p>
        </w:tc>
        <w:tc>
          <w:tcPr>
            <w:tcW w:type="dxa" w:w="5814"/>
          </w:tcPr>
          <w:p>
            <w:r>
              <w:rPr/>
              <w:t>1.7</w:t>
            </w:r>
            <w:r>
              <w:rPr>
                <w:color w:val="000000"/>
                <w:sz w:val="21"/>
              </w:rPr>
              <w:t>耦合剂加热装置，温度可调</w:t>
            </w:r>
          </w:p>
        </w:tc>
      </w:tr>
      <w:tr>
        <w:tc>
          <w:tcPr>
            <w:tcW w:type="dxa" w:w="2076"/>
          </w:tcPr>
          <w:p/>
        </w:tc>
        <w:tc>
          <w:tcPr>
            <w:tcW w:type="dxa" w:w="415"/>
          </w:tcPr>
          <w:p>
            <w:r>
              <w:rPr/>
              <w:t>10</w:t>
            </w:r>
          </w:p>
        </w:tc>
        <w:tc>
          <w:tcPr>
            <w:tcW w:type="dxa" w:w="5814"/>
          </w:tcPr>
          <w:p>
            <w:r>
              <w:rPr/>
              <w:t xml:space="preserve">1.8 </w:t>
            </w:r>
            <w:r>
              <w:rPr>
                <w:color w:val="000000"/>
                <w:sz w:val="21"/>
              </w:rPr>
              <w:t>智能互联功能：超声主机可与手机或平板电脑等移动终端相连接，使用移动设备代替面板及触摸屏按键完成冻结、检查模式切换、测量、拍照片等操作</w:t>
            </w:r>
          </w:p>
        </w:tc>
      </w:tr>
      <w:tr>
        <w:tc>
          <w:tcPr>
            <w:tcW w:type="dxa" w:w="2076"/>
          </w:tcPr>
          <w:p/>
        </w:tc>
        <w:tc>
          <w:tcPr>
            <w:tcW w:type="dxa" w:w="415"/>
          </w:tcPr>
          <w:p>
            <w:r>
              <w:rPr/>
              <w:t>11</w:t>
            </w:r>
          </w:p>
        </w:tc>
        <w:tc>
          <w:tcPr>
            <w:tcW w:type="dxa" w:w="5814"/>
          </w:tcPr>
          <w:p>
            <w:r>
              <w:rPr>
                <w:color w:val="000000"/>
                <w:sz w:val="21"/>
              </w:rPr>
              <w:t>1.9 影像互联功能：超声主机可与手机或平板电脑等移动终端相连接，由移动端所拍摄的图片可瞬时上传至超声设备，单幅显示或与超声、超声动态图像同屏对照显示</w:t>
            </w:r>
          </w:p>
        </w:tc>
      </w:tr>
      <w:tr>
        <w:tc>
          <w:tcPr>
            <w:tcW w:type="dxa" w:w="2076"/>
          </w:tcPr>
          <w:p/>
        </w:tc>
        <w:tc>
          <w:tcPr>
            <w:tcW w:type="dxa" w:w="415"/>
          </w:tcPr>
          <w:p>
            <w:r>
              <w:rPr/>
              <w:t>12</w:t>
            </w:r>
          </w:p>
        </w:tc>
        <w:tc>
          <w:tcPr>
            <w:tcW w:type="dxa" w:w="5814"/>
          </w:tcPr>
          <w:p>
            <w:r>
              <w:rPr>
                <w:b/>
                <w:sz w:val="21"/>
              </w:rPr>
              <w:t>2.</w:t>
            </w:r>
            <w:r>
              <w:rPr>
                <w:b/>
                <w:color w:val="000000"/>
                <w:sz w:val="22"/>
              </w:rPr>
              <w:t>二维灰阶成像单元</w:t>
            </w:r>
          </w:p>
        </w:tc>
      </w:tr>
      <w:tr>
        <w:tc>
          <w:tcPr>
            <w:tcW w:type="dxa" w:w="2076"/>
          </w:tcPr>
          <w:p>
            <w:r>
              <w:rPr/>
              <w:t>▲</w:t>
            </w:r>
          </w:p>
        </w:tc>
        <w:tc>
          <w:tcPr>
            <w:tcW w:type="dxa" w:w="415"/>
          </w:tcPr>
          <w:p>
            <w:r>
              <w:rPr/>
              <w:t>13</w:t>
            </w:r>
          </w:p>
        </w:tc>
        <w:tc>
          <w:tcPr>
            <w:tcW w:type="dxa" w:w="5814"/>
          </w:tcPr>
          <w:p>
            <w:r>
              <w:rPr>
                <w:color w:val="000000"/>
                <w:sz w:val="21"/>
              </w:rPr>
              <w:t>▲</w:t>
            </w:r>
            <w:r>
              <w:rPr/>
              <w:t xml:space="preserve">2.1 </w:t>
            </w:r>
            <w:r>
              <w:rPr>
                <w:color w:val="000000"/>
                <w:sz w:val="21"/>
              </w:rPr>
              <w:t>宽频可变频成像技术：灰阶、谐波、彩色、频谱支持独立变频，具体中心频率数值可视可调</w:t>
            </w:r>
          </w:p>
        </w:tc>
      </w:tr>
      <w:tr>
        <w:tc>
          <w:tcPr>
            <w:tcW w:type="dxa" w:w="2076"/>
          </w:tcPr>
          <w:p/>
        </w:tc>
        <w:tc>
          <w:tcPr>
            <w:tcW w:type="dxa" w:w="415"/>
          </w:tcPr>
          <w:p>
            <w:r>
              <w:rPr/>
              <w:t>14</w:t>
            </w:r>
          </w:p>
        </w:tc>
        <w:tc>
          <w:tcPr>
            <w:tcW w:type="dxa" w:w="5814"/>
          </w:tcPr>
          <w:p>
            <w:r>
              <w:rPr/>
              <w:t xml:space="preserve">2.2 </w:t>
            </w:r>
            <w:r>
              <w:rPr>
                <w:color w:val="000000"/>
                <w:sz w:val="21"/>
              </w:rPr>
              <w:t>斑点噪声抑制技术：支持所有探头，多级可调（并有专门妇产科、和肌骨专用选项），支持</w:t>
            </w:r>
            <w:r>
              <w:rPr>
                <w:color w:val="000000"/>
                <w:sz w:val="21"/>
              </w:rPr>
              <w:t>3D/4D、CFM/PDI、宽景成像、造影成像等技术</w:t>
            </w:r>
          </w:p>
        </w:tc>
      </w:tr>
      <w:tr>
        <w:tc>
          <w:tcPr>
            <w:tcW w:type="dxa" w:w="2076"/>
          </w:tcPr>
          <w:p/>
        </w:tc>
        <w:tc>
          <w:tcPr>
            <w:tcW w:type="dxa" w:w="415"/>
          </w:tcPr>
          <w:p>
            <w:r>
              <w:rPr/>
              <w:t>15</w:t>
            </w:r>
          </w:p>
        </w:tc>
        <w:tc>
          <w:tcPr>
            <w:tcW w:type="dxa" w:w="5814"/>
          </w:tcPr>
          <w:p/>
          <w:p>
            <w:r>
              <w:rPr/>
              <w:t>2.3</w:t>
            </w:r>
            <w:r>
              <w:rPr>
                <w:color w:val="000000"/>
                <w:sz w:val="21"/>
              </w:rPr>
              <w:t>空间复合成像：</w:t>
            </w:r>
          </w:p>
          <w:p>
            <w:pPr>
              <w:jc w:val="both"/>
            </w:pPr>
            <w:r>
              <w:rPr>
                <w:color w:val="000000"/>
                <w:sz w:val="21"/>
              </w:rPr>
              <w:t>1）支持所有凸阵、线阵及容积探头，具有帧平均、帧速率等多种可调节参数2）具有最大、平均、混合、运动校正四种复合模式，模式中具有三档开角可调节</w:t>
            </w:r>
          </w:p>
          <w:p/>
        </w:tc>
      </w:tr>
      <w:tr>
        <w:tc>
          <w:tcPr>
            <w:tcW w:type="dxa" w:w="2076"/>
          </w:tcPr>
          <w:p>
            <w:r>
              <w:rPr/>
              <w:t>▲</w:t>
            </w:r>
          </w:p>
        </w:tc>
        <w:tc>
          <w:tcPr>
            <w:tcW w:type="dxa" w:w="415"/>
          </w:tcPr>
          <w:p>
            <w:r>
              <w:rPr/>
              <w:t>16</w:t>
            </w:r>
          </w:p>
        </w:tc>
        <w:tc>
          <w:tcPr>
            <w:tcW w:type="dxa" w:w="5814"/>
          </w:tcPr>
          <w:p>
            <w:r>
              <w:rPr>
                <w:color w:val="000000"/>
                <w:sz w:val="21"/>
              </w:rPr>
              <w:t>▲2.4</w:t>
            </w:r>
            <w:r>
              <w:rPr>
                <w:color w:val="000000"/>
                <w:sz w:val="21"/>
              </w:rPr>
              <w:t>组织谐波成像：可用于全部成像探头，频率可视可调，中心频率数值可显示</w:t>
            </w:r>
          </w:p>
        </w:tc>
      </w:tr>
      <w:tr>
        <w:tc>
          <w:tcPr>
            <w:tcW w:type="dxa" w:w="2076"/>
          </w:tcPr>
          <w:p/>
        </w:tc>
        <w:tc>
          <w:tcPr>
            <w:tcW w:type="dxa" w:w="415"/>
          </w:tcPr>
          <w:p>
            <w:r>
              <w:rPr/>
              <w:t>17</w:t>
            </w:r>
          </w:p>
        </w:tc>
        <w:tc>
          <w:tcPr>
            <w:tcW w:type="dxa" w:w="5814"/>
          </w:tcPr>
          <w:p>
            <w:r>
              <w:rPr>
                <w:sz w:val="21"/>
              </w:rPr>
              <w:t xml:space="preserve">2.5 </w:t>
            </w:r>
            <w:r>
              <w:rPr>
                <w:color w:val="000000"/>
                <w:sz w:val="21"/>
              </w:rPr>
              <w:t>组织声束矫正技术：适用于所有凸阵及线阵探头，</w:t>
            </w:r>
            <w:r>
              <w:rPr>
                <w:color w:val="000000"/>
                <w:sz w:val="21"/>
              </w:rPr>
              <w:t>≥7级可调，可显示具体数值</w:t>
            </w:r>
          </w:p>
        </w:tc>
      </w:tr>
      <w:tr>
        <w:tc>
          <w:tcPr>
            <w:tcW w:type="dxa" w:w="2076"/>
          </w:tcPr>
          <w:p>
            <w:r>
              <w:rPr/>
              <w:t>▲</w:t>
            </w:r>
          </w:p>
        </w:tc>
        <w:tc>
          <w:tcPr>
            <w:tcW w:type="dxa" w:w="415"/>
          </w:tcPr>
          <w:p>
            <w:r>
              <w:rPr/>
              <w:t>18</w:t>
            </w:r>
          </w:p>
        </w:tc>
        <w:tc>
          <w:tcPr>
            <w:tcW w:type="dxa" w:w="5814"/>
          </w:tcPr>
          <w:p>
            <w:pPr>
              <w:jc w:val="both"/>
            </w:pPr>
            <w:r>
              <w:rPr>
                <w:color w:val="000000"/>
                <w:sz w:val="21"/>
              </w:rPr>
              <w:t>▲2.6</w:t>
            </w:r>
            <w:r>
              <w:rPr>
                <w:color w:val="000000"/>
                <w:sz w:val="21"/>
              </w:rPr>
              <w:t>宽景成像：扫描长度≥91cm，支持所有成像探头，可与空间复合成像功能联合使用，自动检测扫描方向，支持旋转及测量</w:t>
            </w:r>
          </w:p>
        </w:tc>
      </w:tr>
      <w:tr>
        <w:tc>
          <w:tcPr>
            <w:tcW w:type="dxa" w:w="2076"/>
          </w:tcPr>
          <w:p/>
        </w:tc>
        <w:tc>
          <w:tcPr>
            <w:tcW w:type="dxa" w:w="415"/>
          </w:tcPr>
          <w:p>
            <w:r>
              <w:rPr/>
              <w:t>19</w:t>
            </w:r>
          </w:p>
        </w:tc>
        <w:tc>
          <w:tcPr>
            <w:tcW w:type="dxa" w:w="5814"/>
          </w:tcPr>
          <w:p>
            <w:r>
              <w:rPr>
                <w:b/>
                <w:color w:val="000000"/>
                <w:sz w:val="22"/>
              </w:rPr>
              <w:t>3.先进成像技术</w:t>
            </w:r>
          </w:p>
        </w:tc>
      </w:tr>
      <w:tr>
        <w:tc>
          <w:tcPr>
            <w:tcW w:type="dxa" w:w="2076"/>
          </w:tcPr>
          <w:p>
            <w:r>
              <w:rPr/>
              <w:t>▲</w:t>
            </w:r>
          </w:p>
        </w:tc>
        <w:tc>
          <w:tcPr>
            <w:tcW w:type="dxa" w:w="415"/>
          </w:tcPr>
          <w:p>
            <w:r>
              <w:rPr/>
              <w:t>20</w:t>
            </w:r>
          </w:p>
        </w:tc>
        <w:tc>
          <w:tcPr>
            <w:tcW w:type="dxa" w:w="5814"/>
          </w:tcPr>
          <w:p>
            <w:r>
              <w:rPr>
                <w:color w:val="000000"/>
                <w:sz w:val="21"/>
              </w:rPr>
              <w:t>▲</w:t>
            </w:r>
            <w:r>
              <w:rPr/>
              <w:t>3.1</w:t>
            </w:r>
            <w:r>
              <w:rPr>
                <w:b/>
                <w:color w:val="000000"/>
                <w:sz w:val="21"/>
              </w:rPr>
              <w:t>灰阶血流成像技术</w:t>
            </w:r>
          </w:p>
        </w:tc>
      </w:tr>
      <w:tr>
        <w:tc>
          <w:tcPr>
            <w:tcW w:type="dxa" w:w="2076"/>
          </w:tcPr>
          <w:p/>
        </w:tc>
        <w:tc>
          <w:tcPr>
            <w:tcW w:type="dxa" w:w="415"/>
          </w:tcPr>
          <w:p>
            <w:r>
              <w:rPr/>
              <w:t>21</w:t>
            </w:r>
          </w:p>
        </w:tc>
        <w:tc>
          <w:tcPr>
            <w:tcW w:type="dxa" w:w="5814"/>
          </w:tcPr>
          <w:p>
            <w:r>
              <w:rPr>
                <w:color w:val="000000"/>
                <w:sz w:val="21"/>
              </w:rPr>
              <w:t>3.1.1非多普勒成像原理，真实反应血管内血流状态</w:t>
            </w:r>
          </w:p>
        </w:tc>
      </w:tr>
      <w:tr>
        <w:tc>
          <w:tcPr>
            <w:tcW w:type="dxa" w:w="2076"/>
          </w:tcPr>
          <w:p/>
        </w:tc>
        <w:tc>
          <w:tcPr>
            <w:tcW w:type="dxa" w:w="415"/>
          </w:tcPr>
          <w:p>
            <w:r>
              <w:rPr/>
              <w:t>22</w:t>
            </w:r>
          </w:p>
        </w:tc>
        <w:tc>
          <w:tcPr>
            <w:tcW w:type="dxa" w:w="5814"/>
          </w:tcPr>
          <w:p>
            <w:r>
              <w:rPr/>
              <w:t>3.1.2无取样框、无角度依赖，清晰显示血流动力学状态</w:t>
            </w:r>
          </w:p>
        </w:tc>
      </w:tr>
      <w:tr>
        <w:tc>
          <w:tcPr>
            <w:tcW w:type="dxa" w:w="2076"/>
          </w:tcPr>
          <w:p/>
        </w:tc>
        <w:tc>
          <w:tcPr>
            <w:tcW w:type="dxa" w:w="415"/>
          </w:tcPr>
          <w:p>
            <w:r>
              <w:rPr/>
              <w:t>23</w:t>
            </w:r>
          </w:p>
        </w:tc>
        <w:tc>
          <w:tcPr>
            <w:tcW w:type="dxa" w:w="5814"/>
          </w:tcPr>
          <w:p>
            <w:r>
              <w:rPr/>
              <w:t>3.1.3具有捕捉模式，把多帧图像累积到一起，按血流灌注先后顺序动态呈现血管的空间分布状态</w:t>
            </w:r>
          </w:p>
        </w:tc>
      </w:tr>
      <w:tr>
        <w:tc>
          <w:tcPr>
            <w:tcW w:type="dxa" w:w="2076"/>
          </w:tcPr>
          <w:p/>
        </w:tc>
        <w:tc>
          <w:tcPr>
            <w:tcW w:type="dxa" w:w="415"/>
          </w:tcPr>
          <w:p>
            <w:r>
              <w:rPr/>
              <w:t>24</w:t>
            </w:r>
          </w:p>
        </w:tc>
        <w:tc>
          <w:tcPr>
            <w:tcW w:type="dxa" w:w="5814"/>
          </w:tcPr>
          <w:p>
            <w:r>
              <w:rPr/>
              <w:t>3.1.4可去掉血流周围组织回声背景，单独显示血流；也可支持组织+血流双幅显示或叠加显示的方式</w:t>
            </w:r>
          </w:p>
        </w:tc>
      </w:tr>
      <w:tr>
        <w:tc>
          <w:tcPr>
            <w:tcW w:type="dxa" w:w="2076"/>
          </w:tcPr>
          <w:p/>
        </w:tc>
        <w:tc>
          <w:tcPr>
            <w:tcW w:type="dxa" w:w="415"/>
          </w:tcPr>
          <w:p>
            <w:r>
              <w:rPr/>
              <w:t>25</w:t>
            </w:r>
          </w:p>
        </w:tc>
        <w:tc>
          <w:tcPr>
            <w:tcW w:type="dxa" w:w="5814"/>
          </w:tcPr>
          <w:p>
            <w:r>
              <w:rPr>
                <w:color w:val="000000"/>
                <w:sz w:val="21"/>
              </w:rPr>
              <w:t>3.1.5支持凸阵/高频凸阵、小微凸、线阵/高频线阵、面阵、相控阵及介入探头等</w:t>
            </w:r>
          </w:p>
        </w:tc>
      </w:tr>
      <w:tr>
        <w:tc>
          <w:tcPr>
            <w:tcW w:type="dxa" w:w="2076"/>
          </w:tcPr>
          <w:p>
            <w:r>
              <w:rPr/>
              <w:t>▲</w:t>
            </w:r>
          </w:p>
        </w:tc>
        <w:tc>
          <w:tcPr>
            <w:tcW w:type="dxa" w:w="415"/>
          </w:tcPr>
          <w:p>
            <w:r>
              <w:rPr/>
              <w:t>26</w:t>
            </w:r>
          </w:p>
        </w:tc>
        <w:tc>
          <w:tcPr>
            <w:tcW w:type="dxa" w:w="5814"/>
          </w:tcPr>
          <w:p>
            <w:r>
              <w:rPr/>
              <w:t>▲3.2超微细血流成像技术，显示超微细血流及低速血流信号</w:t>
            </w:r>
          </w:p>
        </w:tc>
      </w:tr>
      <w:tr>
        <w:tc>
          <w:tcPr>
            <w:tcW w:type="dxa" w:w="2076"/>
          </w:tcPr>
          <w:p/>
        </w:tc>
        <w:tc>
          <w:tcPr>
            <w:tcW w:type="dxa" w:w="415"/>
          </w:tcPr>
          <w:p>
            <w:r>
              <w:rPr/>
              <w:t>27</w:t>
            </w:r>
          </w:p>
        </w:tc>
        <w:tc>
          <w:tcPr>
            <w:tcW w:type="dxa" w:w="5814"/>
          </w:tcPr>
          <w:p>
            <w:r>
              <w:rPr/>
              <w:t>3.2.1</w:t>
            </w:r>
            <w:r>
              <w:rPr>
                <w:color w:val="000000"/>
                <w:sz w:val="21"/>
              </w:rPr>
              <w:t>可支持腹部及小器官应用，支持</w:t>
            </w:r>
            <w:r>
              <w:rPr>
                <w:color w:val="000000"/>
                <w:sz w:val="21"/>
              </w:rPr>
              <w:t>≥4支线阵探头</w:t>
            </w:r>
          </w:p>
        </w:tc>
      </w:tr>
      <w:tr>
        <w:tc>
          <w:tcPr>
            <w:tcW w:type="dxa" w:w="2076"/>
          </w:tcPr>
          <w:p/>
        </w:tc>
        <w:tc>
          <w:tcPr>
            <w:tcW w:type="dxa" w:w="415"/>
          </w:tcPr>
          <w:p>
            <w:r>
              <w:rPr/>
              <w:t>28</w:t>
            </w:r>
          </w:p>
        </w:tc>
        <w:tc>
          <w:tcPr>
            <w:tcW w:type="dxa" w:w="5814"/>
          </w:tcPr>
          <w:p>
            <w:r>
              <w:rPr/>
              <w:t>3.2.2</w:t>
            </w:r>
            <w:r>
              <w:rPr>
                <w:color w:val="000000"/>
                <w:sz w:val="21"/>
              </w:rPr>
              <w:t>具备多级别背景模式选择，</w:t>
            </w:r>
            <w:r>
              <w:rPr>
                <w:color w:val="000000"/>
                <w:sz w:val="21"/>
              </w:rPr>
              <w:t>≥7级</w:t>
            </w:r>
          </w:p>
        </w:tc>
      </w:tr>
      <w:tr>
        <w:tc>
          <w:tcPr>
            <w:tcW w:type="dxa" w:w="2076"/>
          </w:tcPr>
          <w:p/>
        </w:tc>
        <w:tc>
          <w:tcPr>
            <w:tcW w:type="dxa" w:w="415"/>
          </w:tcPr>
          <w:p>
            <w:r>
              <w:rPr/>
              <w:t>29</w:t>
            </w:r>
          </w:p>
        </w:tc>
        <w:tc>
          <w:tcPr>
            <w:tcW w:type="dxa" w:w="5814"/>
          </w:tcPr>
          <w:p>
            <w:r>
              <w:rPr/>
              <w:t>3.2.3</w:t>
            </w:r>
            <w:r>
              <w:rPr>
                <w:color w:val="000000"/>
                <w:sz w:val="21"/>
              </w:rPr>
              <w:t>支持累积模式，累积级别可调控</w:t>
            </w:r>
          </w:p>
        </w:tc>
      </w:tr>
      <w:tr>
        <w:tc>
          <w:tcPr>
            <w:tcW w:type="dxa" w:w="2076"/>
          </w:tcPr>
          <w:p/>
        </w:tc>
        <w:tc>
          <w:tcPr>
            <w:tcW w:type="dxa" w:w="415"/>
          </w:tcPr>
          <w:p>
            <w:r>
              <w:rPr/>
              <w:t>30</w:t>
            </w:r>
          </w:p>
        </w:tc>
        <w:tc>
          <w:tcPr>
            <w:tcW w:type="dxa" w:w="5814"/>
          </w:tcPr>
          <w:p>
            <w:r>
              <w:rPr/>
              <w:t>3.2.4</w:t>
            </w:r>
            <w:r>
              <w:rPr>
                <w:color w:val="000000"/>
                <w:sz w:val="21"/>
              </w:rPr>
              <w:t>支持与</w:t>
            </w:r>
            <w:r>
              <w:rPr>
                <w:color w:val="000000"/>
                <w:sz w:val="21"/>
              </w:rPr>
              <w:t>B模式同屏对照显示，支持与实时拍摄的情景照片同屏对照显示</w:t>
            </w:r>
          </w:p>
        </w:tc>
      </w:tr>
      <w:tr>
        <w:tc>
          <w:tcPr>
            <w:tcW w:type="dxa" w:w="2076"/>
          </w:tcPr>
          <w:p/>
        </w:tc>
        <w:tc>
          <w:tcPr>
            <w:tcW w:type="dxa" w:w="415"/>
          </w:tcPr>
          <w:p>
            <w:r>
              <w:rPr/>
              <w:t>31</w:t>
            </w:r>
          </w:p>
        </w:tc>
        <w:tc>
          <w:tcPr>
            <w:tcW w:type="dxa" w:w="5814"/>
          </w:tcPr>
          <w:p>
            <w:r>
              <w:rPr/>
              <w:t>3.2.5</w:t>
            </w:r>
            <w:r>
              <w:rPr>
                <w:color w:val="000000"/>
                <w:sz w:val="21"/>
              </w:rPr>
              <w:t>超微细血流成像技术支持在造影模式下使用</w:t>
            </w:r>
          </w:p>
        </w:tc>
      </w:tr>
      <w:tr>
        <w:tc>
          <w:tcPr>
            <w:tcW w:type="dxa" w:w="2076"/>
          </w:tcPr>
          <w:p/>
        </w:tc>
        <w:tc>
          <w:tcPr>
            <w:tcW w:type="dxa" w:w="415"/>
          </w:tcPr>
          <w:p>
            <w:r>
              <w:rPr/>
              <w:t>32</w:t>
            </w:r>
          </w:p>
        </w:tc>
        <w:tc>
          <w:tcPr>
            <w:tcW w:type="dxa" w:w="5814"/>
          </w:tcPr>
          <w:p>
            <w:r>
              <w:rPr/>
              <w:t>3.3</w:t>
            </w:r>
            <w:r>
              <w:rPr>
                <w:color w:val="000000"/>
                <w:sz w:val="21"/>
              </w:rPr>
              <w:t>穿刺针增强显示功能</w:t>
            </w:r>
          </w:p>
        </w:tc>
      </w:tr>
      <w:tr>
        <w:tc>
          <w:tcPr>
            <w:tcW w:type="dxa" w:w="2076"/>
          </w:tcPr>
          <w:p/>
        </w:tc>
        <w:tc>
          <w:tcPr>
            <w:tcW w:type="dxa" w:w="415"/>
          </w:tcPr>
          <w:p>
            <w:r>
              <w:rPr/>
              <w:t>33</w:t>
            </w:r>
          </w:p>
        </w:tc>
        <w:tc>
          <w:tcPr>
            <w:tcW w:type="dxa" w:w="5814"/>
          </w:tcPr>
          <w:p>
            <w:r>
              <w:rPr/>
              <w:t>3.3.1</w:t>
            </w:r>
            <w:r>
              <w:rPr>
                <w:color w:val="000000"/>
                <w:sz w:val="21"/>
              </w:rPr>
              <w:t>可独立调整穿刺针的显示增益，不影响背景图像质量</w:t>
            </w:r>
          </w:p>
        </w:tc>
      </w:tr>
      <w:tr>
        <w:tc>
          <w:tcPr>
            <w:tcW w:type="dxa" w:w="2076"/>
          </w:tcPr>
          <w:p/>
        </w:tc>
        <w:tc>
          <w:tcPr>
            <w:tcW w:type="dxa" w:w="415"/>
          </w:tcPr>
          <w:p>
            <w:r>
              <w:rPr/>
              <w:t>34</w:t>
            </w:r>
          </w:p>
        </w:tc>
        <w:tc>
          <w:tcPr>
            <w:tcW w:type="dxa" w:w="5814"/>
          </w:tcPr>
          <w:p>
            <w:pPr>
              <w:jc w:val="both"/>
            </w:pPr>
            <w:r>
              <w:rPr>
                <w:color w:val="000000"/>
                <w:sz w:val="21"/>
              </w:rPr>
              <w:t>3.3.2多角度可调，帮助清晰显示穿刺路径，提高穿刺活检及介入治疗操作成功率</w:t>
            </w:r>
          </w:p>
        </w:tc>
      </w:tr>
      <w:tr>
        <w:tc>
          <w:tcPr>
            <w:tcW w:type="dxa" w:w="2076"/>
          </w:tcPr>
          <w:p/>
        </w:tc>
        <w:tc>
          <w:tcPr>
            <w:tcW w:type="dxa" w:w="415"/>
          </w:tcPr>
          <w:p>
            <w:r>
              <w:rPr/>
              <w:t>35</w:t>
            </w:r>
          </w:p>
        </w:tc>
        <w:tc>
          <w:tcPr>
            <w:tcW w:type="dxa" w:w="5814"/>
          </w:tcPr>
          <w:p>
            <w:r>
              <w:rPr/>
              <w:t xml:space="preserve">3.4 </w:t>
            </w:r>
            <w:r>
              <w:rPr>
                <w:sz w:val="21"/>
              </w:rPr>
              <w:t>智能多普勒技术：能够快速识别血管结构，自动调整彩色取样框位置、角度，调整频谱取样容积和取样角度</w:t>
            </w:r>
          </w:p>
        </w:tc>
      </w:tr>
      <w:tr>
        <w:tc>
          <w:tcPr>
            <w:tcW w:type="dxa" w:w="2076"/>
          </w:tcPr>
          <w:p/>
        </w:tc>
        <w:tc>
          <w:tcPr>
            <w:tcW w:type="dxa" w:w="415"/>
          </w:tcPr>
          <w:p>
            <w:r>
              <w:rPr/>
              <w:t>36</w:t>
            </w:r>
          </w:p>
        </w:tc>
        <w:tc>
          <w:tcPr>
            <w:tcW w:type="dxa" w:w="5814"/>
          </w:tcPr>
          <w:p>
            <w:r>
              <w:rPr/>
              <w:t>4.</w:t>
            </w:r>
            <w:r>
              <w:rPr>
                <w:b/>
                <w:color w:val="000000"/>
                <w:sz w:val="22"/>
              </w:rPr>
              <w:t>高级成像技术</w:t>
            </w:r>
          </w:p>
        </w:tc>
      </w:tr>
      <w:tr>
        <w:tc>
          <w:tcPr>
            <w:tcW w:type="dxa" w:w="2076"/>
          </w:tcPr>
          <w:p>
            <w:r>
              <w:rPr/>
              <w:t>▲</w:t>
            </w:r>
          </w:p>
        </w:tc>
        <w:tc>
          <w:tcPr>
            <w:tcW w:type="dxa" w:w="415"/>
          </w:tcPr>
          <w:p>
            <w:r>
              <w:rPr/>
              <w:t>37</w:t>
            </w:r>
          </w:p>
        </w:tc>
        <w:tc>
          <w:tcPr>
            <w:tcW w:type="dxa" w:w="5814"/>
          </w:tcPr>
          <w:p>
            <w:r>
              <w:rPr>
                <w:color w:val="000000"/>
                <w:sz w:val="21"/>
              </w:rPr>
              <w:t>▲</w:t>
            </w:r>
            <w:r>
              <w:rPr/>
              <w:t>4.1</w:t>
            </w:r>
            <w:r>
              <w:rPr>
                <w:b/>
                <w:color w:val="000000"/>
                <w:sz w:val="21"/>
              </w:rPr>
              <w:t>应变式弹性成像</w:t>
            </w:r>
          </w:p>
        </w:tc>
      </w:tr>
      <w:tr>
        <w:tc>
          <w:tcPr>
            <w:tcW w:type="dxa" w:w="2076"/>
          </w:tcPr>
          <w:p/>
        </w:tc>
        <w:tc>
          <w:tcPr>
            <w:tcW w:type="dxa" w:w="415"/>
          </w:tcPr>
          <w:p>
            <w:r>
              <w:rPr/>
              <w:t>38</w:t>
            </w:r>
          </w:p>
        </w:tc>
        <w:tc>
          <w:tcPr>
            <w:tcW w:type="dxa" w:w="5814"/>
          </w:tcPr>
          <w:p>
            <w:r>
              <w:rPr/>
              <w:t>4.1.1 具备成像质量监控色棒和操作动作曲线，指导医生操作</w:t>
            </w:r>
          </w:p>
        </w:tc>
      </w:tr>
      <w:tr>
        <w:tc>
          <w:tcPr>
            <w:tcW w:type="dxa" w:w="2076"/>
          </w:tcPr>
          <w:p/>
        </w:tc>
        <w:tc>
          <w:tcPr>
            <w:tcW w:type="dxa" w:w="415"/>
          </w:tcPr>
          <w:p>
            <w:r>
              <w:rPr/>
              <w:t>39</w:t>
            </w:r>
          </w:p>
        </w:tc>
        <w:tc>
          <w:tcPr>
            <w:tcW w:type="dxa" w:w="5814"/>
          </w:tcPr>
          <w:p>
            <w:r>
              <w:rPr/>
              <w:t>4.1.2 可支持凸阵、线阵/超高频线阵、腔内、面阵等探头</w:t>
            </w:r>
          </w:p>
        </w:tc>
      </w:tr>
      <w:tr>
        <w:tc>
          <w:tcPr>
            <w:tcW w:type="dxa" w:w="2076"/>
          </w:tcPr>
          <w:p/>
        </w:tc>
        <w:tc>
          <w:tcPr>
            <w:tcW w:type="dxa" w:w="415"/>
          </w:tcPr>
          <w:p>
            <w:r>
              <w:rPr/>
              <w:t>40</w:t>
            </w:r>
          </w:p>
        </w:tc>
        <w:tc>
          <w:tcPr>
            <w:tcW w:type="dxa" w:w="5814"/>
          </w:tcPr>
          <w:p>
            <w:r>
              <w:rPr/>
              <w:t>4.1.3 具备弹性量化分析：动态弹性图定量分析，可同屏提供≥8个感兴趣区的硬度值和≥7个感兴趣区与参照区的硬度比</w:t>
            </w:r>
          </w:p>
        </w:tc>
      </w:tr>
      <w:tr>
        <w:tc>
          <w:tcPr>
            <w:tcW w:type="dxa" w:w="2076"/>
          </w:tcPr>
          <w:p/>
        </w:tc>
        <w:tc>
          <w:tcPr>
            <w:tcW w:type="dxa" w:w="415"/>
          </w:tcPr>
          <w:p>
            <w:r>
              <w:rPr/>
              <w:t>41</w:t>
            </w:r>
          </w:p>
        </w:tc>
        <w:tc>
          <w:tcPr>
            <w:tcW w:type="dxa" w:w="5814"/>
          </w:tcPr>
          <w:p>
            <w:r>
              <w:rPr/>
              <w:t>4.2 成人心脏相控阵探头扫描角度≥120°</w:t>
            </w:r>
          </w:p>
        </w:tc>
      </w:tr>
      <w:tr>
        <w:tc>
          <w:tcPr>
            <w:tcW w:type="dxa" w:w="2076"/>
          </w:tcPr>
          <w:p/>
        </w:tc>
        <w:tc>
          <w:tcPr>
            <w:tcW w:type="dxa" w:w="415"/>
          </w:tcPr>
          <w:p>
            <w:r>
              <w:rPr/>
              <w:t>42</w:t>
            </w:r>
          </w:p>
        </w:tc>
        <w:tc>
          <w:tcPr>
            <w:tcW w:type="dxa" w:w="5814"/>
          </w:tcPr>
          <w:p>
            <w:r>
              <w:rPr/>
              <w:t>4.3 支持心肌组织多普勒速度成像，并且在组织多普勒的同时支持解剖 M型和曲线解剖M型</w:t>
            </w:r>
          </w:p>
        </w:tc>
      </w:tr>
      <w:tr>
        <w:tc>
          <w:tcPr>
            <w:tcW w:type="dxa" w:w="2076"/>
          </w:tcPr>
          <w:p>
            <w:r>
              <w:rPr/>
              <w:t>▲</w:t>
            </w:r>
          </w:p>
        </w:tc>
        <w:tc>
          <w:tcPr>
            <w:tcW w:type="dxa" w:w="415"/>
          </w:tcPr>
          <w:p>
            <w:r>
              <w:rPr/>
              <w:t>43</w:t>
            </w:r>
          </w:p>
        </w:tc>
        <w:tc>
          <w:tcPr>
            <w:tcW w:type="dxa" w:w="5814"/>
          </w:tcPr>
          <w:p>
            <w:r>
              <w:rPr/>
              <w:t>▲4.4 智能血管检查技术：一键自动识别血管位置、自动启动彩色多普勒功能、自动调整彩色取样框位置、角度，自动启动频谱多普勒、调整频谱取样容积及角度、自动优化频谱并自动测量</w:t>
            </w:r>
          </w:p>
        </w:tc>
      </w:tr>
      <w:tr>
        <w:tc>
          <w:tcPr>
            <w:tcW w:type="dxa" w:w="2076"/>
          </w:tcPr>
          <w:p/>
        </w:tc>
        <w:tc>
          <w:tcPr>
            <w:tcW w:type="dxa" w:w="415"/>
          </w:tcPr>
          <w:p>
            <w:r>
              <w:rPr/>
              <w:t>44</w:t>
            </w:r>
          </w:p>
        </w:tc>
        <w:tc>
          <w:tcPr>
            <w:tcW w:type="dxa" w:w="5814"/>
          </w:tcPr>
          <w:p>
            <w:r>
              <w:rPr/>
              <w:t>5. 测量和分析（B型、M型、频谱多普勒、彩色模式）</w:t>
            </w:r>
          </w:p>
        </w:tc>
      </w:tr>
      <w:tr>
        <w:tc>
          <w:tcPr>
            <w:tcW w:type="dxa" w:w="2076"/>
          </w:tcPr>
          <w:p/>
        </w:tc>
        <w:tc>
          <w:tcPr>
            <w:tcW w:type="dxa" w:w="415"/>
          </w:tcPr>
          <w:p>
            <w:r>
              <w:rPr/>
              <w:t>45</w:t>
            </w:r>
          </w:p>
        </w:tc>
        <w:tc>
          <w:tcPr>
            <w:tcW w:type="dxa" w:w="5814"/>
          </w:tcPr>
          <w:p>
            <w:r>
              <w:rPr/>
              <w:t>5.1 一般测量</w:t>
            </w:r>
          </w:p>
        </w:tc>
      </w:tr>
      <w:tr>
        <w:tc>
          <w:tcPr>
            <w:tcW w:type="dxa" w:w="2076"/>
          </w:tcPr>
          <w:p/>
        </w:tc>
        <w:tc>
          <w:tcPr>
            <w:tcW w:type="dxa" w:w="415"/>
          </w:tcPr>
          <w:p>
            <w:r>
              <w:rPr/>
              <w:t>46</w:t>
            </w:r>
          </w:p>
        </w:tc>
        <w:tc>
          <w:tcPr>
            <w:tcW w:type="dxa" w:w="5814"/>
          </w:tcPr>
          <w:p>
            <w:r>
              <w:rPr/>
              <w:t>5.2 妇产科测量</w:t>
            </w:r>
          </w:p>
        </w:tc>
      </w:tr>
      <w:tr>
        <w:tc>
          <w:tcPr>
            <w:tcW w:type="dxa" w:w="2076"/>
          </w:tcPr>
          <w:p>
            <w:r>
              <w:rPr/>
              <w:t>▲</w:t>
            </w:r>
          </w:p>
        </w:tc>
        <w:tc>
          <w:tcPr>
            <w:tcW w:type="dxa" w:w="415"/>
          </w:tcPr>
          <w:p>
            <w:r>
              <w:rPr/>
              <w:t>47</w:t>
            </w:r>
          </w:p>
        </w:tc>
        <w:tc>
          <w:tcPr>
            <w:tcW w:type="dxa" w:w="5814"/>
          </w:tcPr>
          <w:p>
            <w:r>
              <w:rPr/>
              <w:t>▲5.3  心脏功能测量</w:t>
            </w:r>
          </w:p>
        </w:tc>
      </w:tr>
      <w:tr>
        <w:tc>
          <w:tcPr>
            <w:tcW w:type="dxa" w:w="2076"/>
          </w:tcPr>
          <w:p/>
        </w:tc>
        <w:tc>
          <w:tcPr>
            <w:tcW w:type="dxa" w:w="415"/>
          </w:tcPr>
          <w:p>
            <w:r>
              <w:rPr/>
              <w:t>48</w:t>
            </w:r>
          </w:p>
        </w:tc>
        <w:tc>
          <w:tcPr>
            <w:tcW w:type="dxa" w:w="5814"/>
          </w:tcPr>
          <w:p>
            <w:r>
              <w:rPr/>
              <w:t>5.4</w:t>
            </w:r>
            <w:r>
              <w:rPr>
                <w:color w:val="000000"/>
                <w:sz w:val="21"/>
              </w:rPr>
              <w:t>多普勒血流测量与分析</w:t>
            </w:r>
          </w:p>
        </w:tc>
      </w:tr>
      <w:tr>
        <w:tc>
          <w:tcPr>
            <w:tcW w:type="dxa" w:w="2076"/>
          </w:tcPr>
          <w:p/>
        </w:tc>
        <w:tc>
          <w:tcPr>
            <w:tcW w:type="dxa" w:w="415"/>
          </w:tcPr>
          <w:p>
            <w:r>
              <w:rPr/>
              <w:t>49</w:t>
            </w:r>
          </w:p>
        </w:tc>
        <w:tc>
          <w:tcPr>
            <w:tcW w:type="dxa" w:w="5814"/>
          </w:tcPr>
          <w:p>
            <w:r>
              <w:rPr/>
              <w:t>5.5</w:t>
            </w:r>
            <w:r>
              <w:rPr>
                <w:color w:val="000000"/>
                <w:sz w:val="21"/>
              </w:rPr>
              <w:t>外周血管测量与分析</w:t>
            </w:r>
          </w:p>
        </w:tc>
      </w:tr>
      <w:tr>
        <w:tc>
          <w:tcPr>
            <w:tcW w:type="dxa" w:w="2076"/>
          </w:tcPr>
          <w:p/>
        </w:tc>
        <w:tc>
          <w:tcPr>
            <w:tcW w:type="dxa" w:w="415"/>
          </w:tcPr>
          <w:p>
            <w:r>
              <w:rPr/>
              <w:t>50</w:t>
            </w:r>
          </w:p>
        </w:tc>
        <w:tc>
          <w:tcPr>
            <w:tcW w:type="dxa" w:w="5814"/>
          </w:tcPr>
          <w:p>
            <w:r>
              <w:rPr/>
              <w:t>5.6</w:t>
            </w:r>
            <w:r>
              <w:rPr>
                <w:color w:val="000000"/>
                <w:sz w:val="21"/>
              </w:rPr>
              <w:t>泌尿科测量与分析</w:t>
            </w:r>
          </w:p>
        </w:tc>
      </w:tr>
      <w:tr>
        <w:tc>
          <w:tcPr>
            <w:tcW w:type="dxa" w:w="2076"/>
          </w:tcPr>
          <w:p/>
        </w:tc>
        <w:tc>
          <w:tcPr>
            <w:tcW w:type="dxa" w:w="415"/>
          </w:tcPr>
          <w:p>
            <w:r>
              <w:rPr/>
              <w:t>51</w:t>
            </w:r>
          </w:p>
        </w:tc>
        <w:tc>
          <w:tcPr>
            <w:tcW w:type="dxa" w:w="5814"/>
          </w:tcPr>
          <w:p>
            <w:r>
              <w:rPr/>
              <w:t>5.7</w:t>
            </w:r>
            <w:r>
              <w:rPr>
                <w:color w:val="000000"/>
                <w:sz w:val="21"/>
              </w:rPr>
              <w:t>多普勒频谱自动包络、测量与计算，参数由客户自由选择</w:t>
            </w:r>
          </w:p>
        </w:tc>
      </w:tr>
      <w:tr>
        <w:tc>
          <w:tcPr>
            <w:tcW w:type="dxa" w:w="2076"/>
          </w:tcPr>
          <w:p/>
        </w:tc>
        <w:tc>
          <w:tcPr>
            <w:tcW w:type="dxa" w:w="415"/>
          </w:tcPr>
          <w:p>
            <w:r>
              <w:rPr/>
              <w:t>52</w:t>
            </w:r>
          </w:p>
        </w:tc>
        <w:tc>
          <w:tcPr>
            <w:tcW w:type="dxa" w:w="5814"/>
          </w:tcPr>
          <w:p>
            <w:r>
              <w:rPr/>
              <w:t>6.</w:t>
            </w:r>
            <w:r>
              <w:rPr>
                <w:color w:val="000000"/>
                <w:sz w:val="21"/>
              </w:rPr>
              <w:t>图像存储与</w:t>
            </w:r>
            <w:r>
              <w:rPr>
                <w:color w:val="000000"/>
                <w:sz w:val="21"/>
              </w:rPr>
              <w:t>(电影)回放重现单元</w:t>
            </w:r>
          </w:p>
        </w:tc>
      </w:tr>
      <w:tr>
        <w:tc>
          <w:tcPr>
            <w:tcW w:type="dxa" w:w="2076"/>
          </w:tcPr>
          <w:p/>
        </w:tc>
        <w:tc>
          <w:tcPr>
            <w:tcW w:type="dxa" w:w="415"/>
          </w:tcPr>
          <w:p>
            <w:r>
              <w:rPr/>
              <w:t>53</w:t>
            </w:r>
          </w:p>
        </w:tc>
        <w:tc>
          <w:tcPr>
            <w:tcW w:type="dxa" w:w="5814"/>
          </w:tcPr>
          <w:p>
            <w:r>
              <w:rPr/>
              <w:t>7.</w:t>
            </w:r>
            <w:r>
              <w:rPr>
                <w:color w:val="000000"/>
                <w:sz w:val="21"/>
              </w:rPr>
              <w:t>输入</w:t>
            </w:r>
            <w:r>
              <w:rPr>
                <w:color w:val="000000"/>
                <w:sz w:val="21"/>
              </w:rPr>
              <w:t>/输出信号：HDMI、USB等</w:t>
            </w:r>
          </w:p>
        </w:tc>
      </w:tr>
      <w:tr>
        <w:tc>
          <w:tcPr>
            <w:tcW w:type="dxa" w:w="2076"/>
          </w:tcPr>
          <w:p/>
        </w:tc>
        <w:tc>
          <w:tcPr>
            <w:tcW w:type="dxa" w:w="415"/>
          </w:tcPr>
          <w:p>
            <w:r>
              <w:rPr/>
              <w:t>54</w:t>
            </w:r>
          </w:p>
        </w:tc>
        <w:tc>
          <w:tcPr>
            <w:tcW w:type="dxa" w:w="5814"/>
          </w:tcPr>
          <w:p>
            <w:r>
              <w:rPr/>
              <w:t>8.</w:t>
            </w:r>
            <w:r>
              <w:rPr>
                <w:color w:val="000000"/>
                <w:sz w:val="21"/>
              </w:rPr>
              <w:t>连通性：医学数字图像和通信</w:t>
            </w:r>
            <w:r>
              <w:rPr>
                <w:color w:val="000000"/>
                <w:sz w:val="21"/>
              </w:rPr>
              <w:t>DICOM 3.0版接口部件(且可以作为中央服务器远程读取、调入、存储其他彩超图像)，支持压缩和高清DICOM图像传输</w:t>
            </w:r>
          </w:p>
        </w:tc>
      </w:tr>
      <w:tr>
        <w:tc>
          <w:tcPr>
            <w:tcW w:type="dxa" w:w="2076"/>
          </w:tcPr>
          <w:p/>
        </w:tc>
        <w:tc>
          <w:tcPr>
            <w:tcW w:type="dxa" w:w="415"/>
          </w:tcPr>
          <w:p>
            <w:r>
              <w:rPr/>
              <w:t>55</w:t>
            </w:r>
          </w:p>
        </w:tc>
        <w:tc>
          <w:tcPr>
            <w:tcW w:type="dxa" w:w="5814"/>
          </w:tcPr>
          <w:p>
            <w:r>
              <w:rPr/>
              <w:t>9.</w:t>
            </w:r>
            <w:r>
              <w:rPr>
                <w:color w:val="000000"/>
                <w:sz w:val="21"/>
              </w:rPr>
              <w:t>超声图像存档与病案管理系统</w:t>
            </w:r>
          </w:p>
        </w:tc>
      </w:tr>
      <w:tr>
        <w:tc>
          <w:tcPr>
            <w:tcW w:type="dxa" w:w="2076"/>
          </w:tcPr>
          <w:p/>
        </w:tc>
        <w:tc>
          <w:tcPr>
            <w:tcW w:type="dxa" w:w="415"/>
          </w:tcPr>
          <w:p>
            <w:r>
              <w:rPr/>
              <w:t>56</w:t>
            </w:r>
          </w:p>
        </w:tc>
        <w:tc>
          <w:tcPr>
            <w:tcW w:type="dxa" w:w="5814"/>
          </w:tcPr>
          <w:p>
            <w:r>
              <w:rPr/>
              <w:t>9.1</w:t>
            </w:r>
            <w:r>
              <w:rPr>
                <w:color w:val="000000"/>
                <w:sz w:val="21"/>
              </w:rPr>
              <w:t>固态硬盘容量</w:t>
            </w:r>
            <w:r>
              <w:rPr>
                <w:color w:val="000000"/>
                <w:sz w:val="21"/>
              </w:rPr>
              <w:t>≥1TB</w:t>
            </w:r>
          </w:p>
        </w:tc>
      </w:tr>
      <w:tr>
        <w:tc>
          <w:tcPr>
            <w:tcW w:type="dxa" w:w="2076"/>
          </w:tcPr>
          <w:p/>
        </w:tc>
        <w:tc>
          <w:tcPr>
            <w:tcW w:type="dxa" w:w="415"/>
          </w:tcPr>
          <w:p>
            <w:r>
              <w:rPr/>
              <w:t>57</w:t>
            </w:r>
          </w:p>
        </w:tc>
        <w:tc>
          <w:tcPr>
            <w:tcW w:type="dxa" w:w="5814"/>
          </w:tcPr>
          <w:p>
            <w:r>
              <w:rPr/>
              <w:t>9.2</w:t>
            </w:r>
            <w:r>
              <w:rPr>
                <w:color w:val="000000"/>
                <w:sz w:val="21"/>
              </w:rPr>
              <w:t>一体化剪帖板：</w:t>
            </w:r>
            <w:r>
              <w:rPr>
                <w:color w:val="000000"/>
                <w:sz w:val="21"/>
              </w:rPr>
              <w:t>(在屏幕上)可以存储和回放动态及静态图像，图像大小有3种可调；在剪贴板上可以直接进行图像删除、转存或进入病案系统</w:t>
            </w:r>
          </w:p>
        </w:tc>
      </w:tr>
      <w:tr>
        <w:tc>
          <w:tcPr>
            <w:tcW w:type="dxa" w:w="2076"/>
          </w:tcPr>
          <w:p/>
        </w:tc>
        <w:tc>
          <w:tcPr>
            <w:tcW w:type="dxa" w:w="415"/>
          </w:tcPr>
          <w:p>
            <w:r>
              <w:rPr/>
              <w:t>58</w:t>
            </w:r>
          </w:p>
        </w:tc>
        <w:tc>
          <w:tcPr>
            <w:tcW w:type="dxa" w:w="5814"/>
          </w:tcPr>
          <w:p>
            <w:r>
              <w:rPr/>
              <w:t>9.3</w:t>
            </w:r>
            <w:r>
              <w:rPr>
                <w:color w:val="000000"/>
                <w:sz w:val="21"/>
              </w:rPr>
              <w:t>USB一键快速存储功能，只需一个按键一步操作即可把屏幕上的图像存至U盘、移动硬盘或者其它USB装置。USB接口支持U盘或移动硬盘快速存储屏幕上的图像</w:t>
            </w:r>
          </w:p>
        </w:tc>
      </w:tr>
      <w:tr>
        <w:tc>
          <w:tcPr>
            <w:tcW w:type="dxa" w:w="2076"/>
          </w:tcPr>
          <w:p/>
        </w:tc>
        <w:tc>
          <w:tcPr>
            <w:tcW w:type="dxa" w:w="415"/>
          </w:tcPr>
          <w:p>
            <w:r>
              <w:rPr/>
              <w:t>59</w:t>
            </w:r>
          </w:p>
        </w:tc>
        <w:tc>
          <w:tcPr>
            <w:tcW w:type="dxa" w:w="5814"/>
          </w:tcPr>
          <w:p>
            <w:r>
              <w:rPr/>
              <w:t>9.4</w:t>
            </w:r>
            <w:r>
              <w:rPr>
                <w:color w:val="000000"/>
                <w:sz w:val="21"/>
              </w:rPr>
              <w:t>超声图像静态、动态存储，原始数据回放重现</w:t>
            </w:r>
          </w:p>
        </w:tc>
      </w:tr>
      <w:tr>
        <w:tc>
          <w:tcPr>
            <w:tcW w:type="dxa" w:w="2076"/>
          </w:tcPr>
          <w:p/>
        </w:tc>
        <w:tc>
          <w:tcPr>
            <w:tcW w:type="dxa" w:w="415"/>
          </w:tcPr>
          <w:p>
            <w:r>
              <w:rPr/>
              <w:t>60</w:t>
            </w:r>
          </w:p>
        </w:tc>
        <w:tc>
          <w:tcPr>
            <w:tcW w:type="dxa" w:w="5814"/>
          </w:tcPr>
          <w:p>
            <w:r>
              <w:rPr/>
              <w:t>9.5</w:t>
            </w:r>
            <w:r>
              <w:rPr>
                <w:color w:val="000000"/>
                <w:sz w:val="21"/>
              </w:rPr>
              <w:t>动态图像、静态图像以</w:t>
            </w:r>
            <w:r>
              <w:rPr>
                <w:color w:val="000000"/>
                <w:sz w:val="21"/>
              </w:rPr>
              <w:t>JPEG或WMV（MPEGVue）格式直接存储于可移动媒介</w:t>
            </w:r>
          </w:p>
        </w:tc>
      </w:tr>
      <w:tr>
        <w:tc>
          <w:tcPr>
            <w:tcW w:type="dxa" w:w="2076"/>
          </w:tcPr>
          <w:p/>
        </w:tc>
        <w:tc>
          <w:tcPr>
            <w:tcW w:type="dxa" w:w="415"/>
          </w:tcPr>
          <w:p>
            <w:r>
              <w:rPr/>
              <w:t>61</w:t>
            </w:r>
          </w:p>
        </w:tc>
        <w:tc>
          <w:tcPr>
            <w:tcW w:type="dxa" w:w="5814"/>
          </w:tcPr>
          <w:p>
            <w:r>
              <w:rPr/>
              <w:t>9.6</w:t>
            </w:r>
            <w:r>
              <w:rPr>
                <w:color w:val="000000"/>
                <w:sz w:val="21"/>
              </w:rPr>
              <w:t>在屏剪帖板和多画面同屏回放功能，不同检查日期所存的图像可以回放至同一屏幕比较分析</w:t>
            </w:r>
          </w:p>
        </w:tc>
      </w:tr>
      <w:tr>
        <w:tc>
          <w:tcPr>
            <w:tcW w:type="dxa" w:w="2076"/>
          </w:tcPr>
          <w:p/>
        </w:tc>
        <w:tc>
          <w:tcPr>
            <w:tcW w:type="dxa" w:w="415"/>
          </w:tcPr>
          <w:p>
            <w:r>
              <w:rPr/>
              <w:t>62</w:t>
            </w:r>
          </w:p>
        </w:tc>
        <w:tc>
          <w:tcPr>
            <w:tcW w:type="dxa" w:w="5814"/>
          </w:tcPr>
          <w:p>
            <w:r>
              <w:rPr/>
              <w:t>二、</w:t>
            </w:r>
            <w:r>
              <w:rPr>
                <w:b/>
                <w:color w:val="000000"/>
                <w:sz w:val="22"/>
              </w:rPr>
              <w:t>技术参数要求</w:t>
            </w:r>
          </w:p>
        </w:tc>
      </w:tr>
      <w:tr>
        <w:tc>
          <w:tcPr>
            <w:tcW w:type="dxa" w:w="2076"/>
          </w:tcPr>
          <w:p/>
        </w:tc>
        <w:tc>
          <w:tcPr>
            <w:tcW w:type="dxa" w:w="415"/>
          </w:tcPr>
          <w:p>
            <w:r>
              <w:rPr/>
              <w:t>63</w:t>
            </w:r>
          </w:p>
        </w:tc>
        <w:tc>
          <w:tcPr>
            <w:tcW w:type="dxa" w:w="5814"/>
          </w:tcPr>
          <w:p>
            <w:r>
              <w:rPr/>
              <w:t>1.</w:t>
            </w:r>
            <w:r>
              <w:rPr>
                <w:b/>
                <w:color w:val="000000"/>
                <w:sz w:val="21"/>
              </w:rPr>
              <w:t>系统通用功能：</w:t>
            </w:r>
          </w:p>
        </w:tc>
      </w:tr>
      <w:tr>
        <w:tc>
          <w:tcPr>
            <w:tcW w:type="dxa" w:w="2076"/>
          </w:tcPr>
          <w:p/>
        </w:tc>
        <w:tc>
          <w:tcPr>
            <w:tcW w:type="dxa" w:w="415"/>
          </w:tcPr>
          <w:p>
            <w:r>
              <w:rPr/>
              <w:t>64</w:t>
            </w:r>
          </w:p>
        </w:tc>
        <w:tc>
          <w:tcPr>
            <w:tcW w:type="dxa" w:w="5814"/>
          </w:tcPr>
          <w:p>
            <w:r>
              <w:rPr/>
              <w:t>1.1</w:t>
            </w:r>
            <w:r>
              <w:rPr>
                <w:color w:val="000000"/>
                <w:sz w:val="21"/>
              </w:rPr>
              <w:t>监视器</w:t>
            </w:r>
            <w:r>
              <w:rPr>
                <w:color w:val="000000"/>
                <w:sz w:val="21"/>
              </w:rPr>
              <w:t>≥23.8英寸高分辨率监视器</w:t>
            </w:r>
          </w:p>
        </w:tc>
      </w:tr>
      <w:tr>
        <w:tc>
          <w:tcPr>
            <w:tcW w:type="dxa" w:w="2076"/>
          </w:tcPr>
          <w:p/>
        </w:tc>
        <w:tc>
          <w:tcPr>
            <w:tcW w:type="dxa" w:w="415"/>
          </w:tcPr>
          <w:p>
            <w:r>
              <w:rPr/>
              <w:t>65</w:t>
            </w:r>
          </w:p>
        </w:tc>
        <w:tc>
          <w:tcPr>
            <w:tcW w:type="dxa" w:w="5814"/>
          </w:tcPr>
          <w:p>
            <w:r>
              <w:rPr/>
              <w:t>1.2</w:t>
            </w:r>
            <w:r>
              <w:rPr>
                <w:color w:val="000000"/>
                <w:sz w:val="21"/>
              </w:rPr>
              <w:t>扫描方式：逐行扫描，高分辨率，全方位关节臂旋转</w:t>
            </w:r>
          </w:p>
        </w:tc>
      </w:tr>
      <w:tr>
        <w:tc>
          <w:tcPr>
            <w:tcW w:type="dxa" w:w="2076"/>
          </w:tcPr>
          <w:p/>
        </w:tc>
        <w:tc>
          <w:tcPr>
            <w:tcW w:type="dxa" w:w="415"/>
          </w:tcPr>
          <w:p>
            <w:r>
              <w:rPr/>
              <w:t>66</w:t>
            </w:r>
          </w:p>
        </w:tc>
        <w:tc>
          <w:tcPr>
            <w:tcW w:type="dxa" w:w="5814"/>
          </w:tcPr>
          <w:p>
            <w:r>
              <w:rPr/>
              <w:t>1.3</w:t>
            </w:r>
            <w:r>
              <w:rPr>
                <w:color w:val="000000"/>
                <w:sz w:val="21"/>
              </w:rPr>
              <w:t>探头接口</w:t>
            </w:r>
            <w:r>
              <w:rPr>
                <w:color w:val="000000"/>
                <w:sz w:val="21"/>
              </w:rPr>
              <w:t>≥4 个可激活的探头接口（不包括笔式探头接口）均为无针触点式大接口</w:t>
            </w:r>
          </w:p>
        </w:tc>
      </w:tr>
      <w:tr>
        <w:tc>
          <w:tcPr>
            <w:tcW w:type="dxa" w:w="2076"/>
          </w:tcPr>
          <w:p/>
        </w:tc>
        <w:tc>
          <w:tcPr>
            <w:tcW w:type="dxa" w:w="415"/>
          </w:tcPr>
          <w:p>
            <w:r>
              <w:rPr/>
              <w:t>67</w:t>
            </w:r>
          </w:p>
        </w:tc>
        <w:tc>
          <w:tcPr>
            <w:tcW w:type="dxa" w:w="5814"/>
          </w:tcPr>
          <w:p>
            <w:r>
              <w:rPr/>
              <w:t>2.</w:t>
            </w:r>
            <w:r>
              <w:rPr>
                <w:b/>
                <w:color w:val="000000"/>
                <w:sz w:val="21"/>
              </w:rPr>
              <w:t>探头规格</w:t>
            </w:r>
          </w:p>
        </w:tc>
      </w:tr>
      <w:tr>
        <w:tc>
          <w:tcPr>
            <w:tcW w:type="dxa" w:w="2076"/>
          </w:tcPr>
          <w:p/>
        </w:tc>
        <w:tc>
          <w:tcPr>
            <w:tcW w:type="dxa" w:w="415"/>
          </w:tcPr>
          <w:p>
            <w:r>
              <w:rPr/>
              <w:t>68</w:t>
            </w:r>
          </w:p>
        </w:tc>
        <w:tc>
          <w:tcPr>
            <w:tcW w:type="dxa" w:w="5814"/>
          </w:tcPr>
          <w:p>
            <w:r>
              <w:rPr/>
              <w:t>2.1</w:t>
            </w:r>
            <w:r>
              <w:rPr>
                <w:color w:val="000000"/>
                <w:sz w:val="21"/>
              </w:rPr>
              <w:t>频率：无针触点式宽频变频探头，所有探头及所有检查模式要有明确的中心频率显示，实现二维、谐波、彩色、多普勒频率独立可调</w:t>
            </w:r>
          </w:p>
        </w:tc>
      </w:tr>
      <w:tr>
        <w:tc>
          <w:tcPr>
            <w:tcW w:type="dxa" w:w="2076"/>
          </w:tcPr>
          <w:p/>
        </w:tc>
        <w:tc>
          <w:tcPr>
            <w:tcW w:type="dxa" w:w="415"/>
          </w:tcPr>
          <w:p>
            <w:r>
              <w:rPr/>
              <w:t>69</w:t>
            </w:r>
          </w:p>
        </w:tc>
        <w:tc>
          <w:tcPr>
            <w:tcW w:type="dxa" w:w="5814"/>
          </w:tcPr>
          <w:p>
            <w:r>
              <w:rPr/>
              <w:t>2.2</w:t>
            </w:r>
            <w:r>
              <w:rPr>
                <w:color w:val="000000"/>
                <w:sz w:val="21"/>
              </w:rPr>
              <w:t>工作频率范围可在</w:t>
            </w:r>
            <w:r>
              <w:rPr>
                <w:color w:val="000000"/>
                <w:sz w:val="21"/>
              </w:rPr>
              <w:t>1-16MHz之间选择</w:t>
            </w:r>
          </w:p>
        </w:tc>
      </w:tr>
      <w:tr>
        <w:tc>
          <w:tcPr>
            <w:tcW w:type="dxa" w:w="2076"/>
          </w:tcPr>
          <w:p/>
        </w:tc>
        <w:tc>
          <w:tcPr>
            <w:tcW w:type="dxa" w:w="415"/>
          </w:tcPr>
          <w:p>
            <w:r>
              <w:rPr/>
              <w:t>70</w:t>
            </w:r>
          </w:p>
        </w:tc>
        <w:tc>
          <w:tcPr>
            <w:tcW w:type="dxa" w:w="5814"/>
          </w:tcPr>
          <w:p>
            <w:r>
              <w:rPr/>
              <w:t>2.3</w:t>
            </w:r>
            <w:r>
              <w:rPr>
                <w:color w:val="000000"/>
                <w:sz w:val="21"/>
              </w:rPr>
              <w:t>阵元：小器官面阵探头阵元数</w:t>
            </w:r>
            <w:r>
              <w:rPr>
                <w:color w:val="000000"/>
                <w:sz w:val="21"/>
              </w:rPr>
              <w:t>≥1000阵元</w:t>
            </w:r>
          </w:p>
        </w:tc>
      </w:tr>
      <w:tr>
        <w:tc>
          <w:tcPr>
            <w:tcW w:type="dxa" w:w="2076"/>
          </w:tcPr>
          <w:p/>
        </w:tc>
        <w:tc>
          <w:tcPr>
            <w:tcW w:type="dxa" w:w="415"/>
          </w:tcPr>
          <w:p>
            <w:r>
              <w:rPr/>
              <w:t>71</w:t>
            </w:r>
          </w:p>
        </w:tc>
        <w:tc>
          <w:tcPr>
            <w:tcW w:type="dxa" w:w="5814"/>
          </w:tcPr>
          <w:p>
            <w:r>
              <w:rPr/>
              <w:t>2.4</w:t>
            </w:r>
            <w:r>
              <w:rPr>
                <w:color w:val="000000"/>
                <w:sz w:val="21"/>
              </w:rPr>
              <w:t>穿刺导向：探头可配穿刺导向装置，具备</w:t>
            </w:r>
            <w:r>
              <w:rPr>
                <w:color w:val="000000"/>
                <w:sz w:val="21"/>
              </w:rPr>
              <w:t>≥3个穿刺角度</w:t>
            </w:r>
          </w:p>
        </w:tc>
      </w:tr>
      <w:tr>
        <w:tc>
          <w:tcPr>
            <w:tcW w:type="dxa" w:w="2076"/>
          </w:tcPr>
          <w:p/>
        </w:tc>
        <w:tc>
          <w:tcPr>
            <w:tcW w:type="dxa" w:w="415"/>
          </w:tcPr>
          <w:p>
            <w:r>
              <w:rPr/>
              <w:t>72</w:t>
            </w:r>
          </w:p>
        </w:tc>
        <w:tc>
          <w:tcPr>
            <w:tcW w:type="dxa" w:w="5814"/>
          </w:tcPr>
          <w:p>
            <w:r>
              <w:rPr/>
              <w:t>2.5</w:t>
            </w:r>
            <w:r>
              <w:rPr>
                <w:color w:val="000000"/>
                <w:sz w:val="21"/>
              </w:rPr>
              <w:t>单晶体高性能腹部凸阵探头，支持声能放大和晶体降温技术：超声频率</w:t>
            </w:r>
            <w:r>
              <w:rPr>
                <w:color w:val="000000"/>
                <w:sz w:val="21"/>
              </w:rPr>
              <w:t>1.0-6.0MHz</w:t>
            </w:r>
            <w:r>
              <w:rPr>
                <w:sz w:val="21"/>
              </w:rPr>
              <w:t xml:space="preserve"> </w:t>
            </w:r>
          </w:p>
        </w:tc>
      </w:tr>
      <w:tr>
        <w:tc>
          <w:tcPr>
            <w:tcW w:type="dxa" w:w="2076"/>
          </w:tcPr>
          <w:p/>
        </w:tc>
        <w:tc>
          <w:tcPr>
            <w:tcW w:type="dxa" w:w="415"/>
          </w:tcPr>
          <w:p>
            <w:r>
              <w:rPr/>
              <w:t>73</w:t>
            </w:r>
          </w:p>
        </w:tc>
        <w:tc>
          <w:tcPr>
            <w:tcW w:type="dxa" w:w="5814"/>
          </w:tcPr>
          <w:p>
            <w:r>
              <w:rPr/>
              <w:t>2.6</w:t>
            </w:r>
            <w:r>
              <w:rPr>
                <w:color w:val="000000"/>
                <w:sz w:val="21"/>
              </w:rPr>
              <w:t>宽频变频小器官线阵探头：超声频率</w:t>
            </w:r>
            <w:r>
              <w:rPr>
                <w:color w:val="000000"/>
                <w:sz w:val="21"/>
              </w:rPr>
              <w:t>2.0-11.0MHz</w:t>
            </w:r>
            <w:r>
              <w:rPr>
                <w:sz w:val="21"/>
              </w:rPr>
              <w:t xml:space="preserve"> </w:t>
            </w:r>
          </w:p>
        </w:tc>
      </w:tr>
      <w:tr>
        <w:tc>
          <w:tcPr>
            <w:tcW w:type="dxa" w:w="2076"/>
          </w:tcPr>
          <w:p/>
        </w:tc>
        <w:tc>
          <w:tcPr>
            <w:tcW w:type="dxa" w:w="415"/>
          </w:tcPr>
          <w:p>
            <w:r>
              <w:rPr/>
              <w:t>74</w:t>
            </w:r>
          </w:p>
        </w:tc>
        <w:tc>
          <w:tcPr>
            <w:tcW w:type="dxa" w:w="5814"/>
          </w:tcPr>
          <w:p>
            <w:r>
              <w:rPr/>
              <w:t>2.7</w:t>
            </w:r>
            <w:r>
              <w:rPr>
                <w:color w:val="000000"/>
                <w:sz w:val="21"/>
              </w:rPr>
              <w:t>单晶体高性能相控阵探头，支持声能放大和晶体降温技术：超声频率</w:t>
            </w:r>
            <w:r>
              <w:rPr>
                <w:color w:val="000000"/>
                <w:sz w:val="21"/>
              </w:rPr>
              <w:t>1.0-5.0MHz，扫描角度</w:t>
            </w:r>
            <w:r>
              <w:rPr>
                <w:color w:val="000000"/>
                <w:sz w:val="21"/>
              </w:rPr>
              <w:t>≥</w:t>
            </w:r>
            <w:r>
              <w:rPr>
                <w:color w:val="000000"/>
                <w:sz w:val="21"/>
              </w:rPr>
              <w:t>120</w:t>
            </w:r>
            <w:r>
              <w:rPr>
                <w:color w:val="000000"/>
                <w:sz w:val="21"/>
              </w:rPr>
              <w:t>°</w:t>
            </w:r>
          </w:p>
        </w:tc>
      </w:tr>
      <w:tr>
        <w:tc>
          <w:tcPr>
            <w:tcW w:type="dxa" w:w="2076"/>
          </w:tcPr>
          <w:p/>
        </w:tc>
        <w:tc>
          <w:tcPr>
            <w:tcW w:type="dxa" w:w="415"/>
          </w:tcPr>
          <w:p>
            <w:r>
              <w:rPr/>
              <w:t>75</w:t>
            </w:r>
          </w:p>
        </w:tc>
        <w:tc>
          <w:tcPr>
            <w:tcW w:type="dxa" w:w="5814"/>
          </w:tcPr>
          <w:p>
            <w:r>
              <w:rPr/>
              <w:t>3.</w:t>
            </w:r>
            <w:r>
              <w:rPr>
                <w:b/>
                <w:color w:val="000000"/>
                <w:sz w:val="22"/>
              </w:rPr>
              <w:t>二维灰阶显示主要参数</w:t>
            </w:r>
          </w:p>
        </w:tc>
      </w:tr>
      <w:tr>
        <w:tc>
          <w:tcPr>
            <w:tcW w:type="dxa" w:w="2076"/>
          </w:tcPr>
          <w:p/>
        </w:tc>
        <w:tc>
          <w:tcPr>
            <w:tcW w:type="dxa" w:w="415"/>
          </w:tcPr>
          <w:p>
            <w:r>
              <w:rPr/>
              <w:t>76</w:t>
            </w:r>
          </w:p>
        </w:tc>
        <w:tc>
          <w:tcPr>
            <w:tcW w:type="dxa" w:w="5814"/>
          </w:tcPr>
          <w:p>
            <w:r>
              <w:rPr/>
              <w:t>3.1.1</w:t>
            </w:r>
            <w:r>
              <w:rPr>
                <w:color w:val="000000"/>
                <w:sz w:val="21"/>
              </w:rPr>
              <w:t>凸阵探头，</w:t>
            </w:r>
            <w:r>
              <w:rPr>
                <w:color w:val="000000"/>
                <w:sz w:val="21"/>
              </w:rPr>
              <w:t>18cm深度，全视野，最高线密度下，二维帧频≥58</w:t>
            </w:r>
          </w:p>
        </w:tc>
      </w:tr>
      <w:tr>
        <w:tc>
          <w:tcPr>
            <w:tcW w:type="dxa" w:w="2076"/>
          </w:tcPr>
          <w:p/>
        </w:tc>
        <w:tc>
          <w:tcPr>
            <w:tcW w:type="dxa" w:w="415"/>
          </w:tcPr>
          <w:p>
            <w:r>
              <w:rPr/>
              <w:t>77</w:t>
            </w:r>
          </w:p>
        </w:tc>
        <w:tc>
          <w:tcPr>
            <w:tcW w:type="dxa" w:w="5814"/>
          </w:tcPr>
          <w:p>
            <w:r>
              <w:rPr/>
              <w:t>3.1.2</w:t>
            </w:r>
            <w:r>
              <w:rPr>
                <w:color w:val="000000"/>
                <w:sz w:val="21"/>
              </w:rPr>
              <w:t>凸阵探头，</w:t>
            </w:r>
            <w:r>
              <w:rPr>
                <w:color w:val="000000"/>
                <w:sz w:val="21"/>
              </w:rPr>
              <w:t>18cm深度，全视野，最高线密度下，彩色帧频≥16</w:t>
            </w:r>
          </w:p>
        </w:tc>
      </w:tr>
      <w:tr>
        <w:tc>
          <w:tcPr>
            <w:tcW w:type="dxa" w:w="2076"/>
          </w:tcPr>
          <w:p/>
        </w:tc>
        <w:tc>
          <w:tcPr>
            <w:tcW w:type="dxa" w:w="415"/>
          </w:tcPr>
          <w:p>
            <w:r>
              <w:rPr/>
              <w:t>78</w:t>
            </w:r>
          </w:p>
        </w:tc>
        <w:tc>
          <w:tcPr>
            <w:tcW w:type="dxa" w:w="5814"/>
          </w:tcPr>
          <w:p>
            <w:r>
              <w:rPr/>
              <w:t>3.1.3</w:t>
            </w:r>
            <w:r>
              <w:rPr>
                <w:color w:val="000000"/>
                <w:sz w:val="21"/>
              </w:rPr>
              <w:t>相控阵探头，</w:t>
            </w:r>
            <w:r>
              <w:rPr>
                <w:color w:val="000000"/>
                <w:sz w:val="21"/>
              </w:rPr>
              <w:t>18cm 深度，扫描角度 85°，最高线密度下，二维帧频 ≥69</w:t>
            </w:r>
          </w:p>
        </w:tc>
      </w:tr>
      <w:tr>
        <w:tc>
          <w:tcPr>
            <w:tcW w:type="dxa" w:w="2076"/>
          </w:tcPr>
          <w:p/>
        </w:tc>
        <w:tc>
          <w:tcPr>
            <w:tcW w:type="dxa" w:w="415"/>
          </w:tcPr>
          <w:p>
            <w:r>
              <w:rPr/>
              <w:t>79</w:t>
            </w:r>
          </w:p>
        </w:tc>
        <w:tc>
          <w:tcPr>
            <w:tcW w:type="dxa" w:w="5814"/>
          </w:tcPr>
          <w:p>
            <w:r>
              <w:rPr/>
              <w:t>3.1.4</w:t>
            </w:r>
            <w:r>
              <w:rPr>
                <w:color w:val="000000"/>
                <w:sz w:val="21"/>
              </w:rPr>
              <w:t>相控阵探头，</w:t>
            </w:r>
            <w:r>
              <w:rPr>
                <w:color w:val="000000"/>
                <w:sz w:val="21"/>
              </w:rPr>
              <w:t>18cm 深度，扫描角度 85°，最高线密度下，彩色帧频 ≥31</w:t>
            </w:r>
          </w:p>
        </w:tc>
      </w:tr>
      <w:tr>
        <w:tc>
          <w:tcPr>
            <w:tcW w:type="dxa" w:w="2076"/>
          </w:tcPr>
          <w:p/>
        </w:tc>
        <w:tc>
          <w:tcPr>
            <w:tcW w:type="dxa" w:w="415"/>
          </w:tcPr>
          <w:p>
            <w:r>
              <w:rPr/>
              <w:t>80</w:t>
            </w:r>
          </w:p>
        </w:tc>
        <w:tc>
          <w:tcPr>
            <w:tcW w:type="dxa" w:w="5814"/>
          </w:tcPr>
          <w:p>
            <w:r>
              <w:rPr/>
              <w:t>3.2</w:t>
            </w:r>
            <w:r>
              <w:rPr>
                <w:sz w:val="21"/>
              </w:rPr>
              <w:t>回放重现：</w:t>
            </w:r>
            <w:r>
              <w:rPr>
                <w:sz w:val="21"/>
              </w:rPr>
              <w:t>灰阶图像回放</w:t>
            </w:r>
            <w:r>
              <w:rPr>
                <w:sz w:val="21"/>
              </w:rPr>
              <w:t>≥1000幅、回放时间≥30秒</w:t>
            </w:r>
          </w:p>
        </w:tc>
      </w:tr>
      <w:tr>
        <w:tc>
          <w:tcPr>
            <w:tcW w:type="dxa" w:w="2076"/>
          </w:tcPr>
          <w:p/>
        </w:tc>
        <w:tc>
          <w:tcPr>
            <w:tcW w:type="dxa" w:w="415"/>
          </w:tcPr>
          <w:p>
            <w:r>
              <w:rPr/>
              <w:t>81</w:t>
            </w:r>
          </w:p>
        </w:tc>
        <w:tc>
          <w:tcPr>
            <w:tcW w:type="dxa" w:w="5814"/>
          </w:tcPr>
          <w:p>
            <w:r>
              <w:rPr/>
              <w:t>3.3</w:t>
            </w:r>
            <w:r>
              <w:rPr>
                <w:color w:val="000000"/>
                <w:sz w:val="21"/>
              </w:rPr>
              <w:t>预设条件针对不同的检查脏器，预置最佳化图像的检查条件，减少操作时的调节，及常用所需的外部调节及组合调节</w:t>
            </w:r>
          </w:p>
        </w:tc>
      </w:tr>
      <w:tr>
        <w:tc>
          <w:tcPr>
            <w:tcW w:type="dxa" w:w="2076"/>
          </w:tcPr>
          <w:p/>
        </w:tc>
        <w:tc>
          <w:tcPr>
            <w:tcW w:type="dxa" w:w="415"/>
          </w:tcPr>
          <w:p>
            <w:r>
              <w:rPr/>
              <w:t>82</w:t>
            </w:r>
          </w:p>
        </w:tc>
        <w:tc>
          <w:tcPr>
            <w:tcW w:type="dxa" w:w="5814"/>
          </w:tcPr>
          <w:p>
            <w:r>
              <w:rPr/>
              <w:t>3.4</w:t>
            </w:r>
            <w:r>
              <w:rPr>
                <w:color w:val="000000"/>
                <w:sz w:val="21"/>
              </w:rPr>
              <w:t>增益调节：</w:t>
            </w:r>
            <w:r>
              <w:rPr>
                <w:color w:val="000000"/>
                <w:sz w:val="21"/>
              </w:rPr>
              <w:t>B/M可独立调节，STC分段≥8</w:t>
            </w:r>
          </w:p>
        </w:tc>
      </w:tr>
      <w:tr>
        <w:tc>
          <w:tcPr>
            <w:tcW w:type="dxa" w:w="2076"/>
          </w:tcPr>
          <w:p>
            <w:r>
              <w:rPr/>
              <w:t>▲</w:t>
            </w:r>
          </w:p>
        </w:tc>
        <w:tc>
          <w:tcPr>
            <w:tcW w:type="dxa" w:w="415"/>
          </w:tcPr>
          <w:p>
            <w:r>
              <w:rPr/>
              <w:t>83</w:t>
            </w:r>
          </w:p>
        </w:tc>
        <w:tc>
          <w:tcPr>
            <w:tcW w:type="dxa" w:w="5814"/>
          </w:tcPr>
          <w:p>
            <w:r>
              <w:rPr>
                <w:color w:val="000000"/>
                <w:sz w:val="21"/>
              </w:rPr>
              <w:t>▲</w:t>
            </w:r>
            <w:r>
              <w:rPr/>
              <w:t>3.5</w:t>
            </w:r>
            <w:r>
              <w:rPr>
                <w:color w:val="000000"/>
                <w:sz w:val="21"/>
              </w:rPr>
              <w:t>扫描深度≥50cm</w:t>
            </w:r>
          </w:p>
        </w:tc>
      </w:tr>
      <w:tr>
        <w:tc>
          <w:tcPr>
            <w:tcW w:type="dxa" w:w="2076"/>
          </w:tcPr>
          <w:p/>
        </w:tc>
        <w:tc>
          <w:tcPr>
            <w:tcW w:type="dxa" w:w="415"/>
          </w:tcPr>
          <w:p>
            <w:r>
              <w:rPr/>
              <w:t>84</w:t>
            </w:r>
          </w:p>
        </w:tc>
        <w:tc>
          <w:tcPr>
            <w:tcW w:type="dxa" w:w="5814"/>
          </w:tcPr>
          <w:p>
            <w:r>
              <w:rPr/>
              <w:t>4.</w:t>
            </w:r>
            <w:r>
              <w:rPr>
                <w:b/>
                <w:color w:val="000000"/>
                <w:sz w:val="22"/>
              </w:rPr>
              <w:t>频谱多普勒</w:t>
            </w:r>
          </w:p>
        </w:tc>
      </w:tr>
      <w:tr>
        <w:tc>
          <w:tcPr>
            <w:tcW w:type="dxa" w:w="2076"/>
          </w:tcPr>
          <w:p/>
        </w:tc>
        <w:tc>
          <w:tcPr>
            <w:tcW w:type="dxa" w:w="415"/>
          </w:tcPr>
          <w:p>
            <w:r>
              <w:rPr/>
              <w:t>85</w:t>
            </w:r>
          </w:p>
        </w:tc>
        <w:tc>
          <w:tcPr>
            <w:tcW w:type="dxa" w:w="5814"/>
          </w:tcPr>
          <w:p>
            <w:r>
              <w:rPr/>
              <w:t>4.1</w:t>
            </w:r>
            <w:r>
              <w:rPr>
                <w:color w:val="000000"/>
                <w:sz w:val="21"/>
              </w:rPr>
              <w:t>方式：</w:t>
            </w:r>
            <w:r>
              <w:rPr>
                <w:color w:val="000000"/>
                <w:sz w:val="21"/>
              </w:rPr>
              <w:t>PW，CW，HPRF</w:t>
            </w:r>
          </w:p>
        </w:tc>
      </w:tr>
      <w:tr>
        <w:tc>
          <w:tcPr>
            <w:tcW w:type="dxa" w:w="2076"/>
          </w:tcPr>
          <w:p/>
        </w:tc>
        <w:tc>
          <w:tcPr>
            <w:tcW w:type="dxa" w:w="415"/>
          </w:tcPr>
          <w:p>
            <w:r>
              <w:rPr/>
              <w:t>86</w:t>
            </w:r>
          </w:p>
        </w:tc>
        <w:tc>
          <w:tcPr>
            <w:tcW w:type="dxa" w:w="5814"/>
          </w:tcPr>
          <w:p>
            <w:r>
              <w:rPr/>
              <w:t>4.2</w:t>
            </w:r>
            <w:r>
              <w:rPr>
                <w:color w:val="000000"/>
                <w:sz w:val="21"/>
              </w:rPr>
              <w:t>多普勒发射频率可视可调，中心频率明确显示</w:t>
            </w:r>
          </w:p>
        </w:tc>
      </w:tr>
      <w:tr>
        <w:tc>
          <w:tcPr>
            <w:tcW w:type="dxa" w:w="2076"/>
          </w:tcPr>
          <w:p/>
        </w:tc>
        <w:tc>
          <w:tcPr>
            <w:tcW w:type="dxa" w:w="415"/>
          </w:tcPr>
          <w:p>
            <w:r>
              <w:rPr/>
              <w:t>87</w:t>
            </w:r>
          </w:p>
        </w:tc>
        <w:tc>
          <w:tcPr>
            <w:tcW w:type="dxa" w:w="5814"/>
          </w:tcPr>
          <w:p>
            <w:r>
              <w:rPr/>
              <w:t>4.3</w:t>
            </w:r>
            <w:r>
              <w:rPr>
                <w:color w:val="000000"/>
                <w:sz w:val="21"/>
              </w:rPr>
              <w:t>PWD：血流速度≥15m/s；CWD：血流速度≥20m/s</w:t>
            </w:r>
          </w:p>
        </w:tc>
      </w:tr>
      <w:tr>
        <w:tc>
          <w:tcPr>
            <w:tcW w:type="dxa" w:w="2076"/>
          </w:tcPr>
          <w:p/>
        </w:tc>
        <w:tc>
          <w:tcPr>
            <w:tcW w:type="dxa" w:w="415"/>
          </w:tcPr>
          <w:p>
            <w:r>
              <w:rPr/>
              <w:t>88</w:t>
            </w:r>
          </w:p>
        </w:tc>
        <w:tc>
          <w:tcPr>
            <w:tcW w:type="dxa" w:w="5814"/>
          </w:tcPr>
          <w:p>
            <w:r>
              <w:rPr/>
              <w:t>4.4</w:t>
            </w:r>
            <w:r>
              <w:rPr>
                <w:color w:val="000000"/>
                <w:sz w:val="21"/>
              </w:rPr>
              <w:t>最低测量速度：</w:t>
            </w:r>
            <w:r>
              <w:rPr>
                <w:color w:val="000000"/>
                <w:sz w:val="21"/>
              </w:rPr>
              <w:t>≤1mm/s （非噪声信号）</w:t>
            </w:r>
          </w:p>
        </w:tc>
      </w:tr>
      <w:tr>
        <w:tc>
          <w:tcPr>
            <w:tcW w:type="dxa" w:w="2076"/>
          </w:tcPr>
          <w:p/>
        </w:tc>
        <w:tc>
          <w:tcPr>
            <w:tcW w:type="dxa" w:w="415"/>
          </w:tcPr>
          <w:p>
            <w:r>
              <w:rPr/>
              <w:t>89</w:t>
            </w:r>
          </w:p>
        </w:tc>
        <w:tc>
          <w:tcPr>
            <w:tcW w:type="dxa" w:w="5814"/>
          </w:tcPr>
          <w:p>
            <w:r>
              <w:rPr/>
              <w:t>4.5</w:t>
            </w:r>
            <w:r>
              <w:rPr>
                <w:color w:val="000000"/>
                <w:sz w:val="21"/>
              </w:rPr>
              <w:t>PW取样容积范围：0.1cm-2cm</w:t>
            </w:r>
          </w:p>
        </w:tc>
      </w:tr>
      <w:tr>
        <w:tc>
          <w:tcPr>
            <w:tcW w:type="dxa" w:w="2076"/>
          </w:tcPr>
          <w:p/>
        </w:tc>
        <w:tc>
          <w:tcPr>
            <w:tcW w:type="dxa" w:w="415"/>
          </w:tcPr>
          <w:p>
            <w:r>
              <w:rPr/>
              <w:t>90</w:t>
            </w:r>
          </w:p>
        </w:tc>
        <w:tc>
          <w:tcPr>
            <w:tcW w:type="dxa" w:w="5814"/>
          </w:tcPr>
          <w:p>
            <w:r>
              <w:rPr/>
              <w:t>5.</w:t>
            </w:r>
            <w:r>
              <w:rPr>
                <w:b/>
                <w:color w:val="000000"/>
                <w:sz w:val="22"/>
              </w:rPr>
              <w:t>彩色多普勒</w:t>
            </w:r>
          </w:p>
        </w:tc>
      </w:tr>
      <w:tr>
        <w:tc>
          <w:tcPr>
            <w:tcW w:type="dxa" w:w="2076"/>
          </w:tcPr>
          <w:p/>
        </w:tc>
        <w:tc>
          <w:tcPr>
            <w:tcW w:type="dxa" w:w="415"/>
          </w:tcPr>
          <w:p>
            <w:r>
              <w:rPr/>
              <w:t>91</w:t>
            </w:r>
          </w:p>
        </w:tc>
        <w:tc>
          <w:tcPr>
            <w:tcW w:type="dxa" w:w="5814"/>
          </w:tcPr>
          <w:p>
            <w:r>
              <w:rPr/>
              <w:t>5.1</w:t>
            </w:r>
            <w:r>
              <w:rPr>
                <w:color w:val="000000"/>
                <w:sz w:val="21"/>
              </w:rPr>
              <w:t>显示方式：速度方差显示、能量显示、速度显示、方差显示</w:t>
            </w:r>
          </w:p>
        </w:tc>
      </w:tr>
      <w:tr>
        <w:tc>
          <w:tcPr>
            <w:tcW w:type="dxa" w:w="2076"/>
          </w:tcPr>
          <w:p/>
        </w:tc>
        <w:tc>
          <w:tcPr>
            <w:tcW w:type="dxa" w:w="415"/>
          </w:tcPr>
          <w:p>
            <w:r>
              <w:rPr/>
              <w:t>92</w:t>
            </w:r>
          </w:p>
        </w:tc>
        <w:tc>
          <w:tcPr>
            <w:tcW w:type="dxa" w:w="5814"/>
          </w:tcPr>
          <w:p>
            <w:r>
              <w:rPr/>
              <w:t>5.2</w:t>
            </w:r>
            <w:r>
              <w:rPr>
                <w:color w:val="000000"/>
                <w:sz w:val="21"/>
              </w:rPr>
              <w:t>具有双同步</w:t>
            </w:r>
            <w:r>
              <w:rPr>
                <w:color w:val="000000"/>
                <w:sz w:val="21"/>
              </w:rPr>
              <w:t>/三同步显示（B/D/CFM）</w:t>
            </w:r>
          </w:p>
        </w:tc>
      </w:tr>
      <w:tr>
        <w:tc>
          <w:tcPr>
            <w:tcW w:type="dxa" w:w="2076"/>
          </w:tcPr>
          <w:p/>
        </w:tc>
        <w:tc>
          <w:tcPr>
            <w:tcW w:type="dxa" w:w="415"/>
          </w:tcPr>
          <w:p>
            <w:r>
              <w:rPr/>
              <w:t>93</w:t>
            </w:r>
          </w:p>
        </w:tc>
        <w:tc>
          <w:tcPr>
            <w:tcW w:type="dxa" w:w="5814"/>
          </w:tcPr>
          <w:p>
            <w:r>
              <w:rPr/>
              <w:t>5.3</w:t>
            </w:r>
            <w:r>
              <w:rPr>
                <w:color w:val="000000"/>
                <w:sz w:val="21"/>
              </w:rPr>
              <w:t>显示位置调整：线阵扫描感兴趣的图像范围：</w:t>
            </w:r>
            <w:r>
              <w:rPr>
                <w:color w:val="000000"/>
                <w:sz w:val="21"/>
              </w:rPr>
              <w:t>-20° ~ +20°</w:t>
            </w:r>
          </w:p>
        </w:tc>
      </w:tr>
      <w:tr>
        <w:tc>
          <w:tcPr>
            <w:tcW w:type="dxa" w:w="2076"/>
          </w:tcPr>
          <w:p/>
        </w:tc>
        <w:tc>
          <w:tcPr>
            <w:tcW w:type="dxa" w:w="415"/>
          </w:tcPr>
          <w:p>
            <w:r>
              <w:rPr/>
              <w:t>94</w:t>
            </w:r>
          </w:p>
        </w:tc>
        <w:tc>
          <w:tcPr>
            <w:tcW w:type="dxa" w:w="5814"/>
          </w:tcPr>
          <w:p>
            <w:r>
              <w:rPr/>
              <w:t>5.4</w:t>
            </w:r>
            <w:r>
              <w:rPr>
                <w:color w:val="000000"/>
                <w:sz w:val="21"/>
              </w:rPr>
              <w:t>彩色多普勒能量图</w:t>
            </w:r>
            <w:r>
              <w:rPr>
                <w:color w:val="000000"/>
                <w:sz w:val="21"/>
              </w:rPr>
              <w:t>(PDI)，彩色方向性能量图（DPDI）</w:t>
            </w:r>
          </w:p>
        </w:tc>
      </w:tr>
      <w:tr>
        <w:tc>
          <w:tcPr>
            <w:tcW w:type="dxa" w:w="2076"/>
          </w:tcPr>
          <w:p/>
        </w:tc>
        <w:tc>
          <w:tcPr>
            <w:tcW w:type="dxa" w:w="415"/>
          </w:tcPr>
          <w:p>
            <w:r>
              <w:rPr/>
              <w:t>95</w:t>
            </w:r>
          </w:p>
        </w:tc>
        <w:tc>
          <w:tcPr>
            <w:tcW w:type="dxa" w:w="5814"/>
          </w:tcPr>
          <w:p>
            <w:r>
              <w:rPr/>
              <w:t>6.</w:t>
            </w:r>
            <w:r>
              <w:rPr>
                <w:color w:val="000000"/>
                <w:sz w:val="21"/>
              </w:rPr>
              <w:t>超声功率输出调节：</w:t>
            </w:r>
            <w:r>
              <w:rPr>
                <w:color w:val="000000"/>
                <w:sz w:val="21"/>
              </w:rPr>
              <w:t>B/M、PWD、Color Doppler输出功率可调</w:t>
            </w:r>
          </w:p>
        </w:tc>
      </w:tr>
      <w:tr>
        <w:tc>
          <w:tcPr>
            <w:tcW w:type="dxa" w:w="2076"/>
          </w:tcPr>
          <w:p>
            <w:r>
              <w:rPr/>
              <w:t>★</w:t>
            </w:r>
          </w:p>
        </w:tc>
        <w:tc>
          <w:tcPr>
            <w:tcW w:type="dxa" w:w="415"/>
          </w:tcPr>
          <w:p>
            <w:r>
              <w:rPr/>
              <w:t>96</w:t>
            </w:r>
          </w:p>
        </w:tc>
        <w:tc>
          <w:tcPr>
            <w:tcW w:type="dxa" w:w="5814"/>
          </w:tcPr>
          <w:p>
            <w:r>
              <w:rPr>
                <w:color w:val="000000"/>
                <w:sz w:val="21"/>
              </w:rPr>
              <w:t>★</w:t>
            </w:r>
            <w:r>
              <w:rPr/>
              <w:t>三、</w:t>
            </w:r>
            <w:r>
              <w:rPr>
                <w:color w:val="000000"/>
                <w:sz w:val="21"/>
              </w:rPr>
              <w:t>每套彩超配置探头</w:t>
            </w:r>
            <w:r>
              <w:rPr>
                <w:color w:val="000000"/>
                <w:sz w:val="21"/>
              </w:rPr>
              <w:t>≥</w:t>
            </w:r>
            <w:r>
              <w:rPr>
                <w:color w:val="000000"/>
                <w:sz w:val="21"/>
              </w:rPr>
              <w:t>4把，其中一把为乳腺专用探头</w:t>
            </w:r>
          </w:p>
        </w:tc>
      </w:tr>
      <w:tr>
        <w:tc>
          <w:tcPr>
            <w:tcW w:type="dxa" w:w="2076"/>
          </w:tcPr>
          <w:p/>
        </w:tc>
        <w:tc>
          <w:tcPr>
            <w:tcW w:type="dxa" w:w="415"/>
          </w:tcPr>
          <w:p>
            <w:r>
              <w:rPr/>
              <w:t>97</w:t>
            </w:r>
          </w:p>
        </w:tc>
        <w:tc>
          <w:tcPr>
            <w:tcW w:type="dxa" w:w="5814"/>
          </w:tcPr>
          <w:p>
            <w:r>
              <w:rPr/>
              <w:t>四、其他要求</w:t>
            </w:r>
          </w:p>
        </w:tc>
      </w:tr>
      <w:tr>
        <w:tc>
          <w:tcPr>
            <w:tcW w:type="dxa" w:w="2076"/>
          </w:tcPr>
          <w:p>
            <w:r>
              <w:rPr/>
              <w:t>▲</w:t>
            </w:r>
          </w:p>
        </w:tc>
        <w:tc>
          <w:tcPr>
            <w:tcW w:type="dxa" w:w="415"/>
          </w:tcPr>
          <w:p>
            <w:r>
              <w:rPr/>
              <w:t>98</w:t>
            </w:r>
          </w:p>
        </w:tc>
        <w:tc>
          <w:tcPr>
            <w:tcW w:type="dxa" w:w="5814"/>
          </w:tcPr>
          <w:p>
            <w:r>
              <w:rPr>
                <w:sz w:val="21"/>
              </w:rPr>
              <w:t>▲1、如投标人所投的产品不是投标人自己制造的，投标人应得到制造商同意其在本次投标中提供该货物的正式授权书。</w:t>
            </w:r>
          </w:p>
        </w:tc>
      </w:tr>
      <w:tr>
        <w:tc>
          <w:tcPr>
            <w:tcW w:type="dxa" w:w="2076"/>
          </w:tcPr>
          <w:p>
            <w:r>
              <w:rPr/>
              <w:t>★</w:t>
            </w:r>
          </w:p>
        </w:tc>
        <w:tc>
          <w:tcPr>
            <w:tcW w:type="dxa" w:w="415"/>
          </w:tcPr>
          <w:p>
            <w:r>
              <w:rPr/>
              <w:t>99</w:t>
            </w:r>
          </w:p>
        </w:tc>
        <w:tc>
          <w:tcPr>
            <w:tcW w:type="dxa" w:w="5814"/>
          </w:tcPr>
          <w:p>
            <w:r>
              <w:rPr>
                <w:sz w:val="21"/>
              </w:rPr>
              <w:t>★</w:t>
            </w:r>
            <w:r>
              <w:rPr>
                <w:b/>
                <w:sz w:val="21"/>
              </w:rPr>
              <w:t>2、投标人须提供所投产品完整的配置清单。</w:t>
            </w:r>
          </w:p>
        </w:tc>
      </w:tr>
      <w:tr>
        <w:tc>
          <w:tcPr>
            <w:tcW w:type="dxa" w:w="2076"/>
          </w:tcPr>
          <w:p>
            <w:r>
              <w:rPr/>
              <w:t>★</w:t>
            </w:r>
          </w:p>
        </w:tc>
        <w:tc>
          <w:tcPr>
            <w:tcW w:type="dxa" w:w="415"/>
          </w:tcPr>
          <w:p>
            <w:r>
              <w:rPr/>
              <w:t>100</w:t>
            </w:r>
          </w:p>
        </w:tc>
        <w:tc>
          <w:tcPr>
            <w:tcW w:type="dxa" w:w="5814"/>
          </w:tcPr>
          <w:p>
            <w:r>
              <w:rPr>
                <w:b/>
                <w:sz w:val="21"/>
              </w:rPr>
              <w:t>★3、如投标人所投产品含有配套耗材，须提供配套耗材的报价明细，该报价将作为后期采购的参考价格，但不包括在本次投标报价中；如投标人所投产品不含有配套耗材，提供不需要配套耗材的声明函。</w:t>
            </w:r>
          </w:p>
        </w:tc>
      </w:tr>
      <w:tr>
        <w:tc>
          <w:tcPr>
            <w:tcW w:type="dxa" w:w="2076"/>
          </w:tcPr>
          <w:p>
            <w:r>
              <w:rPr/>
              <w:t>★</w:t>
            </w:r>
          </w:p>
        </w:tc>
        <w:tc>
          <w:tcPr>
            <w:tcW w:type="dxa" w:w="415"/>
          </w:tcPr>
          <w:p>
            <w:r>
              <w:rPr/>
              <w:t>101</w:t>
            </w:r>
          </w:p>
        </w:tc>
        <w:tc>
          <w:tcPr>
            <w:tcW w:type="dxa" w:w="5814"/>
          </w:tcPr>
          <w:p>
            <w:r>
              <w:rPr>
                <w:sz w:val="21"/>
              </w:rPr>
              <w:t>★</w:t>
            </w:r>
            <w:r>
              <w:rPr>
                <w:b/>
                <w:sz w:val="21"/>
              </w:rPr>
              <w:t>4、免费保修期：仪器安装验收合格后，免费保修不少于</w:t>
            </w:r>
            <w:r>
              <w:rPr>
                <w:b/>
                <w:sz w:val="21"/>
              </w:rPr>
              <w:t>5</w:t>
            </w:r>
            <w:r>
              <w:rPr>
                <w:b/>
                <w:sz w:val="21"/>
              </w:rPr>
              <w:t>年。保修期自货物最终验收合格之日起算。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1.采购代理机构：本项目是指广东省机电设备招标中心有限公司，负责整个采购活动的组织，依法负责编制和发布招标文件，对招标文件拥有最终的解释权，不以任何身份出任评标委员会成员。</w:t>
      </w:r>
    </w:p>
    <w:p>
      <w:pPr>
        <w:ind w:firstLine="480"/>
      </w:pPr>
      <w:r>
        <w:rPr/>
        <w:t>2.采购人：本项目是指</w:t>
      </w:r>
      <w:r>
        <w:rPr/>
        <w:t>江门市中心医院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本项目的中标金额作为计算基数，参照原国家计委颁发的计价[2002]1980号文《招标代理服务收费管理暂行办法》及国家发改委颁发的发改价[2011]534号文《国家发改委关于降低部分建设项目收费标准规范收费行为等有关问题的通知》的有关规定执行，按差额定率累进法计算并下浮20%收取（货物类）；采购代理服务费不足8000元的按8000元收取。注：采购代理服务费由中标供应商于中标公告发布后10天内一次性向广东省机电设备招标中心有限公司交付，采购代理服务费递交账户：收款人：广东省机电设备招标中心有限公司；开户行：建设银行广东省分行；帐号：44001863201053034613；开户行地址：广州市东风中路509号。</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广东省机电设备招标中心有限公司</w:t>
      </w:r>
      <w:r>
        <w:rPr/>
        <w:t>代收。具体操作要求详见</w:t>
      </w:r>
      <w:r>
        <w:rPr/>
        <w:t>广东省机电设备招标中心有限公司</w:t>
      </w:r>
      <w:r>
        <w:rPr/>
        <w:t>有关指引，递交事宜请自行咨询</w:t>
      </w:r>
      <w:r>
        <w:rPr/>
        <w:t>广东省机电设备招标中心有限公司</w:t>
      </w:r>
      <w:r>
        <w:rPr/>
        <w:t>；请各投标人在投标文件递交截止时间前按须知前附表规定的金额递交至</w:t>
      </w:r>
      <w:r>
        <w:rPr/>
        <w:t>广东省机电设备招标中心有限公司</w:t>
      </w:r>
      <w:r>
        <w:rPr/>
        <w:t>，到账情况以开标时</w:t>
      </w:r>
      <w:r>
        <w:rPr/>
        <w:t>广东省机电设备招标中心有限公司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文小姐</w:t>
      </w:r>
    </w:p>
    <w:p>
      <w:pPr>
        <w:ind w:firstLine="480"/>
      </w:pPr>
      <w:r>
        <w:rPr/>
        <w:t>电话：</w:t>
      </w:r>
      <w:r>
        <w:rPr/>
        <w:t>020-66341917</w:t>
      </w:r>
    </w:p>
    <w:p>
      <w:pPr>
        <w:ind w:firstLine="480"/>
      </w:pPr>
      <w:r>
        <w:rPr/>
        <w:t>传真：</w:t>
      </w:r>
      <w:r>
        <w:rPr/>
        <w:t>/</w:t>
      </w:r>
    </w:p>
    <w:p>
      <w:pPr>
        <w:ind w:firstLine="480"/>
      </w:pPr>
      <w:r>
        <w:rPr/>
        <w:t>邮箱：</w:t>
      </w:r>
      <w:r>
        <w:rPr/>
        <w:t>/</w:t>
      </w:r>
    </w:p>
    <w:p>
      <w:pPr>
        <w:ind w:firstLine="480"/>
      </w:pPr>
      <w:r>
        <w:rPr/>
        <w:t>地址：</w:t>
      </w:r>
      <w:r>
        <w:rPr/>
        <w:t>广东省广州市越秀区东风中路515号东照大厦5楼</w:t>
      </w:r>
    </w:p>
    <w:p>
      <w:pPr>
        <w:ind w:firstLine="480"/>
      </w:pPr>
      <w:r>
        <w:rPr/>
        <w:t>邮编：</w:t>
      </w:r>
      <w:r>
        <w:rPr/>
        <w:t>510045</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中心医院彩超机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广东省机电设备招标中心有限公司</w:t>
      </w:r>
      <w:r>
        <w:rPr/>
        <w:t>统一对外发布。</w:t>
      </w:r>
    </w:p>
    <w:p>
      <w:pPr>
        <w:ind w:firstLine="480"/>
      </w:pPr>
      <w:r>
        <w:rPr/>
        <w:t>（2）对</w:t>
      </w:r>
      <w:r>
        <w:rPr/>
        <w:t>广东省机电设备招标中心有限公司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采购包1（江门市中心医院彩超机采购项目）：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采购包1（江门市中心医院彩超机采购项目）：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供应商必须具有良好的商业信誉和健全的财务会计制度（提供2021年度财务状况报告，或2022年任意一个月的财务报表，或基本开户行出具的资信证明）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许可备案</w:t>
            </w:r>
          </w:p>
        </w:tc>
        <w:tc>
          <w:tcPr>
            <w:tcW w:type="dxa" w:w="4238"/>
          </w:tcPr>
          <w:p>
            <w:r>
              <w:rPr/>
              <w:t>供应商为制造商的须具备《医疗器械生产企业许可证》；供应商为代理商的须具备《医疗器械经营企业许可证》（经营第三类医疗器械）或《医疗器械经营备案凭证》（经营第二类医疗器械）（如国家另有规定，从其规定）。</w:t>
            </w:r>
          </w:p>
        </w:tc>
      </w:tr>
      <w:tr>
        <w:tc>
          <w:tcPr>
            <w:tcW w:type="dxa" w:w="890"/>
          </w:tcPr>
          <w:p>
            <w:r>
              <w:rPr/>
              <w:t>7</w:t>
            </w:r>
          </w:p>
        </w:tc>
        <w:tc>
          <w:tcPr>
            <w:tcW w:type="dxa" w:w="3178"/>
          </w:tcPr>
          <w:p>
            <w:r>
              <w:rPr/>
              <w:t>产品注册</w:t>
            </w:r>
          </w:p>
        </w:tc>
        <w:tc>
          <w:tcPr>
            <w:tcW w:type="dxa" w:w="4238"/>
          </w:tcPr>
          <w:p>
            <w:r>
              <w:rPr/>
              <w:t>供应商所投产品(如属于医疗器械)须具备有效的《医疗器械产品注册证》。</w:t>
            </w:r>
          </w:p>
        </w:tc>
      </w:tr>
      <w:tr>
        <w:tc>
          <w:tcPr>
            <w:tcW w:type="dxa" w:w="890"/>
          </w:tcPr>
          <w:p>
            <w:r>
              <w:rPr/>
              <w:t>8</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9</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
      <w:pPr>
        <w:ind w:firstLine="480"/>
      </w:pPr>
      <w:r>
        <w:rPr/>
        <w:t>表二符合性审查表：</w:t>
      </w:r>
    </w:p>
    <w:p>
      <w:pPr>
        <w:ind w:firstLine="480"/>
      </w:pPr>
    </w:p>
    <w:p/>
    <w:p>
      <w:r>
        <w:rPr/>
        <w:t>采购包1（江门市中心医院彩超机采购项目）：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投标函及投标有效期符合采购文件要求</w:t>
            </w:r>
          </w:p>
        </w:tc>
        <w:tc>
          <w:tcPr>
            <w:tcW w:type="dxa" w:w="4238"/>
          </w:tcPr>
          <w:p>
            <w:r>
              <w:rPr/>
              <w:t>投标函及投标有效期符合采购文件要求</w:t>
            </w:r>
          </w:p>
        </w:tc>
      </w:tr>
      <w:tr>
        <w:tc>
          <w:tcPr>
            <w:tcW w:type="dxa" w:w="890"/>
          </w:tcPr>
          <w:p>
            <w:r>
              <w:rPr/>
              <w:t>2</w:t>
            </w:r>
          </w:p>
        </w:tc>
        <w:tc>
          <w:tcPr>
            <w:tcW w:type="dxa" w:w="3178"/>
          </w:tcPr>
          <w:p>
            <w:r>
              <w:rPr/>
              <w:t>已提交有效的法定代表人/负责人证明书和法定代表人授权书（如非法定代表人/负责人投标）</w:t>
            </w:r>
          </w:p>
        </w:tc>
        <w:tc>
          <w:tcPr>
            <w:tcW w:type="dxa" w:w="4238"/>
          </w:tcPr>
          <w:p>
            <w:r>
              <w:rPr/>
              <w:t>已提交有效的法定代表人/负责人证明书和法定代表人授权书（如非法定代表人/负责人投标）</w:t>
            </w:r>
          </w:p>
        </w:tc>
      </w:tr>
      <w:tr>
        <w:tc>
          <w:tcPr>
            <w:tcW w:type="dxa" w:w="890"/>
          </w:tcPr>
          <w:p>
            <w:r>
              <w:rPr/>
              <w:t>3</w:t>
            </w:r>
          </w:p>
        </w:tc>
        <w:tc>
          <w:tcPr>
            <w:tcW w:type="dxa" w:w="3178"/>
          </w:tcPr>
          <w:p>
            <w:r>
              <w:rPr/>
              <w:t>按采购文件规定加盖公章和签署</w:t>
            </w:r>
          </w:p>
        </w:tc>
        <w:tc>
          <w:tcPr>
            <w:tcW w:type="dxa" w:w="4238"/>
          </w:tcPr>
          <w:p>
            <w:r>
              <w:rPr/>
              <w:t>按采购文件规定加盖公章和签署</w:t>
            </w:r>
          </w:p>
        </w:tc>
      </w:tr>
      <w:tr>
        <w:tc>
          <w:tcPr>
            <w:tcW w:type="dxa" w:w="890"/>
          </w:tcPr>
          <w:p>
            <w:r>
              <w:rPr/>
              <w:t>4</w:t>
            </w:r>
          </w:p>
        </w:tc>
        <w:tc>
          <w:tcPr>
            <w:tcW w:type="dxa" w:w="3178"/>
          </w:tcPr>
          <w:p>
            <w:r>
              <w:rPr/>
              <w:t>投标价格是固定价且未超过本项目采购预算（最高限价）</w:t>
            </w:r>
          </w:p>
        </w:tc>
        <w:tc>
          <w:tcPr>
            <w:tcW w:type="dxa" w:w="4238"/>
          </w:tcPr>
          <w:p>
            <w:r>
              <w:rPr/>
              <w:t>投标价格是固定价且未超过本项目采购预算（最高限价）</w:t>
            </w:r>
          </w:p>
        </w:tc>
      </w:tr>
      <w:tr>
        <w:tc>
          <w:tcPr>
            <w:tcW w:type="dxa" w:w="890"/>
          </w:tcPr>
          <w:p>
            <w:r>
              <w:rPr/>
              <w:t>5</w:t>
            </w:r>
          </w:p>
        </w:tc>
        <w:tc>
          <w:tcPr>
            <w:tcW w:type="dxa" w:w="3178"/>
          </w:tcPr>
          <w:p>
            <w:r>
              <w:rPr/>
              <w:t>满足采购文件用户需求书的★条款要求</w:t>
            </w:r>
          </w:p>
        </w:tc>
        <w:tc>
          <w:tcPr>
            <w:tcW w:type="dxa" w:w="4238"/>
          </w:tcPr>
          <w:p>
            <w:r>
              <w:rPr/>
              <w:t>满足采购文件用户需求书的★条款要求</w:t>
            </w:r>
          </w:p>
        </w:tc>
      </w:tr>
      <w:tr>
        <w:tc>
          <w:tcPr>
            <w:tcW w:type="dxa" w:w="890"/>
          </w:tcPr>
          <w:p>
            <w:r>
              <w:rPr/>
              <w:t>6</w:t>
            </w:r>
          </w:p>
        </w:tc>
        <w:tc>
          <w:tcPr>
            <w:tcW w:type="dxa" w:w="3178"/>
          </w:tcPr>
          <w:p>
            <w:r>
              <w:rPr/>
              <w:t>无采购文件或法规明确规定的其他无效投标的情形</w:t>
            </w:r>
          </w:p>
        </w:tc>
        <w:tc>
          <w:tcPr>
            <w:tcW w:type="dxa" w:w="4238"/>
          </w:tcPr>
          <w:p>
            <w:r>
              <w:rPr/>
              <w:t>无采购文件或法规明确规定的其他无效投标的情形</w:t>
            </w:r>
          </w:p>
        </w:tc>
      </w:tr>
      <w:tr>
        <w:tc>
          <w:tcPr>
            <w:tcW w:type="dxa" w:w="890"/>
          </w:tcPr>
          <w:p>
            <w:r>
              <w:rPr/>
              <w:t>7</w:t>
            </w:r>
          </w:p>
        </w:tc>
        <w:tc>
          <w:tcPr>
            <w:tcW w:type="dxa" w:w="3178"/>
          </w:tcPr>
          <w:p>
            <w:r>
              <w:rPr/>
              <w:t>投标文件没有采购人不能接受的附加条件</w:t>
            </w:r>
          </w:p>
        </w:tc>
        <w:tc>
          <w:tcPr>
            <w:tcW w:type="dxa" w:w="4238"/>
          </w:tcPr>
          <w:p>
            <w:r>
              <w:rPr/>
              <w:t>投标文件没有采购人不能接受的附加条件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采购包1(江门市中心医院彩超机采购项目):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采购需求书中带▲号的重要技术条款的响应情况 (30.0分)</w:t>
            </w:r>
          </w:p>
        </w:tc>
        <w:tc>
          <w:tcPr>
            <w:tcW w:type="dxa" w:w="5076"/>
          </w:tcPr>
          <w:p>
            <w:pPr>
              <w:jc w:val="left"/>
            </w:pPr>
            <w:r>
              <w:rPr/>
              <w:t>投标人所投产品全部满足采购需求书中带“▲”的重要技术条款的，得30分； 有1项条款为负偏离的，得24分； 有2项条款为负偏离的，得18分； 有3项条款为负偏离的，得12分； 有4项条款为负偏离的，得6分； 有5项（含）以上条款为负偏离的，得0分。</w:t>
            </w:r>
          </w:p>
        </w:tc>
      </w:tr>
      <w:tr>
        <w:tc>
          <w:tcPr>
            <w:tcW w:type="dxa" w:w="922"/>
            <w:gridSpan w:val="2"/>
            <w:vMerge/>
          </w:tcPr>
          <w:p/>
        </w:tc>
        <w:tc>
          <w:tcPr>
            <w:tcW w:type="dxa" w:w="2307"/>
          </w:tcPr>
          <w:p>
            <w:pPr>
              <w:jc w:val="left"/>
            </w:pPr>
            <w:r>
              <w:rPr/>
              <w:t>采购需求书中不带▲号的一般条款的响应情况 (20.0分)</w:t>
            </w:r>
          </w:p>
        </w:tc>
        <w:tc>
          <w:tcPr>
            <w:tcW w:type="dxa" w:w="5076"/>
          </w:tcPr>
          <w:p>
            <w:pPr>
              <w:jc w:val="left"/>
            </w:pPr>
            <w:r>
              <w:rPr/>
              <w:t>投标人所投产品全部满足采购需求书中不带“▲”的一般条款，得20分； 有1项条款为负偏离或不响应的，得17.5分； 有2项条款为负偏离或不响应的，得15分； 有3项条款为负偏离或不响应的，得12.5分； 有4项条款为负偏离或不响应的，得10分； 有5项条款为负偏离或不响应的，得7.5分； 有6项条款为负偏离或不响应的，得5分； 有7项条款为负偏离或不响应的，得2.5分； 有8项（含）以上条款为负偏离或不响应的，得0分。</w:t>
            </w:r>
          </w:p>
        </w:tc>
      </w:tr>
      <w:tr>
        <w:tc>
          <w:tcPr>
            <w:tcW w:type="dxa" w:w="922"/>
            <w:gridSpan w:val="2"/>
            <w:vMerge/>
          </w:tcPr>
          <w:p/>
        </w:tc>
        <w:tc>
          <w:tcPr>
            <w:tcW w:type="dxa" w:w="2307"/>
          </w:tcPr>
          <w:p>
            <w:pPr>
              <w:jc w:val="left"/>
            </w:pPr>
            <w:r>
              <w:rPr/>
              <w:t>与所投产品同类型或同系列的产品在国内的销售情况 (5.0分)</w:t>
            </w:r>
          </w:p>
        </w:tc>
        <w:tc>
          <w:tcPr>
            <w:tcW w:type="dxa" w:w="5076"/>
          </w:tcPr>
          <w:p>
            <w:pPr>
              <w:jc w:val="left"/>
            </w:pPr>
            <w:r>
              <w:rPr/>
              <w:t>考察与所投产品同类型或同系列的产品在国内的销售情况，提供销售客户清单等情况介绍材料。 销售客户20家（含）或以上，得5分； 销售客户10家（含）至19家（含），得3分； 销售客户1家（含）至9家（含），得1分； 其他或无清单等介绍材料，得0分。 投标人对各自提供的业绩材料的真实性负责，如存在提供虚假材料情况，将承担相应的法律责任。</w:t>
            </w:r>
          </w:p>
        </w:tc>
      </w:tr>
      <w:tr>
        <w:tc>
          <w:tcPr>
            <w:tcW w:type="dxa" w:w="922"/>
            <w:gridSpan w:val="2"/>
            <w:vMerge/>
          </w:tcPr>
          <w:p/>
        </w:tc>
        <w:tc>
          <w:tcPr>
            <w:tcW w:type="dxa" w:w="2307"/>
          </w:tcPr>
          <w:p>
            <w:pPr>
              <w:jc w:val="left"/>
            </w:pPr>
            <w:r>
              <w:rPr/>
              <w:t>售后服务内容 (5.0分)</w:t>
            </w:r>
          </w:p>
        </w:tc>
        <w:tc>
          <w:tcPr>
            <w:tcW w:type="dxa" w:w="5076"/>
          </w:tcPr>
          <w:p>
            <w:pPr>
              <w:jc w:val="left"/>
            </w:pPr>
            <w:r>
              <w:rPr/>
              <w:t>提供详细的售后服务方案，方案包括供货期、完工期、保修期限、服务响应时间、零配件供应情况、维保服务内容等，对各方案进行综合评比： 具有完善具体可行的售后服务方案，售后服务便捷、响应速度快，各阶段服务方案详尽，满足采购人需求，得5分； 有提供售后服务方案，且有一定的可行性，售后服务较便捷，响应及时，各阶段服务方案完整，基本满足采购人需求，得3分； 有提供售后服务方案，但可行性不强，售后服务内容及各阶段服务计划完整性有缺漏，得1分； 其它情况，得0分。</w:t>
            </w:r>
          </w:p>
        </w:tc>
      </w:tr>
      <w:tr>
        <w:tc>
          <w:tcPr>
            <w:tcW w:type="dxa" w:w="922"/>
            <w:gridSpan w:val="2"/>
            <w:vMerge w:val="restart"/>
          </w:tcPr>
          <w:p>
            <w:pPr>
              <w:jc w:val="center"/>
            </w:pPr>
            <w:r>
              <w:rPr/>
              <w:t>商务部分</w:t>
            </w:r>
          </w:p>
        </w:tc>
        <w:tc>
          <w:tcPr>
            <w:tcW w:type="dxa" w:w="2307"/>
          </w:tcPr>
          <w:p>
            <w:pPr>
              <w:jc w:val="left"/>
            </w:pPr>
            <w:r>
              <w:rPr/>
              <w:t>投标人企业信誉或企业认证 (2.0分)</w:t>
            </w:r>
          </w:p>
        </w:tc>
        <w:tc>
          <w:tcPr>
            <w:tcW w:type="dxa" w:w="5076"/>
          </w:tcPr>
          <w:p>
            <w:pPr>
              <w:jc w:val="left"/>
            </w:pPr>
            <w:r>
              <w:rPr/>
              <w:t>投标人具有以下其中任意一种证书或评价得2分，满分2分。 1、职业健康安全管理体系认证证书； 2、环境管理体系认证证书； 3、质量管理体系认证证书； 4、用户满意度调查表或用户评价（评价需为正面，同一客户/同一项目多份评价只计一份）。 提供有效期内的证书复印件，无提供不得分。</w:t>
            </w:r>
          </w:p>
        </w:tc>
      </w:tr>
      <w:tr>
        <w:tc>
          <w:tcPr>
            <w:tcW w:type="dxa" w:w="922"/>
            <w:gridSpan w:val="2"/>
            <w:vMerge/>
          </w:tcPr>
          <w:p/>
        </w:tc>
        <w:tc>
          <w:tcPr>
            <w:tcW w:type="dxa" w:w="2307"/>
          </w:tcPr>
          <w:p>
            <w:pPr>
              <w:jc w:val="left"/>
            </w:pPr>
            <w:r>
              <w:rPr/>
              <w:t>投标人医疗设备供货的能力 (4.0分)</w:t>
            </w:r>
          </w:p>
        </w:tc>
        <w:tc>
          <w:tcPr>
            <w:tcW w:type="dxa" w:w="5076"/>
          </w:tcPr>
          <w:p>
            <w:pPr>
              <w:jc w:val="left"/>
            </w:pPr>
            <w:r>
              <w:rPr/>
              <w:t>投标人2019年1月以来同类型医疗设备供货的业绩，每个得2分，最高得4分。 提供以投标人名义签订的合同复印件作为评价证明资料，以签订合同的时间为准。</w:t>
            </w:r>
          </w:p>
        </w:tc>
      </w:tr>
      <w:tr>
        <w:tc>
          <w:tcPr>
            <w:tcW w:type="dxa" w:w="922"/>
            <w:gridSpan w:val="2"/>
            <w:vMerge/>
          </w:tcPr>
          <w:p/>
        </w:tc>
        <w:tc>
          <w:tcPr>
            <w:tcW w:type="dxa" w:w="2307"/>
          </w:tcPr>
          <w:p>
            <w:pPr>
              <w:jc w:val="left"/>
            </w:pPr>
            <w:r>
              <w:rPr/>
              <w:t>合同条款的响应情况 (4.0分)</w:t>
            </w:r>
          </w:p>
        </w:tc>
        <w:tc>
          <w:tcPr>
            <w:tcW w:type="dxa" w:w="5076"/>
          </w:tcPr>
          <w:p>
            <w:pPr>
              <w:jc w:val="left"/>
            </w:pPr>
            <w:r>
              <w:rPr/>
              <w:t>投标人全部满足合同条款的，得4分； 有1项条款为负偏离的，得3分； 有2项条款为负偏离的，得2分； 有3项条款为负偏离的，得1分； 有4项（含）以上条款为负偏离的，得0分。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Pr>
        <w:jc w:val="center"/>
      </w:pPr>
    </w:p>
    <w:p/>
    <w:p>
      <w:pPr>
        <w:jc w:val="center"/>
      </w:pPr>
      <w:r>
        <w:rPr>
          <w:b/>
          <w:sz w:val="44"/>
        </w:rPr>
        <w:t>江门市中心医院医疗设备采购</w:t>
      </w:r>
      <w:r>
        <w:rPr>
          <w:b/>
          <w:sz w:val="44"/>
        </w:rPr>
        <w:t>合同</w:t>
      </w:r>
    </w:p>
    <w:p>
      <w:pPr>
        <w:jc w:val="center"/>
      </w:pPr>
    </w:p>
    <w:p>
      <w:pPr>
        <w:ind w:firstLine="560"/>
        <w:jc w:val="both"/>
      </w:pPr>
      <w:r>
        <w:rPr>
          <w:sz w:val="28"/>
        </w:rPr>
        <w:t>购货单位：</w:t>
      </w:r>
      <w:r>
        <w:rPr>
          <w:sz w:val="28"/>
        </w:rPr>
        <w:t>江门市中心医院</w:t>
      </w:r>
      <w:r>
        <w:rPr>
          <w:sz w:val="28"/>
        </w:rPr>
        <w:t xml:space="preserve">            </w:t>
      </w:r>
      <w:r>
        <w:rPr>
          <w:sz w:val="28"/>
        </w:rPr>
        <w:t>（以下简称甲方）</w:t>
      </w:r>
    </w:p>
    <w:p>
      <w:pPr>
        <w:ind w:firstLine="560"/>
        <w:jc w:val="both"/>
      </w:pPr>
      <w:r>
        <w:rPr>
          <w:sz w:val="28"/>
        </w:rPr>
        <w:t>供货单位：</w:t>
      </w:r>
      <w:r>
        <w:rPr>
          <w:sz w:val="21"/>
          <w:u w:val="single"/>
        </w:rPr>
        <w:t xml:space="preserve">                           </w:t>
      </w:r>
      <w:r>
        <w:rPr>
          <w:sz w:val="28"/>
        </w:rPr>
        <w:t>（以下简称乙方）</w:t>
      </w:r>
    </w:p>
    <w:p>
      <w:pPr>
        <w:ind w:firstLine="560"/>
        <w:jc w:val="both"/>
      </w:pPr>
    </w:p>
    <w:p>
      <w:pPr>
        <w:ind w:firstLine="560"/>
        <w:jc w:val="both"/>
      </w:pPr>
      <w:r>
        <w:rPr>
          <w:sz w:val="28"/>
        </w:rPr>
        <w:t>甲乙双方根据《中华人民共和国民法典》、《中华人民共和国政府采购法》等有关法律法规的规定，按照</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日江门市中心医院医疗设备采购项目</w:t>
      </w:r>
      <w:r>
        <w:rPr>
          <w:sz w:val="21"/>
          <w:u w:val="single"/>
        </w:rPr>
        <w:t xml:space="preserve">                     </w:t>
      </w:r>
      <w:r>
        <w:rPr>
          <w:sz w:val="28"/>
        </w:rPr>
        <w:t>的</w:t>
      </w:r>
      <w:r>
        <w:rPr>
          <w:sz w:val="28"/>
        </w:rPr>
        <w:t>采购结果、</w:t>
      </w:r>
      <w:r>
        <w:rPr>
          <w:sz w:val="28"/>
        </w:rPr>
        <w:t>招标文件、乙方的投标文件</w:t>
      </w:r>
      <w:r>
        <w:rPr>
          <w:sz w:val="28"/>
        </w:rPr>
        <w:t>及澄清文件和中标通知书</w:t>
      </w:r>
      <w:r>
        <w:rPr>
          <w:sz w:val="28"/>
        </w:rPr>
        <w:t>（以上文件发生冲突时以较高标准为准）</w:t>
      </w:r>
      <w:r>
        <w:rPr>
          <w:sz w:val="28"/>
        </w:rPr>
        <w:t>的要求，</w:t>
      </w:r>
      <w:r>
        <w:rPr>
          <w:sz w:val="28"/>
        </w:rPr>
        <w:t>经双方协商一致，订立合同如下：</w:t>
      </w:r>
    </w:p>
    <w:p>
      <w:pPr>
        <w:ind w:firstLine="562"/>
        <w:jc w:val="left"/>
      </w:pPr>
      <w:r>
        <w:rPr>
          <w:b/>
          <w:sz w:val="28"/>
        </w:rPr>
        <w:t>第一条</w:t>
      </w:r>
      <w:r>
        <w:rPr>
          <w:b/>
          <w:sz w:val="28"/>
        </w:rPr>
        <w:t xml:space="preserve"> </w:t>
      </w:r>
      <w:r>
        <w:rPr>
          <w:b/>
          <w:sz w:val="28"/>
        </w:rPr>
        <w:t>项目的名称、项目总价和项目货物的清单（如名称、数量、规格、单价、型号、品牌和技术指标等）</w:t>
      </w:r>
    </w:p>
    <w:p>
      <w:pPr>
        <w:ind w:firstLine="560"/>
        <w:jc w:val="both"/>
      </w:pPr>
      <w:r>
        <w:rPr>
          <w:sz w:val="28"/>
        </w:rPr>
        <w:t>（一）项目名称：</w:t>
      </w:r>
      <w:r>
        <w:rPr>
          <w:sz w:val="21"/>
          <w:u w:val="single"/>
        </w:rPr>
        <w:t xml:space="preserve">                      </w:t>
      </w:r>
      <w:r>
        <w:rPr>
          <w:sz w:val="28"/>
        </w:rPr>
        <w:t>。</w:t>
      </w:r>
      <w:r>
        <w:rPr>
          <w:sz w:val="28"/>
        </w:rPr>
        <w:t xml:space="preserve"> </w:t>
      </w:r>
      <w:r>
        <w:rPr>
          <w:sz w:val="21"/>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69"/>
        <w:gridCol w:w="1002"/>
        <w:gridCol w:w="1200"/>
        <w:gridCol w:w="1770"/>
        <w:gridCol w:w="1114"/>
        <w:gridCol w:w="618"/>
        <w:gridCol w:w="990"/>
        <w:gridCol w:w="1002"/>
      </w:tblGrid>
      <w:tr>
        <w:tc>
          <w:tcPr>
            <w:tcW w:type="dxa" w:w="569"/>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002"/>
            <w:tcBorders>
              <w:top w:val="single" w:color="000000" w:sz="4"/>
              <w:left w:val="none" w:color="000000" w:sz="4"/>
              <w:bottom w:val="single" w:color="000000" w:sz="4"/>
              <w:right w:val="single" w:color="000000" w:sz="4"/>
            </w:tcBorders>
            <w:vAlign w:val="top"/>
          </w:tcPr>
          <w:p>
            <w:pPr>
              <w:jc w:val="center"/>
            </w:pPr>
            <w:r>
              <w:rPr>
                <w:b/>
                <w:sz w:val="24"/>
              </w:rPr>
              <w:t>货物名称</w:t>
            </w:r>
          </w:p>
        </w:tc>
        <w:tc>
          <w:tcPr>
            <w:tcW w:type="dxa" w:w="1200"/>
            <w:tcBorders>
              <w:top w:val="single" w:color="000000" w:sz="4"/>
              <w:left w:val="none" w:color="000000" w:sz="4"/>
              <w:bottom w:val="single" w:color="000000" w:sz="4"/>
              <w:right w:val="single" w:color="000000" w:sz="4"/>
            </w:tcBorders>
            <w:vAlign w:val="top"/>
          </w:tcPr>
          <w:p>
            <w:pPr>
              <w:jc w:val="center"/>
            </w:pPr>
            <w:r>
              <w:rPr>
                <w:b/>
                <w:sz w:val="24"/>
              </w:rPr>
              <w:t>注册证名称</w:t>
            </w:r>
          </w:p>
        </w:tc>
        <w:tc>
          <w:tcPr>
            <w:tcW w:type="dxa" w:w="1770"/>
            <w:tcBorders>
              <w:top w:val="single" w:color="000000" w:sz="4"/>
              <w:left w:val="none" w:color="000000" w:sz="4"/>
              <w:bottom w:val="single" w:color="000000" w:sz="4"/>
              <w:right w:val="single" w:color="000000" w:sz="4"/>
            </w:tcBorders>
            <w:vAlign w:val="top"/>
          </w:tcPr>
          <w:p>
            <w:pPr>
              <w:jc w:val="center"/>
            </w:pPr>
            <w:r>
              <w:rPr>
                <w:b/>
                <w:sz w:val="24"/>
              </w:rPr>
              <w:t>产地和制造商名称</w:t>
            </w:r>
          </w:p>
        </w:tc>
        <w:tc>
          <w:tcPr>
            <w:tcW w:type="dxa" w:w="1114"/>
            <w:tcBorders>
              <w:top w:val="single" w:color="000000" w:sz="4"/>
              <w:left w:val="none" w:color="000000" w:sz="4"/>
              <w:bottom w:val="single" w:color="000000" w:sz="4"/>
              <w:right w:val="single" w:color="000000" w:sz="4"/>
            </w:tcBorders>
            <w:vAlign w:val="top"/>
          </w:tcPr>
          <w:p>
            <w:pPr>
              <w:jc w:val="center"/>
            </w:pPr>
            <w:r>
              <w:rPr>
                <w:b/>
                <w:sz w:val="24"/>
              </w:rPr>
              <w:t>规格、型号</w:t>
            </w:r>
          </w:p>
        </w:tc>
        <w:tc>
          <w:tcPr>
            <w:tcW w:type="dxa" w:w="618"/>
            <w:tcBorders>
              <w:top w:val="single" w:color="000000" w:sz="4"/>
              <w:left w:val="none" w:color="000000" w:sz="4"/>
              <w:bottom w:val="single" w:color="000000" w:sz="4"/>
              <w:right w:val="single" w:color="000000" w:sz="4"/>
            </w:tcBorders>
            <w:vAlign w:val="top"/>
          </w:tcPr>
          <w:p>
            <w:pPr>
              <w:jc w:val="center"/>
            </w:pPr>
            <w:r>
              <w:rPr>
                <w:b/>
                <w:sz w:val="24"/>
              </w:rPr>
              <w:t>数量</w:t>
            </w:r>
          </w:p>
        </w:tc>
        <w:tc>
          <w:tcPr>
            <w:tcW w:type="dxa" w:w="990"/>
            <w:tcBorders>
              <w:top w:val="single" w:color="000000" w:sz="4"/>
              <w:left w:val="none" w:color="000000" w:sz="4"/>
              <w:bottom w:val="single" w:color="000000" w:sz="4"/>
              <w:right w:val="single" w:color="000000" w:sz="4"/>
            </w:tcBorders>
            <w:vAlign w:val="top"/>
          </w:tcPr>
          <w:p>
            <w:pPr>
              <w:jc w:val="center"/>
            </w:pPr>
            <w:r>
              <w:rPr>
                <w:b/>
                <w:sz w:val="24"/>
              </w:rPr>
              <w:t>单价（元）</w:t>
            </w:r>
          </w:p>
        </w:tc>
        <w:tc>
          <w:tcPr>
            <w:tcW w:type="dxa" w:w="1002"/>
            <w:tcBorders>
              <w:top w:val="single" w:color="000000" w:sz="4"/>
              <w:left w:val="none" w:color="000000" w:sz="4"/>
              <w:bottom w:val="single" w:color="000000" w:sz="4"/>
              <w:right w:val="single" w:color="000000" w:sz="4"/>
            </w:tcBorders>
            <w:vAlign w:val="top"/>
          </w:tcPr>
          <w:p>
            <w:pPr>
              <w:jc w:val="center"/>
            </w:pPr>
            <w:r>
              <w:rPr>
                <w:b/>
                <w:sz w:val="24"/>
              </w:rPr>
              <w:t>总价（</w:t>
            </w:r>
            <w:r>
              <w:rPr>
                <w:b/>
                <w:sz w:val="24"/>
              </w:rPr>
              <w:t>元）</w:t>
            </w:r>
          </w:p>
        </w:tc>
      </w:tr>
      <w:tr>
        <w:tc>
          <w:tcPr>
            <w:tcW w:type="dxa" w:w="569"/>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002"/>
            <w:tcBorders>
              <w:top w:val="none" w:color="000000" w:sz="4"/>
              <w:left w:val="none" w:color="000000" w:sz="4"/>
              <w:bottom w:val="single" w:color="000000" w:sz="4"/>
              <w:right w:val="single" w:color="000000" w:sz="4"/>
            </w:tcBorders>
            <w:vAlign w:val="top"/>
          </w:tcPr>
          <w:p>
            <w:pPr>
              <w:jc w:val="center"/>
            </w:pPr>
          </w:p>
        </w:tc>
        <w:tc>
          <w:tcPr>
            <w:tcW w:type="dxa" w:w="1200"/>
            <w:tcBorders>
              <w:top w:val="none" w:color="000000" w:sz="4"/>
              <w:left w:val="none" w:color="000000" w:sz="4"/>
              <w:bottom w:val="single" w:color="000000" w:sz="4"/>
              <w:right w:val="single" w:color="000000" w:sz="4"/>
            </w:tcBorders>
            <w:vAlign w:val="top"/>
          </w:tcPr>
          <w:p>
            <w:pPr>
              <w:jc w:val="center"/>
            </w:pPr>
          </w:p>
        </w:tc>
        <w:tc>
          <w:tcPr>
            <w:tcW w:type="dxa" w:w="1770"/>
            <w:tcBorders>
              <w:top w:val="none" w:color="000000" w:sz="4"/>
              <w:left w:val="none" w:color="000000" w:sz="4"/>
              <w:bottom w:val="single" w:color="000000" w:sz="4"/>
              <w:right w:val="single" w:color="000000" w:sz="4"/>
            </w:tcBorders>
            <w:vAlign w:val="top"/>
          </w:tcPr>
          <w:p>
            <w:pPr>
              <w:jc w:val="center"/>
            </w:pPr>
          </w:p>
        </w:tc>
        <w:tc>
          <w:tcPr>
            <w:tcW w:type="dxa" w:w="1114"/>
            <w:tcBorders>
              <w:top w:val="none" w:color="000000" w:sz="4"/>
              <w:left w:val="none" w:color="000000" w:sz="4"/>
              <w:bottom w:val="single" w:color="000000" w:sz="4"/>
              <w:right w:val="single" w:color="000000" w:sz="4"/>
            </w:tcBorders>
            <w:vAlign w:val="top"/>
          </w:tcPr>
          <w:p>
            <w:pPr>
              <w:jc w:val="center"/>
            </w:pPr>
          </w:p>
        </w:tc>
        <w:tc>
          <w:tcPr>
            <w:tcW w:type="dxa" w:w="618"/>
            <w:tcBorders>
              <w:top w:val="none" w:color="000000" w:sz="4"/>
              <w:left w:val="none" w:color="000000" w:sz="4"/>
              <w:bottom w:val="single" w:color="000000" w:sz="4"/>
              <w:right w:val="single" w:color="000000" w:sz="4"/>
            </w:tcBorders>
            <w:vAlign w:val="top"/>
          </w:tcPr>
          <w:p>
            <w:pPr>
              <w:jc w:val="center"/>
            </w:pPr>
          </w:p>
        </w:tc>
        <w:tc>
          <w:tcPr>
            <w:tcW w:type="dxa" w:w="990"/>
            <w:tcBorders>
              <w:top w:val="none" w:color="000000" w:sz="4"/>
              <w:left w:val="none" w:color="000000" w:sz="4"/>
              <w:bottom w:val="single" w:color="000000" w:sz="4"/>
              <w:right w:val="single" w:color="000000" w:sz="4"/>
            </w:tcBorders>
            <w:vAlign w:val="top"/>
          </w:tcPr>
          <w:p>
            <w:pPr>
              <w:jc w:val="center"/>
            </w:pPr>
          </w:p>
        </w:tc>
        <w:tc>
          <w:tcPr>
            <w:tcW w:type="dxa" w:w="1002"/>
            <w:tcBorders>
              <w:top w:val="none" w:color="000000" w:sz="4"/>
              <w:left w:val="none" w:color="000000" w:sz="4"/>
              <w:bottom w:val="single" w:color="000000" w:sz="4"/>
              <w:right w:val="single" w:color="000000" w:sz="4"/>
            </w:tcBorders>
            <w:vAlign w:val="top"/>
          </w:tcPr>
          <w:p>
            <w:pPr>
              <w:jc w:val="center"/>
            </w:pPr>
          </w:p>
        </w:tc>
      </w:tr>
      <w:tr>
        <w:tc>
          <w:tcPr>
            <w:tcW w:type="dxa" w:w="8265"/>
            <w:gridSpan w:val="8"/>
            <w:tcBorders>
              <w:top w:val="none" w:color="000000" w:sz="4"/>
              <w:left w:val="single" w:color="000000" w:sz="4"/>
              <w:bottom w:val="single" w:color="000000" w:sz="4"/>
              <w:right w:val="single" w:color="000000" w:sz="4"/>
            </w:tcBorders>
            <w:vAlign w:val="top"/>
          </w:tcPr>
          <w:p>
            <w:pPr>
              <w:jc w:val="both"/>
            </w:pPr>
            <w:r>
              <w:rPr>
                <w:sz w:val="24"/>
              </w:rPr>
              <w:t>项目总价：人民币（大写）：</w:t>
            </w:r>
            <w:r>
              <w:rPr>
                <w:sz w:val="21"/>
                <w:u w:val="single"/>
              </w:rPr>
              <w:t xml:space="preserve">              </w:t>
            </w:r>
            <w:r>
              <w:rPr>
                <w:sz w:val="21"/>
                <w:u w:val="single"/>
              </w:rPr>
              <w:t xml:space="preserve"> </w:t>
            </w:r>
            <w:r>
              <w:rPr>
                <w:sz w:val="24"/>
              </w:rPr>
              <w:t>；（小写）</w:t>
            </w:r>
            <w:r>
              <w:rPr>
                <w:sz w:val="24"/>
                <w:u w:val="single"/>
              </w:rPr>
              <w:t>¥</w:t>
            </w:r>
            <w:r>
              <w:rPr>
                <w:sz w:val="21"/>
                <w:u w:val="single"/>
              </w:rPr>
              <w:t xml:space="preserve">             </w:t>
            </w:r>
            <w:r>
              <w:rPr>
                <w:sz w:val="24"/>
              </w:rPr>
              <w:t>。</w:t>
            </w:r>
          </w:p>
        </w:tc>
      </w:tr>
      <w:tr>
        <w:tc>
          <w:tcPr>
            <w:tcW w:type="dxa" w:w="8265"/>
            <w:gridSpan w:val="8"/>
            <w:tcBorders>
              <w:top w:val="none" w:color="000000" w:sz="4"/>
              <w:left w:val="single" w:color="000000" w:sz="4"/>
              <w:bottom w:val="single" w:color="000000" w:sz="4"/>
              <w:right w:val="single" w:color="000000" w:sz="4"/>
            </w:tcBorders>
            <w:vAlign w:val="top"/>
          </w:tcPr>
          <w:p>
            <w:pPr>
              <w:jc w:val="left"/>
            </w:pPr>
            <w:r>
              <w:rPr>
                <w:sz w:val="24"/>
              </w:rPr>
              <w:t>备注：</w:t>
            </w:r>
            <w:r>
              <w:rPr>
                <w:sz w:val="24"/>
              </w:rPr>
              <w:t>注册证编号：</w:t>
            </w:r>
            <w:r>
              <w:rPr>
                <w:sz w:val="21"/>
                <w:u w:val="single"/>
              </w:rPr>
              <w:t xml:space="preserve">                </w:t>
            </w:r>
            <w:r>
              <w:rPr>
                <w:sz w:val="24"/>
              </w:rPr>
              <w:t>。</w:t>
            </w:r>
          </w:p>
        </w:tc>
      </w:tr>
    </w:tbl>
    <w:p>
      <w:pPr>
        <w:ind w:firstLine="560"/>
        <w:jc w:val="both"/>
      </w:pPr>
      <w:r>
        <w:rPr>
          <w:sz w:val="28"/>
        </w:rPr>
        <w:t>（二）项目总价是完成项目的含税全包价，所有价格变动的风险均由乙方承担，甲方不需再向乙方支付任何其他费用。</w:t>
      </w:r>
    </w:p>
    <w:p>
      <w:pPr>
        <w:ind w:firstLine="560"/>
        <w:jc w:val="both"/>
      </w:pPr>
      <w:r>
        <w:rPr>
          <w:sz w:val="28"/>
        </w:rPr>
        <w:t>（三）货物清单：</w:t>
      </w:r>
      <w:r>
        <w:rPr>
          <w:sz w:val="28"/>
        </w:rPr>
        <w:t>详见合同附后配置清单。</w:t>
      </w:r>
    </w:p>
    <w:p>
      <w:pPr>
        <w:ind w:firstLine="560"/>
        <w:jc w:val="both"/>
      </w:pPr>
      <w:r>
        <w:rPr>
          <w:sz w:val="28"/>
        </w:rPr>
        <w:t>（四）服务内容：</w:t>
      </w:r>
      <w:r>
        <w:rPr>
          <w:sz w:val="28"/>
        </w:rPr>
        <w:t>按</w:t>
      </w:r>
      <w:r>
        <w:rPr>
          <w:sz w:val="28"/>
        </w:rPr>
        <w:t>照</w:t>
      </w:r>
      <w:r>
        <w:rPr>
          <w:sz w:val="28"/>
        </w:rPr>
        <w:t>本合同约定、</w:t>
      </w:r>
      <w:r>
        <w:rPr>
          <w:sz w:val="28"/>
        </w:rPr>
        <w:t>招标文件</w:t>
      </w:r>
      <w:r>
        <w:rPr>
          <w:sz w:val="28"/>
        </w:rPr>
        <w:t>、</w:t>
      </w:r>
      <w:r>
        <w:rPr>
          <w:sz w:val="28"/>
        </w:rPr>
        <w:t>乙方</w:t>
      </w:r>
      <w:r>
        <w:rPr>
          <w:sz w:val="28"/>
        </w:rPr>
        <w:t>的</w:t>
      </w:r>
      <w:r>
        <w:rPr>
          <w:sz w:val="28"/>
        </w:rPr>
        <w:t>投标文件</w:t>
      </w:r>
      <w:r>
        <w:rPr>
          <w:sz w:val="28"/>
        </w:rPr>
        <w:t>（以上文件发生冲突时以较高标准为准）</w:t>
      </w:r>
      <w:r>
        <w:rPr>
          <w:sz w:val="28"/>
        </w:rPr>
        <w:t>执行。</w:t>
      </w:r>
    </w:p>
    <w:p>
      <w:pPr>
        <w:ind w:firstLine="562"/>
        <w:jc w:val="left"/>
      </w:pPr>
      <w:r>
        <w:rPr>
          <w:b/>
          <w:sz w:val="28"/>
        </w:rPr>
        <w:t>第二条</w:t>
      </w:r>
      <w:r>
        <w:rPr>
          <w:b/>
          <w:sz w:val="28"/>
        </w:rPr>
        <w:t xml:space="preserve"> </w:t>
      </w:r>
      <w:r>
        <w:rPr>
          <w:b/>
          <w:sz w:val="28"/>
        </w:rPr>
        <w:t>货物的质量要求、售后服务及损害赔偿</w:t>
      </w:r>
    </w:p>
    <w:p>
      <w:pPr>
        <w:ind w:firstLine="523"/>
        <w:jc w:val="both"/>
      </w:pPr>
      <w:r>
        <w:rPr>
          <w:sz w:val="28"/>
        </w:rPr>
        <w:t>（一）货物的质量要求：符合国家有关标准、制造厂家标准，</w:t>
      </w:r>
      <w:r>
        <w:rPr>
          <w:sz w:val="28"/>
        </w:rPr>
        <w:t>按照</w:t>
      </w:r>
      <w:r>
        <w:rPr>
          <w:sz w:val="28"/>
        </w:rPr>
        <w:t>本合同约定、</w:t>
      </w:r>
      <w:r>
        <w:rPr>
          <w:sz w:val="28"/>
        </w:rPr>
        <w:t>招标文件、乙方的投标文件、</w:t>
      </w:r>
      <w:r>
        <w:rPr>
          <w:sz w:val="28"/>
        </w:rPr>
        <w:t>澄清文件和中标通知书</w:t>
      </w:r>
      <w:r>
        <w:rPr>
          <w:sz w:val="28"/>
        </w:rPr>
        <w:t>（以上文件发生冲突时以较高标准为准）</w:t>
      </w:r>
      <w:r>
        <w:rPr>
          <w:sz w:val="28"/>
        </w:rPr>
        <w:t>的要求执行。</w:t>
      </w:r>
    </w:p>
    <w:p>
      <w:pPr>
        <w:ind w:firstLine="523"/>
        <w:jc w:val="both"/>
      </w:pPr>
      <w:r>
        <w:rPr>
          <w:sz w:val="28"/>
        </w:rPr>
        <w:t>（二）售后服务要求：</w:t>
      </w:r>
    </w:p>
    <w:p>
      <w:pPr>
        <w:ind w:firstLine="523"/>
        <w:jc w:val="both"/>
      </w:pPr>
      <w:r>
        <w:rPr>
          <w:sz w:val="28"/>
        </w:rPr>
        <w:t>乙方按照甲方招标文件、乙方投标文件执行，包括但不限于以下要求：</w:t>
      </w:r>
    </w:p>
    <w:p>
      <w:pPr>
        <w:ind w:firstLine="560"/>
        <w:jc w:val="both"/>
      </w:pPr>
      <w:r>
        <w:rPr>
          <w:sz w:val="28"/>
        </w:rPr>
        <w:t>1、乙方须有属本公司的可随时上门作维修及检测的工程师，设备出现故障时能在</w:t>
      </w:r>
      <w:r>
        <w:rPr>
          <w:sz w:val="21"/>
          <w:u w:val="single"/>
        </w:rPr>
        <w:t xml:space="preserve">     </w:t>
      </w:r>
      <w:r>
        <w:rPr>
          <w:sz w:val="28"/>
        </w:rPr>
        <w:t>小时内响应，</w:t>
      </w:r>
      <w:r>
        <w:rPr>
          <w:sz w:val="21"/>
          <w:u w:val="single"/>
        </w:rPr>
        <w:t xml:space="preserve">     </w:t>
      </w:r>
      <w:r>
        <w:rPr>
          <w:sz w:val="28"/>
        </w:rPr>
        <w:t>小时内上门维修</w:t>
      </w:r>
      <w:r>
        <w:rPr>
          <w:sz w:val="28"/>
        </w:rPr>
        <w:t>，</w:t>
      </w:r>
      <w:r>
        <w:rPr>
          <w:sz w:val="21"/>
          <w:u w:val="single"/>
        </w:rPr>
        <w:t xml:space="preserve">     </w:t>
      </w:r>
      <w:r>
        <w:rPr>
          <w:sz w:val="28"/>
        </w:rPr>
        <w:t>小时内处理完毕。若在规定时间内，乙方仍未能有效解决，甲方有权另行委托第三方提供服务或要求乙方免费提供同档次的设备或零部件予甲方临时使用，由此产生的相关费用由乙方承担。</w:t>
      </w:r>
    </w:p>
    <w:p>
      <w:pPr>
        <w:ind w:firstLine="560"/>
        <w:jc w:val="both"/>
      </w:pPr>
      <w:r>
        <w:rPr>
          <w:sz w:val="28"/>
        </w:rPr>
        <w:t>2、</w:t>
      </w:r>
      <w:r>
        <w:rPr>
          <w:sz w:val="28"/>
        </w:rPr>
        <w:t>乙方须负责本合同下所有设备免费保修</w:t>
      </w:r>
      <w:r>
        <w:rPr>
          <w:sz w:val="21"/>
          <w:u w:val="single"/>
        </w:rPr>
        <w:t xml:space="preserve">     </w:t>
      </w:r>
      <w:r>
        <w:rPr>
          <w:sz w:val="28"/>
        </w:rPr>
        <w:t>年，保修期自本合同项下的设备经甲乙双方验收合格之日起计算。免费维修的范围包括但不限于更换零件费用及维修工时费等；保修期内，乙方须提供</w:t>
      </w:r>
      <w:r>
        <w:rPr>
          <w:sz w:val="28"/>
        </w:rPr>
        <w:t>7</w:t>
      </w:r>
      <w:r>
        <w:rPr>
          <w:sz w:val="28"/>
        </w:rPr>
        <w:t>*24</w:t>
      </w:r>
      <w:r>
        <w:rPr>
          <w:sz w:val="28"/>
        </w:rPr>
        <w:t>小时服务。</w:t>
      </w:r>
      <w:r>
        <w:rPr>
          <w:sz w:val="28"/>
        </w:rPr>
        <w:t>乙方维修热线：</w:t>
      </w:r>
      <w:r>
        <w:rPr>
          <w:sz w:val="21"/>
          <w:u w:val="single"/>
        </w:rPr>
        <w:t xml:space="preserve">           </w:t>
      </w:r>
      <w:r>
        <w:rPr>
          <w:sz w:val="28"/>
        </w:rPr>
        <w:t>。本合同期内乙方不得擅自变更或取消服务热线，如须变更或取消的，应提前</w:t>
      </w:r>
      <w:r>
        <w:rPr>
          <w:sz w:val="28"/>
        </w:rPr>
        <w:t>5</w:t>
      </w:r>
      <w:r>
        <w:rPr>
          <w:sz w:val="28"/>
        </w:rPr>
        <w:t>个工作日以书面形式通知甲方，否则乙方应承担因服务热线变更或取消造成的一切不利后果。</w:t>
      </w:r>
    </w:p>
    <w:p>
      <w:pPr>
        <w:ind w:firstLine="560"/>
        <w:jc w:val="both"/>
      </w:pPr>
      <w:r>
        <w:rPr>
          <w:sz w:val="28"/>
        </w:rPr>
        <w:t>3、乙方负责现场或厂家培训甲方有关技术人员，直至掌握操作技术为止。</w:t>
      </w:r>
    </w:p>
    <w:p>
      <w:pPr>
        <w:ind w:firstLine="523"/>
        <w:jc w:val="both"/>
      </w:pPr>
      <w:r>
        <w:rPr>
          <w:sz w:val="28"/>
        </w:rPr>
        <w:t>（三）如因乙方货物质量或设计原因，导致甲方损失，乙方应予以赔偿。</w:t>
      </w:r>
    </w:p>
    <w:p>
      <w:pPr>
        <w:ind w:firstLine="562"/>
        <w:jc w:val="left"/>
      </w:pPr>
      <w:r>
        <w:rPr>
          <w:b/>
          <w:sz w:val="28"/>
        </w:rPr>
        <w:t>第三条</w:t>
      </w:r>
      <w:r>
        <w:rPr>
          <w:b/>
          <w:sz w:val="28"/>
        </w:rPr>
        <w:t xml:space="preserve"> </w:t>
      </w:r>
      <w:r>
        <w:rPr>
          <w:b/>
          <w:sz w:val="28"/>
        </w:rPr>
        <w:t>交货和安装</w:t>
      </w:r>
    </w:p>
    <w:p>
      <w:pPr>
        <w:ind w:firstLine="523"/>
        <w:jc w:val="both"/>
      </w:pPr>
      <w:r>
        <w:rPr>
          <w:sz w:val="28"/>
        </w:rPr>
        <w:t>（一）交货期：</w:t>
      </w:r>
      <w:r>
        <w:rPr>
          <w:sz w:val="28"/>
        </w:rPr>
        <w:t>所有货物须在</w:t>
      </w:r>
      <w:r>
        <w:rPr>
          <w:sz w:val="28"/>
        </w:rPr>
        <w:t>合同签订后</w:t>
      </w:r>
      <w:r>
        <w:rPr>
          <w:sz w:val="21"/>
          <w:u w:val="single"/>
        </w:rPr>
        <w:t xml:space="preserve">     </w:t>
      </w:r>
      <w:r>
        <w:rPr>
          <w:sz w:val="28"/>
        </w:rPr>
        <w:t>内</w:t>
      </w:r>
      <w:r>
        <w:rPr>
          <w:sz w:val="28"/>
        </w:rPr>
        <w:t>安装、调试完毕，能够投入使用并且通过验收</w:t>
      </w:r>
      <w:r>
        <w:rPr>
          <w:sz w:val="28"/>
        </w:rPr>
        <w:t>。</w:t>
      </w:r>
    </w:p>
    <w:p>
      <w:pPr>
        <w:ind w:firstLine="523"/>
        <w:jc w:val="both"/>
      </w:pPr>
      <w:r>
        <w:rPr>
          <w:sz w:val="28"/>
        </w:rPr>
        <w:t>（二）交货方式：乙方负责将货物送至江门市中心医院指定地点。</w:t>
      </w:r>
    </w:p>
    <w:p>
      <w:pPr>
        <w:ind w:firstLine="523"/>
        <w:jc w:val="both"/>
      </w:pPr>
      <w:r>
        <w:rPr>
          <w:sz w:val="28"/>
        </w:rPr>
        <w:t>（三）设备的安装：由乙方负责。</w:t>
      </w:r>
    </w:p>
    <w:p>
      <w:pPr>
        <w:ind w:firstLine="562"/>
        <w:jc w:val="left"/>
      </w:pPr>
      <w:r>
        <w:rPr>
          <w:b/>
          <w:sz w:val="28"/>
        </w:rPr>
        <w:t>第四条</w:t>
      </w:r>
      <w:r>
        <w:rPr>
          <w:b/>
          <w:sz w:val="28"/>
        </w:rPr>
        <w:t xml:space="preserve"> </w:t>
      </w:r>
      <w:r>
        <w:rPr>
          <w:b/>
          <w:sz w:val="28"/>
        </w:rPr>
        <w:t>货款的结算</w:t>
      </w:r>
    </w:p>
    <w:p>
      <w:pPr>
        <w:ind w:firstLine="560"/>
        <w:jc w:val="both"/>
      </w:pPr>
      <w:r>
        <w:rPr>
          <w:color w:val="0000FF"/>
          <w:sz w:val="28"/>
        </w:rPr>
        <w:t>（</w:t>
      </w:r>
      <w:r>
        <w:rPr>
          <w:color w:val="0000FF"/>
          <w:sz w:val="28"/>
        </w:rPr>
        <w:t>一</w:t>
      </w:r>
      <w:r>
        <w:rPr>
          <w:color w:val="0000FF"/>
          <w:sz w:val="28"/>
        </w:rPr>
        <w:t>）</w:t>
      </w:r>
      <w:r>
        <w:rPr>
          <w:color w:val="0000FF"/>
          <w:sz w:val="28"/>
        </w:rPr>
        <w:t>具体结算方式：</w:t>
      </w:r>
    </w:p>
    <w:p>
      <w:pPr>
        <w:ind w:firstLine="560"/>
        <w:jc w:val="both"/>
      </w:pPr>
      <w:r>
        <w:rPr>
          <w:color w:val="0000FF"/>
          <w:sz w:val="28"/>
        </w:rPr>
        <w:t>1.第一期：合同签订生效后的30个工作日内，将合同总金额的30%</w:t>
      </w:r>
      <w:r>
        <w:rPr>
          <w:color w:val="0000FF"/>
          <w:sz w:val="28"/>
        </w:rPr>
        <w:t>（即</w:t>
      </w:r>
      <w:r>
        <w:rPr>
          <w:color w:val="0000FF"/>
          <w:sz w:val="28"/>
        </w:rPr>
        <w:t>¥</w:t>
      </w:r>
      <w:r>
        <w:rPr>
          <w:sz w:val="21"/>
          <w:u w:val="single"/>
        </w:rPr>
        <w:t xml:space="preserve">      </w:t>
      </w:r>
      <w:r>
        <w:rPr>
          <w:color w:val="0000FF"/>
          <w:sz w:val="28"/>
        </w:rPr>
        <w:t>）</w:t>
      </w:r>
      <w:r>
        <w:rPr>
          <w:color w:val="0000FF"/>
          <w:sz w:val="28"/>
        </w:rPr>
        <w:t>支付给乙方。</w:t>
      </w:r>
    </w:p>
    <w:p>
      <w:pPr>
        <w:ind w:firstLine="560"/>
        <w:jc w:val="both"/>
      </w:pPr>
      <w:r>
        <w:rPr>
          <w:color w:val="0000FF"/>
          <w:sz w:val="28"/>
        </w:rPr>
        <w:t>2.第二期：项目安装调试完毕并验收合格入库后的60日内将合同总金额的60%</w:t>
      </w:r>
      <w:r>
        <w:rPr>
          <w:color w:val="0000FF"/>
          <w:sz w:val="28"/>
        </w:rPr>
        <w:t>（即</w:t>
      </w:r>
      <w:r>
        <w:rPr>
          <w:color w:val="0000FF"/>
          <w:sz w:val="28"/>
        </w:rPr>
        <w:t>¥</w:t>
      </w:r>
      <w:r>
        <w:rPr>
          <w:sz w:val="21"/>
          <w:u w:val="single"/>
        </w:rPr>
        <w:t xml:space="preserve">      </w:t>
      </w:r>
      <w:r>
        <w:rPr>
          <w:color w:val="0000FF"/>
          <w:sz w:val="28"/>
        </w:rPr>
        <w:t>）</w:t>
      </w:r>
      <w:r>
        <w:rPr>
          <w:color w:val="0000FF"/>
          <w:sz w:val="28"/>
        </w:rPr>
        <w:t>支付给乙方。</w:t>
      </w:r>
    </w:p>
    <w:p>
      <w:pPr>
        <w:ind w:firstLine="560"/>
        <w:jc w:val="both"/>
      </w:pPr>
      <w:r>
        <w:rPr>
          <w:color w:val="0000FF"/>
          <w:sz w:val="28"/>
        </w:rPr>
        <w:t>3.第三期：2年免费保修期满后的60日内，将合同总金额的10%</w:t>
      </w:r>
      <w:r>
        <w:rPr>
          <w:color w:val="0000FF"/>
          <w:sz w:val="28"/>
        </w:rPr>
        <w:t>（即</w:t>
      </w:r>
      <w:r>
        <w:rPr>
          <w:color w:val="0000FF"/>
          <w:sz w:val="28"/>
        </w:rPr>
        <w:t>¥</w:t>
      </w:r>
      <w:r>
        <w:rPr>
          <w:sz w:val="21"/>
          <w:u w:val="single"/>
        </w:rPr>
        <w:t xml:space="preserve">      </w:t>
      </w:r>
      <w:r>
        <w:rPr>
          <w:color w:val="0000FF"/>
          <w:sz w:val="28"/>
        </w:rPr>
        <w:t>）</w:t>
      </w:r>
      <w:r>
        <w:rPr>
          <w:color w:val="0000FF"/>
          <w:sz w:val="28"/>
        </w:rPr>
        <w:t>支付给乙方。</w:t>
      </w:r>
    </w:p>
    <w:p>
      <w:pPr>
        <w:ind w:firstLine="560"/>
        <w:jc w:val="both"/>
      </w:pPr>
      <w:r>
        <w:rPr>
          <w:color w:val="0000FF"/>
          <w:sz w:val="28"/>
        </w:rPr>
        <w:t>（</w:t>
      </w:r>
      <w:r>
        <w:rPr>
          <w:color w:val="0000FF"/>
          <w:sz w:val="28"/>
        </w:rPr>
        <w:t>二</w:t>
      </w:r>
      <w:r>
        <w:rPr>
          <w:color w:val="0000FF"/>
          <w:sz w:val="28"/>
        </w:rPr>
        <w:t>）乙方须</w:t>
      </w:r>
      <w:r>
        <w:rPr>
          <w:color w:val="0000FF"/>
          <w:sz w:val="28"/>
        </w:rPr>
        <w:t>在第二期付款时间</w:t>
      </w:r>
      <w:r>
        <w:rPr>
          <w:color w:val="0000FF"/>
          <w:sz w:val="28"/>
        </w:rPr>
        <w:t>前</w:t>
      </w:r>
      <w:r>
        <w:rPr>
          <w:color w:val="0000FF"/>
          <w:sz w:val="28"/>
        </w:rPr>
        <w:t>30</w:t>
      </w:r>
      <w:r>
        <w:rPr>
          <w:color w:val="0000FF"/>
          <w:sz w:val="28"/>
        </w:rPr>
        <w:t>日提供合法有效的</w:t>
      </w:r>
      <w:r>
        <w:rPr>
          <w:color w:val="0000FF"/>
          <w:sz w:val="28"/>
        </w:rPr>
        <w:t>全</w:t>
      </w:r>
      <w:r>
        <w:rPr>
          <w:color w:val="0000FF"/>
          <w:sz w:val="28"/>
        </w:rPr>
        <w:t>额发票给甲方。</w:t>
      </w:r>
    </w:p>
    <w:p>
      <w:pPr>
        <w:jc w:val="left"/>
      </w:pPr>
      <w:r>
        <w:rPr>
          <w:b/>
          <w:sz w:val="28"/>
        </w:rPr>
        <w:t xml:space="preserve">     </w:t>
      </w:r>
      <w:r>
        <w:rPr>
          <w:b/>
          <w:sz w:val="28"/>
        </w:rPr>
        <w:t>第五条</w:t>
      </w:r>
      <w:r>
        <w:rPr>
          <w:b/>
          <w:sz w:val="28"/>
        </w:rPr>
        <w:t xml:space="preserve"> </w:t>
      </w:r>
      <w:r>
        <w:rPr>
          <w:b/>
          <w:sz w:val="28"/>
        </w:rPr>
        <w:t>验收方式</w:t>
      </w:r>
    </w:p>
    <w:p>
      <w:pPr>
        <w:ind w:firstLine="523"/>
        <w:jc w:val="both"/>
      </w:pPr>
      <w:r>
        <w:rPr>
          <w:sz w:val="28"/>
        </w:rPr>
        <w:t>（一）验收时间：</w:t>
      </w:r>
      <w:r>
        <w:rPr>
          <w:sz w:val="28"/>
        </w:rPr>
        <w:t>设备安装调试完毕正常运行后</w:t>
      </w:r>
      <w:r>
        <w:rPr>
          <w:sz w:val="28"/>
        </w:rPr>
        <w:t>1个月内。</w:t>
      </w:r>
    </w:p>
    <w:p>
      <w:pPr>
        <w:ind w:firstLine="523"/>
        <w:jc w:val="both"/>
      </w:pPr>
      <w:r>
        <w:rPr>
          <w:sz w:val="28"/>
        </w:rPr>
        <w:t>（二）验收方法：甲方派遣有经验有能力的人员检验产品和工程的质量和指标。</w:t>
      </w:r>
    </w:p>
    <w:p>
      <w:pPr>
        <w:ind w:firstLine="523"/>
        <w:jc w:val="both"/>
      </w:pPr>
      <w:r>
        <w:rPr>
          <w:sz w:val="28"/>
        </w:rPr>
        <w:t>（三）验收标准：</w:t>
      </w:r>
      <w:r>
        <w:rPr>
          <w:sz w:val="28"/>
        </w:rPr>
        <w:t>符合本合同约定、</w:t>
      </w:r>
      <w:r>
        <w:rPr>
          <w:sz w:val="28"/>
        </w:rPr>
        <w:t>招标文件、乙方的投标文件</w:t>
      </w:r>
      <w:r>
        <w:rPr>
          <w:sz w:val="28"/>
        </w:rPr>
        <w:t>、澄清文件和中标通知书</w:t>
      </w:r>
      <w:r>
        <w:rPr>
          <w:sz w:val="28"/>
        </w:rPr>
        <w:t>（以上文件发生冲突时以较高标准为准）</w:t>
      </w:r>
      <w:r>
        <w:rPr>
          <w:sz w:val="28"/>
        </w:rPr>
        <w:t>的要求；</w:t>
      </w:r>
      <w:r>
        <w:rPr>
          <w:sz w:val="28"/>
        </w:rPr>
        <w:t>单证齐全，有产品合格证（或质量保证书）、发票和其它应当具有单证文件。</w:t>
      </w:r>
    </w:p>
    <w:p>
      <w:pPr>
        <w:ind w:firstLine="562"/>
        <w:jc w:val="left"/>
      </w:pPr>
      <w:r>
        <w:rPr>
          <w:b/>
          <w:sz w:val="28"/>
        </w:rPr>
        <w:t>第六条</w:t>
      </w:r>
      <w:r>
        <w:rPr>
          <w:b/>
          <w:sz w:val="28"/>
        </w:rPr>
        <w:t xml:space="preserve"> </w:t>
      </w:r>
      <w:r>
        <w:rPr>
          <w:b/>
          <w:sz w:val="28"/>
        </w:rPr>
        <w:t>对产品异议的时间和办法</w:t>
      </w:r>
    </w:p>
    <w:p>
      <w:pPr>
        <w:ind w:firstLine="523"/>
        <w:jc w:val="both"/>
      </w:pPr>
      <w:r>
        <w:rPr>
          <w:sz w:val="28"/>
        </w:rPr>
        <w:t>（一）甲方在验收中，如果发现货物的品种、型号、数量、规格、质量或有关</w:t>
      </w:r>
      <w:r>
        <w:rPr>
          <w:sz w:val="28"/>
        </w:rPr>
        <w:t>服务、</w:t>
      </w:r>
      <w:r>
        <w:rPr>
          <w:sz w:val="28"/>
        </w:rPr>
        <w:t>软件及有关工程不合规定的，应妥为保管，并在三十日内向乙方提出书面异议。甲方怠于通知或者自货物收到之日起三个月内未通知乙方的，视为货物合乎规定。</w:t>
      </w:r>
    </w:p>
    <w:p>
      <w:pPr>
        <w:ind w:firstLine="523"/>
        <w:jc w:val="both"/>
      </w:pPr>
      <w:r>
        <w:rPr>
          <w:sz w:val="28"/>
        </w:rPr>
        <w:t>（二）乙方在接到甲方书面异议后，应在十天内处理，否则，视为乙方承认该货物存在甲方所指出的瑕疵并同意甲方提出的处理意见。</w:t>
      </w:r>
    </w:p>
    <w:p>
      <w:pPr>
        <w:ind w:firstLine="562"/>
        <w:jc w:val="left"/>
      </w:pPr>
      <w:r>
        <w:rPr>
          <w:b/>
          <w:sz w:val="28"/>
        </w:rPr>
        <w:t>第七条</w:t>
      </w:r>
      <w:r>
        <w:rPr>
          <w:b/>
          <w:sz w:val="28"/>
        </w:rPr>
        <w:t xml:space="preserve"> </w:t>
      </w:r>
      <w:r>
        <w:rPr>
          <w:b/>
          <w:sz w:val="28"/>
        </w:rPr>
        <w:t>乙方的违约责任</w:t>
      </w:r>
    </w:p>
    <w:p>
      <w:pPr>
        <w:ind w:firstLine="520"/>
        <w:jc w:val="left"/>
      </w:pPr>
      <w:r>
        <w:rPr>
          <w:sz w:val="28"/>
        </w:rPr>
        <w:t>（一）乙方不能交货的，甲方不向乙方付款。甲方有权解除本合同，乙方应向甲方偿付合同总价的百分之</w:t>
      </w:r>
      <w:r>
        <w:rPr>
          <w:sz w:val="28"/>
        </w:rPr>
        <w:t>1</w:t>
      </w:r>
      <w:r>
        <w:rPr>
          <w:sz w:val="28"/>
        </w:rPr>
        <w:t>5</w:t>
      </w:r>
      <w:r>
        <w:rPr>
          <w:sz w:val="28"/>
        </w:rPr>
        <w:t>作为违约金，违约金不足以弥补甲方损失的，乙方应赔偿甲方实际损失。</w:t>
      </w:r>
    </w:p>
    <w:p>
      <w:pPr>
        <w:ind w:firstLine="520"/>
        <w:jc w:val="left"/>
      </w:pPr>
      <w:r>
        <w:rPr>
          <w:sz w:val="28"/>
        </w:rPr>
        <w:t>（二）乙方所交设备种类、数量、规格、质量和技术性能等不符合合同规定的，由乙方负责包换或包修，并承担修理、调换或退货而支付的实际费用，并向甲方偿付合同总价的百分之</w:t>
      </w:r>
      <w:r>
        <w:rPr>
          <w:sz w:val="28"/>
        </w:rPr>
        <w:t>10作为违约金。如乙方换货或修理后，设备仍不能达到合同约定</w:t>
      </w:r>
      <w:r>
        <w:rPr>
          <w:sz w:val="28"/>
        </w:rPr>
        <w:t>或乙方不按上述规定整改</w:t>
      </w:r>
      <w:r>
        <w:rPr>
          <w:sz w:val="28"/>
        </w:rPr>
        <w:t>的，甲方有权解除本合同，甲方解除本合同的，乙方应当退还甲方已经支付的款项，乙方还应向甲方支付合同总价</w:t>
      </w:r>
      <w:r>
        <w:rPr>
          <w:sz w:val="28"/>
        </w:rPr>
        <w:t>的百分</w:t>
      </w:r>
      <w:r>
        <w:rPr>
          <w:sz w:val="28"/>
        </w:rPr>
        <w:t>之</w:t>
      </w:r>
      <w:r>
        <w:rPr>
          <w:sz w:val="28"/>
        </w:rPr>
        <w:t>20作为违约金，违约金不足以弥补甲方损失的，乙方应赔偿甲方实际损失。</w:t>
      </w:r>
    </w:p>
    <w:p>
      <w:pPr>
        <w:ind w:firstLine="520"/>
        <w:jc w:val="left"/>
      </w:pPr>
      <w:r>
        <w:rPr>
          <w:sz w:val="28"/>
        </w:rPr>
        <w:t>（三）乙方逾期交货的，每日应向甲方偿付合同总额的百分之</w:t>
      </w:r>
      <w:r>
        <w:rPr>
          <w:sz w:val="28"/>
        </w:rPr>
        <w:t>0.1作为违约金，逾期达到</w:t>
      </w:r>
      <w:r>
        <w:rPr>
          <w:sz w:val="28"/>
        </w:rPr>
        <w:t>30</w:t>
      </w:r>
      <w:r>
        <w:rPr>
          <w:sz w:val="28"/>
        </w:rPr>
        <w:t>天及以上的，视为不能交货。</w:t>
      </w:r>
    </w:p>
    <w:p>
      <w:pPr>
        <w:ind w:firstLine="520"/>
        <w:jc w:val="left"/>
      </w:pPr>
      <w:r>
        <w:rPr>
          <w:sz w:val="28"/>
        </w:rPr>
        <w:t>（四）除本合同另有约定外，乙方每次违反本合同约定的，须按照合同总价的</w:t>
      </w:r>
      <w:r>
        <w:rPr>
          <w:sz w:val="28"/>
        </w:rPr>
        <w:t>3</w:t>
      </w:r>
      <w:r>
        <w:rPr>
          <w:sz w:val="28"/>
        </w:rPr>
        <w:t>%向甲方支付违约金，违约金不足以弥补甲方损失的，乙方应赔偿甲方实际损失。</w:t>
      </w:r>
    </w:p>
    <w:p>
      <w:pPr>
        <w:ind w:firstLine="562"/>
        <w:jc w:val="left"/>
      </w:pPr>
      <w:r>
        <w:rPr>
          <w:b/>
          <w:sz w:val="28"/>
        </w:rPr>
        <w:t>第八条</w:t>
      </w:r>
      <w:r>
        <w:rPr>
          <w:b/>
          <w:sz w:val="28"/>
        </w:rPr>
        <w:t xml:space="preserve"> </w:t>
      </w:r>
      <w:r>
        <w:rPr>
          <w:b/>
          <w:sz w:val="28"/>
        </w:rPr>
        <w:t>甲方的违约责任</w:t>
      </w:r>
    </w:p>
    <w:p>
      <w:pPr>
        <w:jc w:val="left"/>
      </w:pPr>
      <w:r>
        <w:rPr>
          <w:sz w:val="28"/>
        </w:rPr>
        <w:t xml:space="preserve">    </w:t>
      </w:r>
      <w:r>
        <w:rPr>
          <w:sz w:val="28"/>
        </w:rPr>
        <w:t>（一）甲</w:t>
      </w:r>
      <w:r>
        <w:rPr>
          <w:sz w:val="28"/>
        </w:rPr>
        <w:t>方逾期付款的，每日应向乙方偿付合同总额的百分之</w:t>
      </w:r>
      <w:r>
        <w:rPr>
          <w:sz w:val="28"/>
        </w:rPr>
        <w:t>0.1作为违约金</w:t>
      </w:r>
      <w:r>
        <w:rPr>
          <w:sz w:val="28"/>
        </w:rPr>
        <w:t>，违约金上限不超过合同总金额的</w:t>
      </w:r>
      <w:r>
        <w:rPr>
          <w:sz w:val="28"/>
        </w:rPr>
        <w:t>10%</w:t>
      </w:r>
      <w:r>
        <w:rPr>
          <w:sz w:val="28"/>
        </w:rPr>
        <w:t>。</w:t>
      </w:r>
    </w:p>
    <w:p>
      <w:pPr>
        <w:ind w:firstLine="520"/>
        <w:jc w:val="left"/>
      </w:pPr>
      <w:r>
        <w:rPr>
          <w:sz w:val="28"/>
        </w:rPr>
        <w:t>（二）甲方违反合同规定拒绝接受货物的，应当承担由此而对乙方造成的损失</w:t>
      </w:r>
      <w:r>
        <w:rPr>
          <w:sz w:val="28"/>
        </w:rPr>
        <w:t>，违约金上限不超过合同总金额的</w:t>
      </w:r>
      <w:r>
        <w:rPr>
          <w:sz w:val="28"/>
        </w:rPr>
        <w:t>10%</w:t>
      </w:r>
      <w:r>
        <w:rPr>
          <w:sz w:val="28"/>
        </w:rPr>
        <w:t>。</w:t>
      </w:r>
    </w:p>
    <w:p>
      <w:pPr>
        <w:ind w:firstLine="562"/>
        <w:jc w:val="left"/>
      </w:pPr>
      <w:r>
        <w:rPr>
          <w:b/>
          <w:sz w:val="28"/>
        </w:rPr>
        <w:t>第九条</w:t>
      </w:r>
      <w:r>
        <w:rPr>
          <w:b/>
          <w:sz w:val="28"/>
        </w:rPr>
        <w:t xml:space="preserve"> </w:t>
      </w:r>
      <w:r>
        <w:rPr>
          <w:b/>
          <w:sz w:val="28"/>
        </w:rPr>
        <w:t>不可抗力</w:t>
      </w:r>
    </w:p>
    <w:p>
      <w:pPr>
        <w:ind w:firstLine="520"/>
        <w:jc w:val="left"/>
      </w:pPr>
      <w:r>
        <w:rPr>
          <w:sz w:val="28"/>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pPr>
        <w:ind w:firstLine="562"/>
        <w:jc w:val="left"/>
      </w:pPr>
      <w:r>
        <w:rPr>
          <w:b/>
          <w:sz w:val="28"/>
        </w:rPr>
        <w:t>第十条</w:t>
      </w:r>
      <w:r>
        <w:rPr>
          <w:b/>
          <w:sz w:val="28"/>
        </w:rPr>
        <w:t xml:space="preserve"> </w:t>
      </w:r>
      <w:r>
        <w:rPr>
          <w:b/>
          <w:sz w:val="28"/>
        </w:rPr>
        <w:t>争议的解决</w:t>
      </w:r>
    </w:p>
    <w:p>
      <w:pPr>
        <w:ind w:firstLine="520"/>
        <w:jc w:val="left"/>
      </w:pPr>
      <w:r>
        <w:rPr>
          <w:sz w:val="28"/>
        </w:rPr>
        <w:t>（一）如因货物的质量问题发生争议，由法定的质量技术鉴定机构进行质量鉴定，双方应当服从该鉴定的结论。</w:t>
      </w:r>
    </w:p>
    <w:p>
      <w:pPr>
        <w:ind w:firstLine="560"/>
        <w:jc w:val="left"/>
      </w:pPr>
      <w:r>
        <w:rPr>
          <w:sz w:val="28"/>
        </w:rPr>
        <w:t>（二）若执行本合同的过程中发生纠纷，双方当事人应当及时协商解决；协商不成时，可向江门市蓬江区人民法院提起诉讼。</w:t>
      </w:r>
    </w:p>
    <w:p>
      <w:pPr>
        <w:ind w:firstLine="562"/>
        <w:jc w:val="left"/>
      </w:pPr>
      <w:r>
        <w:rPr>
          <w:b/>
          <w:sz w:val="28"/>
        </w:rPr>
        <w:t>第十一条</w:t>
      </w:r>
      <w:r>
        <w:rPr>
          <w:b/>
          <w:sz w:val="28"/>
        </w:rPr>
        <w:t xml:space="preserve"> </w:t>
      </w:r>
      <w:r>
        <w:rPr>
          <w:b/>
          <w:sz w:val="28"/>
        </w:rPr>
        <w:t>监督和管理</w:t>
      </w:r>
    </w:p>
    <w:p>
      <w:pPr>
        <w:ind w:firstLine="520"/>
        <w:jc w:val="left"/>
      </w:pPr>
      <w:r>
        <w:rPr>
          <w:sz w:val="28"/>
        </w:rPr>
        <w:t>（一）甲乙双方经协商一致需变更合同实质性条款或订立补充合同的，应先取得甲方管理部门和监督部门的同意，并将相关资料备案。</w:t>
      </w:r>
    </w:p>
    <w:p>
      <w:pPr>
        <w:ind w:firstLine="560"/>
        <w:jc w:val="left"/>
      </w:pPr>
      <w:r>
        <w:rPr>
          <w:sz w:val="28"/>
        </w:rPr>
        <w:t>（二）甲乙双方均应自觉配合甲方管理部门和监督部门对合同履行情况的监督检查，如实反映情况，提供有关资料。否则，将对有关单位、当事人按照有关规定予以处罚。</w:t>
      </w:r>
    </w:p>
    <w:p>
      <w:pPr>
        <w:ind w:firstLine="562"/>
        <w:jc w:val="left"/>
      </w:pPr>
      <w:r>
        <w:rPr>
          <w:b/>
          <w:sz w:val="28"/>
        </w:rPr>
        <w:t>第十二条</w:t>
      </w:r>
      <w:r>
        <w:rPr>
          <w:b/>
          <w:sz w:val="28"/>
        </w:rPr>
        <w:t xml:space="preserve"> </w:t>
      </w:r>
      <w:r>
        <w:rPr>
          <w:b/>
          <w:sz w:val="28"/>
        </w:rPr>
        <w:t>无效合同</w:t>
      </w:r>
    </w:p>
    <w:p>
      <w:pPr>
        <w:ind w:firstLine="520"/>
        <w:jc w:val="left"/>
      </w:pPr>
      <w:r>
        <w:rPr>
          <w:sz w:val="28"/>
        </w:rPr>
        <w:t>甲乙双方如因违反法律和有关规定，合同被宣告无效的，有过错的一方应当承担赔偿责任，双方都有过错的，各自承担相应的责任。</w:t>
      </w:r>
    </w:p>
    <w:p>
      <w:pPr>
        <w:ind w:firstLine="562"/>
        <w:jc w:val="left"/>
      </w:pPr>
      <w:r>
        <w:rPr>
          <w:b/>
          <w:sz w:val="28"/>
        </w:rPr>
        <w:t>第十三条</w:t>
      </w:r>
      <w:r>
        <w:rPr>
          <w:b/>
          <w:sz w:val="28"/>
        </w:rPr>
        <w:t xml:space="preserve"> </w:t>
      </w:r>
      <w:r>
        <w:rPr>
          <w:b/>
          <w:sz w:val="28"/>
        </w:rPr>
        <w:t>投诉</w:t>
      </w:r>
    </w:p>
    <w:p>
      <w:pPr>
        <w:ind w:firstLine="520"/>
        <w:jc w:val="left"/>
      </w:pPr>
      <w:r>
        <w:rPr>
          <w:sz w:val="28"/>
        </w:rPr>
        <w:t>甲方如对乙方所提供的货物质量及服务提出投诉，经核查如属有效投诉并超过三次，甲方管理部门和监督部门有权取消乙方的中标资格，并按有关规定接受处理。</w:t>
      </w:r>
    </w:p>
    <w:p>
      <w:pPr>
        <w:ind w:firstLine="562"/>
        <w:jc w:val="left"/>
      </w:pPr>
      <w:r>
        <w:rPr>
          <w:b/>
          <w:sz w:val="28"/>
        </w:rPr>
        <w:t>第十四条</w:t>
      </w:r>
      <w:r>
        <w:rPr>
          <w:b/>
          <w:sz w:val="28"/>
        </w:rPr>
        <w:t xml:space="preserve"> </w:t>
      </w:r>
      <w:r>
        <w:rPr>
          <w:b/>
          <w:sz w:val="28"/>
        </w:rPr>
        <w:t>附则</w:t>
      </w:r>
    </w:p>
    <w:p>
      <w:pPr>
        <w:ind w:firstLine="520"/>
        <w:jc w:val="left"/>
      </w:pPr>
      <w:r>
        <w:rPr>
          <w:sz w:val="28"/>
        </w:rPr>
        <w:t>（一）本合同一式四份，甲方执两份，乙方执一份，一份</w:t>
      </w:r>
      <w:r>
        <w:rPr>
          <w:sz w:val="21"/>
          <w:u w:val="single"/>
        </w:rPr>
        <w:t xml:space="preserve">           </w:t>
      </w:r>
      <w:r>
        <w:rPr>
          <w:sz w:val="28"/>
        </w:rPr>
        <w:t>招标公司存档</w:t>
      </w:r>
      <w:r>
        <w:rPr>
          <w:sz w:val="28"/>
        </w:rPr>
        <w:t>，具有同等法律效力</w:t>
      </w:r>
      <w:r>
        <w:rPr>
          <w:sz w:val="28"/>
        </w:rPr>
        <w:t>。合</w:t>
      </w:r>
      <w:r>
        <w:rPr>
          <w:sz w:val="28"/>
        </w:rPr>
        <w:t>同附件为本合同的组成部分，与本合同正文具有同等法律效力。</w:t>
      </w:r>
    </w:p>
    <w:p>
      <w:pPr>
        <w:ind w:firstLine="520"/>
        <w:jc w:val="left"/>
      </w:pPr>
      <w:r>
        <w:rPr>
          <w:sz w:val="28"/>
        </w:rPr>
        <w:t>（二）本合同自甲乙双方签字盖章后生效。</w:t>
      </w:r>
    </w:p>
    <w:p>
      <w:pPr>
        <w:ind w:firstLine="140"/>
        <w:jc w:val="both"/>
      </w:pPr>
    </w:p>
    <w:p>
      <w:pPr>
        <w:jc w:val="both"/>
      </w:pPr>
      <w:r>
        <w:rPr>
          <w:sz w:val="28"/>
        </w:rPr>
        <w:t>购货单位（甲方）：</w:t>
      </w:r>
      <w:r>
        <w:rPr>
          <w:sz w:val="28"/>
        </w:rPr>
        <w:t xml:space="preserve">            </w:t>
      </w:r>
      <w:r>
        <w:rPr>
          <w:sz w:val="28"/>
        </w:rPr>
        <w:t>供货单位（乙方）：</w:t>
      </w:r>
    </w:p>
    <w:p>
      <w:pPr>
        <w:jc w:val="both"/>
      </w:pPr>
      <w:r>
        <w:rPr>
          <w:sz w:val="28"/>
        </w:rPr>
        <w:t>江门市中心医院</w:t>
      </w:r>
      <w:r>
        <w:rPr>
          <w:sz w:val="28"/>
        </w:rPr>
        <w:t xml:space="preserve">                </w:t>
      </w:r>
      <w:r>
        <w:rPr>
          <w:sz w:val="21"/>
          <w:u w:val="single"/>
        </w:rPr>
        <w:t xml:space="preserve">                                                          </w:t>
      </w:r>
    </w:p>
    <w:p>
      <w:pPr>
        <w:jc w:val="both"/>
      </w:pPr>
      <w:r>
        <w:rPr>
          <w:sz w:val="28"/>
        </w:rPr>
        <w:t>法定代表人：</w:t>
      </w:r>
      <w:r>
        <w:rPr>
          <w:sz w:val="28"/>
        </w:rPr>
        <w:t xml:space="preserve">                  </w:t>
      </w:r>
      <w:r>
        <w:rPr>
          <w:sz w:val="28"/>
        </w:rPr>
        <w:t>法定代表人：</w:t>
      </w:r>
    </w:p>
    <w:p>
      <w:pPr>
        <w:jc w:val="both"/>
      </w:pPr>
      <w:r>
        <w:rPr>
          <w:sz w:val="28"/>
        </w:rPr>
        <w:t>委托代理人：</w:t>
      </w:r>
      <w:r>
        <w:rPr>
          <w:sz w:val="28"/>
        </w:rPr>
        <w:t xml:space="preserve">                  </w:t>
      </w:r>
      <w:r>
        <w:rPr>
          <w:sz w:val="28"/>
        </w:rPr>
        <w:t>委托代理人：</w:t>
      </w:r>
    </w:p>
    <w:p>
      <w:pPr>
        <w:jc w:val="both"/>
      </w:pPr>
      <w:r>
        <w:rPr>
          <w:sz w:val="28"/>
        </w:rPr>
        <w:t>地址：</w:t>
      </w:r>
      <w:r>
        <w:rPr>
          <w:sz w:val="28"/>
        </w:rPr>
        <w:t xml:space="preserve">                        </w:t>
      </w:r>
      <w:r>
        <w:rPr>
          <w:sz w:val="28"/>
        </w:rPr>
        <w:t>地址：</w:t>
      </w:r>
    </w:p>
    <w:p>
      <w:pPr>
        <w:jc w:val="both"/>
      </w:pPr>
      <w:r>
        <w:rPr>
          <w:sz w:val="28"/>
        </w:rPr>
        <w:t>开户银行：</w:t>
      </w:r>
      <w:r>
        <w:rPr>
          <w:sz w:val="28"/>
        </w:rPr>
        <w:t xml:space="preserve">                    </w:t>
      </w:r>
      <w:r>
        <w:rPr>
          <w:sz w:val="28"/>
        </w:rPr>
        <w:t>开户银行：</w:t>
      </w:r>
    </w:p>
    <w:p>
      <w:pPr>
        <w:jc w:val="both"/>
      </w:pPr>
      <w:r>
        <w:rPr>
          <w:sz w:val="28"/>
        </w:rPr>
        <w:t>账号：</w:t>
      </w:r>
      <w:r>
        <w:rPr>
          <w:sz w:val="28"/>
        </w:rPr>
        <w:t xml:space="preserve">                        </w:t>
      </w:r>
      <w:r>
        <w:rPr>
          <w:sz w:val="28"/>
        </w:rPr>
        <w:t>账号：</w:t>
      </w:r>
    </w:p>
    <w:p>
      <w:pPr>
        <w:jc w:val="both"/>
      </w:pPr>
      <w:r>
        <w:rPr>
          <w:sz w:val="28"/>
        </w:rPr>
        <w:t>电话：</w:t>
      </w:r>
      <w:r>
        <w:rPr>
          <w:sz w:val="28"/>
        </w:rPr>
        <w:t xml:space="preserve">                        </w:t>
      </w:r>
      <w:r>
        <w:rPr>
          <w:sz w:val="28"/>
        </w:rPr>
        <w:t>电话：</w:t>
      </w:r>
    </w:p>
    <w:p>
      <w:pPr>
        <w:jc w:val="both"/>
      </w:pPr>
      <w:r>
        <w:rPr>
          <w:sz w:val="28"/>
        </w:rPr>
        <w:t>签约时间：</w:t>
      </w:r>
      <w:r>
        <w:rPr>
          <w:sz w:val="28"/>
        </w:rPr>
        <w:t xml:space="preserve">   </w:t>
      </w:r>
      <w:r>
        <w:rPr>
          <w:sz w:val="28"/>
        </w:rPr>
        <w:t>年</w:t>
      </w:r>
      <w:r>
        <w:rPr>
          <w:sz w:val="28"/>
        </w:rPr>
        <w:t xml:space="preserve">  </w:t>
      </w:r>
      <w:r>
        <w:rPr>
          <w:sz w:val="28"/>
        </w:rPr>
        <w:t>月</w:t>
      </w:r>
      <w:r>
        <w:rPr>
          <w:sz w:val="28"/>
        </w:rPr>
        <w:t xml:space="preserve">  </w:t>
      </w:r>
      <w:r>
        <w:rPr>
          <w:sz w:val="28"/>
        </w:rPr>
        <w:t>日</w:t>
      </w:r>
    </w:p>
    <w:p>
      <w:pPr>
        <w:jc w:val="both"/>
      </w:pPr>
      <w:r>
        <w:rPr>
          <w:sz w:val="28"/>
        </w:rPr>
        <w:t>签约地点：江门市中心医院</w:t>
      </w:r>
    </w:p>
    <w:p>
      <w:pPr>
        <w:jc w:val="both"/>
      </w:pPr>
    </w:p>
    <w:p>
      <w:pPr>
        <w:jc w:val="both"/>
      </w:pPr>
      <w:r>
        <w:rPr>
          <w:sz w:val="28"/>
        </w:rPr>
        <w:t>以下为配置清单：</w:t>
      </w:r>
    </w:p>
    <w:p>
      <w:pPr>
        <w:jc w:val="center"/>
      </w:pPr>
      <w:r>
        <w:rPr>
          <w:sz w:val="28"/>
        </w:rPr>
        <w:t>项目名称：</w:t>
      </w:r>
      <w:r>
        <w:rPr>
          <w:sz w:val="21"/>
          <w:u w:val="single"/>
        </w:rPr>
        <w:t xml:space="preserve">                 </w:t>
      </w:r>
      <w:r>
        <w:rPr>
          <w:sz w:val="28"/>
        </w:rPr>
        <w:t>。</w:t>
      </w:r>
    </w:p>
    <w:p>
      <w:pPr>
        <w:jc w:val="center"/>
      </w:pPr>
    </w:p>
    <w:p/>
    <w:p>
      <w:pPr>
        <w:jc w:val="both"/>
      </w:pPr>
      <w:r>
        <w:rPr>
          <w:sz w:val="28"/>
        </w:rPr>
        <w:t>耗材清</w:t>
      </w:r>
      <w:r>
        <w:rPr>
          <w:sz w:val="28"/>
        </w:rPr>
        <w:t>单</w:t>
      </w:r>
      <w:r>
        <w:rPr>
          <w:sz w:val="28"/>
        </w:rPr>
        <w:t>：</w:t>
      </w:r>
    </w:p>
    <w:tbl>
      <w:tblPr>
        <w:tblW w:w="0" w:type="auto"/>
        <w:tblInd w:type="dxa" w:w="150"/>
        <w:tblBorders>
          <w:top w:val="none" w:color="000000" w:sz="4"/>
          <w:left w:val="none" w:color="000000" w:sz="4"/>
          <w:bottom w:val="none" w:color="000000" w:sz="4"/>
          <w:right w:val="none" w:color="000000" w:sz="4"/>
          <w:insideH w:val="none"/>
          <w:insideV w:val="none"/>
        </w:tblBorders>
      </w:tblPr>
      <w:tblGrid>
        <w:gridCol w:w="460"/>
        <w:gridCol w:w="947"/>
        <w:gridCol w:w="876"/>
        <w:gridCol w:w="876"/>
        <w:gridCol w:w="858"/>
        <w:gridCol w:w="850"/>
        <w:gridCol w:w="947"/>
        <w:gridCol w:w="655"/>
        <w:gridCol w:w="894"/>
        <w:gridCol w:w="894"/>
      </w:tblGrid>
      <w:tr>
        <w:tc>
          <w:tcPr>
            <w:tcW w:type="dxa" w:w="460"/>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947"/>
            <w:tcBorders>
              <w:top w:val="single" w:color="000000" w:sz="4"/>
              <w:left w:val="none" w:color="000000" w:sz="4"/>
              <w:bottom w:val="single" w:color="000000" w:sz="4"/>
              <w:right w:val="single" w:color="000000" w:sz="4"/>
            </w:tcBorders>
            <w:vAlign w:val="top"/>
          </w:tcPr>
          <w:p>
            <w:pPr>
              <w:jc w:val="center"/>
            </w:pPr>
            <w:r>
              <w:rPr>
                <w:b/>
                <w:sz w:val="24"/>
              </w:rPr>
              <w:t>产品名称</w:t>
            </w:r>
          </w:p>
        </w:tc>
        <w:tc>
          <w:tcPr>
            <w:tcW w:type="dxa" w:w="876"/>
            <w:tcBorders>
              <w:top w:val="single" w:color="000000" w:sz="4"/>
              <w:left w:val="none" w:color="000000" w:sz="4"/>
              <w:bottom w:val="single" w:color="000000" w:sz="4"/>
              <w:right w:val="single" w:color="000000" w:sz="4"/>
            </w:tcBorders>
            <w:vAlign w:val="top"/>
          </w:tcPr>
          <w:p>
            <w:pPr>
              <w:jc w:val="center"/>
            </w:pPr>
            <w:r>
              <w:rPr>
                <w:b/>
                <w:sz w:val="24"/>
              </w:rPr>
              <w:t>药交ID</w:t>
            </w:r>
          </w:p>
        </w:tc>
        <w:tc>
          <w:tcPr>
            <w:tcW w:type="dxa" w:w="876"/>
            <w:tcBorders>
              <w:top w:val="single" w:color="000000" w:sz="4"/>
              <w:left w:val="none" w:color="000000" w:sz="4"/>
              <w:bottom w:val="single" w:color="000000" w:sz="4"/>
              <w:right w:val="single" w:color="000000" w:sz="4"/>
            </w:tcBorders>
            <w:vAlign w:val="top"/>
          </w:tcPr>
          <w:p>
            <w:pPr>
              <w:ind w:firstLine="241"/>
              <w:jc w:val="both"/>
            </w:pPr>
            <w:r>
              <w:rPr>
                <w:b/>
                <w:sz w:val="24"/>
              </w:rPr>
              <w:t>产品</w:t>
            </w:r>
            <w:r>
              <w:rPr>
                <w:b/>
                <w:sz w:val="24"/>
              </w:rPr>
              <w:t>型号</w:t>
            </w:r>
          </w:p>
        </w:tc>
        <w:tc>
          <w:tcPr>
            <w:tcW w:type="dxa" w:w="858"/>
            <w:tcBorders>
              <w:top w:val="single" w:color="000000" w:sz="4"/>
              <w:left w:val="none" w:color="000000" w:sz="4"/>
              <w:bottom w:val="single" w:color="000000" w:sz="4"/>
              <w:right w:val="single" w:color="000000" w:sz="4"/>
            </w:tcBorders>
            <w:vAlign w:val="top"/>
          </w:tcPr>
          <w:p>
            <w:pPr>
              <w:ind w:firstLine="241"/>
              <w:jc w:val="both"/>
            </w:pPr>
            <w:r>
              <w:rPr>
                <w:b/>
                <w:sz w:val="24"/>
              </w:rPr>
              <w:t>产品规格</w:t>
            </w:r>
          </w:p>
        </w:tc>
        <w:tc>
          <w:tcPr>
            <w:tcW w:type="dxa" w:w="850"/>
            <w:tcBorders>
              <w:top w:val="single" w:color="000000" w:sz="4"/>
              <w:left w:val="none" w:color="000000" w:sz="4"/>
              <w:bottom w:val="single" w:color="000000" w:sz="4"/>
              <w:right w:val="single" w:color="000000" w:sz="4"/>
            </w:tcBorders>
            <w:vAlign w:val="top"/>
          </w:tcPr>
          <w:p>
            <w:pPr>
              <w:jc w:val="center"/>
            </w:pPr>
            <w:r>
              <w:rPr>
                <w:b/>
                <w:sz w:val="24"/>
              </w:rPr>
              <w:t>注册证号</w:t>
            </w:r>
          </w:p>
        </w:tc>
        <w:tc>
          <w:tcPr>
            <w:tcW w:type="dxa" w:w="947"/>
            <w:tcBorders>
              <w:top w:val="single" w:color="000000" w:sz="4"/>
              <w:left w:val="none" w:color="000000" w:sz="4"/>
              <w:bottom w:val="single" w:color="000000" w:sz="4"/>
              <w:right w:val="single" w:color="000000" w:sz="4"/>
            </w:tcBorders>
            <w:vAlign w:val="top"/>
          </w:tcPr>
          <w:p>
            <w:pPr>
              <w:jc w:val="center"/>
            </w:pPr>
            <w:r>
              <w:rPr>
                <w:b/>
                <w:sz w:val="24"/>
              </w:rPr>
              <w:t>生产厂家</w:t>
            </w:r>
          </w:p>
        </w:tc>
        <w:tc>
          <w:tcPr>
            <w:tcW w:type="dxa" w:w="655"/>
            <w:tcBorders>
              <w:top w:val="single" w:color="000000" w:sz="4"/>
              <w:left w:val="none" w:color="000000" w:sz="4"/>
              <w:bottom w:val="single" w:color="000000" w:sz="4"/>
              <w:right w:val="single" w:color="000000" w:sz="4"/>
            </w:tcBorders>
            <w:vAlign w:val="top"/>
          </w:tcPr>
          <w:p>
            <w:pPr>
              <w:jc w:val="center"/>
            </w:pPr>
            <w:r>
              <w:rPr>
                <w:b/>
                <w:sz w:val="24"/>
              </w:rPr>
              <w:t>单位</w:t>
            </w:r>
          </w:p>
        </w:tc>
        <w:tc>
          <w:tcPr>
            <w:tcW w:type="dxa" w:w="894"/>
            <w:tcBorders>
              <w:top w:val="single" w:color="000000" w:sz="4"/>
              <w:left w:val="none" w:color="000000" w:sz="4"/>
              <w:bottom w:val="single" w:color="000000" w:sz="4"/>
              <w:right w:val="single" w:color="000000" w:sz="4"/>
            </w:tcBorders>
            <w:vAlign w:val="top"/>
          </w:tcPr>
          <w:p>
            <w:pPr>
              <w:jc w:val="center"/>
            </w:pPr>
          </w:p>
          <w:p>
            <w:pPr>
              <w:jc w:val="center"/>
            </w:pPr>
            <w:r>
              <w:rPr>
                <w:b/>
                <w:sz w:val="24"/>
              </w:rPr>
              <w:t>单价</w:t>
            </w:r>
          </w:p>
          <w:p>
            <w:pPr>
              <w:jc w:val="center"/>
            </w:pPr>
            <w:r>
              <w:rPr>
                <w:b/>
                <w:sz w:val="24"/>
              </w:rPr>
              <w:t>(人民币</w:t>
            </w:r>
            <w:r>
              <w:rPr>
                <w:b/>
                <w:sz w:val="24"/>
              </w:rPr>
              <w:t>）</w:t>
            </w:r>
          </w:p>
        </w:tc>
        <w:tc>
          <w:tcPr>
            <w:tcW w:type="dxa" w:w="894"/>
            <w:tcBorders>
              <w:top w:val="single" w:color="000000" w:sz="4"/>
              <w:left w:val="none" w:color="000000" w:sz="4"/>
              <w:bottom w:val="single" w:color="000000" w:sz="4"/>
              <w:right w:val="single" w:color="000000" w:sz="4"/>
            </w:tcBorders>
            <w:vAlign w:val="top"/>
          </w:tcPr>
          <w:p>
            <w:pPr>
              <w:jc w:val="center"/>
            </w:pPr>
            <w:r>
              <w:rPr>
                <w:b/>
                <w:sz w:val="24"/>
              </w:rPr>
              <w:t>备注</w:t>
            </w:r>
          </w:p>
        </w:tc>
      </w:tr>
      <w:tr>
        <w:tc>
          <w:tcPr>
            <w:tcW w:type="dxa" w:w="460"/>
            <w:tcBorders>
              <w:top w:val="none" w:color="000000" w:sz="4"/>
              <w:left w:val="single" w:color="000000" w:sz="4"/>
              <w:bottom w:val="single" w:color="000000" w:sz="4"/>
              <w:right w:val="single" w:color="000000" w:sz="4"/>
            </w:tcBorders>
            <w:vAlign w:val="top"/>
          </w:tcPr>
          <w:p>
            <w:pPr>
              <w:jc w:val="both"/>
            </w:pPr>
          </w:p>
        </w:tc>
        <w:tc>
          <w:tcPr>
            <w:tcW w:type="dxa" w:w="947"/>
            <w:tcBorders>
              <w:top w:val="none" w:color="000000" w:sz="4"/>
              <w:left w:val="none" w:color="000000" w:sz="4"/>
              <w:bottom w:val="single" w:color="000000" w:sz="4"/>
              <w:right w:val="single" w:color="000000" w:sz="4"/>
            </w:tcBorders>
            <w:vAlign w:val="top"/>
          </w:tcPr>
          <w:p>
            <w:pPr>
              <w:jc w:val="both"/>
            </w:pPr>
          </w:p>
        </w:tc>
        <w:tc>
          <w:tcPr>
            <w:tcW w:type="dxa" w:w="876"/>
            <w:tcBorders>
              <w:top w:val="none" w:color="000000" w:sz="4"/>
              <w:left w:val="none" w:color="000000" w:sz="4"/>
              <w:bottom w:val="single" w:color="000000" w:sz="4"/>
              <w:right w:val="single" w:color="000000" w:sz="4"/>
            </w:tcBorders>
            <w:vAlign w:val="top"/>
          </w:tcPr>
          <w:p>
            <w:pPr>
              <w:jc w:val="both"/>
            </w:pPr>
          </w:p>
        </w:tc>
        <w:tc>
          <w:tcPr>
            <w:tcW w:type="dxa" w:w="876"/>
            <w:tcBorders>
              <w:top w:val="none" w:color="000000" w:sz="4"/>
              <w:left w:val="none" w:color="000000" w:sz="4"/>
              <w:bottom w:val="single" w:color="000000" w:sz="4"/>
              <w:right w:val="single" w:color="000000" w:sz="4"/>
            </w:tcBorders>
            <w:vAlign w:val="top"/>
          </w:tcPr>
          <w:p>
            <w:pPr>
              <w:jc w:val="left"/>
            </w:pPr>
          </w:p>
        </w:tc>
        <w:tc>
          <w:tcPr>
            <w:tcW w:type="dxa" w:w="858"/>
            <w:tcBorders>
              <w:top w:val="none" w:color="000000" w:sz="4"/>
              <w:left w:val="none" w:color="000000" w:sz="4"/>
              <w:bottom w:val="single" w:color="000000" w:sz="4"/>
              <w:right w:val="single" w:color="000000" w:sz="4"/>
            </w:tcBorders>
            <w:vAlign w:val="top"/>
          </w:tcPr>
          <w:p>
            <w:pPr>
              <w:jc w:val="left"/>
            </w:pPr>
          </w:p>
        </w:tc>
        <w:tc>
          <w:tcPr>
            <w:tcW w:type="dxa" w:w="850"/>
            <w:tcBorders>
              <w:top w:val="none" w:color="000000" w:sz="4"/>
              <w:left w:val="none" w:color="000000" w:sz="4"/>
              <w:bottom w:val="single" w:color="000000" w:sz="4"/>
              <w:right w:val="single" w:color="000000" w:sz="4"/>
            </w:tcBorders>
            <w:vAlign w:val="top"/>
          </w:tcPr>
          <w:p>
            <w:pPr>
              <w:jc w:val="center"/>
            </w:pPr>
          </w:p>
        </w:tc>
        <w:tc>
          <w:tcPr>
            <w:tcW w:type="dxa" w:w="947"/>
            <w:tcBorders>
              <w:top w:val="none" w:color="000000" w:sz="4"/>
              <w:left w:val="none" w:color="000000" w:sz="4"/>
              <w:bottom w:val="single" w:color="000000" w:sz="4"/>
              <w:right w:val="single" w:color="000000" w:sz="4"/>
            </w:tcBorders>
            <w:vAlign w:val="top"/>
          </w:tcPr>
          <w:p>
            <w:pPr>
              <w:jc w:val="center"/>
            </w:pPr>
          </w:p>
        </w:tc>
        <w:tc>
          <w:tcPr>
            <w:tcW w:type="dxa" w:w="655"/>
            <w:tcBorders>
              <w:top w:val="none" w:color="000000" w:sz="4"/>
              <w:left w:val="none" w:color="000000" w:sz="4"/>
              <w:bottom w:val="single" w:color="000000" w:sz="4"/>
              <w:right w:val="single" w:color="000000" w:sz="4"/>
            </w:tcBorders>
            <w:vAlign w:val="top"/>
          </w:tcPr>
          <w:p>
            <w:pPr>
              <w:jc w:val="center"/>
            </w:pPr>
          </w:p>
        </w:tc>
        <w:tc>
          <w:tcPr>
            <w:tcW w:type="dxa" w:w="894"/>
            <w:tcBorders>
              <w:top w:val="none" w:color="000000" w:sz="4"/>
              <w:left w:val="none" w:color="000000" w:sz="4"/>
              <w:bottom w:val="single" w:color="000000" w:sz="4"/>
              <w:right w:val="single" w:color="000000" w:sz="4"/>
            </w:tcBorders>
            <w:vAlign w:val="top"/>
          </w:tcPr>
          <w:p>
            <w:pPr>
              <w:jc w:val="center"/>
            </w:pPr>
          </w:p>
        </w:tc>
        <w:tc>
          <w:tcPr>
            <w:tcW w:type="dxa" w:w="894"/>
            <w:tcBorders>
              <w:top w:val="none" w:color="000000" w:sz="4"/>
              <w:left w:val="none" w:color="000000" w:sz="4"/>
              <w:bottom w:val="single" w:color="000000" w:sz="4"/>
              <w:right w:val="single" w:color="000000" w:sz="4"/>
            </w:tcBorders>
            <w:vAlign w:val="top"/>
          </w:tcPr>
          <w:p>
            <w:pPr>
              <w:jc w:val="center"/>
            </w:pPr>
          </w:p>
        </w:tc>
      </w:tr>
      <w:tr>
        <w:tc>
          <w:tcPr>
            <w:tcW w:type="dxa" w:w="460"/>
            <w:tcBorders>
              <w:top w:val="none" w:color="000000" w:sz="4"/>
              <w:left w:val="single" w:color="000000" w:sz="4"/>
              <w:bottom w:val="single" w:color="000000" w:sz="4"/>
              <w:right w:val="single" w:color="000000" w:sz="4"/>
            </w:tcBorders>
            <w:vAlign w:val="top"/>
          </w:tcPr>
          <w:p>
            <w:pPr>
              <w:jc w:val="both"/>
            </w:pPr>
          </w:p>
        </w:tc>
        <w:tc>
          <w:tcPr>
            <w:tcW w:type="dxa" w:w="947"/>
            <w:tcBorders>
              <w:top w:val="none" w:color="000000" w:sz="4"/>
              <w:left w:val="none" w:color="000000" w:sz="4"/>
              <w:bottom w:val="single" w:color="000000" w:sz="4"/>
              <w:right w:val="single" w:color="000000" w:sz="4"/>
            </w:tcBorders>
            <w:vAlign w:val="top"/>
          </w:tcPr>
          <w:p>
            <w:pPr>
              <w:jc w:val="both"/>
            </w:pPr>
          </w:p>
        </w:tc>
        <w:tc>
          <w:tcPr>
            <w:tcW w:type="dxa" w:w="876"/>
            <w:tcBorders>
              <w:top w:val="none" w:color="000000" w:sz="4"/>
              <w:left w:val="none" w:color="000000" w:sz="4"/>
              <w:bottom w:val="single" w:color="000000" w:sz="4"/>
              <w:right w:val="single" w:color="000000" w:sz="4"/>
            </w:tcBorders>
            <w:vAlign w:val="top"/>
          </w:tcPr>
          <w:p>
            <w:pPr>
              <w:jc w:val="both"/>
            </w:pPr>
          </w:p>
        </w:tc>
        <w:tc>
          <w:tcPr>
            <w:tcW w:type="dxa" w:w="876"/>
            <w:tcBorders>
              <w:top w:val="none" w:color="000000" w:sz="4"/>
              <w:left w:val="none" w:color="000000" w:sz="4"/>
              <w:bottom w:val="single" w:color="000000" w:sz="4"/>
              <w:right w:val="single" w:color="000000" w:sz="4"/>
            </w:tcBorders>
            <w:vAlign w:val="top"/>
          </w:tcPr>
          <w:p>
            <w:pPr>
              <w:jc w:val="left"/>
            </w:pPr>
          </w:p>
        </w:tc>
        <w:tc>
          <w:tcPr>
            <w:tcW w:type="dxa" w:w="858"/>
            <w:tcBorders>
              <w:top w:val="none" w:color="000000" w:sz="4"/>
              <w:left w:val="none" w:color="000000" w:sz="4"/>
              <w:bottom w:val="single" w:color="000000" w:sz="4"/>
              <w:right w:val="single" w:color="000000" w:sz="4"/>
            </w:tcBorders>
            <w:vAlign w:val="top"/>
          </w:tcPr>
          <w:p>
            <w:pPr>
              <w:jc w:val="left"/>
            </w:pPr>
          </w:p>
        </w:tc>
        <w:tc>
          <w:tcPr>
            <w:tcW w:type="dxa" w:w="850"/>
            <w:tcBorders>
              <w:top w:val="none" w:color="000000" w:sz="4"/>
              <w:left w:val="none" w:color="000000" w:sz="4"/>
              <w:bottom w:val="single" w:color="000000" w:sz="4"/>
              <w:right w:val="single" w:color="000000" w:sz="4"/>
            </w:tcBorders>
            <w:vAlign w:val="top"/>
          </w:tcPr>
          <w:p>
            <w:pPr>
              <w:jc w:val="center"/>
            </w:pPr>
          </w:p>
        </w:tc>
        <w:tc>
          <w:tcPr>
            <w:tcW w:type="dxa" w:w="947"/>
            <w:tcBorders>
              <w:top w:val="none" w:color="000000" w:sz="4"/>
              <w:left w:val="none" w:color="000000" w:sz="4"/>
              <w:bottom w:val="single" w:color="000000" w:sz="4"/>
              <w:right w:val="single" w:color="000000" w:sz="4"/>
            </w:tcBorders>
            <w:vAlign w:val="top"/>
          </w:tcPr>
          <w:p>
            <w:pPr>
              <w:jc w:val="center"/>
            </w:pPr>
          </w:p>
        </w:tc>
        <w:tc>
          <w:tcPr>
            <w:tcW w:type="dxa" w:w="655"/>
            <w:tcBorders>
              <w:top w:val="none" w:color="000000" w:sz="4"/>
              <w:left w:val="none" w:color="000000" w:sz="4"/>
              <w:bottom w:val="single" w:color="000000" w:sz="4"/>
              <w:right w:val="single" w:color="000000" w:sz="4"/>
            </w:tcBorders>
            <w:vAlign w:val="top"/>
          </w:tcPr>
          <w:p>
            <w:pPr>
              <w:jc w:val="center"/>
            </w:pPr>
          </w:p>
        </w:tc>
        <w:tc>
          <w:tcPr>
            <w:tcW w:type="dxa" w:w="894"/>
            <w:tcBorders>
              <w:top w:val="none" w:color="000000" w:sz="4"/>
              <w:left w:val="none" w:color="000000" w:sz="4"/>
              <w:bottom w:val="single" w:color="000000" w:sz="4"/>
              <w:right w:val="single" w:color="000000" w:sz="4"/>
            </w:tcBorders>
            <w:vAlign w:val="top"/>
          </w:tcPr>
          <w:p>
            <w:pPr>
              <w:jc w:val="center"/>
            </w:pPr>
          </w:p>
        </w:tc>
        <w:tc>
          <w:tcPr>
            <w:tcW w:type="dxa" w:w="894"/>
            <w:tcBorders>
              <w:top w:val="none" w:color="000000" w:sz="4"/>
              <w:left w:val="none" w:color="000000" w:sz="4"/>
              <w:bottom w:val="single" w:color="000000" w:sz="4"/>
              <w:right w:val="single" w:color="000000" w:sz="4"/>
            </w:tcBorders>
            <w:vAlign w:val="top"/>
          </w:tcPr>
          <w:p>
            <w:pPr>
              <w:jc w:val="center"/>
            </w:pPr>
          </w:p>
        </w:tc>
      </w:tr>
    </w:tbl>
    <w:p>
      <w:pPr>
        <w:jc w:val="both"/>
      </w:pPr>
    </w:p>
    <w:p>
      <w:pPr>
        <w:jc w:val="center"/>
      </w:pPr>
      <w:r>
        <w:rPr>
          <w:b/>
          <w:sz w:val="48"/>
        </w:rPr>
        <w:t xml:space="preserve"> </w:t>
      </w:r>
    </w:p>
    <w:p>
      <w:pPr>
        <w:jc w:val="center"/>
      </w:pPr>
      <w:r>
        <w:rPr>
          <w:sz w:val="48"/>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440701-2023-00290</w:t>
      </w:r>
    </w:p>
    <w:p>
      <w:pPr>
        <w:jc w:val="center"/>
      </w:pPr>
      <w:r>
        <w:rPr>
          <w:b/>
          <w:sz w:val="24"/>
        </w:rPr>
        <w:t>采购项目编号：</w:t>
      </w:r>
      <w:r>
        <w:rPr>
          <w:b/>
          <w:sz w:val="24"/>
        </w:rPr>
        <w:t>440701-2023-00290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广东省机电设备招标中心有限公司</w:t>
      </w:r>
    </w:p>
    <w:p>
      <w:pPr>
        <w:ind w:firstLine="480"/>
      </w:pPr>
      <w:r>
        <w:rPr/>
        <w:t>你方组织的</w:t>
      </w:r>
      <w:r>
        <w:rPr>
          <w:u w:val="single"/>
        </w:rPr>
        <w:t>“</w:t>
      </w:r>
      <w:r>
        <w:rPr>
          <w:u w:val="single"/>
        </w:rPr>
        <w:t>江门市中心医院彩超机采购项目</w:t>
      </w:r>
      <w:r>
        <w:rPr>
          <w:u w:val="single"/>
        </w:rPr>
        <w:t>”</w:t>
      </w:r>
      <w:r>
        <w:rPr/>
        <w:t>项目的招标[采购项目编号为：</w:t>
      </w:r>
      <w:r>
        <w:rPr>
          <w:u w:val="single"/>
        </w:rPr>
        <w:t>440701-2023-00290</w:t>
      </w:r>
      <w:r>
        <w:rPr/>
        <w:t>]，我方愿参与投标。</w:t>
      </w:r>
    </w:p>
    <w:p>
      <w:pPr>
        <w:ind w:firstLine="480"/>
      </w:pPr>
      <w:r>
        <w:rPr/>
        <w:t>我方确认收到贵方提供的</w:t>
      </w:r>
      <w:r>
        <w:rPr>
          <w:u w:val="single"/>
        </w:rPr>
        <w:t>“</w:t>
      </w:r>
      <w:r>
        <w:rPr>
          <w:u w:val="single"/>
        </w:rPr>
        <w:t>江门市中心医院彩超机采购项目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广东省机电设备招标中心有限公司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江门市中心医院彩超机采购项目</w:t>
      </w:r>
      <w:r>
        <w:rPr/>
        <w:t>”项目采购[采购项目编号为</w:t>
      </w:r>
      <w:r>
        <w:rPr/>
        <w:t>440701-2023-00290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广东省机电设备招标中心有限公司</w:t>
      </w:r>
    </w:p>
    <w:p>
      <w:pPr>
        <w:ind w:firstLine="480"/>
      </w:pPr>
      <w:r>
        <w:rPr/>
        <w:t>如果我方在贵采购代理机构组织的</w:t>
      </w:r>
      <w:r>
        <w:rPr/>
        <w:t>江门市中心医院彩超机采购项目</w:t>
      </w:r>
      <w:r>
        <w:rPr/>
        <w:t>招标中获中标（采购项目编号：</w:t>
      </w:r>
      <w:r>
        <w:rPr/>
        <w:t>440701-2023-00290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广东省机电设备招标中心有限公司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广东省机电设备招标中心有限公司</w:t>
      </w:r>
    </w:p>
    <w:p>
      <w:pPr>
        <w:ind w:firstLine="480"/>
      </w:pPr>
      <w:r>
        <w:rPr/>
        <w:t>我单位已登记并准备参与“</w:t>
      </w:r>
      <w:r>
        <w:rPr/>
        <w:t>江门市中心医院彩超机采购项目</w:t>
      </w:r>
      <w:r>
        <w:rPr/>
        <w:t>”项目（采购项目编号：</w:t>
      </w:r>
      <w:r>
        <w:rPr/>
        <w:t>440701-2023-00290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