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442000-2023-01050</w:t>
      </w:r>
    </w:p>
    <w:p>
      <w:pPr>
        <w:jc w:val="center"/>
      </w:pPr>
      <w:r>
        <w:rPr>
          <w:b/>
          <w:sz w:val="24"/>
        </w:rPr>
        <w:t>采购项目编号：</w:t>
      </w:r>
      <w:r>
        <w:rPr>
          <w:b/>
          <w:sz w:val="24"/>
        </w:rPr>
        <w:t>CGZX-CG202302008</w:t>
      </w:r>
    </w:p>
    <w:p>
      <w:pPr>
        <w:jc w:val="center"/>
      </w:pPr>
      <w:r>
        <w:rPr>
          <w:b/>
          <w:sz w:val="24"/>
        </w:rPr>
        <w:t>项目名称：</w:t>
      </w:r>
      <w:r>
        <w:rPr>
          <w:b/>
          <w:sz w:val="24"/>
        </w:rPr>
        <w:t>中国共产党中山市纪律检查委员会中山市廉政教育中心2023年度食堂食材配送及外包服务采购项目</w:t>
      </w:r>
    </w:p>
    <w:p>
      <w:pPr>
        <w:jc w:val="center"/>
      </w:pPr>
      <w:r>
        <w:rPr>
          <w:b/>
          <w:sz w:val="24"/>
        </w:rPr>
        <w:t>采购人：</w:t>
      </w:r>
      <w:r>
        <w:rPr>
          <w:b/>
          <w:sz w:val="24"/>
        </w:rPr>
        <w:t>中国共产党中山市纪律检查委员会</w:t>
      </w:r>
    </w:p>
    <w:p>
      <w:pPr>
        <w:jc w:val="center"/>
      </w:pPr>
      <w:r>
        <w:rPr>
          <w:b/>
          <w:sz w:val="24"/>
        </w:rPr>
        <w:t>采购代理机构：</w:t>
      </w:r>
      <w:r>
        <w:rPr>
          <w:b/>
          <w:sz w:val="24"/>
        </w:rPr>
        <w:t>中山市政府采购中心</w:t>
      </w:r>
    </w:p>
    <w:p>
      <w:pPr>
        <w:ind w:firstLine="480"/>
      </w:pPr>
    </w:p>
    <w:p>
      <w:r>
        <w:rPr/>
        <w:t xml:space="preserve"> </w:t>
      </w:r>
    </w:p>
    <w:p/>
    <w:p>
      <w:pPr>
        <w:jc w:val="center"/>
      </w:pPr>
      <w:r>
        <w:rPr>
          <w:b/>
          <w:sz w:val="36"/>
        </w:rPr>
        <w:t>第一章投标邀请</w:t>
      </w:r>
    </w:p>
    <w:p>
      <w:pPr>
        <w:ind w:firstLine="480"/>
      </w:pPr>
      <w:r>
        <w:rPr/>
        <w:t>中山市政府采购中心</w:t>
      </w:r>
      <w:r>
        <w:rPr/>
        <w:t>受</w:t>
      </w:r>
      <w:r>
        <w:rPr/>
        <w:t>中国共产党中山市纪律检查委员会</w:t>
      </w:r>
      <w:r>
        <w:rPr/>
        <w:t>的委托，采用</w:t>
      </w:r>
      <w:r>
        <w:rPr/>
        <w:t>公开招标</w:t>
      </w:r>
      <w:r>
        <w:rPr/>
        <w:t>方式组织采购</w:t>
      </w:r>
      <w:r>
        <w:rPr/>
        <w:t>中国共产党中山市纪律检查委员会中山市廉政教育中心2023年度食堂食材配送及外包服务采购项目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中国共产党中山市纪律检查委员会中山市廉政教育中心2023年度食堂食材配送及外包服务采购项目</w:t>
      </w:r>
    </w:p>
    <w:p>
      <w:pPr>
        <w:ind w:firstLine="480"/>
      </w:pPr>
      <w:r>
        <w:rPr/>
        <w:t>采购计划编号：</w:t>
      </w:r>
      <w:r>
        <w:rPr/>
        <w:t>442000-2023-01050</w:t>
      </w:r>
    </w:p>
    <w:p>
      <w:pPr>
        <w:ind w:firstLine="480"/>
      </w:pPr>
      <w:r>
        <w:rPr/>
        <w:t>采购项目编号：</w:t>
      </w:r>
      <w:r>
        <w:rPr/>
        <w:t>CGZX-CG202302008</w:t>
      </w:r>
    </w:p>
    <w:p>
      <w:pPr>
        <w:ind w:firstLine="480"/>
      </w:pPr>
      <w:r>
        <w:rPr/>
        <w:t>采购方式：</w:t>
      </w:r>
      <w:r>
        <w:rPr/>
        <w:t>公开招标</w:t>
      </w:r>
    </w:p>
    <w:p>
      <w:pPr>
        <w:ind w:firstLine="480"/>
      </w:pPr>
      <w:r>
        <w:rPr/>
        <w:t>预算金额：</w:t>
      </w:r>
      <w:r>
        <w:rPr/>
        <w:t>19,490,000.00</w:t>
      </w:r>
      <w:r>
        <w:rPr/>
        <w:t>元</w:t>
      </w:r>
    </w:p>
    <w:p>
      <w:r>
        <w:rPr>
          <w:b/>
          <w:sz w:val="24"/>
        </w:rPr>
        <w:t>2.项目内容及需求情况（采购项目技术规格、参数及要求）</w:t>
      </w:r>
    </w:p>
    <w:p>
      <w:pPr>
        <w:ind w:firstLine="480"/>
      </w:pPr>
    </w:p>
    <w:p/>
    <w:p>
      <w:r>
        <w:rPr/>
        <w:t>采购包1(中山市廉政教育中心2023年度饭堂食材配送服务采购项目):</w:t>
      </w:r>
    </w:p>
    <w:p>
      <w:r>
        <w:rPr/>
        <w:t>采购包预算金额：14,490,000.00元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餐饮服务</w:t>
            </w:r>
          </w:p>
        </w:tc>
        <w:tc>
          <w:tcPr>
            <w:tcW w:type="dxa" w:w="2052"/>
          </w:tcPr>
          <w:p>
            <w:r>
              <w:rPr/>
              <w:t>中山市廉政教育中心2023年度饭堂食材配送服务采购项目</w:t>
            </w:r>
          </w:p>
        </w:tc>
        <w:tc>
          <w:tcPr>
            <w:tcW w:type="dxa" w:w="977"/>
          </w:tcPr>
          <w:p>
            <w:r>
              <w:rPr/>
              <w:t>1.0000(项)</w:t>
            </w:r>
          </w:p>
        </w:tc>
        <w:tc>
          <w:tcPr>
            <w:tcW w:type="dxa" w:w="977"/>
          </w:tcPr>
          <w:p>
            <w:r>
              <w:rPr/>
              <w:t>详见第二章</w:t>
            </w:r>
          </w:p>
        </w:tc>
        <w:tc>
          <w:tcPr>
            <w:tcW w:type="dxa" w:w="977"/>
          </w:tcPr>
          <w:p>
            <w:r>
              <w:rPr/>
              <w:t>14,490,000.00</w:t>
            </w:r>
          </w:p>
        </w:tc>
        <w:tc>
          <w:tcPr>
            <w:tcW w:type="dxa" w:w="977"/>
          </w:tcPr>
          <w:p>
            <w:r>
              <w:rPr/>
              <w:t>否</w:t>
            </w:r>
          </w:p>
        </w:tc>
      </w:tr>
    </w:tbl>
    <w:p/>
    <w:p>
      <w:r>
        <w:rPr/>
        <w:t>本采购包不接受联合体投标</w:t>
      </w:r>
    </w:p>
    <w:p/>
    <w:p>
      <w:r>
        <w:rPr/>
        <w:t>合同履行期限：自合同生效之日起12个月。合同终止条件包括：情况一，服务期限内结算金额累计达到采购预算金额时，合同终止。情况二，合同服务期满时，结算金额累计未达到采购预算金额的，按实结算，合同终止。</w:t>
      </w:r>
    </w:p>
    <w:p/>
    <w:p>
      <w:r>
        <w:rPr/>
        <w:t>采购包2(中山市廉政教育中心2023年度食堂外包服务采购项目):</w:t>
      </w:r>
    </w:p>
    <w:p>
      <w:r>
        <w:rPr/>
        <w:t>采购包预算金额：5,000,000.00元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餐饮服务</w:t>
            </w:r>
          </w:p>
        </w:tc>
        <w:tc>
          <w:tcPr>
            <w:tcW w:type="dxa" w:w="2136"/>
          </w:tcPr>
          <w:p>
            <w:r>
              <w:rPr/>
              <w:t>中山市廉政教育中心2023年度食堂外包服务采购项目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合同履行期限：自合同生效之日起12个月，具体起止期限以采购人与中标人签订的合同约定为准。采购人与中标人签订合同之日起7天内，中标人需进场开展工作，以确保能顺利开展工作。</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p/>
    <w:p>
      <w:r>
        <w:rPr/>
        <w:t>2）有依法缴纳税收和社会保障资金的良好记录：提供有缴纳过税收和社保的证明材料，具体要求为：2022年1月至开标当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以下证明材料之一：（1）2021年度财务状况报告；（2）2022年度财务状况报告；（3）企业所在基本开户行出具的资信证明 。</w:t>
      </w:r>
    </w:p>
    <w:p/>
    <w:p>
      <w:r>
        <w:rPr/>
        <w:t>4）履行合同所必需的设备和专业技术能力：投标人在投标函中申明具备《中华人民共和国政府采购法》第二十二条规定的条件，则视为符合要求。</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p/>
    <w:p>
      <w:r>
        <w:rPr>
          <w:b/>
          <w:sz w:val="24"/>
        </w:rPr>
        <w:t>2.落实政府采购政策需满足的资格要求：</w:t>
      </w:r>
    </w:p>
    <w:p>
      <w:pPr>
        <w:ind w:firstLine="480"/>
      </w:pPr>
    </w:p>
    <w:p>
      <w:pPr>
        <w:jc w:val="left"/>
      </w:pPr>
    </w:p>
    <w:p>
      <w:r>
        <w:rPr/>
        <w:t>采购包1（中山市廉政教育中心2023年度饭堂食材配送服务采购项目）：</w:t>
      </w:r>
      <w:r>
        <w:rPr/>
        <w:t>本采购包预留份额面向小型企业或微型企业：投标人为大型企业或中型企业的，须提供《分包承诺函》承诺中标后将50%或以上份额分包给小型企业或微型企业完成（《分包承诺函》格式详见采购公告附件）。投标人为小型企业或微型企业的，则提供《中小企业声明函（工程、服务）》（中小企业划分标准所属行业为：餐饮业）。（监狱企业、残疾人福利性单位视同小型、微型企业）</w:t>
      </w:r>
    </w:p>
    <w:p>
      <w:pPr>
        <w:jc w:val="left"/>
      </w:pPr>
    </w:p>
    <w:p/>
    <w:p/>
    <w:p>
      <w:r>
        <w:rPr>
          <w:b/>
          <w:sz w:val="24"/>
        </w:rPr>
        <w:t>3.本项目特定的资格要求：</w:t>
      </w:r>
    </w:p>
    <w:p>
      <w:pPr>
        <w:ind w:firstLine="480"/>
      </w:pPr>
    </w:p>
    <w:p/>
    <w:p>
      <w:r>
        <w:rPr/>
        <w:t>采购包1（中山市廉政教育中心2023年度饭堂食材配送服务采购项目）：</w:t>
      </w:r>
    </w:p>
    <w:p/>
    <w:p>
      <w:r>
        <w:rPr/>
        <w:t>1)投标人须具有有效的《食品生产许可证》或《食品药品经营许可证》或《食品经营许可证》。（在投标文件中提供证书复印件）</w:t>
      </w:r>
    </w:p>
    <w:p/>
    <w:p>
      <w:r>
        <w:rPr/>
        <w:t>2)供应商未被列入“信用中国”网站(www.creditchina.gov.cn)“记录失信被执行人或重大税收违法案件当事人名单”记录名单；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t>采购包2（中山市廉政教育中心2023年度食堂外包服务采购项目）：</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w:t>
      </w:r>
    </w:p>
    <w:p>
      <w:r>
        <w:rPr>
          <w:b/>
          <w:sz w:val="28"/>
        </w:rPr>
        <w:t>六.本项目联系方式：</w:t>
      </w:r>
    </w:p>
    <w:p>
      <w:r>
        <w:rPr>
          <w:b/>
          <w:sz w:val="24"/>
        </w:rPr>
        <w:t>1.采购人信息</w:t>
      </w:r>
    </w:p>
    <w:p>
      <w:pPr>
        <w:ind w:firstLine="480"/>
      </w:pPr>
      <w:r>
        <w:rPr/>
        <w:t>名称：</w:t>
      </w:r>
      <w:r>
        <w:rPr/>
        <w:t>中国共产党中山市纪律检查委员会</w:t>
      </w:r>
    </w:p>
    <w:p>
      <w:pPr>
        <w:ind w:firstLine="480"/>
      </w:pPr>
      <w:r>
        <w:rPr/>
        <w:t>地址：</w:t>
      </w:r>
      <w:r>
        <w:rPr/>
        <w:t>广东省中山市东区松苑路1号市纪委监委大楼</w:t>
      </w:r>
    </w:p>
    <w:p>
      <w:pPr>
        <w:ind w:firstLine="480"/>
      </w:pPr>
      <w:r>
        <w:rPr/>
        <w:t>联系方式：</w:t>
      </w:r>
      <w:r>
        <w:rPr/>
        <w:t>0760-89892618</w:t>
      </w:r>
    </w:p>
    <w:p>
      <w:r>
        <w:rPr>
          <w:b/>
          <w:sz w:val="24"/>
        </w:rPr>
        <w:t>2.采购代理机构信息</w:t>
      </w:r>
    </w:p>
    <w:p>
      <w:pPr>
        <w:ind w:firstLine="480"/>
      </w:pPr>
      <w:r>
        <w:rPr/>
        <w:t>名称：</w:t>
      </w:r>
      <w:r>
        <w:rPr/>
        <w:t>中山市政府采购中心</w:t>
      </w:r>
    </w:p>
    <w:p>
      <w:pPr>
        <w:ind w:firstLine="480"/>
      </w:pPr>
      <w:r>
        <w:rPr/>
        <w:t>地址：</w:t>
      </w:r>
      <w:r>
        <w:rPr/>
        <w:t>中山市博爱六路22号政务服务大厅二楼D区公共资源交易中心</w:t>
      </w:r>
    </w:p>
    <w:p>
      <w:pPr>
        <w:ind w:firstLine="480"/>
      </w:pPr>
      <w:r>
        <w:rPr/>
        <w:t>联系方式：</w:t>
      </w:r>
      <w:r>
        <w:rPr/>
        <w:t>0760-89817357</w:t>
      </w:r>
    </w:p>
    <w:p>
      <w:r>
        <w:rPr>
          <w:b/>
          <w:sz w:val="24"/>
        </w:rPr>
        <w:t>3.项目联系方式</w:t>
      </w:r>
    </w:p>
    <w:p>
      <w:pPr>
        <w:ind w:firstLine="480"/>
      </w:pPr>
      <w:r>
        <w:rPr/>
        <w:t>项目联系人：</w:t>
      </w:r>
      <w:r>
        <w:rPr/>
        <w:t>岑小姐</w:t>
      </w:r>
    </w:p>
    <w:p>
      <w:pPr>
        <w:ind w:firstLine="480"/>
      </w:pPr>
      <w:r>
        <w:rPr/>
        <w:t>电话：</w:t>
      </w:r>
      <w:r>
        <w:rPr/>
        <w:t>0760-89817357</w:t>
      </w:r>
    </w:p>
    <w:p>
      <w:r>
        <w:rPr>
          <w:b/>
          <w:sz w:val="24"/>
        </w:rPr>
        <w:t>4.技术支持联系方式</w:t>
      </w:r>
    </w:p>
    <w:p>
      <w:pPr>
        <w:ind w:firstLine="480"/>
      </w:pPr>
      <w:r>
        <w:rPr/>
        <w:t>云平台联系方式：020-88696588</w:t>
      </w:r>
    </w:p>
    <w:p>
      <w:r>
        <w:rPr/>
        <w:t>采购代理机构：</w:t>
      </w:r>
      <w:r>
        <w:rPr/>
        <w:t>中山市政府采购中心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32"/>
        </w:rPr>
        <w:t>一、总体说明</w:t>
      </w:r>
    </w:p>
    <w:p>
      <w:pPr>
        <w:ind w:firstLine="421"/>
        <w:jc w:val="both"/>
      </w:pPr>
      <w:r>
        <w:rPr>
          <w:b/>
          <w:sz w:val="21"/>
        </w:rPr>
        <w:t>（一）</w:t>
      </w:r>
      <w:r>
        <w:rPr>
          <w:b/>
          <w:sz w:val="21"/>
        </w:rPr>
        <w:t>项目</w:t>
      </w:r>
      <w:r>
        <w:rPr>
          <w:b/>
          <w:sz w:val="21"/>
        </w:rPr>
        <w:t>概</w:t>
      </w:r>
      <w:r>
        <w:rPr>
          <w:b/>
          <w:sz w:val="21"/>
        </w:rPr>
        <w:t>况</w:t>
      </w:r>
    </w:p>
    <w:p>
      <w:pPr>
        <w:ind w:firstLine="420"/>
        <w:jc w:val="both"/>
      </w:pPr>
      <w:r>
        <w:rPr>
          <w:sz w:val="21"/>
        </w:rPr>
        <w:t>1.</w:t>
      </w:r>
      <w:r>
        <w:rPr>
          <w:sz w:val="21"/>
        </w:rPr>
        <w:t>项目名称：中国共产党中山市纪律检查委员会中山市廉政教育中心</w:t>
      </w:r>
      <w:r>
        <w:rPr>
          <w:sz w:val="21"/>
        </w:rPr>
        <w:t>2023年度食堂食材配送及外包服务采购项目</w:t>
      </w:r>
    </w:p>
    <w:p>
      <w:pPr>
        <w:ind w:firstLine="420"/>
        <w:jc w:val="both"/>
      </w:pPr>
      <w:r>
        <w:rPr>
          <w:sz w:val="21"/>
        </w:rPr>
        <w:t>2.</w:t>
      </w:r>
      <w:r>
        <w:rPr>
          <w:sz w:val="21"/>
        </w:rPr>
        <w:t>项目编号：</w:t>
      </w:r>
      <w:r>
        <w:rPr>
          <w:sz w:val="21"/>
        </w:rPr>
        <w:t>CGZX-CG202302008</w:t>
      </w:r>
    </w:p>
    <w:p>
      <w:pPr>
        <w:ind w:firstLine="420"/>
        <w:jc w:val="both"/>
      </w:pPr>
      <w:r>
        <w:rPr>
          <w:sz w:val="21"/>
        </w:rPr>
        <w:t>3.</w:t>
      </w:r>
      <w:r>
        <w:rPr>
          <w:sz w:val="21"/>
        </w:rPr>
        <w:t>本招标文件内容若未作相关说明的，均适用于各采购包</w:t>
      </w:r>
      <w:r>
        <w:rPr>
          <w:sz w:val="21"/>
        </w:rPr>
        <w:t>。</w:t>
      </w:r>
    </w:p>
    <w:p>
      <w:pPr>
        <w:jc w:val="both"/>
      </w:pPr>
    </w:p>
    <w:p>
      <w:pPr>
        <w:jc w:val="both"/>
      </w:pPr>
      <w:r>
        <w:rPr>
          <w:b/>
          <w:sz w:val="21"/>
        </w:rPr>
        <w:t>（二）</w:t>
      </w:r>
      <w:r>
        <w:rPr>
          <w:b/>
          <w:sz w:val="21"/>
        </w:rPr>
        <w:t>特别注意事项：</w:t>
      </w:r>
    </w:p>
    <w:p>
      <w:pPr>
        <w:ind w:firstLine="420"/>
        <w:jc w:val="both"/>
      </w:pPr>
      <w:r>
        <w:rPr>
          <w:sz w:val="21"/>
        </w:rPr>
        <w:t>1.</w:t>
      </w:r>
      <w:r>
        <w:rPr>
          <w:sz w:val="21"/>
        </w:rPr>
        <w:t>本项目招标文件中提及的</w:t>
      </w:r>
      <w:r>
        <w:rPr>
          <w:sz w:val="21"/>
        </w:rPr>
        <w:t>《</w:t>
      </w:r>
      <w:r>
        <w:rPr>
          <w:sz w:val="21"/>
        </w:rPr>
        <w:t>“★”条款响应表（采购包1）》《“★”条款响应表（采购包2）》</w:t>
      </w:r>
      <w:r>
        <w:rPr>
          <w:sz w:val="21"/>
        </w:rPr>
        <w:t>《</w:t>
      </w:r>
      <w:r>
        <w:rPr>
          <w:sz w:val="21"/>
        </w:rPr>
        <w:t>“▲”条款响应表》（如有）</w:t>
      </w:r>
      <w:r>
        <w:rPr>
          <w:sz w:val="21"/>
        </w:rPr>
        <w:t>《分包承诺函》</w:t>
      </w:r>
      <w:r>
        <w:rPr>
          <w:sz w:val="21"/>
        </w:rPr>
        <w:t>格式</w:t>
      </w:r>
      <w:r>
        <w:rPr>
          <w:sz w:val="21"/>
        </w:rPr>
        <w:t>可在采购公告附件处下载，其他格式可在招标文件第六章中查找。</w:t>
      </w:r>
    </w:p>
    <w:p>
      <w:pPr>
        <w:ind w:firstLine="420"/>
        <w:jc w:val="both"/>
      </w:pPr>
      <w:r>
        <w:rPr>
          <w:sz w:val="21"/>
        </w:rPr>
        <w:t>2.本项目属于服务类项目,中小企业划分标准所属行业为</w:t>
      </w:r>
      <w:r>
        <w:rPr>
          <w:sz w:val="21"/>
        </w:rPr>
        <w:t>：餐饮业</w:t>
      </w:r>
      <w:r>
        <w:rPr>
          <w:sz w:val="21"/>
        </w:rPr>
        <w:t>。中小企业声明函中行业应为填写</w:t>
      </w:r>
      <w:r>
        <w:rPr>
          <w:sz w:val="21"/>
        </w:rPr>
        <w:t>“</w:t>
      </w:r>
      <w:r>
        <w:rPr>
          <w:sz w:val="21"/>
        </w:rPr>
        <w:t>餐饮业</w:t>
      </w:r>
      <w:r>
        <w:rPr>
          <w:sz w:val="21"/>
        </w:rPr>
        <w:t>”或“（采购文件中明确的所属行业）”并按本招标文件第六章中格式十一《中小企业声明函（工程、服务）》填写,否则不能享受对应价格扣除。</w:t>
      </w:r>
    </w:p>
    <w:p>
      <w:pPr>
        <w:ind w:firstLine="421"/>
        <w:jc w:val="both"/>
      </w:pPr>
      <w:r>
        <w:rPr>
          <w:sz w:val="21"/>
        </w:rPr>
        <w:t>3.</w:t>
      </w:r>
      <w:r>
        <w:rPr>
          <w:sz w:val="21"/>
        </w:rPr>
        <w:t>采购需求中标记</w:t>
      </w:r>
      <w:r>
        <w:rPr>
          <w:sz w:val="21"/>
        </w:rPr>
        <w:t>“★”的条款应优先在</w:t>
      </w:r>
      <w:r>
        <w:rPr>
          <w:b/>
          <w:sz w:val="21"/>
          <w:u w:val="single"/>
        </w:rPr>
        <w:t>“投标文件附加格式《“★”条款响应表》”</w:t>
      </w:r>
      <w:r>
        <w:rPr>
          <w:sz w:val="21"/>
        </w:rPr>
        <w:t>中填写并作出响应，作为评审依据。第六章中格式十《承诺函》、格式十六《技术和服务要求响应表》及格式十七《商务条件响应表》仅作参考格式，不强制要求填写，若内容能体现响应</w:t>
      </w:r>
      <w:r>
        <w:rPr>
          <w:sz w:val="21"/>
        </w:rPr>
        <w:t>“★”条款的同样视为有效响应。</w:t>
      </w:r>
    </w:p>
    <w:p>
      <w:pPr>
        <w:ind w:firstLine="420"/>
        <w:jc w:val="both"/>
      </w:pPr>
      <w:r>
        <w:rPr>
          <w:sz w:val="21"/>
        </w:rPr>
        <w:t>4.采购需求中若标记</w:t>
      </w:r>
      <w:r>
        <w:rPr>
          <w:sz w:val="21"/>
        </w:rPr>
        <w:t>“▲”的条款（如有）应优先在</w:t>
      </w:r>
      <w:r>
        <w:rPr>
          <w:b/>
          <w:sz w:val="21"/>
          <w:u w:val="single"/>
        </w:rPr>
        <w:t>“投标文件附加格式《“▲”条款响应表》”</w:t>
      </w:r>
      <w:r>
        <w:rPr>
          <w:sz w:val="21"/>
        </w:rPr>
        <w:t>中填写并作出响应，作为评审依据。第六章中格式十《承诺函》、格式十六《技术和服务要求响应表》及格式十七《商务条件响应表》仅作参考格式，不强制要求填写，若内容能体现响应</w:t>
      </w:r>
      <w:r>
        <w:rPr>
          <w:sz w:val="21"/>
        </w:rPr>
        <w:t>“▲”条款的同样视为有效响应。</w:t>
      </w:r>
    </w:p>
    <w:p>
      <w:pPr>
        <w:ind w:firstLine="421"/>
        <w:jc w:val="both"/>
      </w:pPr>
      <w:r>
        <w:rPr>
          <w:b/>
          <w:sz w:val="21"/>
        </w:rPr>
        <w:t>5.采购需求中带“★”和“▲”的条款中若有要求提供证明材料的，投标文件中须按要求附上证明资料，否则视为不满足。</w:t>
      </w:r>
    </w:p>
    <w:p>
      <w:pPr>
        <w:ind w:firstLine="420"/>
        <w:jc w:val="both"/>
      </w:pPr>
      <w:r>
        <w:rPr>
          <w:sz w:val="21"/>
        </w:rPr>
        <w:t>6.投标人若</w:t>
      </w:r>
      <w:r>
        <w:rPr>
          <w:sz w:val="21"/>
        </w:rPr>
        <w:t>存在</w:t>
      </w:r>
      <w:r>
        <w:rPr>
          <w:sz w:val="21"/>
        </w:rPr>
        <w:t>“★”条款不满足要求的情况，则按无效投标处理。投标人若存在“▲”条款不满足要求的情况，投标依然有效但扣除相应得分。</w:t>
      </w:r>
    </w:p>
    <w:p>
      <w:pPr>
        <w:ind w:firstLine="420"/>
        <w:jc w:val="both"/>
      </w:pPr>
      <w:r>
        <w:rPr>
          <w:sz w:val="21"/>
        </w:rPr>
        <w:t>7.投标文件中提供的法定代表人授权书及法定代表人证明书在开标评标当天处于有效期内即视为有效。</w:t>
      </w:r>
    </w:p>
    <w:p>
      <w:pPr>
        <w:ind w:firstLine="420"/>
        <w:jc w:val="both"/>
      </w:pPr>
      <w:r>
        <w:rPr>
          <w:sz w:val="21"/>
        </w:rPr>
        <w:t>8.采购文件所称的“以上”、“以下”、“以内”、“届满”，包括本数；所称的“不满”、“超过”、“以外”，不包括本数。</w:t>
      </w:r>
    </w:p>
    <w:p>
      <w:pPr>
        <w:ind w:firstLine="441"/>
        <w:jc w:val="both"/>
      </w:pPr>
      <w:r>
        <w:rPr>
          <w:b/>
          <w:sz w:val="22"/>
        </w:rPr>
        <w:t>（三）</w:t>
      </w:r>
      <w:r>
        <w:rPr>
          <w:b/>
          <w:sz w:val="22"/>
        </w:rPr>
        <w:t>远程开标</w:t>
      </w:r>
    </w:p>
    <w:p>
      <w:pPr>
        <w:ind w:firstLine="421"/>
        <w:jc w:val="both"/>
      </w:pPr>
      <w:r>
        <w:rPr>
          <w:b/>
          <w:sz w:val="21"/>
        </w:rPr>
        <w:t>1.请注意：本项目采用远程开标形式，投标人应登录广东省政府采购网（广东政府采购智慧云平台，网址：https://gdgpo.czt.gd.gov.cn/）对相关操作指南进行研读并熟悉系统的操作。咨询电话：020-88696588。</w:t>
      </w:r>
    </w:p>
    <w:p>
      <w:pPr>
        <w:ind w:firstLine="421"/>
        <w:jc w:val="both"/>
      </w:pPr>
      <w:r>
        <w:rPr>
          <w:b/>
          <w:sz w:val="21"/>
        </w:rPr>
        <w:t>2.关于提前进入开标大厅的提醒：参加本项目投标的供应商，请务必于投标截止时间前30分钟登录广东省政府采购智慧云平台，并进入本项目“开标大厅”，进入后请立即加入右侧“开标消息”聊天群组，关注代理机构发布的消息。无法进入“开标大厅”的应该及时联系平台技术人员解决。供应商不按要求进入“开标大厅”的，将无法收到相关注意事项消息，由此造成的后果由供应商承担。</w:t>
      </w:r>
    </w:p>
    <w:p>
      <w:pPr>
        <w:ind w:firstLine="421"/>
        <w:jc w:val="both"/>
      </w:pPr>
      <w:r>
        <w:rPr>
          <w:b/>
          <w:sz w:val="21"/>
        </w:rPr>
        <w:t>3.关于开标专用电脑的选取：供应商应尽量使用本项目投标（响应）文件成功加密所使用的电脑，避免开标时由于解密失败所带来的影响。</w:t>
      </w:r>
    </w:p>
    <w:p>
      <w:pPr>
        <w:ind w:firstLine="421"/>
        <w:jc w:val="both"/>
      </w:pPr>
      <w:r>
        <w:rPr>
          <w:b/>
          <w:sz w:val="21"/>
        </w:rPr>
        <w:t>4.关于参与开标资料准备提醒：供应商进入本项目“开标大厅”（参加投标）时，应提前准备有效的数字证书，以及响应文件加密时生成的备用标书。</w:t>
      </w:r>
    </w:p>
    <w:p>
      <w:pPr>
        <w:ind w:firstLine="421"/>
        <w:jc w:val="both"/>
      </w:pPr>
      <w:r>
        <w:rPr>
          <w:b/>
          <w:sz w:val="21"/>
        </w:rPr>
        <w:t>（</w:t>
      </w:r>
      <w:r>
        <w:rPr>
          <w:b/>
          <w:sz w:val="21"/>
        </w:rPr>
        <w:t>1）有效的数字证书将用于开标时解密及签名环节；</w:t>
      </w:r>
    </w:p>
    <w:p>
      <w:pPr>
        <w:ind w:firstLine="421"/>
        <w:jc w:val="both"/>
      </w:pPr>
      <w:r>
        <w:rPr>
          <w:b/>
          <w:sz w:val="21"/>
        </w:rPr>
        <w:t>（</w:t>
      </w:r>
      <w:r>
        <w:rPr>
          <w:b/>
          <w:sz w:val="21"/>
        </w:rPr>
        <w:t>2）备用标书用于开标时解密失败的情况下可以补充上传。若供应商未及时准备上述资料，由此造成的后果由供应商承担。</w:t>
      </w:r>
    </w:p>
    <w:p>
      <w:pPr>
        <w:ind w:firstLine="421"/>
        <w:jc w:val="both"/>
      </w:pPr>
      <w:r>
        <w:rPr>
          <w:b/>
          <w:sz w:val="21"/>
        </w:rPr>
        <w:t>（</w:t>
      </w:r>
      <w:r>
        <w:rPr>
          <w:b/>
          <w:sz w:val="21"/>
        </w:rPr>
        <w:t>3）投标人代表对开标过程和开标记录有异议，应当场提出，若投标人签名环节签名失败且未在“开标消息”即时提出异议的视为对开标过程和结果无异议，因签名失败造成的其他后果由供应商承担。</w:t>
      </w:r>
    </w:p>
    <w:p>
      <w:pPr>
        <w:ind w:firstLine="421"/>
        <w:jc w:val="both"/>
      </w:pPr>
      <w:r>
        <w:rPr>
          <w:b/>
          <w:sz w:val="21"/>
        </w:rPr>
        <w:t>5.请注意投标当天应保持手机畅通及准备好数字证书，评标委员会随时有可能发起澄清，投标人在规定时间内在系统上未响应澄清的视为放弃澄清。</w:t>
      </w:r>
    </w:p>
    <w:p>
      <w:pPr>
        <w:jc w:val="both"/>
      </w:pPr>
    </w:p>
    <w:p>
      <w:pPr>
        <w:jc w:val="both"/>
      </w:pPr>
      <w:r>
        <w:rPr>
          <w:b/>
          <w:sz w:val="21"/>
        </w:rPr>
        <w:t>（四）</w:t>
      </w:r>
      <w:r>
        <w:rPr>
          <w:b/>
          <w:sz w:val="21"/>
        </w:rPr>
        <w:t>采购包划分情况</w:t>
      </w:r>
    </w:p>
    <w:tbl>
      <w:tblPr>
        <w:tblW w:w="0" w:type="auto"/>
        <w:tblBorders>
          <w:top w:val="none" w:color="000000" w:sz="4"/>
          <w:left w:val="none" w:color="000000" w:sz="4"/>
          <w:bottom w:val="none" w:color="000000" w:sz="4"/>
          <w:right w:val="none" w:color="000000" w:sz="4"/>
          <w:insideH w:val="none"/>
          <w:insideV w:val="none"/>
        </w:tblBorders>
      </w:tblPr>
      <w:tblGrid>
        <w:gridCol w:w="456"/>
        <w:gridCol w:w="971"/>
        <w:gridCol w:w="888"/>
        <w:gridCol w:w="1154"/>
        <w:gridCol w:w="1154"/>
      </w:tblGrid>
      <w:tr>
        <w:tc>
          <w:tcPr>
            <w:tcW w:type="dxa" w:w="456"/>
            <w:tcBorders>
              <w:top w:val="single" w:color="000000" w:sz="4"/>
              <w:left w:val="single" w:color="000000" w:sz="4"/>
              <w:bottom w:val="single" w:color="000000" w:sz="4"/>
              <w:right w:val="single" w:color="000000" w:sz="4"/>
            </w:tcBorders>
            <w:vAlign w:val="top"/>
          </w:tcPr>
          <w:p>
            <w:pPr>
              <w:jc w:val="center"/>
            </w:pPr>
            <w:r>
              <w:rPr>
                <w:b/>
                <w:sz w:val="18"/>
              </w:rPr>
              <w:t>包组号</w:t>
            </w:r>
          </w:p>
        </w:tc>
        <w:tc>
          <w:tcPr>
            <w:tcW w:type="dxa" w:w="971"/>
            <w:tcBorders>
              <w:top w:val="single" w:color="000000" w:sz="4"/>
              <w:left w:val="single" w:color="000000" w:sz="4"/>
              <w:bottom w:val="single" w:color="000000" w:sz="4"/>
              <w:right w:val="single" w:color="000000" w:sz="4"/>
            </w:tcBorders>
            <w:vAlign w:val="top"/>
          </w:tcPr>
          <w:p>
            <w:pPr>
              <w:jc w:val="center"/>
            </w:pPr>
            <w:r>
              <w:rPr>
                <w:b/>
                <w:sz w:val="18"/>
              </w:rPr>
              <w:t>采购内容</w:t>
            </w:r>
          </w:p>
        </w:tc>
        <w:tc>
          <w:tcPr>
            <w:tcW w:type="dxa" w:w="888"/>
            <w:tcBorders>
              <w:top w:val="single" w:color="000000" w:sz="4"/>
              <w:left w:val="single" w:color="000000" w:sz="4"/>
              <w:bottom w:val="single" w:color="000000" w:sz="4"/>
              <w:right w:val="single" w:color="000000" w:sz="4"/>
            </w:tcBorders>
            <w:vAlign w:val="top"/>
          </w:tcPr>
          <w:p>
            <w:pPr>
              <w:jc w:val="center"/>
            </w:pPr>
            <w:r>
              <w:rPr>
                <w:b/>
                <w:sz w:val="18"/>
              </w:rPr>
              <w:t>预算金额</w:t>
            </w:r>
          </w:p>
        </w:tc>
        <w:tc>
          <w:tcPr>
            <w:tcW w:type="dxa" w:w="1154"/>
            <w:tcBorders>
              <w:top w:val="single" w:color="000000" w:sz="4"/>
              <w:left w:val="single" w:color="000000" w:sz="4"/>
              <w:bottom w:val="single" w:color="000000" w:sz="4"/>
              <w:right w:val="single" w:color="000000" w:sz="4"/>
            </w:tcBorders>
            <w:vAlign w:val="top"/>
          </w:tcPr>
          <w:p>
            <w:pPr>
              <w:jc w:val="center"/>
            </w:pPr>
            <w:r>
              <w:rPr>
                <w:b/>
                <w:sz w:val="18"/>
              </w:rPr>
              <w:t>最高限价</w:t>
            </w:r>
          </w:p>
        </w:tc>
        <w:tc>
          <w:tcPr>
            <w:tcW w:type="dxa" w:w="1154"/>
            <w:tcBorders>
              <w:top w:val="single" w:color="000000" w:sz="4"/>
              <w:left w:val="single" w:color="000000" w:sz="4"/>
              <w:bottom w:val="single" w:color="000000" w:sz="4"/>
              <w:right w:val="single" w:color="000000" w:sz="4"/>
            </w:tcBorders>
            <w:vAlign w:val="top"/>
          </w:tcPr>
          <w:p>
            <w:pPr>
              <w:jc w:val="center"/>
            </w:pPr>
            <w:r>
              <w:rPr>
                <w:b/>
                <w:sz w:val="18"/>
              </w:rPr>
              <w:t>具体要求</w:t>
            </w:r>
          </w:p>
        </w:tc>
      </w:tr>
      <w:tr>
        <w:tc>
          <w:tcPr>
            <w:tcW w:type="dxa" w:w="456"/>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1</w:t>
            </w:r>
          </w:p>
        </w:tc>
        <w:tc>
          <w:tcPr>
            <w:tcW w:type="dxa" w:w="971"/>
            <w:tcBorders>
              <w:top w:val="none" w:color="000000" w:sz="4"/>
              <w:left w:val="single" w:color="000000" w:sz="4"/>
              <w:bottom w:val="single" w:color="000000" w:sz="4"/>
              <w:right w:val="single" w:color="000000" w:sz="4"/>
            </w:tcBorders>
            <w:vAlign w:val="top"/>
          </w:tcPr>
          <w:p>
            <w:pPr>
              <w:jc w:val="center"/>
            </w:pPr>
            <w:r>
              <w:rPr>
                <w:sz w:val="18"/>
              </w:rPr>
              <w:t>中山市廉政教育中心</w:t>
            </w:r>
            <w:r>
              <w:rPr>
                <w:b/>
                <w:sz w:val="18"/>
              </w:rPr>
              <w:t>2023年度饭堂食材配送服务</w:t>
            </w:r>
          </w:p>
        </w:tc>
        <w:tc>
          <w:tcPr>
            <w:tcW w:type="dxa" w:w="888"/>
            <w:tcBorders>
              <w:top w:val="none" w:color="000000" w:sz="4"/>
              <w:left w:val="single" w:color="000000" w:sz="4"/>
              <w:bottom w:val="single" w:color="000000" w:sz="4"/>
              <w:right w:val="single" w:color="000000" w:sz="4"/>
            </w:tcBorders>
            <w:vAlign w:val="top"/>
          </w:tcPr>
          <w:p>
            <w:pPr>
              <w:jc w:val="center"/>
            </w:pPr>
            <w:r>
              <w:rPr>
                <w:sz w:val="18"/>
              </w:rPr>
              <w:t>1449万</w:t>
            </w:r>
            <w:r>
              <w:rPr>
                <w:sz w:val="18"/>
              </w:rPr>
              <w:t>元</w:t>
            </w:r>
          </w:p>
        </w:tc>
        <w:tc>
          <w:tcPr>
            <w:tcW w:type="dxa" w:w="1154"/>
            <w:tcBorders>
              <w:top w:val="none" w:color="000000" w:sz="4"/>
              <w:left w:val="single" w:color="000000" w:sz="4"/>
              <w:bottom w:val="single" w:color="000000" w:sz="4"/>
              <w:right w:val="single" w:color="000000" w:sz="4"/>
            </w:tcBorders>
            <w:vAlign w:val="top"/>
          </w:tcPr>
          <w:p>
            <w:pPr>
              <w:jc w:val="center"/>
            </w:pPr>
            <w:r>
              <w:rPr>
                <w:sz w:val="18"/>
              </w:rPr>
              <w:t>本项目采用折扣率方式报价，投标人的报价最高限价为</w:t>
            </w:r>
            <w:r>
              <w:rPr>
                <w:sz w:val="18"/>
              </w:rPr>
              <w:t>100%，超过最高限价的按无效投标处理。</w:t>
            </w:r>
          </w:p>
        </w:tc>
        <w:tc>
          <w:tcPr>
            <w:tcW w:type="dxa" w:w="1154"/>
            <w:tcBorders>
              <w:top w:val="none" w:color="000000" w:sz="4"/>
              <w:left w:val="single" w:color="000000" w:sz="4"/>
              <w:bottom w:val="single" w:color="000000" w:sz="4"/>
              <w:right w:val="single" w:color="000000" w:sz="4"/>
            </w:tcBorders>
            <w:vAlign w:val="top"/>
          </w:tcPr>
          <w:p>
            <w:pPr>
              <w:jc w:val="center"/>
            </w:pPr>
            <w:r>
              <w:rPr>
                <w:sz w:val="18"/>
              </w:rPr>
              <w:t>详见采购包</w:t>
            </w:r>
            <w:r>
              <w:rPr>
                <w:sz w:val="18"/>
              </w:rPr>
              <w:t>1：中山市廉政教育中心2023年度饭堂食材配送服务采购项目</w:t>
            </w:r>
          </w:p>
        </w:tc>
      </w:tr>
      <w:tr>
        <w:tc>
          <w:tcPr>
            <w:tcW w:type="dxa" w:w="456"/>
            <w:tcBorders>
              <w:top w:val="none" w:color="000000" w:sz="4"/>
              <w:left w:val="single" w:color="000000" w:sz="4"/>
              <w:bottom w:val="single" w:color="000000" w:sz="4"/>
              <w:right w:val="single" w:color="000000" w:sz="4"/>
            </w:tcBorders>
            <w:vAlign w:val="top"/>
          </w:tcPr>
          <w:p>
            <w:pPr>
              <w:jc w:val="center"/>
            </w:pPr>
            <w:r>
              <w:rPr>
                <w:sz w:val="18"/>
              </w:rPr>
              <w:t>采购包</w:t>
            </w:r>
            <w:r>
              <w:rPr>
                <w:sz w:val="18"/>
              </w:rPr>
              <w:t>2</w:t>
            </w:r>
          </w:p>
        </w:tc>
        <w:tc>
          <w:tcPr>
            <w:tcW w:type="dxa" w:w="971"/>
            <w:tcBorders>
              <w:top w:val="none" w:color="000000" w:sz="4"/>
              <w:left w:val="single" w:color="000000" w:sz="4"/>
              <w:bottom w:val="single" w:color="000000" w:sz="4"/>
              <w:right w:val="single" w:color="000000" w:sz="4"/>
            </w:tcBorders>
            <w:vAlign w:val="top"/>
          </w:tcPr>
          <w:p>
            <w:pPr>
              <w:jc w:val="center"/>
            </w:pPr>
            <w:r>
              <w:rPr>
                <w:sz w:val="18"/>
              </w:rPr>
              <w:t>中山市廉政教育中心</w:t>
            </w:r>
            <w:r>
              <w:rPr>
                <w:b/>
                <w:sz w:val="18"/>
              </w:rPr>
              <w:t>2023年度食堂外包服务</w:t>
            </w:r>
          </w:p>
        </w:tc>
        <w:tc>
          <w:tcPr>
            <w:tcW w:type="dxa" w:w="888"/>
            <w:tcBorders>
              <w:top w:val="none" w:color="000000" w:sz="4"/>
              <w:left w:val="single" w:color="000000" w:sz="4"/>
              <w:bottom w:val="single" w:color="000000" w:sz="4"/>
              <w:right w:val="single" w:color="000000" w:sz="4"/>
            </w:tcBorders>
            <w:vAlign w:val="top"/>
          </w:tcPr>
          <w:p>
            <w:pPr>
              <w:jc w:val="center"/>
            </w:pPr>
            <w:r>
              <w:rPr>
                <w:sz w:val="18"/>
              </w:rPr>
              <w:t>500万元</w:t>
            </w:r>
          </w:p>
        </w:tc>
        <w:tc>
          <w:tcPr>
            <w:tcW w:type="dxa" w:w="1154"/>
            <w:tcBorders>
              <w:top w:val="none" w:color="000000" w:sz="4"/>
              <w:left w:val="single" w:color="000000" w:sz="4"/>
              <w:bottom w:val="single" w:color="000000" w:sz="4"/>
              <w:right w:val="single" w:color="000000" w:sz="4"/>
            </w:tcBorders>
            <w:vAlign w:val="top"/>
          </w:tcPr>
          <w:p>
            <w:pPr>
              <w:jc w:val="center"/>
            </w:pPr>
            <w:r>
              <w:rPr>
                <w:sz w:val="18"/>
              </w:rPr>
              <w:t>与预算金额一致</w:t>
            </w:r>
          </w:p>
        </w:tc>
        <w:tc>
          <w:tcPr>
            <w:tcW w:type="dxa" w:w="1154"/>
            <w:tcBorders>
              <w:top w:val="none" w:color="000000" w:sz="4"/>
              <w:left w:val="single" w:color="000000" w:sz="4"/>
              <w:bottom w:val="single" w:color="000000" w:sz="4"/>
              <w:right w:val="single" w:color="000000" w:sz="4"/>
            </w:tcBorders>
            <w:vAlign w:val="top"/>
          </w:tcPr>
          <w:p>
            <w:pPr>
              <w:jc w:val="center"/>
            </w:pPr>
            <w:r>
              <w:rPr>
                <w:sz w:val="18"/>
              </w:rPr>
              <w:t>详见</w:t>
            </w:r>
            <w:r>
              <w:rPr>
                <w:sz w:val="18"/>
              </w:rPr>
              <w:t>采购包</w:t>
            </w:r>
            <w:r>
              <w:rPr>
                <w:sz w:val="18"/>
              </w:rPr>
              <w:t>2：中山市廉政教育中心2023年度食堂外包服务</w:t>
            </w:r>
            <w:r>
              <w:rPr>
                <w:sz w:val="18"/>
              </w:rPr>
              <w:t>采购项目</w:t>
            </w:r>
          </w:p>
        </w:tc>
      </w:tr>
      <w:tr>
        <w:tc>
          <w:tcPr>
            <w:tcW w:type="dxa" w:w="4623"/>
            <w:gridSpan w:val="5"/>
            <w:tcBorders>
              <w:top w:val="none" w:color="000000" w:sz="4"/>
              <w:left w:val="single" w:color="000000" w:sz="4"/>
              <w:bottom w:val="single" w:color="000000" w:sz="4"/>
              <w:right w:val="single" w:color="000000" w:sz="4"/>
            </w:tcBorders>
            <w:vAlign w:val="top"/>
          </w:tcPr>
          <w:p>
            <w:pPr>
              <w:jc w:val="center"/>
            </w:pPr>
            <w:r>
              <w:rPr>
                <w:b/>
                <w:sz w:val="18"/>
              </w:rPr>
              <w:t>本项目总预算金额</w:t>
            </w:r>
            <w:r>
              <w:rPr>
                <w:b/>
                <w:sz w:val="18"/>
              </w:rPr>
              <w:t>1949万</w:t>
            </w:r>
            <w:r>
              <w:rPr>
                <w:b/>
                <w:sz w:val="18"/>
              </w:rPr>
              <w:t>元</w:t>
            </w:r>
          </w:p>
        </w:tc>
      </w:tr>
    </w:tbl>
    <w:p>
      <w:pPr>
        <w:ind w:firstLine="421"/>
        <w:jc w:val="both"/>
      </w:pPr>
    </w:p>
    <w:p>
      <w:pPr>
        <w:ind w:firstLine="421"/>
        <w:jc w:val="both"/>
      </w:pPr>
      <w:r>
        <w:rPr>
          <w:b/>
          <w:sz w:val="21"/>
        </w:rPr>
        <w:t>（五）项目投标规则</w:t>
      </w:r>
      <w:r>
        <w:rPr>
          <w:b/>
          <w:sz w:val="21"/>
        </w:rPr>
        <w:t>：</w:t>
      </w:r>
      <w:r>
        <w:rPr>
          <w:b/>
          <w:sz w:val="21"/>
        </w:rPr>
        <w:t>兼投不兼中</w:t>
      </w:r>
      <w:r>
        <w:rPr>
          <w:b/>
          <w:sz w:val="21"/>
        </w:rPr>
        <w:t>，</w:t>
      </w:r>
      <w:r>
        <w:rPr>
          <w:sz w:val="21"/>
        </w:rPr>
        <w:t>投标人可对一个或多个采购包进行投标，</w:t>
      </w:r>
      <w:r>
        <w:rPr>
          <w:sz w:val="21"/>
        </w:rPr>
        <w:t>但只能中标其中一个采购包</w:t>
      </w:r>
      <w:r>
        <w:rPr>
          <w:sz w:val="21"/>
        </w:rPr>
        <w:t>。</w:t>
      </w:r>
    </w:p>
    <w:p>
      <w:pPr>
        <w:ind w:firstLine="420"/>
        <w:jc w:val="both"/>
      </w:pPr>
      <w:r>
        <w:rPr>
          <w:sz w:val="21"/>
        </w:rPr>
        <w:t>说明：具体按以下程序确认中标候选人。</w:t>
      </w:r>
    </w:p>
    <w:p>
      <w:pPr>
        <w:ind w:firstLine="420"/>
        <w:jc w:val="both"/>
      </w:pPr>
      <w:r>
        <w:rPr>
          <w:sz w:val="21"/>
        </w:rPr>
        <w:t>1.</w:t>
      </w:r>
      <w:r>
        <w:rPr>
          <w:sz w:val="21"/>
        </w:rPr>
        <w:t>采购包</w:t>
      </w:r>
      <w:r>
        <w:rPr>
          <w:sz w:val="21"/>
        </w:rPr>
        <w:t>1：根据综合得分由高到低排序，推荐排名第一的投标人为第一中标候选人，推荐排名第二的投标人为第二中标候选人；</w:t>
      </w:r>
    </w:p>
    <w:p>
      <w:pPr>
        <w:ind w:firstLine="420"/>
        <w:jc w:val="both"/>
      </w:pPr>
      <w:r>
        <w:rPr>
          <w:sz w:val="21"/>
        </w:rPr>
        <w:t>2.</w:t>
      </w:r>
      <w:r>
        <w:rPr>
          <w:sz w:val="21"/>
        </w:rPr>
        <w:t>采购包</w:t>
      </w:r>
      <w:r>
        <w:rPr>
          <w:sz w:val="21"/>
        </w:rPr>
        <w:t>2：若采购包1第一中标候选人投了本采购包，则剔除采购包1的第一中标候选人后，由综合得分排名第一的投标人作为本采购包的第一中标候选人，推荐排名第二的投标人为第二中标候选人</w:t>
      </w:r>
      <w:r>
        <w:rPr>
          <w:sz w:val="21"/>
        </w:rPr>
        <w:t>。</w:t>
      </w:r>
    </w:p>
    <w:p>
      <w:pPr>
        <w:jc w:val="both"/>
      </w:pPr>
    </w:p>
    <w:p>
      <w:pPr>
        <w:ind w:firstLine="421"/>
        <w:jc w:val="both"/>
      </w:pPr>
      <w:r>
        <w:rPr>
          <w:b/>
          <w:sz w:val="21"/>
        </w:rPr>
        <w:t>（六）</w:t>
      </w:r>
      <w:r>
        <w:rPr>
          <w:b/>
          <w:sz w:val="21"/>
        </w:rPr>
        <w:t>投标文件制作要求：</w:t>
      </w:r>
    </w:p>
    <w:p>
      <w:pPr>
        <w:ind w:firstLine="420"/>
        <w:jc w:val="both"/>
      </w:pPr>
      <w:r>
        <w:rPr>
          <w:sz w:val="21"/>
        </w:rPr>
        <w:t>1.</w:t>
      </w:r>
      <w:r>
        <w:rPr>
          <w:sz w:val="21"/>
        </w:rPr>
        <w:t>每个采购包须独立制作投标文件，即投标人须以采购包为单位制作投标文件。</w:t>
      </w:r>
    </w:p>
    <w:p>
      <w:pPr>
        <w:ind w:firstLine="420"/>
        <w:jc w:val="both"/>
      </w:pPr>
      <w:r>
        <w:rPr>
          <w:sz w:val="21"/>
        </w:rPr>
        <w:t>2.关于本项目项目名称的相关说明详见下表</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4717"/>
      </w:tblGrid>
      <w:tr>
        <w:tc>
          <w:tcPr>
            <w:tcW w:type="dxa" w:w="4717"/>
            <w:tcBorders>
              <w:top w:val="single" w:color="000000" w:sz="4"/>
              <w:left w:val="single" w:color="000000" w:sz="4"/>
              <w:bottom w:val="single" w:color="000000" w:sz="4"/>
              <w:right w:val="single" w:color="000000" w:sz="4"/>
            </w:tcBorders>
            <w:vAlign w:val="top"/>
          </w:tcPr>
          <w:p>
            <w:pPr>
              <w:jc w:val="both"/>
            </w:pPr>
            <w:r>
              <w:rPr>
                <w:sz w:val="21"/>
              </w:rPr>
              <w:t>本项目项目名称：</w:t>
            </w:r>
            <w:r>
              <w:rPr>
                <w:sz w:val="21"/>
              </w:rPr>
              <w:t>中国共产党中山市纪律检查委员会中山市廉政教育中心</w:t>
            </w:r>
            <w:r>
              <w:rPr>
                <w:sz w:val="21"/>
              </w:rPr>
              <w:t>2023年度食堂食材配送及外包服务采购项目</w:t>
            </w:r>
          </w:p>
        </w:tc>
      </w:tr>
      <w:tr>
        <w:tc>
          <w:tcPr>
            <w:tcW w:type="dxa" w:w="4717"/>
            <w:tcBorders>
              <w:top w:val="none" w:color="000000" w:sz="4"/>
              <w:left w:val="single" w:color="000000" w:sz="4"/>
              <w:bottom w:val="single" w:color="000000" w:sz="4"/>
              <w:right w:val="single" w:color="000000" w:sz="4"/>
            </w:tcBorders>
            <w:vAlign w:val="top"/>
          </w:tcPr>
          <w:p>
            <w:pPr>
              <w:jc w:val="both"/>
            </w:pPr>
            <w:r>
              <w:rPr>
                <w:sz w:val="21"/>
              </w:rPr>
              <w:t>本项目采购包</w:t>
            </w:r>
            <w:r>
              <w:rPr>
                <w:sz w:val="21"/>
              </w:rPr>
              <w:t>1名称：</w:t>
            </w:r>
            <w:r>
              <w:rPr>
                <w:sz w:val="21"/>
              </w:rPr>
              <w:t>中山市廉政教育中心</w:t>
            </w:r>
            <w:r>
              <w:rPr>
                <w:sz w:val="21"/>
              </w:rPr>
              <w:t>2023年度饭堂食材配送服务采购项目</w:t>
            </w:r>
          </w:p>
        </w:tc>
      </w:tr>
      <w:tr>
        <w:tc>
          <w:tcPr>
            <w:tcW w:type="dxa" w:w="4717"/>
            <w:tcBorders>
              <w:top w:val="none" w:color="000000" w:sz="4"/>
              <w:left w:val="single" w:color="000000" w:sz="4"/>
              <w:bottom w:val="single" w:color="000000" w:sz="4"/>
              <w:right w:val="single" w:color="000000" w:sz="4"/>
            </w:tcBorders>
            <w:vAlign w:val="top"/>
          </w:tcPr>
          <w:p>
            <w:pPr>
              <w:jc w:val="both"/>
            </w:pPr>
            <w:r>
              <w:rPr>
                <w:sz w:val="21"/>
              </w:rPr>
              <w:t>本项目采购包</w:t>
            </w:r>
            <w:r>
              <w:rPr>
                <w:sz w:val="21"/>
              </w:rPr>
              <w:t>2名称：</w:t>
            </w:r>
            <w:r>
              <w:rPr>
                <w:sz w:val="21"/>
              </w:rPr>
              <w:t>中山市廉政教育中心</w:t>
            </w:r>
            <w:r>
              <w:rPr>
                <w:sz w:val="21"/>
              </w:rPr>
              <w:t>2023年度食堂外包服务采购项目</w:t>
            </w:r>
          </w:p>
        </w:tc>
      </w:tr>
      <w:tr>
        <w:tc>
          <w:tcPr>
            <w:tcW w:type="dxa" w:w="4717"/>
            <w:tcBorders>
              <w:top w:val="none" w:color="000000" w:sz="4"/>
              <w:left w:val="single" w:color="000000" w:sz="4"/>
              <w:bottom w:val="single" w:color="000000" w:sz="4"/>
              <w:right w:val="single" w:color="000000" w:sz="4"/>
            </w:tcBorders>
            <w:vAlign w:val="top"/>
          </w:tcPr>
          <w:p>
            <w:pPr>
              <w:jc w:val="both"/>
            </w:pPr>
            <w:r>
              <w:rPr>
                <w:b/>
                <w:sz w:val="21"/>
              </w:rPr>
              <w:t>说明：</w:t>
            </w:r>
          </w:p>
          <w:p>
            <w:pPr>
              <w:jc w:val="both"/>
            </w:pPr>
            <w:r>
              <w:rPr>
                <w:b/>
                <w:sz w:val="21"/>
              </w:rPr>
              <w:t>1.</w:t>
            </w:r>
            <w:r>
              <w:rPr>
                <w:b/>
                <w:sz w:val="21"/>
              </w:rPr>
              <w:t>本项目投标文件格式中涉及填写</w:t>
            </w:r>
            <w:r>
              <w:rPr>
                <w:b/>
                <w:sz w:val="21"/>
              </w:rPr>
              <w:t>“项目名称”</w:t>
            </w:r>
            <w:r>
              <w:rPr>
                <w:b/>
                <w:sz w:val="21"/>
              </w:rPr>
              <w:t>的</w:t>
            </w:r>
            <w:r>
              <w:rPr>
                <w:b/>
                <w:sz w:val="21"/>
              </w:rPr>
              <w:t>地方可填写本项目项目名称或对应采购包名称；</w:t>
            </w:r>
          </w:p>
          <w:p>
            <w:pPr>
              <w:jc w:val="both"/>
            </w:pPr>
            <w:r>
              <w:rPr>
                <w:b/>
                <w:sz w:val="21"/>
              </w:rPr>
              <w:t>2.</w:t>
            </w:r>
            <w:r>
              <w:rPr>
                <w:b/>
                <w:sz w:val="21"/>
              </w:rPr>
              <w:t>本项目投标文件格式中涉及填写</w:t>
            </w:r>
            <w:r>
              <w:rPr>
                <w:b/>
                <w:sz w:val="21"/>
              </w:rPr>
              <w:t>“</w:t>
            </w:r>
            <w:r>
              <w:rPr>
                <w:b/>
                <w:sz w:val="21"/>
                <w:u w:val="single"/>
              </w:rPr>
              <w:t>采购标的</w:t>
            </w:r>
            <w:r>
              <w:rPr>
                <w:b/>
                <w:sz w:val="21"/>
              </w:rPr>
              <w:t>”或“</w:t>
            </w:r>
            <w:r>
              <w:rPr>
                <w:b/>
                <w:sz w:val="21"/>
                <w:u w:val="single"/>
              </w:rPr>
              <w:t>标的名称</w:t>
            </w:r>
            <w:r>
              <w:rPr>
                <w:b/>
                <w:sz w:val="21"/>
              </w:rPr>
              <w:t>”</w:t>
            </w:r>
            <w:r>
              <w:rPr>
                <w:b/>
                <w:sz w:val="21"/>
              </w:rPr>
              <w:t>的</w:t>
            </w:r>
            <w:r>
              <w:rPr>
                <w:b/>
                <w:sz w:val="21"/>
              </w:rPr>
              <w:t>地方可填写本项目项目名称或对应采购包名称。</w:t>
            </w:r>
          </w:p>
        </w:tc>
      </w:tr>
    </w:tbl>
    <w:p>
      <w:pPr>
        <w:ind w:firstLine="420"/>
        <w:jc w:val="both"/>
      </w:pPr>
      <w:r>
        <w:rPr>
          <w:sz w:val="21"/>
        </w:rPr>
        <w:t>3.投标人在系统上传投标文件时，应仔细核对，确保各采购包投标文件上传到对应采购包正确的位置，否则后果自负。</w:t>
      </w:r>
    </w:p>
    <w:p>
      <w:pPr>
        <w:ind w:firstLine="420"/>
        <w:jc w:val="both"/>
      </w:pPr>
      <w:r>
        <w:rPr/>
        <w:t xml:space="preserve"> </w:t>
      </w:r>
    </w:p>
    <w:p>
      <w:pPr>
        <w:jc w:val="both"/>
      </w:pPr>
      <w:r>
        <w:rPr>
          <w:b/>
          <w:sz w:val="32"/>
        </w:rPr>
        <w:t>二、</w:t>
      </w:r>
      <w:r>
        <w:rPr>
          <w:b/>
          <w:sz w:val="32"/>
        </w:rPr>
        <w:t>采购包</w:t>
      </w:r>
      <w:r>
        <w:rPr>
          <w:b/>
          <w:sz w:val="32"/>
        </w:rPr>
        <w:t>1（</w:t>
      </w:r>
      <w:r>
        <w:rPr>
          <w:b/>
          <w:sz w:val="32"/>
        </w:rPr>
        <w:t>中山市廉政教育中心</w:t>
      </w:r>
      <w:r>
        <w:rPr>
          <w:b/>
          <w:sz w:val="32"/>
        </w:rPr>
        <w:t>2023年度饭堂食材配送服务采购项目</w:t>
      </w:r>
      <w:r>
        <w:rPr>
          <w:b/>
          <w:sz w:val="32"/>
        </w:rPr>
        <w:t>）采购需求内容：</w:t>
      </w:r>
    </w:p>
    <w:p>
      <w:pPr>
        <w:jc w:val="both"/>
      </w:pPr>
    </w:p>
    <w:p>
      <w:pPr>
        <w:jc w:val="both"/>
      </w:pPr>
      <w:r>
        <w:rPr>
          <w:b/>
          <w:sz w:val="21"/>
        </w:rPr>
        <w:t>（一）</w:t>
      </w:r>
      <w:r>
        <w:rPr>
          <w:b/>
          <w:sz w:val="21"/>
        </w:rPr>
        <w:t>基本信息</w:t>
      </w:r>
    </w:p>
    <w:p>
      <w:pPr>
        <w:ind w:firstLine="420"/>
        <w:jc w:val="both"/>
      </w:pPr>
      <w:r>
        <w:rPr>
          <w:sz w:val="21"/>
        </w:rPr>
        <w:t>1.</w:t>
      </w:r>
      <w:r>
        <w:rPr>
          <w:sz w:val="21"/>
        </w:rPr>
        <w:t>预算金额：</w:t>
      </w:r>
      <w:r>
        <w:rPr>
          <w:sz w:val="21"/>
        </w:rPr>
        <w:t>1449万元</w:t>
      </w:r>
    </w:p>
    <w:p>
      <w:pPr>
        <w:ind w:firstLine="420"/>
        <w:jc w:val="both"/>
      </w:pPr>
      <w:r>
        <w:rPr>
          <w:sz w:val="21"/>
        </w:rPr>
        <w:t>2.</w:t>
      </w:r>
      <w:r>
        <w:rPr>
          <w:sz w:val="21"/>
        </w:rPr>
        <w:t>最高限价：本项目采用折扣率方式报价，投标人的报价最高</w:t>
      </w:r>
      <w:r>
        <w:rPr>
          <w:sz w:val="21"/>
        </w:rPr>
        <w:t>限</w:t>
      </w:r>
      <w:r>
        <w:rPr>
          <w:sz w:val="21"/>
        </w:rPr>
        <w:t>价为</w:t>
      </w:r>
      <w:r>
        <w:rPr>
          <w:sz w:val="21"/>
        </w:rPr>
        <w:t>100%</w:t>
      </w:r>
      <w:r>
        <w:rPr>
          <w:sz w:val="21"/>
        </w:rPr>
        <w:t>，</w:t>
      </w:r>
      <w:r>
        <w:rPr>
          <w:sz w:val="21"/>
        </w:rPr>
        <w:t>超过最高限价的按无效投标处理</w:t>
      </w:r>
      <w:r>
        <w:rPr>
          <w:sz w:val="21"/>
        </w:rPr>
        <w:t>。</w:t>
      </w:r>
    </w:p>
    <w:p>
      <w:pPr>
        <w:ind w:firstLine="420"/>
        <w:jc w:val="both"/>
      </w:pPr>
      <w:r>
        <w:rPr>
          <w:sz w:val="21"/>
        </w:rPr>
        <w:t>3.</w:t>
      </w:r>
      <w:r>
        <w:rPr>
          <w:sz w:val="21"/>
        </w:rPr>
        <w:t>服务期：自合同生效之日起</w:t>
      </w:r>
      <w:r>
        <w:rPr>
          <w:sz w:val="21"/>
        </w:rPr>
        <w:t>12个月。合同终止条件</w:t>
      </w:r>
      <w:r>
        <w:rPr>
          <w:sz w:val="21"/>
        </w:rPr>
        <w:t>包括</w:t>
      </w:r>
      <w:r>
        <w:rPr>
          <w:sz w:val="21"/>
        </w:rPr>
        <w:t>：情况一，服务期限内结算金额累计达到采购预算金额时，合同终止。情况二，合同服务期满时，结算金额累计未达到</w:t>
      </w:r>
      <w:r>
        <w:rPr>
          <w:sz w:val="21"/>
        </w:rPr>
        <w:t>采购预算金额的，按实结算，合同终止。</w:t>
      </w:r>
    </w:p>
    <w:p>
      <w:pPr>
        <w:jc w:val="both"/>
      </w:pPr>
    </w:p>
    <w:p>
      <w:pPr>
        <w:jc w:val="both"/>
      </w:pPr>
      <w:r>
        <w:rPr>
          <w:b/>
          <w:sz w:val="21"/>
        </w:rPr>
        <w:t>（二）</w:t>
      </w:r>
      <w:r>
        <w:rPr>
          <w:b/>
          <w:sz w:val="21"/>
        </w:rPr>
        <w:t>违约条款</w:t>
      </w:r>
    </w:p>
    <w:p>
      <w:pPr>
        <w:ind w:firstLine="421"/>
        <w:jc w:val="both"/>
      </w:pPr>
      <w:r>
        <w:rPr>
          <w:sz w:val="21"/>
        </w:rPr>
        <w:t>1.投标人在投标文件中承诺的内容将作为以后（中标后）签订政府采购合同的内容，包括★条款、▲条款及一般条款的响应情况，投标人在履行合同过程中必须严格执行，在履行合同过程中无法满足★条款的相关要求将按中标人违约处理（采购人有权扣除较重的违约金甚至解除合同），在履行合同中无法满足▲条款及一般条款的相关要求将按中标人违约处理（采购人有权扣除一定的违约金甚至解除合同）。</w:t>
      </w:r>
    </w:p>
    <w:p>
      <w:pPr>
        <w:ind w:firstLine="421"/>
        <w:jc w:val="both"/>
      </w:pPr>
      <w:r>
        <w:rPr>
          <w:sz w:val="21"/>
        </w:rPr>
        <w:t>2.投标人在投标文件中用于响应评分的服务方案</w:t>
      </w:r>
      <w:r>
        <w:rPr>
          <w:sz w:val="21"/>
        </w:rPr>
        <w:t>【</w:t>
      </w:r>
      <w:r>
        <w:rPr>
          <w:sz w:val="21"/>
        </w:rPr>
        <w:t>包括但不限于技术评分表</w:t>
      </w:r>
      <w:r>
        <w:rPr>
          <w:sz w:val="21"/>
        </w:rPr>
        <w:t>（采购包</w:t>
      </w:r>
      <w:r>
        <w:rPr>
          <w:sz w:val="21"/>
        </w:rPr>
        <w:t>1</w:t>
      </w:r>
      <w:r>
        <w:rPr>
          <w:sz w:val="21"/>
        </w:rPr>
        <w:t>）</w:t>
      </w:r>
      <w:r>
        <w:rPr>
          <w:sz w:val="21"/>
        </w:rPr>
        <w:t>的方案</w:t>
      </w:r>
      <w:r>
        <w:rPr>
          <w:sz w:val="21"/>
        </w:rPr>
        <w:t>】</w:t>
      </w:r>
      <w:r>
        <w:rPr>
          <w:sz w:val="21"/>
        </w:rPr>
        <w:t>将作为以后（中标后）签订政府采购合同的内容，在履行合同过程中无法满足要求的将按中标人违约处理（采购人有权扣除一定的违约金甚至解除合同）。</w:t>
      </w:r>
    </w:p>
    <w:p>
      <w:pPr>
        <w:ind w:firstLine="421"/>
        <w:jc w:val="both"/>
      </w:pPr>
      <w:r>
        <w:rPr>
          <w:sz w:val="21"/>
        </w:rPr>
        <w:t>3.投标人在投标文件中用于响应评分的委派具体人员为中标后委派人员，实际到场人员与投标文件中拟派具体人员不符的，将按中标人违约处理（采购人有权扣除较重的违约金甚至解除合同）。</w:t>
      </w:r>
    </w:p>
    <w:p>
      <w:pPr>
        <w:ind w:firstLine="421"/>
        <w:jc w:val="both"/>
      </w:pPr>
      <w:r>
        <w:rPr>
          <w:sz w:val="21"/>
        </w:rPr>
        <w:t>4.</w:t>
      </w:r>
      <w:r>
        <w:rPr>
          <w:sz w:val="21"/>
        </w:rPr>
        <w:t>除另有约定外，</w:t>
      </w:r>
      <w:r>
        <w:rPr>
          <w:sz w:val="21"/>
        </w:rPr>
        <w:t>中标人有违约行为的，应负违约责任并向采购人支付合同金额</w:t>
      </w:r>
      <w:r>
        <w:rPr>
          <w:b/>
          <w:sz w:val="21"/>
        </w:rPr>
        <w:t>3%的违约金</w:t>
      </w:r>
      <w:r>
        <w:rPr>
          <w:sz w:val="21"/>
        </w:rPr>
        <w:t>。因违约使采购人遭受损失</w:t>
      </w:r>
      <w:r>
        <w:rPr>
          <w:sz w:val="21"/>
        </w:rPr>
        <w:t>且违约金不足以弥补采购人损失</w:t>
      </w:r>
      <w:r>
        <w:rPr>
          <w:sz w:val="21"/>
        </w:rPr>
        <w:t>的，</w:t>
      </w:r>
      <w:r>
        <w:rPr>
          <w:sz w:val="21"/>
        </w:rPr>
        <w:t>中标人</w:t>
      </w:r>
      <w:r>
        <w:rPr>
          <w:sz w:val="21"/>
        </w:rPr>
        <w:t>应向采购人支付等额赔偿金（</w:t>
      </w:r>
      <w:r>
        <w:rPr>
          <w:sz w:val="21"/>
        </w:rPr>
        <w:t>违约金</w:t>
      </w:r>
      <w:r>
        <w:rPr>
          <w:sz w:val="21"/>
        </w:rPr>
        <w:t>在服务费结算时扣除）。</w:t>
      </w:r>
    </w:p>
    <w:p>
      <w:pPr>
        <w:ind w:firstLine="421"/>
        <w:jc w:val="both"/>
      </w:pPr>
      <w:r>
        <w:rPr>
          <w:sz w:val="21"/>
        </w:rPr>
        <w:t>5.合同期内中标人保证足够的货物供应，不能以任何理由中途停止供应。中标人不能以食材供货紧张，配送路程远等理由随意推迟供货或拒绝供货、换货，造成损失的由中标人承担，并扣除当月货款的</w:t>
      </w:r>
      <w:r>
        <w:rPr>
          <w:b/>
          <w:sz w:val="21"/>
        </w:rPr>
        <w:t>5%赔偿</w:t>
      </w:r>
      <w:r>
        <w:rPr>
          <w:b/>
          <w:sz w:val="21"/>
        </w:rPr>
        <w:t>予</w:t>
      </w:r>
      <w:r>
        <w:rPr>
          <w:b/>
          <w:sz w:val="21"/>
        </w:rPr>
        <w:t>采购人</w:t>
      </w:r>
      <w:r>
        <w:rPr>
          <w:sz w:val="21"/>
        </w:rPr>
        <w:t>（</w:t>
      </w:r>
      <w:r>
        <w:rPr>
          <w:sz w:val="21"/>
        </w:rPr>
        <w:t>违约金</w:t>
      </w:r>
      <w:r>
        <w:rPr>
          <w:sz w:val="21"/>
        </w:rPr>
        <w:t>在服务费结算时扣除）。</w:t>
      </w:r>
    </w:p>
    <w:p>
      <w:pPr>
        <w:ind w:firstLine="421"/>
        <w:jc w:val="both"/>
      </w:pPr>
      <w:r>
        <w:rPr>
          <w:sz w:val="21"/>
        </w:rPr>
        <w:t>6.如果采购人发现投标人所送的食材质量有问题，有权要求投标人立即进行更换，投标人必须在接到采购人通知后60分钟内对有问题的食材进行更换并</w:t>
      </w:r>
      <w:r>
        <w:rPr>
          <w:sz w:val="21"/>
        </w:rPr>
        <w:t>将</w:t>
      </w:r>
      <w:r>
        <w:rPr>
          <w:sz w:val="21"/>
        </w:rPr>
        <w:t>更换后的食材</w:t>
      </w:r>
      <w:r>
        <w:rPr>
          <w:sz w:val="21"/>
        </w:rPr>
        <w:t>交到采购人指定地点，超过</w:t>
      </w:r>
      <w:r>
        <w:rPr>
          <w:sz w:val="21"/>
        </w:rPr>
        <w:t>60分钟，采购人有权收取当天总货款的</w:t>
      </w:r>
      <w:r>
        <w:rPr>
          <w:b/>
          <w:sz w:val="21"/>
        </w:rPr>
        <w:t>10%作为违约金</w:t>
      </w:r>
      <w:r>
        <w:rPr>
          <w:sz w:val="21"/>
        </w:rPr>
        <w:t>（</w:t>
      </w:r>
      <w:r>
        <w:rPr>
          <w:sz w:val="21"/>
        </w:rPr>
        <w:t>违约金</w:t>
      </w:r>
      <w:r>
        <w:rPr>
          <w:sz w:val="21"/>
        </w:rPr>
        <w:t>在服务费结算时扣除）。</w:t>
      </w:r>
    </w:p>
    <w:p>
      <w:pPr>
        <w:ind w:firstLine="421"/>
        <w:jc w:val="both"/>
      </w:pPr>
      <w:r>
        <w:rPr>
          <w:sz w:val="21"/>
        </w:rPr>
        <w:t>7.送货时间要求：每天按采购人的要求，在约定时间将食材送至指定地点，投标人如送货迟到超过30分钟，采购人有权收取当天总货款的</w:t>
      </w:r>
      <w:r>
        <w:rPr>
          <w:b/>
          <w:sz w:val="21"/>
        </w:rPr>
        <w:t>10%作为违约金</w:t>
      </w:r>
      <w:r>
        <w:rPr>
          <w:sz w:val="21"/>
        </w:rPr>
        <w:t>（</w:t>
      </w:r>
      <w:r>
        <w:rPr>
          <w:sz w:val="21"/>
        </w:rPr>
        <w:t>违约金</w:t>
      </w:r>
      <w:r>
        <w:rPr>
          <w:sz w:val="21"/>
        </w:rPr>
        <w:t>在服务费结算时扣除）。</w:t>
      </w:r>
    </w:p>
    <w:p>
      <w:pPr>
        <w:ind w:firstLine="480"/>
        <w:jc w:val="both"/>
      </w:pPr>
    </w:p>
    <w:p>
      <w:pPr>
        <w:ind w:firstLine="480"/>
        <w:jc w:val="both"/>
      </w:pPr>
      <w:r>
        <w:rPr>
          <w:b/>
          <w:sz w:val="21"/>
        </w:rPr>
        <w:t>（三）</w:t>
      </w:r>
      <w:r>
        <w:rPr>
          <w:b/>
          <w:sz w:val="21"/>
        </w:rPr>
        <w:t>项目要求</w:t>
      </w:r>
    </w:p>
    <w:p>
      <w:pPr>
        <w:ind w:firstLine="482"/>
        <w:jc w:val="both"/>
      </w:pPr>
      <w:r>
        <w:rPr>
          <w:sz w:val="21"/>
        </w:rPr>
        <w:t>1.为提高中国共产党中山市纪律检查委员会中山市廉政教育中心饭堂食材的采购效率和服务质量，现对中国共产党中山市纪律检查委员会中山市廉政教育中心饭堂进行食材采购。</w:t>
      </w:r>
    </w:p>
    <w:p>
      <w:pPr>
        <w:ind w:firstLine="480"/>
        <w:jc w:val="both"/>
      </w:pPr>
      <w:r>
        <w:rPr>
          <w:sz w:val="21"/>
        </w:rPr>
        <w:t>2.采购数量：投标人按采购人每天实际所需数量供货，采购人无义务保证中标人每天采购的实际数量。本项目采购人所采购货物数量包括但不限于“采购清单”所要求的。采购人可以根据实际需要通知中标人按实际采购数提供采购文件要求及响应文件承诺的货物与服务。</w:t>
      </w:r>
    </w:p>
    <w:p>
      <w:pPr>
        <w:ind w:firstLine="420"/>
        <w:jc w:val="both"/>
      </w:pPr>
      <w:r>
        <w:rPr>
          <w:sz w:val="21"/>
        </w:rPr>
        <w:t>3.采购周期：12个月，</w:t>
      </w:r>
      <w:r>
        <w:rPr>
          <w:sz w:val="21"/>
        </w:rPr>
        <w:t>其中含</w:t>
      </w:r>
      <w:r>
        <w:rPr>
          <w:sz w:val="21"/>
        </w:rPr>
        <w:t>试用期</w:t>
      </w:r>
      <w:r>
        <w:rPr>
          <w:sz w:val="21"/>
        </w:rPr>
        <w:t>3个月。</w:t>
      </w:r>
    </w:p>
    <w:p>
      <w:pPr>
        <w:ind w:firstLine="420"/>
        <w:jc w:val="both"/>
      </w:pPr>
      <w:r>
        <w:rPr>
          <w:sz w:val="21"/>
        </w:rPr>
        <w:t>★4.中标人供应的各类食品必须符合国家《中华人民共和国产品质量法》、《中华人民共和国食品安全法》等相关法律法规的要求，确保所供食品优质新鲜，符合食品安全规定的各项合格指标。中标人供应的食品，如出现不符合国家、省、市有关食品安全规定的，须承担全部法律责任。</w:t>
      </w:r>
      <w:r>
        <w:rPr>
          <w:sz w:val="21"/>
        </w:rPr>
        <w:t>【响应方式：应优先在</w:t>
      </w:r>
      <w:r>
        <w:rPr>
          <w:sz w:val="21"/>
        </w:rPr>
        <w:t>“投标文件附加格式《“★”条款响应表（采购包</w:t>
      </w:r>
      <w:r>
        <w:rPr>
          <w:sz w:val="21"/>
        </w:rPr>
        <w:t>1</w:t>
      </w:r>
      <w:r>
        <w:rPr>
          <w:sz w:val="21"/>
        </w:rPr>
        <w:t>）》</w:t>
      </w:r>
      <w:r>
        <w:rPr>
          <w:sz w:val="21"/>
        </w:rPr>
        <w:t>”中填写并作出响应，填表视为已承诺，作为评审依据。】</w:t>
      </w:r>
    </w:p>
    <w:p>
      <w:pPr>
        <w:ind w:firstLine="420"/>
        <w:jc w:val="both"/>
      </w:pPr>
      <w:r>
        <w:rPr>
          <w:sz w:val="21"/>
        </w:rPr>
        <w:t>5.投标人必须对所有内容进行投标，中标人不得以任何方式</w:t>
      </w:r>
      <w:r>
        <w:rPr>
          <w:sz w:val="21"/>
        </w:rPr>
        <w:t>将采购包进行</w:t>
      </w:r>
      <w:r>
        <w:rPr>
          <w:sz w:val="21"/>
        </w:rPr>
        <w:t>转包。</w:t>
      </w:r>
    </w:p>
    <w:p>
      <w:pPr>
        <w:jc w:val="both"/>
      </w:pPr>
    </w:p>
    <w:p>
      <w:pPr>
        <w:jc w:val="both"/>
      </w:pPr>
      <w:r>
        <w:rPr>
          <w:b/>
          <w:sz w:val="21"/>
        </w:rPr>
        <w:t>（四）</w:t>
      </w:r>
      <w:r>
        <w:rPr>
          <w:b/>
          <w:sz w:val="21"/>
        </w:rPr>
        <w:t>报价要求</w:t>
      </w:r>
    </w:p>
    <w:p>
      <w:pPr>
        <w:ind w:firstLine="480"/>
        <w:jc w:val="both"/>
      </w:pPr>
      <w:r>
        <w:rPr>
          <w:sz w:val="21"/>
        </w:rPr>
        <w:t>1.本项目釆用折扣率报价，折扣率不得高于100%,否则视为无效报价。投标人应结合经济增长物价上涨的风险及自身成本报价，确定报价幅度。配送价为全包价，以人民币元为结算单位，包含食材的购置、检验、</w:t>
      </w:r>
      <w:r>
        <w:rPr>
          <w:sz w:val="21"/>
        </w:rPr>
        <w:t>宰杀、</w:t>
      </w:r>
      <w:r>
        <w:rPr>
          <w:sz w:val="21"/>
        </w:rPr>
        <w:t>加工、分拣、包装、仓储、运输、装卸、堆放、保险、损耗、退换、售后服务、人员费用、管理费和全额税费等，以及合同实施过程中的应预见和不可预见的一切费用。中标人不能因为开发票等手续再向采购人申请款项。</w:t>
      </w:r>
    </w:p>
    <w:p>
      <w:pPr>
        <w:ind w:firstLine="480"/>
        <w:jc w:val="both"/>
      </w:pPr>
      <w:r>
        <w:rPr>
          <w:sz w:val="21"/>
        </w:rPr>
        <w:t>2.单次单项食材的配送价=当月供货基准单价*单项供货数量*成交折扣率。（例如：采购人需要采购大米100斤，当月供货基准单价4元/斤为例，若成交折扣率为95%,需要付给中标人的款项计算如下：4元/斤*100斤*95%=380元。</w:t>
      </w:r>
      <w:r>
        <w:rPr>
          <w:sz w:val="21"/>
        </w:rPr>
        <w:t>）</w:t>
      </w:r>
    </w:p>
    <w:p>
      <w:pPr>
        <w:ind w:firstLine="480"/>
        <w:jc w:val="both"/>
      </w:pPr>
      <w:r>
        <w:rPr>
          <w:sz w:val="21"/>
        </w:rPr>
        <w:t>3</w:t>
      </w:r>
      <w:r>
        <w:rPr>
          <w:sz w:val="21"/>
        </w:rPr>
        <w:t>.供货基准单价确定：以中山市</w:t>
      </w:r>
      <w:r>
        <w:rPr>
          <w:sz w:val="21"/>
        </w:rPr>
        <w:t>南朗市场</w:t>
      </w:r>
      <w:r>
        <w:rPr>
          <w:sz w:val="21"/>
        </w:rPr>
        <w:t>、</w:t>
      </w:r>
      <w:r>
        <w:rPr>
          <w:sz w:val="21"/>
        </w:rPr>
        <w:t>港口</w:t>
      </w:r>
      <w:r>
        <w:rPr>
          <w:sz w:val="21"/>
        </w:rPr>
        <w:t>市场、</w:t>
      </w:r>
      <w:r>
        <w:rPr>
          <w:sz w:val="21"/>
        </w:rPr>
        <w:t>沙朗</w:t>
      </w:r>
      <w:r>
        <w:rPr>
          <w:sz w:val="21"/>
        </w:rPr>
        <w:t>市场、</w:t>
      </w:r>
      <w:r>
        <w:rPr>
          <w:sz w:val="21"/>
        </w:rPr>
        <w:t>沙溪市场</w:t>
      </w:r>
      <w:r>
        <w:rPr>
          <w:sz w:val="21"/>
        </w:rPr>
        <w:t>的菜品零售平均价，每月</w:t>
      </w:r>
      <w:r>
        <w:rPr>
          <w:sz w:val="21"/>
        </w:rPr>
        <w:t>至少</w:t>
      </w:r>
      <w:r>
        <w:rPr>
          <w:sz w:val="21"/>
        </w:rPr>
        <w:t>更新一次（先由投标人提供价格，再经采购人市场走访核准，中标人提供的基准价与采购人市场走访价有出入时，以采购人市场走访价为准）；对于部分特定品类的食材，若四个市场均未有售，由釆购人和投标人双方参考中山市大润发、壹加壹超市等同类食材、副食品的平均零售价作为食材最新价格（含税）。</w:t>
      </w:r>
      <w:r>
        <w:rPr>
          <w:sz w:val="21"/>
        </w:rPr>
        <w:t>在本项目服务期内，以上提及的市场名称及超市名称若有更名的以最新名字为准。</w:t>
      </w:r>
    </w:p>
    <w:p>
      <w:pPr>
        <w:ind w:firstLine="480"/>
        <w:jc w:val="both"/>
      </w:pPr>
      <w:r>
        <w:rPr>
          <w:sz w:val="21"/>
        </w:rPr>
        <w:t>4.中标人每个周期均应按上述第3点要求提供供货食品价目表，供货食品价目表的货物价格在一个定价周期内价格不再调整。</w:t>
      </w:r>
      <w:r>
        <w:rPr>
          <w:sz w:val="21"/>
        </w:rPr>
        <w:t>如供货价高于市场价格</w:t>
      </w:r>
      <w:r>
        <w:rPr>
          <w:sz w:val="21"/>
        </w:rPr>
        <w:t>10%，中标人需补偿差价。</w:t>
      </w:r>
    </w:p>
    <w:p>
      <w:pPr>
        <w:ind w:firstLine="421"/>
        <w:jc w:val="both"/>
      </w:pPr>
    </w:p>
    <w:p>
      <w:pPr>
        <w:ind w:firstLine="421"/>
        <w:jc w:val="both"/>
      </w:pPr>
      <w:r>
        <w:rPr>
          <w:b/>
          <w:sz w:val="21"/>
        </w:rPr>
        <w:t>（五）</w:t>
      </w:r>
      <w:r>
        <w:rPr>
          <w:b/>
          <w:sz w:val="21"/>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390"/>
        <w:gridCol w:w="1270"/>
        <w:gridCol w:w="631"/>
        <w:gridCol w:w="423"/>
        <w:gridCol w:w="1254"/>
        <w:gridCol w:w="606"/>
      </w:tblGrid>
      <w:tr>
        <w:tc>
          <w:tcPr>
            <w:tcW w:type="dxa" w:w="390"/>
            <w:tcBorders>
              <w:top w:val="double" w:color="000000" w:sz="4"/>
              <w:left w:val="double" w:color="000000" w:sz="4"/>
              <w:bottom w:val="single" w:color="000000" w:sz="4"/>
              <w:right w:val="single" w:color="000000" w:sz="4"/>
            </w:tcBorders>
            <w:shd w:fill="E0E0E0"/>
            <w:vAlign w:val="top"/>
          </w:tcPr>
          <w:p>
            <w:pPr>
              <w:jc w:val="center"/>
            </w:pPr>
            <w:r>
              <w:rPr>
                <w:b/>
                <w:sz w:val="18"/>
              </w:rPr>
              <w:t>序号</w:t>
            </w:r>
          </w:p>
        </w:tc>
        <w:tc>
          <w:tcPr>
            <w:tcW w:type="dxa" w:w="1270"/>
            <w:tcBorders>
              <w:top w:val="double" w:color="000000" w:sz="4"/>
              <w:left w:val="single" w:color="000000" w:sz="4"/>
              <w:bottom w:val="single" w:color="000000" w:sz="4"/>
              <w:right w:val="single" w:color="000000" w:sz="4"/>
            </w:tcBorders>
            <w:shd w:fill="E0E0E0"/>
            <w:vAlign w:val="top"/>
          </w:tcPr>
          <w:p>
            <w:pPr>
              <w:jc w:val="center"/>
            </w:pPr>
            <w:r>
              <w:rPr>
                <w:b/>
                <w:sz w:val="18"/>
              </w:rPr>
              <w:t>品名</w:t>
            </w:r>
          </w:p>
        </w:tc>
        <w:tc>
          <w:tcPr>
            <w:tcW w:type="dxa" w:w="631"/>
            <w:tcBorders>
              <w:top w:val="double" w:color="000000" w:sz="4"/>
              <w:left w:val="single" w:color="000000" w:sz="4"/>
              <w:bottom w:val="single" w:color="000000" w:sz="4"/>
              <w:right w:val="single" w:color="000000" w:sz="4"/>
            </w:tcBorders>
            <w:shd w:fill="E0E0E0"/>
            <w:vAlign w:val="top"/>
          </w:tcPr>
          <w:p>
            <w:pPr>
              <w:jc w:val="center"/>
            </w:pPr>
            <w:r>
              <w:rPr>
                <w:b/>
                <w:sz w:val="18"/>
              </w:rPr>
              <w:t>单位</w:t>
            </w:r>
          </w:p>
        </w:tc>
        <w:tc>
          <w:tcPr>
            <w:tcW w:type="dxa" w:w="423"/>
            <w:tcBorders>
              <w:top w:val="double" w:color="000000" w:sz="4"/>
              <w:left w:val="single" w:color="000000" w:sz="4"/>
              <w:bottom w:val="single" w:color="000000" w:sz="4"/>
              <w:right w:val="single" w:color="000000" w:sz="4"/>
            </w:tcBorders>
            <w:shd w:fill="E0E0E0"/>
            <w:vAlign w:val="top"/>
          </w:tcPr>
          <w:p>
            <w:pPr>
              <w:jc w:val="center"/>
            </w:pPr>
            <w:r>
              <w:rPr>
                <w:b/>
                <w:sz w:val="18"/>
              </w:rPr>
              <w:t>序号</w:t>
            </w:r>
          </w:p>
        </w:tc>
        <w:tc>
          <w:tcPr>
            <w:tcW w:type="dxa" w:w="1254"/>
            <w:tcBorders>
              <w:top w:val="double" w:color="000000" w:sz="4"/>
              <w:left w:val="single" w:color="000000" w:sz="4"/>
              <w:bottom w:val="single" w:color="000000" w:sz="4"/>
              <w:right w:val="single" w:color="000000" w:sz="4"/>
            </w:tcBorders>
            <w:shd w:fill="E0E0E0"/>
            <w:vAlign w:val="top"/>
          </w:tcPr>
          <w:p>
            <w:pPr>
              <w:jc w:val="center"/>
            </w:pPr>
            <w:r>
              <w:rPr>
                <w:b/>
                <w:sz w:val="18"/>
              </w:rPr>
              <w:t>品名</w:t>
            </w:r>
          </w:p>
        </w:tc>
        <w:tc>
          <w:tcPr>
            <w:tcW w:type="dxa" w:w="606"/>
            <w:tcBorders>
              <w:top w:val="double" w:color="000000" w:sz="4"/>
              <w:left w:val="single" w:color="000000" w:sz="4"/>
              <w:bottom w:val="single" w:color="000000" w:sz="4"/>
              <w:right w:val="double" w:color="000000" w:sz="4"/>
            </w:tcBorders>
            <w:shd w:fill="E0E0E0"/>
            <w:vAlign w:val="top"/>
          </w:tcPr>
          <w:p>
            <w:pPr>
              <w:jc w:val="center"/>
            </w:pPr>
            <w:r>
              <w:rPr>
                <w:b/>
                <w:sz w:val="18"/>
              </w:rPr>
              <w:t>单位</w:t>
            </w:r>
          </w:p>
        </w:tc>
      </w:tr>
      <w:tr>
        <w:tc>
          <w:tcPr>
            <w:tcW w:type="dxa" w:w="4574"/>
            <w:gridSpan w:val="6"/>
            <w:tcBorders>
              <w:top w:val="none" w:color="000000" w:sz="4"/>
              <w:left w:val="double" w:color="000000" w:sz="4"/>
              <w:bottom w:val="single" w:color="000000" w:sz="4"/>
              <w:right w:val="double" w:color="000000" w:sz="4"/>
            </w:tcBorders>
            <w:vAlign w:val="top"/>
          </w:tcPr>
          <w:p>
            <w:pPr>
              <w:jc w:val="center"/>
            </w:pPr>
            <w:r>
              <w:rPr>
                <w:b/>
                <w:sz w:val="18"/>
              </w:rPr>
              <w:t>第一类：时蔬</w:t>
            </w:r>
            <w:r>
              <w:rPr>
                <w:b/>
                <w:sz w:val="18"/>
              </w:rPr>
              <w:t>-瓜果类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冬瓜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红尖椒</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木瓜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青圆椒</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黄瓜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红彩椒</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云南小瓜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15</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黄彩椒</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凉瓜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四季豆</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青瓜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豆角</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老南瓜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荷兰豆</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丝瓜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本地西红柿</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节瓜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甜玉米棒</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青尖椒</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西红柿</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湖南椒</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p>
        </w:tc>
        <w:tc>
          <w:tcPr>
            <w:tcW w:type="dxa" w:w="1254"/>
            <w:tcBorders>
              <w:top w:val="single" w:color="000000" w:sz="4"/>
              <w:left w:val="single" w:color="000000" w:sz="4"/>
              <w:bottom w:val="single" w:color="000000" w:sz="4"/>
              <w:right w:val="single" w:color="000000" w:sz="4"/>
            </w:tcBorders>
            <w:vAlign w:val="top"/>
          </w:tcPr>
          <w:p>
            <w:pPr>
              <w:jc w:val="both"/>
            </w:pPr>
          </w:p>
        </w:tc>
        <w:tc>
          <w:tcPr>
            <w:tcW w:type="dxa" w:w="606"/>
            <w:tcBorders>
              <w:top w:val="single" w:color="000000" w:sz="4"/>
              <w:left w:val="single" w:color="000000" w:sz="4"/>
              <w:bottom w:val="single" w:color="000000" w:sz="4"/>
              <w:right w:val="double" w:color="000000" w:sz="4"/>
            </w:tcBorders>
            <w:vAlign w:val="top"/>
          </w:tcPr>
          <w:p>
            <w:pPr>
              <w:jc w:val="center"/>
            </w:pP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第二类：时蔬</w:t>
            </w:r>
            <w:r>
              <w:rPr>
                <w:b/>
                <w:sz w:val="18"/>
              </w:rPr>
              <w:t>-鲜菜类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白苋菜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38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麦菜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包心芥菜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39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西洋菜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红苋菜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苦麦菜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芥兰菜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西生菜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通菜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生菜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奶白菜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上海青</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枸杞叶</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小白菜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白菜苗</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45</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韭菜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宁夏菜心</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芥菜胆</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菠菜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韭菜花</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芥菜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韭黄</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芥菜苗</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冲菜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菜心苗</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50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春菜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皇帝菜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51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鲜车前草</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水香芹</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52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鱼腥草根</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白菜仔</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p>
        </w:tc>
        <w:tc>
          <w:tcPr>
            <w:tcW w:type="dxa" w:w="1254"/>
            <w:tcBorders>
              <w:top w:val="single" w:color="000000" w:sz="4"/>
              <w:left w:val="single" w:color="000000" w:sz="4"/>
              <w:bottom w:val="single" w:color="000000" w:sz="4"/>
              <w:right w:val="single" w:color="000000" w:sz="4"/>
            </w:tcBorders>
            <w:vAlign w:val="top"/>
          </w:tcPr>
          <w:p>
            <w:pPr>
              <w:jc w:val="both"/>
            </w:pPr>
          </w:p>
        </w:tc>
        <w:tc>
          <w:tcPr>
            <w:tcW w:type="dxa" w:w="606"/>
            <w:tcBorders>
              <w:top w:val="single" w:color="000000" w:sz="4"/>
              <w:left w:val="single" w:color="000000" w:sz="4"/>
              <w:bottom w:val="single" w:color="000000" w:sz="4"/>
              <w:right w:val="double" w:color="000000" w:sz="4"/>
            </w:tcBorders>
            <w:vAlign w:val="top"/>
          </w:tcPr>
          <w:p>
            <w:pPr>
              <w:jc w:val="center"/>
            </w:pP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第三类：时蔬</w:t>
            </w:r>
            <w:r>
              <w:rPr>
                <w:b/>
                <w:sz w:val="18"/>
              </w:rPr>
              <w:t>-干菜类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大白菜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58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西兰花</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毛白菜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59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平包</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天津长白菜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60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绿椰菜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椰菜花</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61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紫椰菜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紫苏叶</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62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娃娃菜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第四类：时蔬</w:t>
            </w:r>
            <w:r>
              <w:rPr>
                <w:b/>
                <w:sz w:val="18"/>
              </w:rPr>
              <w:t>-根茎类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小红薯</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青萝卜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小紫薯</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红萝卜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大番薯</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白萝卜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紫心红薯</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香芹</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荷兰土豆</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85</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本地西芹</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牛蒡</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通菜梗</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粉葛</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绿豆芽</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沙葛</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黄豆芽</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马蹄</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小甜蔗</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香芋仔</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茅根</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香芋</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莴笋</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小芋头</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芦笋</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鸡蛋王番薯</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去皮板栗</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红洋葱</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鲜淮山</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马蹄肉</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95</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莲藕</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毛豆</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银芽</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豆角</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芥兰杆</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80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蒜芯</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p>
        </w:tc>
        <w:tc>
          <w:tcPr>
            <w:tcW w:type="dxa" w:w="1254"/>
            <w:tcBorders>
              <w:top w:val="single" w:color="000000" w:sz="4"/>
              <w:left w:val="single" w:color="000000" w:sz="4"/>
              <w:bottom w:val="single" w:color="000000" w:sz="4"/>
              <w:right w:val="single" w:color="000000" w:sz="4"/>
            </w:tcBorders>
            <w:vAlign w:val="top"/>
          </w:tcPr>
          <w:p>
            <w:pPr>
              <w:jc w:val="both"/>
            </w:pPr>
          </w:p>
        </w:tc>
        <w:tc>
          <w:tcPr>
            <w:tcW w:type="dxa" w:w="606"/>
            <w:tcBorders>
              <w:top w:val="single" w:color="000000" w:sz="4"/>
              <w:left w:val="single" w:color="000000" w:sz="4"/>
              <w:bottom w:val="single" w:color="000000" w:sz="4"/>
              <w:right w:val="double" w:color="000000" w:sz="4"/>
            </w:tcBorders>
            <w:vAlign w:val="top"/>
          </w:tcPr>
          <w:p>
            <w:pPr>
              <w:jc w:val="center"/>
            </w:pP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第五类：时蔬</w:t>
            </w:r>
            <w:r>
              <w:rPr>
                <w:b/>
                <w:sz w:val="18"/>
              </w:rPr>
              <w:t>-配料类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98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葱</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106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姜肉</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99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大葱</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107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沙姜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100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蒜苗</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108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干葱头</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101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蒜心</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109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蒜肉</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102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独子蒜头</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110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香菜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103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生姜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111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酸豆角</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104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芫茜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112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红葱头肉</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105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红椒</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p>
        </w:tc>
        <w:tc>
          <w:tcPr>
            <w:tcW w:type="dxa" w:w="1254"/>
            <w:tcBorders>
              <w:top w:val="single" w:color="000000" w:sz="4"/>
              <w:left w:val="single" w:color="000000" w:sz="4"/>
              <w:bottom w:val="single" w:color="000000" w:sz="4"/>
              <w:right w:val="single" w:color="000000" w:sz="4"/>
            </w:tcBorders>
            <w:vAlign w:val="top"/>
          </w:tcPr>
          <w:p>
            <w:pPr>
              <w:jc w:val="both"/>
            </w:pPr>
          </w:p>
        </w:tc>
        <w:tc>
          <w:tcPr>
            <w:tcW w:type="dxa" w:w="606"/>
            <w:tcBorders>
              <w:top w:val="single" w:color="000000" w:sz="4"/>
              <w:left w:val="single" w:color="000000" w:sz="4"/>
              <w:bottom w:val="single" w:color="000000" w:sz="4"/>
              <w:right w:val="double" w:color="000000" w:sz="4"/>
            </w:tcBorders>
            <w:vAlign w:val="top"/>
          </w:tcPr>
          <w:p>
            <w:pPr>
              <w:jc w:val="both"/>
            </w:pP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第六类：时蔬</w:t>
            </w:r>
            <w:r>
              <w:rPr>
                <w:b/>
                <w:sz w:val="18"/>
              </w:rPr>
              <w:t>-菌藻类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113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绿海带结</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118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金针菇</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114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平菇</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119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秀珍菇</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115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草菇</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120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鲜茶树菇</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116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鲜冬菇</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121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鸡腿菇</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117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海鲜菇</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p>
        </w:tc>
        <w:tc>
          <w:tcPr>
            <w:tcW w:type="dxa" w:w="1254"/>
            <w:tcBorders>
              <w:top w:val="single" w:color="000000" w:sz="4"/>
              <w:left w:val="single" w:color="000000" w:sz="4"/>
              <w:bottom w:val="single" w:color="000000" w:sz="4"/>
              <w:right w:val="single" w:color="000000" w:sz="4"/>
            </w:tcBorders>
            <w:vAlign w:val="top"/>
          </w:tcPr>
          <w:p>
            <w:pPr>
              <w:jc w:val="both"/>
            </w:pPr>
          </w:p>
        </w:tc>
        <w:tc>
          <w:tcPr>
            <w:tcW w:type="dxa" w:w="606"/>
            <w:tcBorders>
              <w:top w:val="single" w:color="000000" w:sz="4"/>
              <w:left w:val="single" w:color="000000" w:sz="4"/>
              <w:bottom w:val="single" w:color="000000" w:sz="4"/>
              <w:right w:val="double" w:color="000000" w:sz="4"/>
            </w:tcBorders>
            <w:vAlign w:val="top"/>
          </w:tcPr>
          <w:p>
            <w:pPr>
              <w:jc w:val="center"/>
            </w:pP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第七类：时蔬</w:t>
            </w:r>
            <w:r>
              <w:rPr>
                <w:b/>
                <w:sz w:val="18"/>
              </w:rPr>
              <w:t>-加工类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122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去皮玉米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去皮木瓜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123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玉米粒</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去皮南瓜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124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花生肉</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去皮茄瓜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125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去皮白萝卜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去皮青瓜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126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去皮大番薯</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去皮丝瓜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127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去皮冬瓜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145</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去皮节瓜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128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去皮粉葛</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去头大豆芽</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129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去皮红萝卜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去皮沙葛</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去核红圆椒</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去皮土豆</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去头湖南椒</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149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去皮香芋</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去核青圆椒</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150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去皮芋头</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去皮青萝卜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151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去头西红柿</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去头兰豆肉</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152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去皮莴笋</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土茯苓片</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153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开边去核凉瓜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栗子肉</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154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去皮莲藕</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去头小米椒</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155</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去皮淮山薯</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刨好西芹</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156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去皮莴笋</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马蹄肉</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p>
        </w:tc>
        <w:tc>
          <w:tcPr>
            <w:tcW w:type="dxa" w:w="1254"/>
            <w:tcBorders>
              <w:top w:val="single" w:color="000000" w:sz="4"/>
              <w:left w:val="single" w:color="000000" w:sz="4"/>
              <w:bottom w:val="single" w:color="000000" w:sz="4"/>
              <w:right w:val="single" w:color="000000" w:sz="4"/>
            </w:tcBorders>
            <w:vAlign w:val="top"/>
          </w:tcPr>
          <w:p>
            <w:pPr>
              <w:jc w:val="both"/>
            </w:pPr>
          </w:p>
        </w:tc>
        <w:tc>
          <w:tcPr>
            <w:tcW w:type="dxa" w:w="606"/>
            <w:tcBorders>
              <w:top w:val="single" w:color="000000" w:sz="4"/>
              <w:left w:val="single" w:color="000000" w:sz="4"/>
              <w:bottom w:val="single" w:color="000000" w:sz="4"/>
              <w:right w:val="double" w:color="000000" w:sz="4"/>
            </w:tcBorders>
            <w:vAlign w:val="top"/>
          </w:tcPr>
          <w:p>
            <w:pPr>
              <w:jc w:val="center"/>
            </w:pP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第八类：水果类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圣女果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去皮菠萝肉</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香蕉</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时令水果</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第九类：鲜肉类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排骨头（白石）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猪耳（白石）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排骨（切好）（白石）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19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粉肠（白石）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只</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排骨（白石）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猪手（白石）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猪颈肉（白石）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猪手（砍好）</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瘦肉（白石）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筒骨（白石）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瘦肉碎（白石）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猪尾（白石）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瘦肉（切好）（白石）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猪尾（砍好）（白石）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五花肉（白石）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25</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猪肚（白石）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无皮五花（白石）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猪肝（白石）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猪横脷（白石）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猪肝（切好）（白石）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猪利（白石）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条</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羊肉</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猪尾（白石）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29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板油（白石）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猪脚（砍好）（白石）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30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板油（切好）（白石）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挑骨五花（白石）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31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牛坑腩（白石）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梅头上肉碎（白石）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32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原牛展肉（白石）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梅头瘦肉</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33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牛柳（白石）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17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猪心（白石）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p>
        </w:tc>
        <w:tc>
          <w:tcPr>
            <w:tcW w:type="dxa" w:w="1254"/>
            <w:tcBorders>
              <w:top w:val="single" w:color="000000" w:sz="4"/>
              <w:left w:val="single" w:color="000000" w:sz="4"/>
              <w:bottom w:val="single" w:color="000000" w:sz="4"/>
              <w:right w:val="single" w:color="000000" w:sz="4"/>
            </w:tcBorders>
            <w:vAlign w:val="top"/>
          </w:tcPr>
          <w:p>
            <w:pPr>
              <w:jc w:val="both"/>
            </w:pPr>
          </w:p>
        </w:tc>
        <w:tc>
          <w:tcPr>
            <w:tcW w:type="dxa" w:w="606"/>
            <w:tcBorders>
              <w:top w:val="single" w:color="000000" w:sz="4"/>
              <w:left w:val="single" w:color="000000" w:sz="4"/>
              <w:bottom w:val="single" w:color="000000" w:sz="4"/>
              <w:right w:val="double" w:color="000000" w:sz="4"/>
            </w:tcBorders>
            <w:vAlign w:val="top"/>
          </w:tcPr>
          <w:p>
            <w:pPr>
              <w:jc w:val="center"/>
            </w:pP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第十类：家禽类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光老鹅（靓）（白石）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光湖南鸡乸仔（白石）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青头公鸭（白石）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只</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菜鸭（白石）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大扇鸡（白石）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光老鹅（白石））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大洋鸭（白石）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光清远鸡（白石）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光乌鸡（白石）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45</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腊鸭（黄圃）</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39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鸡中翼（白石）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老鸭（白石）</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只</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40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光菜鸭（白石）</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47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鲜鸡脚</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第十一类：水产类</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48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净鱼头</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66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鲮鱼肚</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49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宝平塘鱼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67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脆肉皖骨</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叉尾鱼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68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大鲫鱼</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大罗非鱼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69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鲫鱼</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黄骨鱼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泥孟鱼</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开边水库鲩鱼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水库大鲩鱼</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开刀大鲫鱼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水库大鱼头</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水库塘鱼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73</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水库鲩鱼</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水库塘鱼腩</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74</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虾仁</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57</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太阳鱼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75</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蚬鱼干</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58</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鲜鱿鱼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76</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白鲢鱼</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59</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鲮鱼骨</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77</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鲩鱼柳肉</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60</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鲮鱼肉沫</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鱿鱼</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61</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马头鱼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79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花甲</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62</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梅香咸鱼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叉尾鱼</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牛仔鱼</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鱼头</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鲜虾仁</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82</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鲮鱼肉</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65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沙虾</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p>
        </w:tc>
        <w:tc>
          <w:tcPr>
            <w:tcW w:type="dxa" w:w="1254"/>
            <w:tcBorders>
              <w:top w:val="single" w:color="000000" w:sz="4"/>
              <w:left w:val="single" w:color="000000" w:sz="4"/>
              <w:bottom w:val="single" w:color="000000" w:sz="4"/>
              <w:right w:val="single" w:color="000000" w:sz="4"/>
            </w:tcBorders>
            <w:vAlign w:val="top"/>
          </w:tcPr>
          <w:p>
            <w:pPr>
              <w:jc w:val="both"/>
            </w:pPr>
          </w:p>
        </w:tc>
        <w:tc>
          <w:tcPr>
            <w:tcW w:type="dxa" w:w="606"/>
            <w:tcBorders>
              <w:top w:val="single" w:color="000000" w:sz="4"/>
              <w:left w:val="single" w:color="000000" w:sz="4"/>
              <w:bottom w:val="single" w:color="000000" w:sz="4"/>
              <w:right w:val="double" w:color="000000" w:sz="4"/>
            </w:tcBorders>
            <w:vAlign w:val="top"/>
          </w:tcPr>
          <w:p>
            <w:pPr>
              <w:jc w:val="center"/>
            </w:pPr>
          </w:p>
        </w:tc>
      </w:tr>
      <w:tr>
        <w:tc>
          <w:tcPr>
            <w:tcW w:type="dxa" w:w="4574"/>
            <w:gridSpan w:val="6"/>
            <w:tcBorders>
              <w:top w:val="single" w:color="000000" w:sz="4"/>
              <w:left w:val="double" w:color="000000" w:sz="4"/>
              <w:bottom w:val="single" w:color="000000" w:sz="4"/>
              <w:right w:val="double" w:color="000000" w:sz="4"/>
            </w:tcBorders>
            <w:vAlign w:val="top"/>
          </w:tcPr>
          <w:p>
            <w:pPr>
              <w:jc w:val="center"/>
            </w:pPr>
            <w:r>
              <w:rPr>
                <w:b/>
                <w:sz w:val="18"/>
              </w:rPr>
              <w:t>第十二类：干货调料</w:t>
            </w:r>
            <w:r>
              <w:rPr>
                <w:b/>
                <w:sz w:val="18"/>
              </w:rPr>
              <w:t>-散装</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83</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白石鸡蛋</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88</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皮蛋</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个</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84</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鲜鸡蛋</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89</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鹌鹑蛋</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斤</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85</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鸭蛋</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90</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咸蛋</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个</w:t>
            </w:r>
          </w:p>
        </w:tc>
      </w:tr>
      <w:tr>
        <w:tc>
          <w:tcPr>
            <w:tcW w:type="dxa" w:w="390"/>
            <w:tcBorders>
              <w:top w:val="single" w:color="000000" w:sz="4"/>
              <w:left w:val="double" w:color="000000" w:sz="4"/>
              <w:bottom w:val="single" w:color="000000" w:sz="4"/>
              <w:right w:val="single" w:color="000000" w:sz="4"/>
            </w:tcBorders>
            <w:vAlign w:val="top"/>
          </w:tcPr>
          <w:p>
            <w:pPr>
              <w:jc w:val="center"/>
            </w:pPr>
            <w:r>
              <w:rPr>
                <w:sz w:val="18"/>
              </w:rPr>
              <w:t>86</w:t>
            </w:r>
          </w:p>
        </w:tc>
        <w:tc>
          <w:tcPr>
            <w:tcW w:type="dxa" w:w="1270"/>
            <w:tcBorders>
              <w:top w:val="single" w:color="000000" w:sz="4"/>
              <w:left w:val="single" w:color="000000" w:sz="4"/>
              <w:bottom w:val="single" w:color="000000" w:sz="4"/>
              <w:right w:val="single" w:color="000000" w:sz="4"/>
            </w:tcBorders>
            <w:vAlign w:val="top"/>
          </w:tcPr>
          <w:p>
            <w:pPr>
              <w:jc w:val="both"/>
            </w:pPr>
            <w:r>
              <w:rPr>
                <w:b/>
                <w:sz w:val="18"/>
              </w:rPr>
              <w:t>去皮白果</w:t>
            </w:r>
          </w:p>
        </w:tc>
        <w:tc>
          <w:tcPr>
            <w:tcW w:type="dxa" w:w="631"/>
            <w:tcBorders>
              <w:top w:val="single" w:color="000000" w:sz="4"/>
              <w:left w:val="single" w:color="000000" w:sz="4"/>
              <w:bottom w:val="sing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single" w:color="000000" w:sz="4"/>
              <w:right w:val="single" w:color="000000" w:sz="4"/>
            </w:tcBorders>
            <w:vAlign w:val="top"/>
          </w:tcPr>
          <w:p>
            <w:pPr>
              <w:jc w:val="center"/>
            </w:pPr>
            <w:r>
              <w:rPr>
                <w:sz w:val="18"/>
              </w:rPr>
              <w:t>91</w:t>
            </w:r>
          </w:p>
        </w:tc>
        <w:tc>
          <w:tcPr>
            <w:tcW w:type="dxa" w:w="1254"/>
            <w:tcBorders>
              <w:top w:val="single" w:color="000000" w:sz="4"/>
              <w:left w:val="single" w:color="000000" w:sz="4"/>
              <w:bottom w:val="single" w:color="000000" w:sz="4"/>
              <w:right w:val="single" w:color="000000" w:sz="4"/>
            </w:tcBorders>
            <w:vAlign w:val="top"/>
          </w:tcPr>
          <w:p>
            <w:pPr>
              <w:jc w:val="both"/>
            </w:pPr>
            <w:r>
              <w:rPr>
                <w:b/>
                <w:sz w:val="18"/>
              </w:rPr>
              <w:t>咸蛋黄</w:t>
            </w:r>
          </w:p>
        </w:tc>
        <w:tc>
          <w:tcPr>
            <w:tcW w:type="dxa" w:w="606"/>
            <w:tcBorders>
              <w:top w:val="single" w:color="000000" w:sz="4"/>
              <w:left w:val="single" w:color="000000" w:sz="4"/>
              <w:bottom w:val="single" w:color="000000" w:sz="4"/>
              <w:right w:val="double" w:color="000000" w:sz="4"/>
            </w:tcBorders>
            <w:vAlign w:val="top"/>
          </w:tcPr>
          <w:p>
            <w:pPr>
              <w:jc w:val="center"/>
            </w:pPr>
            <w:r>
              <w:rPr>
                <w:b/>
                <w:sz w:val="18"/>
              </w:rPr>
              <w:t>包</w:t>
            </w:r>
          </w:p>
        </w:tc>
      </w:tr>
      <w:tr>
        <w:tc>
          <w:tcPr>
            <w:tcW w:type="dxa" w:w="390"/>
            <w:tcBorders>
              <w:top w:val="single" w:color="000000" w:sz="4"/>
              <w:left w:val="double" w:color="000000" w:sz="4"/>
              <w:bottom w:val="double" w:color="000000" w:sz="4"/>
              <w:right w:val="single" w:color="000000" w:sz="4"/>
            </w:tcBorders>
            <w:vAlign w:val="top"/>
          </w:tcPr>
          <w:p>
            <w:pPr>
              <w:jc w:val="center"/>
            </w:pPr>
            <w:r>
              <w:rPr>
                <w:sz w:val="18"/>
              </w:rPr>
              <w:t>87</w:t>
            </w:r>
          </w:p>
        </w:tc>
        <w:tc>
          <w:tcPr>
            <w:tcW w:type="dxa" w:w="1270"/>
            <w:tcBorders>
              <w:top w:val="single" w:color="000000" w:sz="4"/>
              <w:left w:val="single" w:color="000000" w:sz="4"/>
              <w:bottom w:val="double" w:color="000000" w:sz="4"/>
              <w:right w:val="single" w:color="000000" w:sz="4"/>
            </w:tcBorders>
            <w:vAlign w:val="top"/>
          </w:tcPr>
          <w:p>
            <w:pPr>
              <w:jc w:val="both"/>
            </w:pPr>
            <w:r>
              <w:rPr>
                <w:b/>
                <w:sz w:val="18"/>
              </w:rPr>
              <w:t>靓虾米</w:t>
            </w:r>
          </w:p>
        </w:tc>
        <w:tc>
          <w:tcPr>
            <w:tcW w:type="dxa" w:w="631"/>
            <w:tcBorders>
              <w:top w:val="single" w:color="000000" w:sz="4"/>
              <w:left w:val="single" w:color="000000" w:sz="4"/>
              <w:bottom w:val="double" w:color="000000" w:sz="4"/>
              <w:right w:val="single" w:color="000000" w:sz="4"/>
            </w:tcBorders>
            <w:vAlign w:val="top"/>
          </w:tcPr>
          <w:p>
            <w:pPr>
              <w:jc w:val="center"/>
            </w:pPr>
            <w:r>
              <w:rPr>
                <w:b/>
                <w:sz w:val="18"/>
              </w:rPr>
              <w:t>斤</w:t>
            </w:r>
          </w:p>
        </w:tc>
        <w:tc>
          <w:tcPr>
            <w:tcW w:type="dxa" w:w="423"/>
            <w:tcBorders>
              <w:top w:val="single" w:color="000000" w:sz="4"/>
              <w:left w:val="single" w:color="000000" w:sz="4"/>
              <w:bottom w:val="double" w:color="000000" w:sz="4"/>
              <w:right w:val="single" w:color="000000" w:sz="4"/>
            </w:tcBorders>
            <w:vAlign w:val="top"/>
          </w:tcPr>
          <w:p>
            <w:pPr>
              <w:jc w:val="center"/>
            </w:pPr>
          </w:p>
        </w:tc>
        <w:tc>
          <w:tcPr>
            <w:tcW w:type="dxa" w:w="1254"/>
            <w:tcBorders>
              <w:top w:val="single" w:color="000000" w:sz="4"/>
              <w:left w:val="single" w:color="000000" w:sz="4"/>
              <w:bottom w:val="double" w:color="000000" w:sz="4"/>
              <w:right w:val="single" w:color="000000" w:sz="4"/>
            </w:tcBorders>
            <w:vAlign w:val="top"/>
          </w:tcPr>
          <w:p>
            <w:pPr>
              <w:jc w:val="both"/>
            </w:pPr>
          </w:p>
        </w:tc>
        <w:tc>
          <w:tcPr>
            <w:tcW w:type="dxa" w:w="606"/>
            <w:tcBorders>
              <w:top w:val="single" w:color="000000" w:sz="4"/>
              <w:left w:val="single" w:color="000000" w:sz="4"/>
              <w:bottom w:val="double" w:color="000000" w:sz="4"/>
              <w:right w:val="double" w:color="000000" w:sz="4"/>
            </w:tcBorders>
            <w:vAlign w:val="top"/>
          </w:tcPr>
          <w:p>
            <w:pPr>
              <w:jc w:val="center"/>
            </w:pPr>
          </w:p>
        </w:tc>
      </w:tr>
    </w:tbl>
    <w:p/>
    <w:tbl>
      <w:tblPr>
        <w:tblW w:w="0" w:type="auto"/>
        <w:tblBorders>
          <w:top w:val="none" w:color="000000" w:sz="4"/>
          <w:left w:val="none" w:color="000000" w:sz="4"/>
          <w:bottom w:val="none" w:color="000000" w:sz="4"/>
          <w:right w:val="none" w:color="000000" w:sz="4"/>
          <w:insideH w:val="none"/>
          <w:insideV w:val="none"/>
        </w:tblBorders>
      </w:tblPr>
      <w:tblGrid>
        <w:gridCol w:w="556"/>
        <w:gridCol w:w="4036"/>
      </w:tblGrid>
      <w:tr>
        <w:tc>
          <w:tcPr>
            <w:tcW w:type="dxa" w:w="556"/>
            <w:tcBorders>
              <w:top w:val="double" w:color="000000" w:sz="4"/>
              <w:left w:val="double" w:color="000000" w:sz="4"/>
              <w:bottom w:val="single" w:color="000000" w:sz="4"/>
              <w:right w:val="single" w:color="000000" w:sz="4"/>
            </w:tcBorders>
            <w:shd w:fill="BFBFBF"/>
            <w:vAlign w:val="top"/>
          </w:tcPr>
          <w:p>
            <w:pPr>
              <w:jc w:val="center"/>
            </w:pPr>
            <w:r>
              <w:rPr>
                <w:sz w:val="18"/>
              </w:rPr>
              <w:t>序号</w:t>
            </w:r>
          </w:p>
        </w:tc>
        <w:tc>
          <w:tcPr>
            <w:tcW w:type="dxa" w:w="4036"/>
            <w:tcBorders>
              <w:top w:val="double" w:color="000000" w:sz="4"/>
              <w:left w:val="single" w:color="000000" w:sz="4"/>
              <w:bottom w:val="single" w:color="000000" w:sz="4"/>
              <w:right w:val="double" w:color="000000" w:sz="4"/>
            </w:tcBorders>
            <w:shd w:fill="BFBFBF"/>
            <w:vAlign w:val="top"/>
          </w:tcPr>
          <w:p>
            <w:pPr>
              <w:jc w:val="center"/>
            </w:pPr>
            <w:r>
              <w:rPr>
                <w:sz w:val="18"/>
              </w:rPr>
              <w:t>食材名称</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鲁花</w:t>
            </w:r>
            <w:r>
              <w:rPr>
                <w:b/>
                <w:sz w:val="18"/>
              </w:rPr>
              <w:t>花生油（</w:t>
            </w:r>
            <w:r>
              <w:rPr>
                <w:b/>
                <w:sz w:val="18"/>
              </w:rPr>
              <w:t>5L）</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鲁</w:t>
            </w:r>
            <w:r>
              <w:rPr>
                <w:b/>
                <w:sz w:val="18"/>
              </w:rPr>
              <w:t>花调和油（</w:t>
            </w:r>
            <w:r>
              <w:rPr>
                <w:b/>
                <w:sz w:val="18"/>
              </w:rPr>
              <w:t>5L）</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正义（台湾）精炼猪油（桶）</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海天牌金标生抽（</w:t>
            </w:r>
            <w:r>
              <w:rPr>
                <w:b/>
                <w:sz w:val="18"/>
              </w:rPr>
              <w:t>1.9L）</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海天牌草菇老抽（</w:t>
            </w:r>
            <w:r>
              <w:rPr>
                <w:b/>
                <w:sz w:val="18"/>
              </w:rPr>
              <w:t>1.9L）</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厨帮酱油（</w:t>
            </w:r>
            <w:r>
              <w:rPr>
                <w:b/>
                <w:sz w:val="18"/>
              </w:rPr>
              <w:t>2KG）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李锦记蒜蓉辣椒酱（</w:t>
            </w:r>
            <w:r>
              <w:rPr>
                <w:b/>
                <w:sz w:val="18"/>
              </w:rPr>
              <w:t>368G）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李锦记蒸鱼豉油（</w:t>
            </w:r>
            <w:r>
              <w:rPr>
                <w:b/>
                <w:sz w:val="18"/>
              </w:rPr>
              <w:t>410ML*2瓶）</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9</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李锦记海鲜酱（</w:t>
            </w:r>
            <w:r>
              <w:rPr>
                <w:b/>
                <w:sz w:val="18"/>
              </w:rPr>
              <w:t>397G）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10</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李锦记财神蚝油（</w:t>
            </w:r>
            <w:r>
              <w:rPr>
                <w:b/>
                <w:sz w:val="18"/>
              </w:rPr>
              <w:t>907G）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家乐牌浓缩鸡汁（</w:t>
            </w:r>
            <w:r>
              <w:rPr>
                <w:b/>
                <w:sz w:val="18"/>
              </w:rPr>
              <w:t>1KG）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家乐香浓鸡鲜粉调味料（</w:t>
            </w:r>
            <w:r>
              <w:rPr>
                <w:b/>
                <w:sz w:val="18"/>
              </w:rPr>
              <w:t>2KG）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家乐香浓鸡鲜粉调味料（</w:t>
            </w:r>
            <w:r>
              <w:rPr>
                <w:b/>
                <w:sz w:val="18"/>
              </w:rPr>
              <w:t>1KG）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14</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黎红</w:t>
            </w:r>
            <w:r>
              <w:rPr>
                <w:b/>
                <w:sz w:val="18"/>
              </w:rPr>
              <w:t>360G红花椒油</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15</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粤兰辣椒油</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16</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李锦记柱候酱（</w:t>
            </w:r>
            <w:r>
              <w:rPr>
                <w:b/>
                <w:sz w:val="18"/>
              </w:rPr>
              <w:t>240G）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17</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双桥牌</w:t>
            </w:r>
            <w:r>
              <w:rPr>
                <w:b/>
                <w:sz w:val="18"/>
              </w:rPr>
              <w:t>99%小晶体味精（1KG*1袋）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18</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陶华碧老干妈风味豆豉（</w:t>
            </w:r>
            <w:r>
              <w:rPr>
                <w:b/>
                <w:sz w:val="18"/>
              </w:rPr>
              <w:t>280G*2BT）</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19</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厨邦美味鲜白醋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20</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厨邦美味鲜南乳</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安琪发酵粉（</w:t>
            </w:r>
            <w:r>
              <w:rPr>
                <w:b/>
                <w:sz w:val="18"/>
              </w:rPr>
              <w:t>500g）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安琪泡打粉（</w:t>
            </w:r>
            <w:r>
              <w:rPr>
                <w:b/>
                <w:sz w:val="18"/>
              </w:rPr>
              <w:t>2.72KG）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荷兰风车生粉（斤）</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24</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三香糯米粉</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25</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双斧食粉</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26</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皇鹿二曲</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27</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AKA黄豆 （1KG）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28</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陆峰冰片糖</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29</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加碘精制盐（</w:t>
            </w:r>
            <w:r>
              <w:rPr>
                <w:b/>
                <w:sz w:val="18"/>
              </w:rPr>
              <w:t>500G）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30</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海水自然盐（</w:t>
            </w:r>
            <w:r>
              <w:rPr>
                <w:b/>
                <w:sz w:val="18"/>
              </w:rPr>
              <w:t>400G）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聚丰园丝苗米（</w:t>
            </w:r>
            <w:r>
              <w:rPr>
                <w:b/>
                <w:sz w:val="18"/>
              </w:rPr>
              <w:t>1*30/包）</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SF莲子（ 250克）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百合</w:t>
            </w:r>
            <w:r>
              <w:rPr>
                <w:b/>
                <w:sz w:val="18"/>
              </w:rPr>
              <w:t>(食堂)</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34</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SF HS 特级枸杞 （500克）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35</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AKA甘草（400G）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36</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新润精选虫草花</w:t>
            </w:r>
            <w:r>
              <w:rPr>
                <w:b/>
                <w:sz w:val="18"/>
              </w:rPr>
              <w:t>（</w:t>
            </w:r>
            <w:r>
              <w:rPr>
                <w:b/>
                <w:sz w:val="18"/>
              </w:rPr>
              <w:t>180克）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37</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SF 精选虾皮（400G/袋）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38</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中香菇菇（</w:t>
            </w:r>
            <w:r>
              <w:rPr>
                <w:b/>
                <w:sz w:val="18"/>
              </w:rPr>
              <w:t>500克）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39</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SF 日出昆布 （100G/袋）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40</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王裔佳幼嫩海带</w:t>
            </w:r>
            <w:r>
              <w:rPr>
                <w:b/>
                <w:sz w:val="18"/>
              </w:rPr>
              <w:t>（</w:t>
            </w:r>
            <w:r>
              <w:rPr>
                <w:b/>
                <w:sz w:val="18"/>
              </w:rPr>
              <w:t>250克/袋）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禾煜腰果</w:t>
            </w:r>
            <w:r>
              <w:rPr>
                <w:b/>
                <w:sz w:val="18"/>
              </w:rPr>
              <w:t>（</w:t>
            </w:r>
            <w:r>
              <w:rPr>
                <w:b/>
                <w:sz w:val="18"/>
              </w:rPr>
              <w:t>250克）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车轮牌黄油（</w:t>
            </w:r>
            <w:r>
              <w:rPr>
                <w:b/>
                <w:sz w:val="18"/>
              </w:rPr>
              <w:t>16KG）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HS黑胡椒粉（500G*1袋）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44</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HS甜椰丝（500G*1袋）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45</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广东米酒（</w:t>
            </w:r>
            <w:r>
              <w:rPr>
                <w:b/>
                <w:sz w:val="18"/>
              </w:rPr>
              <w:t>610ML）</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46</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味好美八角粉（</w:t>
            </w:r>
            <w:r>
              <w:rPr>
                <w:b/>
                <w:sz w:val="18"/>
              </w:rPr>
              <w:t>26G）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47</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老才臣料酒</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48</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老干妈</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49</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火辣辣剁椒（罐）</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50</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甘竹豆豉鲮鱼（</w:t>
            </w:r>
            <w:r>
              <w:rPr>
                <w:b/>
                <w:sz w:val="18"/>
              </w:rPr>
              <w:t>1*24）</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味好美花椒粉</w:t>
            </w:r>
            <w:r>
              <w:rPr>
                <w:b/>
                <w:sz w:val="18"/>
              </w:rPr>
              <w:t>（</w:t>
            </w:r>
            <w:r>
              <w:rPr>
                <w:b/>
                <w:sz w:val="18"/>
              </w:rPr>
              <w:t>440G*1瓶）</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AKA辣椒粉(细)（500G）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味好美黑胡椒碎</w:t>
            </w:r>
            <w:r>
              <w:rPr>
                <w:b/>
                <w:sz w:val="18"/>
              </w:rPr>
              <w:t>（</w:t>
            </w:r>
            <w:r>
              <w:rPr>
                <w:b/>
                <w:sz w:val="18"/>
              </w:rPr>
              <w:t>453G*1瓶）</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54</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味好美大蒜粉（</w:t>
            </w:r>
            <w:r>
              <w:rPr>
                <w:b/>
                <w:sz w:val="18"/>
              </w:rPr>
              <w:t>640G）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55</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SF HS银耳 （454克/袋）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56</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HS桂皮粉（500G*1袋）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57</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老姜</w:t>
            </w:r>
            <w:r>
              <w:rPr>
                <w:b/>
                <w:sz w:val="18"/>
              </w:rPr>
              <w:t>(食堂)</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58</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乌江脆口榨菜（</w:t>
            </w:r>
            <w:r>
              <w:rPr>
                <w:b/>
                <w:sz w:val="18"/>
              </w:rPr>
              <w:t>175G*4袋/组）</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59</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蓬盛橄榄菜（</w:t>
            </w:r>
            <w:r>
              <w:rPr>
                <w:b/>
                <w:sz w:val="18"/>
              </w:rPr>
              <w:t>1.25KG*1瓶）</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60</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咖喱块</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AKA燕麦片（2.5kG）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FF糯米粉（1KG）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FINE FOOD无泥松花皮蛋（65G*10枚）</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64</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德兴堂紫云英蜂蜜（</w:t>
            </w:r>
            <w:r>
              <w:rPr>
                <w:b/>
                <w:sz w:val="18"/>
              </w:rPr>
              <w:t>2000G*1瓶）</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65</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车轮牌黄油（</w:t>
            </w:r>
            <w:r>
              <w:rPr>
                <w:b/>
                <w:sz w:val="18"/>
              </w:rPr>
              <w:t>16KG）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66</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劲霸吉士粉（</w:t>
            </w:r>
            <w:r>
              <w:rPr>
                <w:b/>
                <w:sz w:val="18"/>
              </w:rPr>
              <w:t>3.5KG）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67</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可可粉（</w:t>
            </w:r>
            <w:r>
              <w:rPr>
                <w:b/>
                <w:sz w:val="18"/>
              </w:rPr>
              <w:t>100G*2HE）</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68</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河源霸王花米粉（箱）</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69</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江门燕子排粉</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70</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美玫面粉</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炸松粉</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新一全麦粉（</w:t>
            </w:r>
            <w:r>
              <w:rPr>
                <w:b/>
                <w:sz w:val="18"/>
              </w:rPr>
              <w:t>15KG）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梅林沙茶酱</w:t>
            </w:r>
            <w:r>
              <w:rPr>
                <w:b/>
                <w:sz w:val="18"/>
              </w:rPr>
              <w:t>（</w:t>
            </w:r>
            <w:r>
              <w:rPr>
                <w:b/>
                <w:sz w:val="18"/>
              </w:rPr>
              <w:t>65G*4杯）</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74</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家乐鹰粟粉玉米淀粉</w:t>
            </w:r>
            <w:r>
              <w:rPr>
                <w:b/>
                <w:sz w:val="18"/>
              </w:rPr>
              <w:t>（</w:t>
            </w:r>
            <w:r>
              <w:rPr>
                <w:b/>
                <w:sz w:val="18"/>
              </w:rPr>
              <w:t>1KG）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75</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味好美黑胡椒碎</w:t>
            </w:r>
            <w:r>
              <w:rPr>
                <w:b/>
                <w:sz w:val="18"/>
              </w:rPr>
              <w:t>（</w:t>
            </w:r>
            <w:r>
              <w:rPr>
                <w:b/>
                <w:sz w:val="18"/>
              </w:rPr>
              <w:t>453G*1瓶）</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76</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陈克明细圆挂面（</w:t>
            </w:r>
            <w:r>
              <w:rPr>
                <w:b/>
                <w:sz w:val="18"/>
              </w:rPr>
              <w:t>800G）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77</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甘竹牌豆豉鲮鱼（</w:t>
            </w:r>
            <w:r>
              <w:rPr>
                <w:b/>
                <w:sz w:val="18"/>
              </w:rPr>
              <w:t>227G*2）</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78</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雀巢鹰唛炼奶原味听装</w:t>
            </w:r>
            <w:r>
              <w:rPr>
                <w:b/>
                <w:sz w:val="18"/>
              </w:rPr>
              <w:t>（</w:t>
            </w:r>
            <w:r>
              <w:rPr>
                <w:b/>
                <w:sz w:val="18"/>
              </w:rPr>
              <w:t>350G）</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79</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三花全脂淡奶（</w:t>
            </w:r>
            <w:r>
              <w:rPr>
                <w:b/>
                <w:sz w:val="18"/>
              </w:rPr>
              <w:t>410G听装*1听）</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80</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金牌高达椰浆（</w:t>
            </w:r>
            <w:r>
              <w:rPr>
                <w:b/>
                <w:sz w:val="18"/>
              </w:rPr>
              <w:t>KOS400ML）</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天喔淮盐花生</w:t>
            </w:r>
            <w:r>
              <w:rPr>
                <w:b/>
                <w:sz w:val="18"/>
              </w:rPr>
              <w:t>33G*(买10送1)</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四季宝花生酱</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雀巢全脂奶粉（</w:t>
            </w:r>
            <w:r>
              <w:rPr>
                <w:b/>
                <w:sz w:val="18"/>
              </w:rPr>
              <w:t>400G*2袋）</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84</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高达椰浆</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85</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地门茄汁</w:t>
            </w:r>
            <w:r>
              <w:rPr>
                <w:b/>
                <w:sz w:val="18"/>
              </w:rPr>
              <w:t>（</w:t>
            </w:r>
            <w:r>
              <w:rPr>
                <w:b/>
                <w:sz w:val="18"/>
              </w:rPr>
              <w:t>340G*2瓶）</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86</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伊利纯牛奶（</w:t>
            </w:r>
            <w:r>
              <w:rPr>
                <w:b/>
                <w:sz w:val="18"/>
              </w:rPr>
              <w:t>250ML*16盒）</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87</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劳工牌洗洁精</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88</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劳工手套</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89</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靓竹筷</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90</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千顺牌大碗面（件）</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91</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三格饭盒</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92</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单格饭盒</w:t>
            </w:r>
          </w:p>
        </w:tc>
      </w:tr>
      <w:tr>
        <w:tc>
          <w:tcPr>
            <w:tcW w:type="dxa" w:w="556"/>
            <w:tcBorders>
              <w:top w:val="single" w:color="000000" w:sz="4"/>
              <w:left w:val="double" w:color="000000" w:sz="4"/>
              <w:bottom w:val="single" w:color="000000" w:sz="4"/>
              <w:right w:val="single" w:color="000000" w:sz="4"/>
            </w:tcBorders>
            <w:vAlign w:val="bottom"/>
          </w:tcPr>
          <w:p>
            <w:pPr>
              <w:jc w:val="center"/>
            </w:pPr>
            <w:r>
              <w:rPr>
                <w:sz w:val="18"/>
              </w:rPr>
              <w:t>93</w:t>
            </w:r>
          </w:p>
        </w:tc>
        <w:tc>
          <w:tcPr>
            <w:tcW w:type="dxa" w:w="4036"/>
            <w:tcBorders>
              <w:top w:val="single" w:color="000000" w:sz="4"/>
              <w:left w:val="single" w:color="000000" w:sz="4"/>
              <w:bottom w:val="single" w:color="000000" w:sz="4"/>
              <w:right w:val="double" w:color="000000" w:sz="4"/>
            </w:tcBorders>
            <w:vAlign w:val="bottom"/>
          </w:tcPr>
          <w:p>
            <w:pPr>
              <w:jc w:val="center"/>
            </w:pPr>
            <w:r>
              <w:rPr>
                <w:b/>
                <w:sz w:val="18"/>
              </w:rPr>
              <w:t>透明汤勺（</w:t>
            </w:r>
            <w:r>
              <w:rPr>
                <w:b/>
                <w:sz w:val="18"/>
              </w:rPr>
              <w:t>1*100）</w:t>
            </w:r>
          </w:p>
        </w:tc>
      </w:tr>
      <w:tr>
        <w:tc>
          <w:tcPr>
            <w:tcW w:type="dxa" w:w="556"/>
            <w:tcBorders>
              <w:top w:val="single" w:color="000000" w:sz="4"/>
              <w:left w:val="double" w:color="000000" w:sz="4"/>
              <w:bottom w:val="double" w:color="000000" w:sz="4"/>
              <w:right w:val="single" w:color="000000" w:sz="4"/>
            </w:tcBorders>
            <w:vAlign w:val="bottom"/>
          </w:tcPr>
          <w:p>
            <w:pPr>
              <w:jc w:val="center"/>
            </w:pPr>
            <w:r>
              <w:rPr>
                <w:sz w:val="18"/>
              </w:rPr>
              <w:t>94</w:t>
            </w:r>
          </w:p>
        </w:tc>
        <w:tc>
          <w:tcPr>
            <w:tcW w:type="dxa" w:w="4036"/>
            <w:tcBorders>
              <w:top w:val="single" w:color="000000" w:sz="4"/>
              <w:left w:val="single" w:color="000000" w:sz="4"/>
              <w:bottom w:val="double" w:color="000000" w:sz="4"/>
              <w:right w:val="double" w:color="000000" w:sz="4"/>
            </w:tcBorders>
            <w:vAlign w:val="bottom"/>
          </w:tcPr>
          <w:p>
            <w:pPr>
              <w:jc w:val="center"/>
            </w:pPr>
            <w:r>
              <w:rPr>
                <w:b/>
                <w:sz w:val="18"/>
              </w:rPr>
              <w:t>佳能保鲜袋</w:t>
            </w:r>
          </w:p>
        </w:tc>
      </w:tr>
    </w:tbl>
    <w:p>
      <w:r>
        <w:rPr>
          <w:b/>
          <w:sz w:val="21"/>
        </w:rPr>
        <w:t>备注：以上所列食品之品牌，制造商名称仅供参考，采购人实际采购品种不限于以上列表内容。</w:t>
      </w:r>
    </w:p>
    <w:p>
      <w:pPr>
        <w:ind w:firstLine="413"/>
        <w:jc w:val="both"/>
      </w:pPr>
    </w:p>
    <w:p>
      <w:pPr>
        <w:ind w:firstLine="413"/>
        <w:jc w:val="both"/>
      </w:pPr>
      <w:r>
        <w:rPr>
          <w:b/>
          <w:sz w:val="21"/>
        </w:rPr>
        <w:t>（六）</w:t>
      </w:r>
      <w:r>
        <w:rPr>
          <w:b/>
          <w:sz w:val="21"/>
        </w:rPr>
        <w:t>配送要求</w:t>
      </w:r>
    </w:p>
    <w:p>
      <w:pPr>
        <w:ind w:firstLine="420"/>
      </w:pPr>
      <w:r>
        <w:rPr>
          <w:sz w:val="21"/>
        </w:rPr>
        <w:t>1.中标后，</w:t>
      </w:r>
      <w:r>
        <w:rPr>
          <w:b/>
          <w:sz w:val="21"/>
        </w:rPr>
        <w:t>中标人首次供货时</w:t>
      </w:r>
      <w:r>
        <w:rPr>
          <w:sz w:val="21"/>
        </w:rPr>
        <w:t>，须提供：</w:t>
      </w:r>
    </w:p>
    <w:p>
      <w:pPr>
        <w:ind w:firstLine="420"/>
      </w:pPr>
      <w:r>
        <w:rPr>
          <w:sz w:val="21"/>
        </w:rPr>
        <w:t>（</w:t>
      </w:r>
      <w:r>
        <w:rPr>
          <w:sz w:val="21"/>
        </w:rPr>
        <w:t>1）营业执照；</w:t>
      </w:r>
    </w:p>
    <w:p>
      <w:pPr>
        <w:ind w:firstLine="420"/>
      </w:pPr>
      <w:r>
        <w:rPr>
          <w:sz w:val="21"/>
        </w:rPr>
        <w:t>（</w:t>
      </w:r>
      <w:r>
        <w:rPr>
          <w:sz w:val="21"/>
        </w:rPr>
        <w:t>2）《食品药品经营许可证》或《食品经营许可证》或《食品生产许可证》；</w:t>
      </w:r>
    </w:p>
    <w:p>
      <w:pPr>
        <w:ind w:firstLine="420"/>
      </w:pPr>
      <w:r>
        <w:rPr>
          <w:sz w:val="21"/>
        </w:rPr>
        <w:t>（</w:t>
      </w:r>
      <w:r>
        <w:rPr>
          <w:sz w:val="21"/>
        </w:rPr>
        <w:t>3）配送人的《健康证》和近6个月中标单位为其缴纳的社保证明或有效的劳动合同，以上复印件加盖公章给采购人备案。</w:t>
      </w:r>
    </w:p>
    <w:p>
      <w:pPr>
        <w:ind w:firstLine="420"/>
        <w:jc w:val="both"/>
      </w:pPr>
      <w:r>
        <w:rPr>
          <w:sz w:val="21"/>
        </w:rPr>
        <w:t>2.质量要求</w:t>
      </w:r>
    </w:p>
    <w:p>
      <w:pPr>
        <w:ind w:firstLine="480"/>
        <w:jc w:val="both"/>
      </w:pPr>
      <w:r>
        <w:rPr>
          <w:sz w:val="21"/>
        </w:rPr>
        <w:t>2.1所供蔬菜必须保证是24小时内收成，特殊情况下耐藏蔬菜须采取充分的保鲜措施，每批次蔬菜均须提供合格的检验检疫报告文件，保持较好色泽及新鲜度；</w:t>
      </w:r>
    </w:p>
    <w:p>
      <w:pPr>
        <w:ind w:firstLine="480"/>
        <w:jc w:val="both"/>
      </w:pPr>
      <w:r>
        <w:rPr>
          <w:sz w:val="21"/>
        </w:rPr>
        <w:t>2.2所供鲜肉必须保证经过肉检（动物卫生监督部门检疫）的12小时内屠宰的新鲜肉；</w:t>
      </w:r>
    </w:p>
    <w:p>
      <w:pPr>
        <w:ind w:firstLine="480"/>
        <w:jc w:val="both"/>
      </w:pPr>
      <w:r>
        <w:rPr>
          <w:sz w:val="21"/>
        </w:rPr>
        <w:t>2.3投标人所供冷冻类和干货类食材应保持较好的外观，达到相应的食品等级，必须是在保质期内。</w:t>
      </w:r>
    </w:p>
    <w:p>
      <w:pPr>
        <w:ind w:firstLine="480"/>
        <w:jc w:val="both"/>
      </w:pPr>
      <w:r>
        <w:rPr>
          <w:sz w:val="21"/>
        </w:rPr>
        <w:t>3.保证所配送食材规格、数量、重量的准确性，以采购人的验收数量为准，中标人每次随货送上一式两份的送货清单，供双方验货后签字确认，中标人持一份，采购人持一份，作为送、收货的凭证。</w:t>
      </w:r>
    </w:p>
    <w:p>
      <w:pPr>
        <w:ind w:firstLine="480"/>
        <w:jc w:val="both"/>
      </w:pPr>
      <w:r>
        <w:rPr>
          <w:sz w:val="21"/>
        </w:rPr>
        <w:t>4</w:t>
      </w:r>
      <w:r>
        <w:rPr>
          <w:sz w:val="21"/>
        </w:rPr>
        <w:t>.</w:t>
      </w:r>
      <w:r>
        <w:rPr>
          <w:sz w:val="21"/>
        </w:rPr>
        <w:t>配送的预包装食品，生产日期至配送时间不得超有限期的二分之一。</w:t>
      </w:r>
    </w:p>
    <w:p>
      <w:pPr>
        <w:ind w:firstLine="480"/>
        <w:jc w:val="both"/>
      </w:pPr>
      <w:r>
        <w:rPr>
          <w:sz w:val="21"/>
        </w:rPr>
        <w:t>5</w:t>
      </w:r>
      <w:r>
        <w:rPr>
          <w:sz w:val="21"/>
        </w:rPr>
        <w:t>.</w:t>
      </w:r>
      <w:r>
        <w:rPr>
          <w:sz w:val="21"/>
        </w:rPr>
        <w:t>投标人需建立供应商溯源制度，应当取得食材提供商的营业执照、食品经营许可等相关证件</w:t>
      </w:r>
      <w:r>
        <w:rPr>
          <w:sz w:val="21"/>
        </w:rPr>
        <w:t>交采购人备案</w:t>
      </w:r>
      <w:r>
        <w:rPr>
          <w:sz w:val="21"/>
        </w:rPr>
        <w:t>。</w:t>
      </w:r>
    </w:p>
    <w:p>
      <w:pPr>
        <w:ind w:firstLine="480"/>
        <w:jc w:val="both"/>
      </w:pPr>
      <w:r>
        <w:rPr>
          <w:sz w:val="21"/>
        </w:rPr>
        <w:t>6</w:t>
      </w:r>
      <w:r>
        <w:rPr>
          <w:sz w:val="21"/>
        </w:rPr>
        <w:t>.责任方面</w:t>
      </w:r>
    </w:p>
    <w:p>
      <w:pPr>
        <w:ind w:firstLine="480"/>
        <w:jc w:val="both"/>
      </w:pPr>
      <w:r>
        <w:rPr>
          <w:sz w:val="21"/>
        </w:rPr>
        <w:t>★</w:t>
      </w:r>
      <w:r>
        <w:rPr>
          <w:sz w:val="21"/>
        </w:rPr>
        <w:t>6</w:t>
      </w:r>
      <w:r>
        <w:rPr>
          <w:sz w:val="21"/>
        </w:rPr>
        <w:t>.1投标人单位须设有食品安全管理工作人员负责食品安全工作，人员名单及其证件资料复印件须在签订合同前提供给采购人备案。【响应方式：应优先在“投标文件附加格式《“★”条款响应表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80"/>
        <w:jc w:val="both"/>
      </w:pPr>
      <w:r>
        <w:rPr>
          <w:sz w:val="21"/>
        </w:rPr>
        <w:t>★</w:t>
      </w:r>
      <w:r>
        <w:rPr>
          <w:sz w:val="21"/>
        </w:rPr>
        <w:t>6</w:t>
      </w:r>
      <w:r>
        <w:rPr>
          <w:sz w:val="21"/>
        </w:rPr>
        <w:t>.2因投标人所送货物造成食物中毒等事故，</w:t>
      </w:r>
      <w:r>
        <w:rPr>
          <w:sz w:val="21"/>
        </w:rPr>
        <w:t>投标人</w:t>
      </w:r>
      <w:r>
        <w:rPr>
          <w:sz w:val="21"/>
        </w:rPr>
        <w:t>应承担全部责任，采购人有权解除合同，并保留追究刑事</w:t>
      </w:r>
      <w:r>
        <w:rPr>
          <w:sz w:val="21"/>
        </w:rPr>
        <w:t>及其他法律</w:t>
      </w:r>
      <w:r>
        <w:rPr>
          <w:sz w:val="21"/>
        </w:rPr>
        <w:t>责任的权利。【响应方式：应优先在</w:t>
      </w:r>
      <w:r>
        <w:rPr>
          <w:sz w:val="21"/>
        </w:rPr>
        <w:t>“投标文件附加格式《“★”条款响应表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80"/>
        <w:jc w:val="both"/>
      </w:pPr>
      <w:r>
        <w:rPr>
          <w:sz w:val="21"/>
        </w:rPr>
        <w:t>★</w:t>
      </w:r>
      <w:r>
        <w:rPr>
          <w:sz w:val="21"/>
        </w:rPr>
        <w:t>6</w:t>
      </w:r>
      <w:r>
        <w:rPr>
          <w:sz w:val="21"/>
        </w:rPr>
        <w:t>.3投标人中标后需购买食品安全责任险，保额不低于人民币叁仟万元（保额专门用于本项目）。同时还须承诺，若合同履行期间保险到期的，中标人必须对保险进行提前续约，确保保险期限覆盖本项目合同履约期限。【响应方式：应优先在“投标文件附加格式《“★”条款响应表</w:t>
      </w:r>
      <w:r>
        <w:rPr>
          <w:sz w:val="21"/>
        </w:rPr>
        <w:t>（采购包</w:t>
      </w:r>
      <w:r>
        <w:rPr>
          <w:sz w:val="21"/>
        </w:rPr>
        <w:t>1</w:t>
      </w:r>
      <w:r>
        <w:rPr>
          <w:sz w:val="21"/>
        </w:rPr>
        <w:t>）</w:t>
      </w:r>
      <w:r>
        <w:rPr>
          <w:sz w:val="21"/>
        </w:rPr>
        <w:t>》</w:t>
      </w:r>
      <w:r>
        <w:rPr>
          <w:sz w:val="21"/>
        </w:rPr>
        <w:t>”中填写并作出响应，填表视为已承诺，同时提供保函复印件，作为评审依据。】</w:t>
      </w:r>
    </w:p>
    <w:p>
      <w:pPr>
        <w:ind w:firstLine="480"/>
        <w:jc w:val="both"/>
      </w:pPr>
      <w:r>
        <w:rPr>
          <w:sz w:val="21"/>
        </w:rPr>
        <w:t>7</w:t>
      </w:r>
      <w:r>
        <w:rPr>
          <w:sz w:val="21"/>
        </w:rPr>
        <w:t>.投标人需要有农药残留检测室和具备相关的检测仪器（提供相关资料证明）。</w:t>
      </w:r>
    </w:p>
    <w:p>
      <w:pPr>
        <w:ind w:firstLine="480"/>
        <w:jc w:val="both"/>
      </w:pPr>
      <w:r>
        <w:rPr>
          <w:sz w:val="21"/>
        </w:rPr>
        <w:t>8</w:t>
      </w:r>
      <w:r>
        <w:rPr>
          <w:sz w:val="21"/>
        </w:rPr>
        <w:t>.合同期内中标人保证足够的货物供应，不能以任何理由中途停止供应。否则视为中标人违约，采购人有权解除合同并没收履约保证金。</w:t>
      </w:r>
    </w:p>
    <w:p>
      <w:pPr>
        <w:ind w:firstLine="480"/>
        <w:jc w:val="both"/>
      </w:pPr>
      <w:r>
        <w:rPr>
          <w:sz w:val="21"/>
        </w:rPr>
        <w:t>9</w:t>
      </w:r>
      <w:r>
        <w:rPr>
          <w:sz w:val="21"/>
        </w:rPr>
        <w:t>.中标人需无条件接受并配合采购人对服务工作的监督和检查。</w:t>
      </w:r>
    </w:p>
    <w:p>
      <w:pPr>
        <w:ind w:firstLine="480"/>
        <w:jc w:val="both"/>
      </w:pPr>
      <w:r>
        <w:rPr>
          <w:sz w:val="21"/>
        </w:rPr>
        <w:t>10</w:t>
      </w:r>
      <w:r>
        <w:rPr>
          <w:sz w:val="21"/>
        </w:rPr>
        <w:t>.如遇特殊情况，中标人必须听从采购人的调度指挥，有临时需要增加供货，须及时响应，按约定时间内执行。</w:t>
      </w:r>
    </w:p>
    <w:p>
      <w:pPr>
        <w:ind w:firstLine="480"/>
        <w:jc w:val="both"/>
      </w:pPr>
      <w:r>
        <w:rPr>
          <w:sz w:val="21"/>
        </w:rPr>
        <w:t>11</w:t>
      </w:r>
      <w:r>
        <w:rPr>
          <w:sz w:val="21"/>
        </w:rPr>
        <w:t>.如遇上特殊情况，中标人需按照采购人要求提供配餐供应服务，具体菜品和数量由采购人根据实际情况提出。</w:t>
      </w:r>
    </w:p>
    <w:p>
      <w:pPr>
        <w:ind w:firstLine="480"/>
        <w:jc w:val="both"/>
      </w:pPr>
      <w:r>
        <w:rPr>
          <w:sz w:val="21"/>
        </w:rPr>
        <w:t>★1</w:t>
      </w:r>
      <w:r>
        <w:rPr>
          <w:sz w:val="21"/>
        </w:rPr>
        <w:t>2</w:t>
      </w:r>
      <w:r>
        <w:rPr>
          <w:sz w:val="21"/>
        </w:rPr>
        <w:t>.投标人须承诺在合同履约期限内无条件配合采购人的防疫措施，按采购人相关规定执行（如提供送货人一定周期内的核酸检测报告等），具体疫情执行措施以采购人要求为准。</w:t>
      </w:r>
      <w:r>
        <w:rPr>
          <w:sz w:val="21"/>
        </w:rPr>
        <w:t>【响应方式：应优先在</w:t>
      </w:r>
      <w:r>
        <w:rPr>
          <w:sz w:val="21"/>
        </w:rPr>
        <w:t>“投标文件附加格式《“★”条款响应表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80"/>
        <w:jc w:val="both"/>
      </w:pPr>
      <w:r>
        <w:rPr>
          <w:sz w:val="21"/>
        </w:rPr>
        <w:t>1</w:t>
      </w:r>
      <w:r>
        <w:rPr>
          <w:sz w:val="21"/>
        </w:rPr>
        <w:t>3</w:t>
      </w:r>
      <w:r>
        <w:rPr>
          <w:sz w:val="21"/>
        </w:rPr>
        <w:t>.最终供货食品及数量以釆购人提前通知的数量为准。</w:t>
      </w:r>
    </w:p>
    <w:p>
      <w:pPr>
        <w:ind w:firstLine="480"/>
        <w:jc w:val="both"/>
      </w:pPr>
      <w:r>
        <w:rPr>
          <w:sz w:val="21"/>
        </w:rPr>
        <w:t>1</w:t>
      </w:r>
      <w:r>
        <w:rPr>
          <w:sz w:val="21"/>
        </w:rPr>
        <w:t>4</w:t>
      </w:r>
      <w:r>
        <w:rPr>
          <w:sz w:val="21"/>
        </w:rPr>
        <w:t>.根据实际需要，采购人有权向第三方购买因中标人不能供应或者不能提供特定质量、规格、包装的商品。且在过程中如需中标人配合的，中标人必须配合采购人采购。</w:t>
      </w:r>
    </w:p>
    <w:p>
      <w:pPr>
        <w:ind w:firstLine="480"/>
        <w:jc w:val="both"/>
      </w:pPr>
      <w:r>
        <w:rPr>
          <w:sz w:val="21"/>
        </w:rPr>
        <w:t>1</w:t>
      </w:r>
      <w:r>
        <w:rPr>
          <w:sz w:val="21"/>
        </w:rPr>
        <w:t>5</w:t>
      </w:r>
      <w:r>
        <w:rPr>
          <w:sz w:val="21"/>
        </w:rPr>
        <w:t>.采购人因工作原因、管理需要、上级要求或其他原因等，在合同执行过程中需暂停全部或部分食材配送服务的（比如采购人或者上级部门要求采购扶贫产品），中标人必须配合，中标人因此可能遭受的损失，采购人概不负责，由中标人自行承担。</w:t>
      </w:r>
    </w:p>
    <w:p>
      <w:pPr>
        <w:ind w:firstLine="480"/>
        <w:jc w:val="both"/>
      </w:pPr>
      <w:r>
        <w:rPr>
          <w:sz w:val="21"/>
        </w:rPr>
        <w:t>★1</w:t>
      </w:r>
      <w:r>
        <w:rPr>
          <w:sz w:val="21"/>
        </w:rPr>
        <w:t>6</w:t>
      </w:r>
      <w:r>
        <w:rPr>
          <w:sz w:val="21"/>
        </w:rPr>
        <w:t>.采购人对应急食材及政府扶贫农副产品有自主采购权，采购人有权向第三方供应商直接采购，不受投标人和本项目制约。相关费用包含在投标人投标报价中，采购人向第三方供应商采购的食材对应产生的费用由中标人支付给第三方供应商。</w:t>
      </w:r>
      <w:r>
        <w:rPr>
          <w:sz w:val="21"/>
        </w:rPr>
        <w:t>【响应方式：应优先在</w:t>
      </w:r>
      <w:r>
        <w:rPr>
          <w:sz w:val="21"/>
        </w:rPr>
        <w:t>“投标文件附加格式《“★”条款响应表</w:t>
      </w:r>
      <w:r>
        <w:rPr>
          <w:sz w:val="21"/>
        </w:rPr>
        <w:t>（采购包</w:t>
      </w:r>
      <w:r>
        <w:rPr>
          <w:sz w:val="21"/>
        </w:rPr>
        <w:t>1</w:t>
      </w:r>
      <w:r>
        <w:rPr>
          <w:sz w:val="21"/>
        </w:rPr>
        <w:t>）</w:t>
      </w:r>
      <w:r>
        <w:rPr>
          <w:sz w:val="21"/>
        </w:rPr>
        <w:t>》</w:t>
      </w:r>
      <w:r>
        <w:rPr>
          <w:sz w:val="21"/>
        </w:rPr>
        <w:t>”中填写并作出响应，填表视为已承诺，作为评审依据。】</w:t>
      </w:r>
    </w:p>
    <w:p>
      <w:pPr>
        <w:ind w:firstLine="421"/>
        <w:jc w:val="left"/>
      </w:pPr>
    </w:p>
    <w:p>
      <w:pPr>
        <w:ind w:firstLine="421"/>
        <w:jc w:val="left"/>
      </w:pPr>
      <w:r>
        <w:rPr>
          <w:b/>
          <w:sz w:val="21"/>
        </w:rPr>
        <w:t>★</w:t>
      </w:r>
      <w:r>
        <w:rPr>
          <w:b/>
          <w:sz w:val="21"/>
        </w:rPr>
        <w:t>（七）</w:t>
      </w:r>
      <w:r>
        <w:rPr>
          <w:b/>
          <w:sz w:val="21"/>
        </w:rPr>
        <w:t>付款方式</w:t>
      </w:r>
    </w:p>
    <w:p>
      <w:pPr>
        <w:ind w:firstLine="420"/>
        <w:jc w:val="left"/>
      </w:pPr>
      <w:r>
        <w:rPr>
          <w:sz w:val="21"/>
        </w:rPr>
        <w:t>1.中标人与采购人应于中标通知书发出之日起30天内签订政府采购合同，并约定进场服务时间。</w:t>
      </w:r>
      <w:r>
        <w:rPr>
          <w:sz w:val="21"/>
        </w:rPr>
        <w:t>招标文件</w:t>
      </w:r>
      <w:r>
        <w:rPr>
          <w:sz w:val="21"/>
        </w:rPr>
        <w:t>、</w:t>
      </w:r>
      <w:r>
        <w:rPr>
          <w:sz w:val="21"/>
        </w:rPr>
        <w:t>投标文件</w:t>
      </w:r>
      <w:r>
        <w:rPr>
          <w:sz w:val="21"/>
        </w:rPr>
        <w:t>、</w:t>
      </w:r>
      <w:r>
        <w:rPr>
          <w:sz w:val="21"/>
        </w:rPr>
        <w:t>中标通知书、考核细则应作为合同附件。</w:t>
      </w:r>
    </w:p>
    <w:p>
      <w:pPr>
        <w:ind w:firstLine="420"/>
        <w:jc w:val="left"/>
      </w:pPr>
      <w:r>
        <w:rPr>
          <w:sz w:val="21"/>
        </w:rPr>
        <w:t>2.采购人按月考核服务情况。</w:t>
      </w:r>
    </w:p>
    <w:p>
      <w:pPr>
        <w:ind w:firstLine="420"/>
        <w:jc w:val="left"/>
      </w:pPr>
      <w:r>
        <w:rPr>
          <w:sz w:val="21"/>
        </w:rPr>
        <w:t>3.采购人按月支付中标人服务费用。</w:t>
      </w:r>
    </w:p>
    <w:p>
      <w:pPr>
        <w:ind w:firstLine="420"/>
        <w:jc w:val="left"/>
      </w:pPr>
      <w:r>
        <w:rPr>
          <w:sz w:val="21"/>
        </w:rPr>
        <w:t>4.费用支付流程：</w:t>
      </w:r>
    </w:p>
    <w:p>
      <w:pPr>
        <w:ind w:firstLine="420"/>
        <w:jc w:val="left"/>
      </w:pPr>
      <w:r>
        <w:rPr>
          <w:sz w:val="21"/>
        </w:rPr>
        <w:t>4.1中标人于每月5日前将上个月结算资料送达采购人，采购人结合上个月考核情况确认该月实际支付金额。</w:t>
      </w:r>
    </w:p>
    <w:p>
      <w:pPr>
        <w:ind w:firstLine="420"/>
        <w:jc w:val="left"/>
      </w:pPr>
      <w:r>
        <w:rPr>
          <w:sz w:val="21"/>
        </w:rPr>
        <w:t>4.2中标人于每月15日前将上个月的发票（发票金额按扣除考核罚款后金额开具）送达采购人，采购人收到发票后支付当期的费用。</w:t>
      </w:r>
    </w:p>
    <w:p>
      <w:pPr>
        <w:ind w:firstLine="420"/>
        <w:jc w:val="left"/>
      </w:pPr>
      <w:r>
        <w:rPr>
          <w:sz w:val="21"/>
        </w:rPr>
        <w:t>注：上述</w:t>
      </w:r>
      <w:r>
        <w:rPr>
          <w:sz w:val="21"/>
        </w:rPr>
        <w:t>4.1所指的结算资料包括：（1）上个月供货记录资料；（2）上个月供货费用费用统计表；（3）上个月考核报告资料；（4）采购人认为有必要提供的其他资料。</w:t>
      </w:r>
    </w:p>
    <w:p>
      <w:pPr>
        <w:ind w:firstLine="420"/>
        <w:jc w:val="left"/>
      </w:pPr>
      <w:r>
        <w:rPr>
          <w:sz w:val="21"/>
        </w:rPr>
        <w:t>【响应方式：本条款为默认条款，投标人参与投标则被视为承诺响应该条款，无需填写</w:t>
      </w:r>
      <w:r>
        <w:rPr>
          <w:sz w:val="21"/>
        </w:rPr>
        <w:t>“投标文件附加格式《“★”条款响应表</w:t>
      </w:r>
      <w:r>
        <w:rPr>
          <w:sz w:val="21"/>
        </w:rPr>
        <w:t>（采购包</w:t>
      </w:r>
      <w:r>
        <w:rPr>
          <w:sz w:val="21"/>
        </w:rPr>
        <w:t>1</w:t>
      </w:r>
      <w:r>
        <w:rPr>
          <w:sz w:val="21"/>
        </w:rPr>
        <w:t>）</w:t>
      </w:r>
      <w:r>
        <w:rPr>
          <w:sz w:val="21"/>
        </w:rPr>
        <w:t>》</w:t>
      </w:r>
      <w:r>
        <w:rPr>
          <w:sz w:val="21"/>
        </w:rPr>
        <w:t>”】</w:t>
      </w:r>
    </w:p>
    <w:p>
      <w:pPr>
        <w:ind w:firstLine="421"/>
        <w:jc w:val="both"/>
      </w:pPr>
    </w:p>
    <w:p>
      <w:pPr>
        <w:ind w:firstLine="421"/>
        <w:jc w:val="both"/>
      </w:pPr>
      <w:r>
        <w:rPr>
          <w:b/>
          <w:sz w:val="21"/>
        </w:rPr>
        <w:t>（八）</w:t>
      </w:r>
      <w:r>
        <w:rPr>
          <w:b/>
          <w:sz w:val="21"/>
        </w:rPr>
        <w:t>包装、运输、保管及保险</w:t>
      </w:r>
    </w:p>
    <w:p>
      <w:pPr>
        <w:ind w:firstLine="420"/>
      </w:pPr>
      <w:r>
        <w:rPr>
          <w:sz w:val="21"/>
        </w:rPr>
        <w:t>1.加工、分拣、包装、检验现场保证卫生情况，每天进行消毒，做好相关台账，采购人不定期进行抽查。包装必须与运输方式相适应，由于不适合的包装而造成货物在运输过程中有任何损坏、丢失由中标人负责，包装方式的确定及包装费用均由中标人负责，货物在现场的保管由中标人负责，直至验收完毕。</w:t>
      </w:r>
    </w:p>
    <w:p>
      <w:pPr>
        <w:ind w:firstLine="420"/>
      </w:pPr>
      <w:r>
        <w:rPr>
          <w:sz w:val="21"/>
        </w:rPr>
        <w:t>2.包装应足以承受整个过程中的运输、转运、装卸、储存等，充分考虑到运输途中的各种情况（如暴露于恶劣气候等）和中山地区的气候特点，以及露天存放的需要。</w:t>
      </w:r>
    </w:p>
    <w:p>
      <w:pPr>
        <w:ind w:firstLine="420"/>
      </w:pPr>
      <w:r>
        <w:rPr>
          <w:sz w:val="21"/>
        </w:rPr>
        <w:t>3.中标人保证所提供的食品都是正规合法符合国家相关规定的食品，每种食品的信息应与订购清单一致。保证不送岀长期积压污损的食品。否则采购人有权拒收，并要求中标人及时补送，由此造成的损失由中标人承担。</w:t>
      </w:r>
    </w:p>
    <w:p>
      <w:pPr>
        <w:ind w:firstLine="420"/>
      </w:pPr>
      <w:r>
        <w:rPr>
          <w:sz w:val="21"/>
        </w:rPr>
        <w:t>4.投入的加工机械、用品、场地、仓储场所、配送车辆须为食品类专用，保证卫生清洁，每日配送食材前须消毒，确保食材未被二次污染，并做好消毒记录，采购人有权不定期检查卫生状况及消毒记录。</w:t>
      </w:r>
    </w:p>
    <w:p>
      <w:pPr>
        <w:ind w:firstLine="420"/>
      </w:pPr>
      <w:r>
        <w:rPr>
          <w:sz w:val="21"/>
        </w:rPr>
        <w:t>5.</w:t>
      </w:r>
      <w:r>
        <w:rPr>
          <w:sz w:val="21"/>
        </w:rPr>
        <w:t>在加工、包装、运输及直接接触食品的工作人员均有有效的健康合格证明（《健康证》），配送人员须固定，不可随意更换，若有变动须提前向采购人报备。配送时应佩戴口罩。</w:t>
      </w:r>
    </w:p>
    <w:p>
      <w:pPr>
        <w:ind w:firstLine="421"/>
        <w:jc w:val="both"/>
      </w:pPr>
    </w:p>
    <w:p>
      <w:pPr>
        <w:ind w:firstLine="421"/>
        <w:jc w:val="both"/>
      </w:pPr>
      <w:r>
        <w:rPr>
          <w:b/>
          <w:sz w:val="21"/>
        </w:rPr>
        <w:t>（九）</w:t>
      </w:r>
      <w:r>
        <w:rPr>
          <w:b/>
          <w:sz w:val="21"/>
        </w:rPr>
        <w:t>售后服务</w:t>
      </w:r>
    </w:p>
    <w:p>
      <w:pPr>
        <w:ind w:firstLine="420"/>
      </w:pPr>
      <w:r>
        <w:rPr>
          <w:sz w:val="21"/>
        </w:rPr>
        <w:t>1.投标人须配有专人负责货品供应事宜，按照约定及时响应需求，安排配送，并承担相应的售后服务。</w:t>
      </w:r>
    </w:p>
    <w:p>
      <w:pPr>
        <w:ind w:firstLine="420"/>
      </w:pPr>
      <w:r>
        <w:rPr>
          <w:sz w:val="21"/>
        </w:rPr>
        <w:t>2.供应的食品如有质量问题，应在60分钟内给予退货及追补。</w:t>
      </w:r>
    </w:p>
    <w:p>
      <w:pPr>
        <w:ind w:firstLine="420"/>
      </w:pPr>
      <w:r>
        <w:rPr>
          <w:sz w:val="21"/>
        </w:rPr>
        <w:t>3.中标人须妥善保管好所有的采购单据和资料（包含电子资料），并承诺能随时提供给采购人。</w:t>
      </w:r>
    </w:p>
    <w:p>
      <w:pPr>
        <w:ind w:firstLine="421"/>
        <w:jc w:val="both"/>
      </w:pPr>
    </w:p>
    <w:p>
      <w:pPr>
        <w:ind w:firstLine="421"/>
        <w:jc w:val="both"/>
      </w:pPr>
      <w:r>
        <w:rPr>
          <w:b/>
          <w:sz w:val="21"/>
        </w:rPr>
        <w:t>（十）</w:t>
      </w:r>
      <w:r>
        <w:rPr>
          <w:b/>
          <w:sz w:val="21"/>
        </w:rPr>
        <w:t>考核机制</w:t>
      </w:r>
    </w:p>
    <w:p>
      <w:pPr>
        <w:ind w:firstLine="420"/>
        <w:jc w:val="both"/>
      </w:pPr>
      <w:r>
        <w:rPr>
          <w:sz w:val="21"/>
        </w:rPr>
        <w:t>1.采购人每</w:t>
      </w:r>
      <w:r>
        <w:rPr>
          <w:sz w:val="21"/>
        </w:rPr>
        <w:t>月</w:t>
      </w:r>
      <w:r>
        <w:rPr>
          <w:sz w:val="21"/>
        </w:rPr>
        <w:t>对中标人的服务和管理情况进行考核（详见后文《考核准则》），并根据考核的结果要求中标人进行相应的整改。</w:t>
      </w:r>
    </w:p>
    <w:p>
      <w:pPr>
        <w:ind w:firstLine="420"/>
        <w:jc w:val="both"/>
      </w:pPr>
      <w:r>
        <w:rPr>
          <w:sz w:val="21"/>
        </w:rPr>
        <w:t>2.本项目服务期为12个月，</w:t>
      </w:r>
      <w:r>
        <w:rPr>
          <w:sz w:val="21"/>
        </w:rPr>
        <w:t>其中含</w:t>
      </w:r>
      <w:r>
        <w:rPr>
          <w:sz w:val="21"/>
        </w:rPr>
        <w:t>试用期</w:t>
      </w:r>
      <w:r>
        <w:rPr>
          <w:sz w:val="21"/>
        </w:rPr>
        <w:t>3</w:t>
      </w:r>
      <w:r>
        <w:rPr>
          <w:sz w:val="21"/>
        </w:rPr>
        <w:t>个月，每个月结束后由采购人对各项服务指标进行评价和考核，总分</w:t>
      </w:r>
      <w:r>
        <w:rPr>
          <w:sz w:val="21"/>
        </w:rPr>
        <w:t>100分，低于80分为不及格，当月考核不及格扣除当月总货款千分之</w:t>
      </w:r>
      <w:r>
        <w:rPr>
          <w:sz w:val="21"/>
        </w:rPr>
        <w:t>五</w:t>
      </w:r>
      <w:r>
        <w:rPr>
          <w:sz w:val="21"/>
        </w:rPr>
        <w:t>；</w:t>
      </w:r>
      <w:r>
        <w:rPr>
          <w:sz w:val="21"/>
        </w:rPr>
        <w:t>如出现连续两次考核不及格扣除当月总货款千分之</w:t>
      </w:r>
      <w:r>
        <w:rPr>
          <w:sz w:val="21"/>
        </w:rPr>
        <w:t>十五</w:t>
      </w:r>
      <w:r>
        <w:rPr>
          <w:sz w:val="21"/>
        </w:rPr>
        <w:t>，采购人有权终止合同，如造成采购人经济损失的，中标人应给予采</w:t>
      </w:r>
      <w:r>
        <w:rPr>
          <w:sz w:val="21"/>
        </w:rPr>
        <w:t>购人经济赔偿，并承担相应的法律责任。</w:t>
      </w:r>
    </w:p>
    <w:p>
      <w:pPr>
        <w:ind w:firstLine="421"/>
        <w:jc w:val="both"/>
      </w:pPr>
    </w:p>
    <w:p>
      <w:pPr>
        <w:ind w:firstLine="421"/>
        <w:jc w:val="both"/>
      </w:pPr>
      <w:r>
        <w:rPr>
          <w:b/>
          <w:sz w:val="21"/>
        </w:rPr>
        <w:t>（十一）</w:t>
      </w:r>
      <w:r>
        <w:rPr>
          <w:b/>
          <w:sz w:val="21"/>
        </w:rPr>
        <w:t>一般要求</w:t>
      </w:r>
    </w:p>
    <w:p>
      <w:pPr>
        <w:ind w:firstLine="420"/>
        <w:jc w:val="both"/>
      </w:pPr>
      <w:r>
        <w:rPr>
          <w:sz w:val="21"/>
        </w:rPr>
        <w:t>1.中标人承包及负责招标文件对中标人要求的一切事宜及责任，包括但不限于货物供货、运输、仓储保管、验收、装卸及相关服务等。</w:t>
      </w:r>
    </w:p>
    <w:p>
      <w:pPr>
        <w:ind w:firstLine="420"/>
        <w:jc w:val="both"/>
      </w:pPr>
      <w:r>
        <w:rPr>
          <w:sz w:val="21"/>
        </w:rPr>
        <w:t>2.采购人根据采购需要，按采购计划与中标人签订供货合同；</w:t>
      </w:r>
    </w:p>
    <w:p>
      <w:pPr>
        <w:ind w:firstLine="420"/>
        <w:jc w:val="both"/>
      </w:pPr>
      <w:r>
        <w:rPr>
          <w:sz w:val="21"/>
        </w:rPr>
        <w:t>3.中标人按照约定及时响应需求，安排配送。</w:t>
      </w:r>
    </w:p>
    <w:p>
      <w:pPr>
        <w:ind w:firstLine="420"/>
        <w:jc w:val="both"/>
      </w:pPr>
      <w:r>
        <w:rPr>
          <w:sz w:val="21"/>
        </w:rPr>
        <w:t>4.中标人需与采购人签订满足采购人单位需求的保密及食品安全承诺书。</w:t>
      </w:r>
    </w:p>
    <w:p>
      <w:pPr>
        <w:ind w:firstLine="420"/>
        <w:jc w:val="both"/>
      </w:pPr>
      <w:r>
        <w:rPr>
          <w:sz w:val="21"/>
        </w:rPr>
        <w:t>5.中标人工作人员进入采购人场地，必须严格遵守采购人的管理和安排，否则采购人有权将中标人工作人员驱离场地，并禁止该人员再次进入采购人场地。</w:t>
      </w:r>
    </w:p>
    <w:p>
      <w:pPr>
        <w:ind w:firstLine="420"/>
        <w:jc w:val="both"/>
      </w:pPr>
      <w:r>
        <w:rPr>
          <w:sz w:val="21"/>
        </w:rPr>
        <w:t>6.中标人自主经营，自负盈亏。有权自主聘用，调用工作人员，但必须将所进入采购人场所的人员名册报采购人备案并附人员身份证明材料。中标人更换进入采购人场所人员的，亦须向采购人申报上述资料且经采购人同意，方可更换。</w:t>
      </w:r>
    </w:p>
    <w:p>
      <w:pPr>
        <w:ind w:firstLine="480"/>
        <w:jc w:val="left"/>
      </w:pPr>
    </w:p>
    <w:p>
      <w:pPr>
        <w:ind w:firstLine="413"/>
        <w:jc w:val="both"/>
      </w:pPr>
      <w:r>
        <w:rPr>
          <w:b/>
          <w:sz w:val="21"/>
        </w:rPr>
        <w:t>（十二）</w:t>
      </w:r>
      <w:r>
        <w:rPr>
          <w:b/>
          <w:sz w:val="21"/>
        </w:rPr>
        <w:t>履约保证金</w:t>
      </w:r>
    </w:p>
    <w:p>
      <w:pPr>
        <w:ind w:firstLine="420"/>
        <w:jc w:val="both"/>
      </w:pPr>
      <w:r>
        <w:rPr>
          <w:sz w:val="21"/>
        </w:rPr>
        <w:t>中标人在签订合同</w:t>
      </w:r>
      <w:r>
        <w:rPr>
          <w:sz w:val="21"/>
        </w:rPr>
        <w:t>7个工作日内向采购人交纳履约保证金50万元（若50万元超过中标金额的10%，则按中标金额的10%计算；中标人为中小企业时，若50万元超过中标金额的5%，则按中标金额的5%计算）。履约保证金以不可</w:t>
      </w:r>
      <w:r>
        <w:rPr>
          <w:sz w:val="21"/>
        </w:rPr>
        <w:t>撤销、无条件的银行履约保函的形式提交（履约保函不计息），</w:t>
      </w:r>
      <w:r>
        <w:rPr>
          <w:sz w:val="21"/>
        </w:rPr>
        <w:t>且应在</w:t>
      </w:r>
      <w:r>
        <w:rPr>
          <w:sz w:val="21"/>
        </w:rPr>
        <w:t>服务期</w:t>
      </w:r>
      <w:r>
        <w:rPr>
          <w:sz w:val="21"/>
        </w:rPr>
        <w:t>内持续有效，</w:t>
      </w:r>
      <w:r>
        <w:rPr>
          <w:sz w:val="21"/>
        </w:rPr>
        <w:t>出具保函的银行须在国内注册。若中标人给采购人造成的损失超过履约保函数额的，中标人还应当对超过部分予以赔偿。履约保函应明确列出或附上采购人索赔的资料清单，索赔流程应该具有实操性。</w:t>
      </w:r>
    </w:p>
    <w:p>
      <w:pPr>
        <w:ind w:firstLine="420"/>
        <w:jc w:val="both"/>
      </w:pPr>
    </w:p>
    <w:p>
      <w:pPr>
        <w:ind w:firstLine="413"/>
        <w:jc w:val="both"/>
      </w:pPr>
      <w:r>
        <w:rPr>
          <w:b/>
          <w:sz w:val="21"/>
        </w:rPr>
        <w:t>（十三）</w:t>
      </w:r>
      <w:r>
        <w:rPr>
          <w:b/>
          <w:sz w:val="21"/>
        </w:rPr>
        <w:t>采购人配合条件</w:t>
      </w:r>
    </w:p>
    <w:p>
      <w:pPr>
        <w:ind w:firstLine="420"/>
        <w:jc w:val="left"/>
      </w:pPr>
      <w:r>
        <w:rPr>
          <w:sz w:val="21"/>
        </w:rPr>
        <w:t>供应商在投标文件中可列明在项目实施过程中需要采购人提供的配合条件，所列配合条件采购人将尽量配合解决，但不代表采购人全部接受，采购人有权全部或部分拒绝供应商提出的配合条件。</w:t>
      </w:r>
    </w:p>
    <w:p>
      <w:pPr>
        <w:jc w:val="both"/>
      </w:pPr>
    </w:p>
    <w:p>
      <w:pPr>
        <w:ind w:firstLine="413"/>
        <w:jc w:val="both"/>
      </w:pPr>
      <w:r>
        <w:rPr>
          <w:b/>
          <w:sz w:val="21"/>
        </w:rPr>
        <w:t>（十四）</w:t>
      </w:r>
      <w:r>
        <w:rPr>
          <w:b/>
          <w:sz w:val="21"/>
        </w:rPr>
        <w:t>附表：</w:t>
      </w:r>
    </w:p>
    <w:p>
      <w:pPr>
        <w:jc w:val="center"/>
      </w:pPr>
      <w:r>
        <w:rPr>
          <w:b/>
          <w:sz w:val="24"/>
        </w:rPr>
        <w:t>考核细则</w:t>
      </w:r>
    </w:p>
    <w:tbl>
      <w:tblPr>
        <w:tblW w:w="0" w:type="auto"/>
        <w:tblBorders>
          <w:top w:val="none" w:color="000000" w:sz="4"/>
          <w:left w:val="none" w:color="000000" w:sz="4"/>
          <w:bottom w:val="none" w:color="000000" w:sz="4"/>
          <w:right w:val="none" w:color="000000" w:sz="4"/>
          <w:insideH w:val="none"/>
          <w:insideV w:val="none"/>
        </w:tblBorders>
      </w:tblPr>
      <w:tblGrid>
        <w:gridCol w:w="373"/>
        <w:gridCol w:w="373"/>
        <w:gridCol w:w="880"/>
        <w:gridCol w:w="1661"/>
        <w:gridCol w:w="1121"/>
        <w:gridCol w:w="232"/>
      </w:tblGrid>
      <w:tr>
        <w:tc>
          <w:tcPr>
            <w:tcW w:type="dxa" w:w="373"/>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1253"/>
            <w:gridSpan w:val="2"/>
            <w:tcBorders>
              <w:top w:val="single" w:color="000000" w:sz="4"/>
              <w:left w:val="single" w:color="000000" w:sz="4"/>
              <w:bottom w:val="single" w:color="000000" w:sz="4"/>
              <w:right w:val="single" w:color="000000" w:sz="4"/>
            </w:tcBorders>
            <w:vAlign w:val="top"/>
          </w:tcPr>
          <w:p>
            <w:pPr>
              <w:jc w:val="center"/>
            </w:pPr>
            <w:r>
              <w:rPr>
                <w:b/>
                <w:sz w:val="18"/>
              </w:rPr>
              <w:t>考核项目</w:t>
            </w:r>
          </w:p>
        </w:tc>
        <w:tc>
          <w:tcPr>
            <w:tcW w:type="dxa" w:w="1661"/>
            <w:tcBorders>
              <w:top w:val="single" w:color="000000" w:sz="4"/>
              <w:left w:val="single" w:color="000000" w:sz="4"/>
              <w:bottom w:val="single" w:color="000000" w:sz="4"/>
              <w:right w:val="single" w:color="000000" w:sz="4"/>
            </w:tcBorders>
            <w:vAlign w:val="top"/>
          </w:tcPr>
          <w:p>
            <w:pPr>
              <w:jc w:val="center"/>
            </w:pPr>
            <w:r>
              <w:rPr>
                <w:b/>
                <w:sz w:val="18"/>
              </w:rPr>
              <w:t>标准内容</w:t>
            </w:r>
          </w:p>
        </w:tc>
        <w:tc>
          <w:tcPr>
            <w:tcW w:type="dxa" w:w="1121"/>
            <w:tcBorders>
              <w:top w:val="single" w:color="000000" w:sz="4"/>
              <w:left w:val="single" w:color="000000" w:sz="4"/>
              <w:bottom w:val="single" w:color="000000" w:sz="4"/>
              <w:right w:val="single" w:color="000000" w:sz="4"/>
            </w:tcBorders>
            <w:vAlign w:val="top"/>
          </w:tcPr>
          <w:p>
            <w:pPr>
              <w:jc w:val="center"/>
            </w:pPr>
            <w:r>
              <w:rPr>
                <w:b/>
                <w:sz w:val="18"/>
              </w:rPr>
              <w:t>评分细则</w:t>
            </w:r>
          </w:p>
        </w:tc>
        <w:tc>
          <w:tcPr>
            <w:tcW w:type="dxa" w:w="232"/>
            <w:tcBorders>
              <w:top w:val="single" w:color="000000" w:sz="4"/>
              <w:left w:val="single" w:color="000000" w:sz="4"/>
              <w:bottom w:val="single" w:color="000000" w:sz="4"/>
              <w:right w:val="single" w:color="000000" w:sz="4"/>
            </w:tcBorders>
            <w:vAlign w:val="top"/>
          </w:tcPr>
          <w:p>
            <w:pPr>
              <w:jc w:val="center"/>
            </w:pPr>
            <w:r>
              <w:rPr>
                <w:b/>
                <w:sz w:val="18"/>
              </w:rPr>
              <w:t>扣除分数</w:t>
            </w: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73"/>
            <w:vMerge w:val="restart"/>
            <w:tcBorders>
              <w:top w:val="none" w:color="000000" w:sz="4"/>
              <w:left w:val="single" w:color="000000" w:sz="4"/>
              <w:bottom w:val="single" w:color="000000" w:sz="4"/>
              <w:right w:val="single" w:color="000000" w:sz="4"/>
            </w:tcBorders>
            <w:vAlign w:val="top"/>
          </w:tcPr>
          <w:p>
            <w:pPr>
              <w:jc w:val="center"/>
            </w:pPr>
            <w:r>
              <w:rPr>
                <w:sz w:val="18"/>
              </w:rPr>
              <w:t>人员管理情况</w:t>
            </w:r>
          </w:p>
        </w:tc>
        <w:tc>
          <w:tcPr>
            <w:tcW w:type="dxa" w:w="880"/>
            <w:tcBorders>
              <w:top w:val="none" w:color="000000" w:sz="4"/>
              <w:left w:val="single" w:color="000000" w:sz="4"/>
              <w:bottom w:val="single" w:color="000000" w:sz="4"/>
              <w:right w:val="single" w:color="000000" w:sz="4"/>
            </w:tcBorders>
            <w:vAlign w:val="top"/>
          </w:tcPr>
          <w:p>
            <w:pPr>
              <w:jc w:val="center"/>
            </w:pPr>
            <w:r>
              <w:rPr>
                <w:sz w:val="18"/>
              </w:rPr>
              <w:t>从业人员健康合格证明情况</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1.是否均取得有效健康合格证明；</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每发现</w:t>
            </w:r>
            <w:r>
              <w:rPr>
                <w:sz w:val="18"/>
              </w:rPr>
              <w:t>1人无有效健康合格证明扣1分。</w:t>
            </w:r>
          </w:p>
        </w:tc>
        <w:tc>
          <w:tcPr>
            <w:tcW w:type="dxa" w:w="232"/>
            <w:tcBorders>
              <w:top w:val="single" w:color="000000" w:sz="4"/>
              <w:left w:val="single" w:color="000000" w:sz="4"/>
              <w:bottom w:val="single" w:color="000000" w:sz="4"/>
              <w:right w:val="single" w:color="000000" w:sz="4"/>
            </w:tcBorders>
            <w:vAlign w:val="top"/>
          </w:tcPr>
          <w:p>
            <w:pPr>
              <w:jc w:val="both"/>
            </w:pP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73"/>
            <w:vMerge/>
            <w:tcBorders>
              <w:top w:val="none" w:color="000000" w:sz="4"/>
              <w:left w:val="single" w:color="000000" w:sz="4"/>
              <w:bottom w:val="single" w:color="000000" w:sz="4"/>
              <w:right w:val="single" w:color="000000" w:sz="4"/>
            </w:tcBorders>
          </w:tcPr>
          <w:p/>
        </w:tc>
        <w:tc>
          <w:tcPr>
            <w:tcW w:type="dxa" w:w="880"/>
            <w:vMerge w:val="restart"/>
            <w:tcBorders>
              <w:top w:val="none" w:color="000000" w:sz="4"/>
              <w:left w:val="single" w:color="000000" w:sz="4"/>
              <w:bottom w:val="single" w:color="000000" w:sz="4"/>
              <w:right w:val="single" w:color="000000" w:sz="4"/>
            </w:tcBorders>
            <w:vAlign w:val="top"/>
          </w:tcPr>
          <w:p>
            <w:pPr>
              <w:jc w:val="center"/>
            </w:pPr>
            <w:r>
              <w:rPr>
                <w:sz w:val="18"/>
              </w:rPr>
              <w:t>直接</w:t>
            </w:r>
            <w:r>
              <w:rPr>
                <w:sz w:val="18"/>
              </w:rPr>
              <w:t>接触食材的</w:t>
            </w:r>
            <w:r>
              <w:rPr>
                <w:sz w:val="18"/>
              </w:rPr>
              <w:t>工作</w:t>
            </w:r>
            <w:r>
              <w:rPr>
                <w:sz w:val="18"/>
              </w:rPr>
              <w:t>人员情况</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2.是否患有有碍食材安全的疾病；</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每发现</w:t>
            </w:r>
            <w:r>
              <w:rPr>
                <w:sz w:val="18"/>
              </w:rPr>
              <w:t>1人不符合要求扣 2分。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3</w:t>
            </w:r>
          </w:p>
        </w:tc>
        <w:tc>
          <w:tcPr>
            <w:tcW w:type="dxa" w:w="373"/>
            <w:vMerge/>
            <w:tcBorders>
              <w:top w:val="none" w:color="000000" w:sz="4"/>
              <w:left w:val="single" w:color="000000" w:sz="4"/>
              <w:bottom w:val="single" w:color="000000" w:sz="4"/>
              <w:right w:val="single" w:color="000000" w:sz="4"/>
            </w:tcBorders>
          </w:tcPr>
          <w:p/>
        </w:tc>
        <w:tc>
          <w:tcPr>
            <w:tcW w:type="dxa" w:w="880"/>
            <w:vMerge/>
            <w:tcBorders>
              <w:top w:val="none" w:color="000000" w:sz="4"/>
              <w:left w:val="single" w:color="000000" w:sz="4"/>
              <w:bottom w:val="single" w:color="000000" w:sz="4"/>
              <w:right w:val="single" w:color="000000" w:sz="4"/>
            </w:tcBorders>
          </w:tcPr>
          <w:p/>
        </w:tc>
        <w:tc>
          <w:tcPr>
            <w:tcW w:type="dxa" w:w="1661"/>
            <w:tcBorders>
              <w:top w:val="none" w:color="000000" w:sz="4"/>
              <w:left w:val="single" w:color="000000" w:sz="4"/>
              <w:bottom w:val="single" w:color="000000" w:sz="4"/>
              <w:right w:val="single" w:color="000000" w:sz="4"/>
            </w:tcBorders>
            <w:vAlign w:val="top"/>
          </w:tcPr>
          <w:p>
            <w:pPr>
              <w:jc w:val="left"/>
            </w:pPr>
            <w:r>
              <w:rPr>
                <w:sz w:val="18"/>
              </w:rPr>
              <w:t>3.是否规范佩戴口罩；</w:t>
            </w:r>
            <w:r>
              <w:br/>
            </w:r>
            <w:r>
              <w:rPr>
                <w:sz w:val="18"/>
              </w:rPr>
              <w:t>4.接触食材之前是否洗手、消毒。</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每发现</w:t>
            </w:r>
            <w:r>
              <w:rPr>
                <w:sz w:val="18"/>
              </w:rPr>
              <w:t>1人不符合要求扣 2分。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73"/>
            <w:vMerge/>
            <w:tcBorders>
              <w:top w:val="none" w:color="000000" w:sz="4"/>
              <w:left w:val="single" w:color="000000" w:sz="4"/>
              <w:bottom w:val="single" w:color="000000" w:sz="4"/>
              <w:right w:val="single" w:color="000000" w:sz="4"/>
            </w:tcBorders>
          </w:tcPr>
          <w:p/>
        </w:tc>
        <w:tc>
          <w:tcPr>
            <w:tcW w:type="dxa" w:w="880"/>
            <w:tcBorders>
              <w:top w:val="none" w:color="000000" w:sz="4"/>
              <w:left w:val="single" w:color="000000" w:sz="4"/>
              <w:bottom w:val="single" w:color="000000" w:sz="4"/>
              <w:right w:val="single" w:color="000000" w:sz="4"/>
            </w:tcBorders>
            <w:vAlign w:val="top"/>
          </w:tcPr>
          <w:p>
            <w:pPr>
              <w:jc w:val="center"/>
            </w:pPr>
            <w:r>
              <w:rPr>
                <w:sz w:val="18"/>
              </w:rPr>
              <w:t>服务态度</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项目负责人是否积极与采购人沟通食材配送中的问题，</w:t>
            </w:r>
            <w:r>
              <w:rPr>
                <w:sz w:val="18"/>
              </w:rPr>
              <w:t>是否有效解决问题，</w:t>
            </w:r>
            <w:r>
              <w:rPr>
                <w:sz w:val="18"/>
              </w:rPr>
              <w:t>运送人员无野蛮运装或无正当理由与采购人争执。</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落实不到位，不积极配合执行，每次扣</w:t>
            </w:r>
            <w:r>
              <w:rPr>
                <w:sz w:val="18"/>
              </w:rPr>
              <w:t>2分。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5</w:t>
            </w:r>
          </w:p>
        </w:tc>
        <w:tc>
          <w:tcPr>
            <w:tcW w:type="dxa" w:w="373"/>
            <w:vMerge w:val="restart"/>
            <w:tcBorders>
              <w:top w:val="none" w:color="000000" w:sz="4"/>
              <w:left w:val="single" w:color="000000" w:sz="4"/>
              <w:bottom w:val="single" w:color="000000" w:sz="4"/>
              <w:right w:val="single" w:color="000000" w:sz="4"/>
            </w:tcBorders>
            <w:vAlign w:val="top"/>
          </w:tcPr>
          <w:p>
            <w:pPr>
              <w:jc w:val="both"/>
            </w:pPr>
            <w:r>
              <w:rPr>
                <w:sz w:val="18"/>
              </w:rPr>
              <w:t>食材采购、贮存、加工</w:t>
            </w:r>
            <w:r>
              <w:rPr>
                <w:sz w:val="18"/>
              </w:rPr>
              <w:t>、</w:t>
            </w:r>
            <w:r>
              <w:rPr>
                <w:sz w:val="18"/>
              </w:rPr>
              <w:t>经营和使用等情况</w:t>
            </w:r>
          </w:p>
        </w:tc>
        <w:tc>
          <w:tcPr>
            <w:tcW w:type="dxa" w:w="880"/>
            <w:tcBorders>
              <w:top w:val="none" w:color="000000" w:sz="4"/>
              <w:left w:val="single" w:color="000000" w:sz="4"/>
              <w:bottom w:val="single" w:color="000000" w:sz="4"/>
              <w:right w:val="single" w:color="000000" w:sz="4"/>
            </w:tcBorders>
            <w:vAlign w:val="top"/>
          </w:tcPr>
          <w:p>
            <w:pPr>
              <w:jc w:val="center"/>
            </w:pPr>
            <w:r>
              <w:rPr>
                <w:sz w:val="18"/>
              </w:rPr>
              <w:t>食材原料情况</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1.是否经营或使用病死、毒死、死因不明的禽、畜、水产动物肉类及制品；</w:t>
            </w:r>
          </w:p>
          <w:p>
            <w:pPr>
              <w:jc w:val="left"/>
            </w:pPr>
            <w:r>
              <w:rPr>
                <w:sz w:val="18"/>
              </w:rPr>
              <w:t>2.是否经营或者使用未经检疫检验或者检疫检验不合格的肉类及其制品；</w:t>
            </w:r>
          </w:p>
          <w:p>
            <w:pPr>
              <w:jc w:val="left"/>
            </w:pPr>
            <w:r>
              <w:rPr>
                <w:sz w:val="18"/>
              </w:rPr>
              <w:t>3.是否在食材制作加工中使用非食用物质或滥用食材添加剂；</w:t>
            </w:r>
          </w:p>
          <w:p>
            <w:pPr>
              <w:jc w:val="left"/>
            </w:pPr>
            <w:r>
              <w:rPr>
                <w:sz w:val="18"/>
              </w:rPr>
              <w:t>4.是否经营或者使用其他禁止生产经营的食材；</w:t>
            </w:r>
          </w:p>
          <w:p>
            <w:pPr>
              <w:jc w:val="left"/>
            </w:pPr>
            <w:r>
              <w:rPr>
                <w:sz w:val="18"/>
              </w:rPr>
              <w:t>5.供应食材是否新鲜，是否有过期食材</w:t>
            </w:r>
            <w:r>
              <w:rPr>
                <w:sz w:val="18"/>
              </w:rPr>
              <w:t>，配送食材时的食材有效期是否已经超过二分之一</w:t>
            </w:r>
            <w:r>
              <w:rPr>
                <w:sz w:val="18"/>
              </w:rPr>
              <w:t>。食品溯源档案是否完整</w:t>
            </w:r>
            <w:r>
              <w:rPr>
                <w:sz w:val="18"/>
              </w:rPr>
              <w:t>。</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每发现一处不规范扣</w:t>
            </w:r>
            <w:r>
              <w:rPr>
                <w:sz w:val="18"/>
              </w:rPr>
              <w:t>5 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6</w:t>
            </w:r>
          </w:p>
        </w:tc>
        <w:tc>
          <w:tcPr>
            <w:tcW w:type="dxa" w:w="373"/>
            <w:vMerge/>
            <w:tcBorders>
              <w:top w:val="none" w:color="000000" w:sz="4"/>
              <w:left w:val="single" w:color="000000" w:sz="4"/>
              <w:bottom w:val="single" w:color="000000" w:sz="4"/>
              <w:right w:val="single" w:color="000000" w:sz="4"/>
            </w:tcBorders>
          </w:tcPr>
          <w:p/>
        </w:tc>
        <w:tc>
          <w:tcPr>
            <w:tcW w:type="dxa" w:w="880"/>
            <w:tcBorders>
              <w:top w:val="none" w:color="000000" w:sz="4"/>
              <w:left w:val="single" w:color="000000" w:sz="4"/>
              <w:bottom w:val="single" w:color="000000" w:sz="4"/>
              <w:right w:val="single" w:color="000000" w:sz="4"/>
            </w:tcBorders>
            <w:vAlign w:val="top"/>
          </w:tcPr>
          <w:p>
            <w:pPr>
              <w:jc w:val="center"/>
            </w:pPr>
            <w:r>
              <w:rPr>
                <w:sz w:val="18"/>
              </w:rPr>
              <w:t>食材经营和使用行为</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1.是否经营或者使用被包装材料、容器、运输工具等污染的食材；</w:t>
            </w:r>
          </w:p>
          <w:p>
            <w:pPr>
              <w:jc w:val="left"/>
            </w:pPr>
            <w:r>
              <w:rPr>
                <w:sz w:val="18"/>
              </w:rPr>
              <w:t>2.是否经营或者使用无标签及其他不符合有关标签、说明书规定的预包装食材、食材添加剂；</w:t>
            </w:r>
          </w:p>
          <w:p>
            <w:pPr>
              <w:jc w:val="left"/>
            </w:pPr>
            <w:r>
              <w:rPr>
                <w:sz w:val="18"/>
              </w:rPr>
              <w:t>3.是否在食材中添加非食用物质。</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每发现一处不规范扣</w:t>
            </w:r>
            <w:r>
              <w:rPr>
                <w:sz w:val="18"/>
              </w:rPr>
              <w:t>2 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7</w:t>
            </w:r>
          </w:p>
        </w:tc>
        <w:tc>
          <w:tcPr>
            <w:tcW w:type="dxa" w:w="373"/>
            <w:vMerge/>
            <w:tcBorders>
              <w:top w:val="none" w:color="000000" w:sz="4"/>
              <w:left w:val="single" w:color="000000" w:sz="4"/>
              <w:bottom w:val="single" w:color="000000" w:sz="4"/>
              <w:right w:val="single" w:color="000000" w:sz="4"/>
            </w:tcBorders>
          </w:tcPr>
          <w:p/>
        </w:tc>
        <w:tc>
          <w:tcPr>
            <w:tcW w:type="dxa" w:w="880"/>
            <w:tcBorders>
              <w:top w:val="none" w:color="000000" w:sz="4"/>
              <w:left w:val="single" w:color="000000" w:sz="4"/>
              <w:bottom w:val="single" w:color="000000" w:sz="4"/>
              <w:right w:val="single" w:color="000000" w:sz="4"/>
            </w:tcBorders>
            <w:vAlign w:val="top"/>
          </w:tcPr>
          <w:p>
            <w:pPr>
              <w:jc w:val="center"/>
            </w:pPr>
            <w:r>
              <w:rPr>
                <w:sz w:val="18"/>
              </w:rPr>
              <w:t>食材贮存</w:t>
            </w:r>
            <w:r>
              <w:rPr>
                <w:sz w:val="18"/>
              </w:rPr>
              <w:t>、</w:t>
            </w:r>
            <w:r>
              <w:rPr>
                <w:sz w:val="18"/>
              </w:rPr>
              <w:t>加工情况</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1.贮存食材的场所、设备</w:t>
            </w:r>
            <w:r>
              <w:rPr>
                <w:sz w:val="18"/>
              </w:rPr>
              <w:t>、</w:t>
            </w:r>
            <w:r>
              <w:rPr>
                <w:sz w:val="18"/>
              </w:rPr>
              <w:t>加工场所是否存放有毒、有害物品及个人生活物品；</w:t>
            </w:r>
          </w:p>
          <w:p>
            <w:pPr>
              <w:jc w:val="left"/>
            </w:pPr>
            <w:r>
              <w:rPr>
                <w:sz w:val="18"/>
              </w:rPr>
              <w:t>2.食材是否分类、分架、隔墙、离地存放。</w:t>
            </w:r>
          </w:p>
          <w:p>
            <w:pPr>
              <w:jc w:val="left"/>
            </w:pPr>
            <w:r>
              <w:rPr>
                <w:sz w:val="18"/>
              </w:rPr>
              <w:t>3.食材加工、</w:t>
            </w:r>
            <w:r>
              <w:rPr>
                <w:sz w:val="18"/>
              </w:rPr>
              <w:t>贮存</w:t>
            </w:r>
            <w:r>
              <w:rPr>
                <w:sz w:val="18"/>
              </w:rPr>
              <w:t>的场所是否符合卫生条件，加工场所是否有按时消杀并做好有关台帐。</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每发现一处不规范扣</w:t>
            </w:r>
            <w:r>
              <w:rPr>
                <w:sz w:val="18"/>
              </w:rPr>
              <w:t>2 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73"/>
            <w:tcBorders>
              <w:top w:val="none" w:color="000000" w:sz="4"/>
              <w:left w:val="single" w:color="000000" w:sz="4"/>
              <w:bottom w:val="single" w:color="000000" w:sz="4"/>
              <w:right w:val="single" w:color="000000" w:sz="4"/>
            </w:tcBorders>
            <w:vAlign w:val="top"/>
          </w:tcPr>
          <w:p>
            <w:pPr>
              <w:jc w:val="center"/>
            </w:pPr>
            <w:r>
              <w:rPr>
                <w:sz w:val="18"/>
              </w:rPr>
              <w:t>8</w:t>
            </w:r>
          </w:p>
        </w:tc>
        <w:tc>
          <w:tcPr>
            <w:tcW w:type="dxa" w:w="373"/>
            <w:tcBorders>
              <w:top w:val="none" w:color="000000" w:sz="4"/>
              <w:left w:val="single" w:color="000000" w:sz="4"/>
              <w:bottom w:val="single" w:color="000000" w:sz="4"/>
              <w:right w:val="single" w:color="000000" w:sz="4"/>
            </w:tcBorders>
            <w:vAlign w:val="top"/>
          </w:tcPr>
          <w:p>
            <w:pPr>
              <w:jc w:val="center"/>
            </w:pPr>
            <w:r>
              <w:rPr>
                <w:sz w:val="18"/>
              </w:rPr>
              <w:t>配送情况</w:t>
            </w:r>
          </w:p>
        </w:tc>
        <w:tc>
          <w:tcPr>
            <w:tcW w:type="dxa" w:w="880"/>
            <w:tcBorders>
              <w:top w:val="none" w:color="000000" w:sz="4"/>
              <w:left w:val="single" w:color="000000" w:sz="4"/>
              <w:bottom w:val="single" w:color="000000" w:sz="4"/>
              <w:right w:val="single" w:color="000000" w:sz="4"/>
            </w:tcBorders>
            <w:vAlign w:val="top"/>
          </w:tcPr>
          <w:p>
            <w:pPr>
              <w:jc w:val="center"/>
            </w:pPr>
            <w:r>
              <w:rPr>
                <w:sz w:val="18"/>
              </w:rPr>
              <w:t>配送工具及配送时间、地点等情况</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1.采购人每日验收时进行现场考核，登记《配送情况考核表》。</w:t>
            </w:r>
          </w:p>
          <w:p>
            <w:pPr>
              <w:jc w:val="left"/>
            </w:pPr>
            <w:r>
              <w:rPr>
                <w:sz w:val="18"/>
              </w:rPr>
              <w:t>2.配送车辆是否按时消杀并做好有关台帐。</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月度累计得分得分</w:t>
            </w:r>
            <w:r>
              <w:rPr>
                <w:sz w:val="18"/>
              </w:rPr>
              <w:t>80-90分，扣3分；低于80分，扣20分。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73"/>
            <w:vMerge w:val="restart"/>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73"/>
            <w:vMerge w:val="restart"/>
            <w:tcBorders>
              <w:top w:val="none" w:color="000000" w:sz="4"/>
              <w:left w:val="single" w:color="000000" w:sz="4"/>
              <w:bottom w:val="single" w:color="000000" w:sz="4"/>
              <w:right w:val="single" w:color="000000" w:sz="4"/>
            </w:tcBorders>
            <w:vAlign w:val="top"/>
          </w:tcPr>
          <w:p>
            <w:pPr>
              <w:jc w:val="center"/>
            </w:pPr>
            <w:r>
              <w:rPr>
                <w:sz w:val="18"/>
              </w:rPr>
              <w:t>其它有关情况</w:t>
            </w:r>
          </w:p>
        </w:tc>
        <w:tc>
          <w:tcPr>
            <w:tcW w:type="dxa" w:w="880"/>
            <w:tcBorders>
              <w:top w:val="none" w:color="000000" w:sz="4"/>
              <w:left w:val="single" w:color="000000" w:sz="4"/>
              <w:bottom w:val="single" w:color="000000" w:sz="4"/>
              <w:right w:val="single" w:color="000000" w:sz="4"/>
            </w:tcBorders>
            <w:vAlign w:val="top"/>
          </w:tcPr>
          <w:p>
            <w:pPr>
              <w:jc w:val="center"/>
            </w:pPr>
            <w:r>
              <w:rPr>
                <w:sz w:val="18"/>
              </w:rPr>
              <w:t>留样规定情况</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是否按规定留样。</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每发现一次不规范扣</w:t>
            </w:r>
            <w:r>
              <w:rPr>
                <w:sz w:val="18"/>
              </w:rPr>
              <w:t>3 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73"/>
            <w:vMerge/>
            <w:tcBorders>
              <w:top w:val="none" w:color="000000" w:sz="4"/>
              <w:left w:val="single" w:color="000000" w:sz="4"/>
              <w:bottom w:val="single" w:color="000000" w:sz="4"/>
              <w:right w:val="single" w:color="000000" w:sz="4"/>
            </w:tcBorders>
          </w:tcPr>
          <w:p/>
        </w:tc>
        <w:tc>
          <w:tcPr>
            <w:tcW w:type="dxa" w:w="373"/>
            <w:vMerge/>
            <w:tcBorders>
              <w:top w:val="none" w:color="000000" w:sz="4"/>
              <w:left w:val="single" w:color="000000" w:sz="4"/>
              <w:bottom w:val="single" w:color="000000" w:sz="4"/>
              <w:right w:val="single" w:color="000000" w:sz="4"/>
            </w:tcBorders>
          </w:tcPr>
          <w:p/>
        </w:tc>
        <w:tc>
          <w:tcPr>
            <w:tcW w:type="dxa" w:w="880"/>
            <w:tcBorders>
              <w:top w:val="none" w:color="000000" w:sz="4"/>
              <w:left w:val="single" w:color="000000" w:sz="4"/>
              <w:bottom w:val="single" w:color="000000" w:sz="4"/>
              <w:right w:val="single" w:color="000000" w:sz="4"/>
            </w:tcBorders>
            <w:vAlign w:val="top"/>
          </w:tcPr>
          <w:p>
            <w:pPr>
              <w:jc w:val="center"/>
            </w:pPr>
            <w:r>
              <w:rPr>
                <w:sz w:val="18"/>
              </w:rPr>
              <w:t>检测报告</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是否每日按照采购人要求提供食材检验报告。</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落实不到位，每次扣</w:t>
            </w:r>
            <w:r>
              <w:rPr>
                <w:sz w:val="18"/>
              </w:rPr>
              <w:t>3分。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73"/>
            <w:vMerge/>
            <w:tcBorders>
              <w:top w:val="none" w:color="000000" w:sz="4"/>
              <w:left w:val="single" w:color="000000" w:sz="4"/>
              <w:bottom w:val="single" w:color="000000" w:sz="4"/>
              <w:right w:val="single" w:color="000000" w:sz="4"/>
            </w:tcBorders>
          </w:tcPr>
          <w:p/>
        </w:tc>
        <w:tc>
          <w:tcPr>
            <w:tcW w:type="dxa" w:w="373"/>
            <w:vMerge/>
            <w:tcBorders>
              <w:top w:val="none" w:color="000000" w:sz="4"/>
              <w:left w:val="single" w:color="000000" w:sz="4"/>
              <w:bottom w:val="single" w:color="000000" w:sz="4"/>
              <w:right w:val="single" w:color="000000" w:sz="4"/>
            </w:tcBorders>
          </w:tcPr>
          <w:p/>
        </w:tc>
        <w:tc>
          <w:tcPr>
            <w:tcW w:type="dxa" w:w="880"/>
            <w:tcBorders>
              <w:top w:val="none" w:color="000000" w:sz="4"/>
              <w:left w:val="single" w:color="000000" w:sz="4"/>
              <w:bottom w:val="single" w:color="000000" w:sz="4"/>
              <w:right w:val="single" w:color="000000" w:sz="4"/>
            </w:tcBorders>
            <w:vAlign w:val="top"/>
          </w:tcPr>
          <w:p>
            <w:pPr>
              <w:jc w:val="center"/>
            </w:pPr>
            <w:r>
              <w:rPr>
                <w:sz w:val="18"/>
              </w:rPr>
              <w:t>整改情况</w:t>
            </w:r>
          </w:p>
        </w:tc>
        <w:tc>
          <w:tcPr>
            <w:tcW w:type="dxa" w:w="1661"/>
            <w:tcBorders>
              <w:top w:val="none" w:color="000000" w:sz="4"/>
              <w:left w:val="single" w:color="000000" w:sz="4"/>
              <w:bottom w:val="single" w:color="000000" w:sz="4"/>
              <w:right w:val="single" w:color="000000" w:sz="4"/>
            </w:tcBorders>
            <w:vAlign w:val="top"/>
          </w:tcPr>
          <w:p>
            <w:pPr>
              <w:jc w:val="left"/>
            </w:pPr>
            <w:r>
              <w:rPr>
                <w:sz w:val="18"/>
              </w:rPr>
              <w:t>未按规定时间进行整改或整改后仍未达到要求。</w:t>
            </w:r>
          </w:p>
        </w:tc>
        <w:tc>
          <w:tcPr>
            <w:tcW w:type="dxa" w:w="1121"/>
            <w:tcBorders>
              <w:top w:val="none" w:color="000000" w:sz="4"/>
              <w:left w:val="single" w:color="000000" w:sz="4"/>
              <w:bottom w:val="single" w:color="000000" w:sz="4"/>
              <w:right w:val="single" w:color="000000" w:sz="4"/>
            </w:tcBorders>
            <w:vAlign w:val="top"/>
          </w:tcPr>
          <w:p>
            <w:pPr>
              <w:jc w:val="left"/>
            </w:pPr>
            <w:r>
              <w:rPr>
                <w:sz w:val="18"/>
              </w:rPr>
              <w:t>每宗扣</w:t>
            </w:r>
            <w:r>
              <w:rPr>
                <w:sz w:val="18"/>
              </w:rPr>
              <w:t>3分。</w:t>
            </w:r>
          </w:p>
        </w:tc>
        <w:tc>
          <w:tcPr>
            <w:tcW w:type="dxa" w:w="232"/>
            <w:tcBorders>
              <w:top w:val="none" w:color="000000" w:sz="4"/>
              <w:left w:val="single" w:color="000000" w:sz="4"/>
              <w:bottom w:val="single" w:color="000000" w:sz="4"/>
              <w:right w:val="single" w:color="000000" w:sz="4"/>
            </w:tcBorders>
            <w:vAlign w:val="top"/>
          </w:tcPr>
          <w:p>
            <w:pPr>
              <w:jc w:val="both"/>
            </w:pPr>
          </w:p>
        </w:tc>
      </w:tr>
      <w:tr>
        <w:tc>
          <w:tcPr>
            <w:tcW w:type="dxa" w:w="3287"/>
            <w:gridSpan w:val="4"/>
            <w:tcBorders>
              <w:top w:val="none" w:color="000000" w:sz="4"/>
              <w:left w:val="single" w:color="000000" w:sz="4"/>
              <w:bottom w:val="single" w:color="000000" w:sz="4"/>
              <w:right w:val="single" w:color="000000" w:sz="4"/>
            </w:tcBorders>
            <w:vAlign w:val="top"/>
          </w:tcPr>
          <w:p>
            <w:pPr>
              <w:jc w:val="center"/>
            </w:pPr>
            <w:r>
              <w:rPr>
                <w:sz w:val="18"/>
              </w:rPr>
              <w:t>合计扣分分值</w:t>
            </w:r>
          </w:p>
        </w:tc>
        <w:tc>
          <w:tcPr>
            <w:tcW w:type="dxa" w:w="1353"/>
            <w:gridSpan w:val="2"/>
            <w:tcBorders>
              <w:top w:val="none" w:color="000000" w:sz="4"/>
              <w:left w:val="single" w:color="000000" w:sz="4"/>
              <w:bottom w:val="single" w:color="000000" w:sz="4"/>
              <w:right w:val="single" w:color="000000" w:sz="4"/>
            </w:tcBorders>
            <w:vAlign w:val="top"/>
          </w:tcPr>
          <w:p>
            <w:pPr>
              <w:jc w:val="both"/>
            </w:pPr>
          </w:p>
        </w:tc>
      </w:tr>
      <w:tr>
        <w:tc>
          <w:tcPr>
            <w:tcW w:type="dxa" w:w="3287"/>
            <w:gridSpan w:val="4"/>
            <w:tcBorders>
              <w:top w:val="none" w:color="000000" w:sz="4"/>
              <w:left w:val="single" w:color="000000" w:sz="4"/>
              <w:bottom w:val="single" w:color="000000" w:sz="4"/>
              <w:right w:val="single" w:color="000000" w:sz="4"/>
            </w:tcBorders>
            <w:vAlign w:val="top"/>
          </w:tcPr>
          <w:p>
            <w:pPr>
              <w:jc w:val="center"/>
            </w:pPr>
            <w:r>
              <w:rPr>
                <w:sz w:val="18"/>
              </w:rPr>
              <w:t>考核结果分值</w:t>
            </w:r>
          </w:p>
        </w:tc>
        <w:tc>
          <w:tcPr>
            <w:tcW w:type="dxa" w:w="1353"/>
            <w:gridSpan w:val="2"/>
            <w:tcBorders>
              <w:top w:val="none" w:color="000000" w:sz="4"/>
              <w:left w:val="single" w:color="000000" w:sz="4"/>
              <w:bottom w:val="single" w:color="000000" w:sz="4"/>
              <w:right w:val="single" w:color="000000" w:sz="4"/>
            </w:tcBorders>
            <w:vAlign w:val="top"/>
          </w:tcPr>
          <w:p>
            <w:pPr>
              <w:jc w:val="both"/>
            </w:pPr>
          </w:p>
        </w:tc>
      </w:tr>
      <w:tr>
        <w:tc>
          <w:tcPr>
            <w:tcW w:type="dxa" w:w="4640"/>
            <w:gridSpan w:val="6"/>
            <w:tcBorders>
              <w:top w:val="none" w:color="000000" w:sz="4"/>
              <w:left w:val="single" w:color="000000" w:sz="4"/>
              <w:bottom w:val="single" w:color="000000" w:sz="4"/>
              <w:right w:val="single" w:color="000000" w:sz="4"/>
            </w:tcBorders>
            <w:vAlign w:val="top"/>
          </w:tcPr>
          <w:p>
            <w:pPr>
              <w:jc w:val="both"/>
            </w:pPr>
            <w:r>
              <w:rPr>
                <w:sz w:val="18"/>
              </w:rPr>
              <w:t>总体评价</w:t>
            </w:r>
            <w:r>
              <w:rPr>
                <w:sz w:val="18"/>
              </w:rPr>
              <w:t>:</w:t>
            </w:r>
          </w:p>
          <w:p>
            <w:pPr>
              <w:jc w:val="both"/>
            </w:pPr>
            <w:r>
              <w:rPr>
                <w:sz w:val="18"/>
              </w:rPr>
              <w:t>（可附页）</w:t>
            </w:r>
          </w:p>
        </w:tc>
      </w:tr>
      <w:tr>
        <w:tc>
          <w:tcPr>
            <w:tcW w:type="dxa" w:w="3287"/>
            <w:gridSpan w:val="4"/>
            <w:tcBorders>
              <w:top w:val="none" w:color="000000" w:sz="4"/>
              <w:left w:val="single" w:color="000000" w:sz="4"/>
              <w:bottom w:val="single" w:color="000000" w:sz="4"/>
              <w:right w:val="single" w:color="000000" w:sz="4"/>
            </w:tcBorders>
            <w:vAlign w:val="top"/>
          </w:tcPr>
          <w:p>
            <w:pPr>
              <w:jc w:val="both"/>
            </w:pPr>
            <w:r>
              <w:rPr>
                <w:sz w:val="18"/>
              </w:rPr>
              <w:t>被考核单位负责人签名（盖章）：</w:t>
            </w:r>
          </w:p>
          <w:p>
            <w:pPr>
              <w:jc w:val="both"/>
            </w:pPr>
            <w:r>
              <w:rPr>
                <w:sz w:val="18"/>
              </w:rPr>
              <w:t>日期：</w:t>
            </w:r>
          </w:p>
        </w:tc>
        <w:tc>
          <w:tcPr>
            <w:tcW w:type="dxa" w:w="1353"/>
            <w:gridSpan w:val="2"/>
            <w:tcBorders>
              <w:top w:val="single" w:color="000000" w:sz="4"/>
              <w:left w:val="single" w:color="000000" w:sz="4"/>
              <w:bottom w:val="single" w:color="000000" w:sz="4"/>
              <w:right w:val="single" w:color="000000" w:sz="4"/>
            </w:tcBorders>
            <w:vAlign w:val="top"/>
          </w:tcPr>
          <w:p>
            <w:pPr>
              <w:jc w:val="both"/>
            </w:pPr>
            <w:r>
              <w:rPr>
                <w:sz w:val="18"/>
              </w:rPr>
              <w:t>考核人员签名：</w:t>
            </w:r>
          </w:p>
          <w:p>
            <w:pPr>
              <w:jc w:val="both"/>
            </w:pPr>
            <w:r>
              <w:rPr>
                <w:sz w:val="18"/>
              </w:rPr>
              <w:t>日期：</w:t>
            </w:r>
          </w:p>
        </w:tc>
      </w:tr>
      <w:tr>
        <w:tc>
          <w:tcPr>
            <w:tcW w:type="dxa" w:w="4640"/>
            <w:gridSpan w:val="6"/>
            <w:tcBorders>
              <w:top w:val="none" w:color="000000" w:sz="4"/>
              <w:left w:val="single" w:color="000000" w:sz="4"/>
              <w:bottom w:val="single" w:color="000000" w:sz="4"/>
              <w:right w:val="single" w:color="000000" w:sz="4"/>
            </w:tcBorders>
            <w:vAlign w:val="top"/>
          </w:tcPr>
          <w:p>
            <w:pPr>
              <w:jc w:val="both"/>
            </w:pPr>
            <w:r>
              <w:rPr>
                <w:sz w:val="18"/>
              </w:rPr>
              <w:t>备注：采购人每月不定期进行考核检查。总分为</w:t>
            </w:r>
            <w:r>
              <w:rPr>
                <w:sz w:val="18"/>
              </w:rPr>
              <w:t>100分，低于80分为不及格。（当月考核不及格扣除当月总货款千分之五</w:t>
            </w:r>
            <w:r>
              <w:rPr>
                <w:sz w:val="18"/>
              </w:rPr>
              <w:t>；</w:t>
            </w:r>
            <w:r>
              <w:rPr>
                <w:sz w:val="18"/>
              </w:rPr>
              <w:t>如出现连续两次考核不及格扣除当月总货款千分之</w:t>
            </w:r>
            <w:r>
              <w:rPr>
                <w:sz w:val="18"/>
              </w:rPr>
              <w:t>十五</w:t>
            </w:r>
            <w:r>
              <w:rPr>
                <w:sz w:val="18"/>
              </w:rPr>
              <w:t>，采购人有权解除合同）</w:t>
            </w:r>
          </w:p>
        </w:tc>
      </w:tr>
    </w:tbl>
    <w:p>
      <w:pPr>
        <w:jc w:val="both"/>
      </w:pPr>
    </w:p>
    <w:p>
      <w:pPr>
        <w:jc w:val="center"/>
      </w:pPr>
      <w:r>
        <w:rPr>
          <w:b/>
          <w:sz w:val="24"/>
        </w:rPr>
        <w:t>配送情况考核表</w:t>
      </w:r>
    </w:p>
    <w:p>
      <w:pPr>
        <w:jc w:val="both"/>
      </w:pPr>
      <w:r>
        <w:rPr>
          <w:sz w:val="21"/>
        </w:rPr>
        <w:t>采购人检查具体按以下标准执行：</w:t>
      </w:r>
    </w:p>
    <w:tbl>
      <w:tblPr>
        <w:tblW w:w="0" w:type="auto"/>
        <w:tblBorders>
          <w:top w:val="none" w:color="000000" w:sz="4"/>
          <w:left w:val="none" w:color="000000" w:sz="4"/>
          <w:bottom w:val="none" w:color="000000" w:sz="4"/>
          <w:right w:val="none" w:color="000000" w:sz="4"/>
          <w:insideH w:val="none"/>
          <w:insideV w:val="none"/>
        </w:tblBorders>
      </w:tblPr>
      <w:tblGrid>
        <w:gridCol w:w="365"/>
        <w:gridCol w:w="2807"/>
        <w:gridCol w:w="622"/>
        <w:gridCol w:w="838"/>
      </w:tblGrid>
      <w:tr>
        <w:tc>
          <w:tcPr>
            <w:tcW w:type="dxa" w:w="365"/>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2807"/>
            <w:tcBorders>
              <w:top w:val="single" w:color="000000" w:sz="4"/>
              <w:left w:val="single" w:color="000000" w:sz="4"/>
              <w:bottom w:val="single" w:color="000000" w:sz="4"/>
              <w:right w:val="single" w:color="000000" w:sz="4"/>
            </w:tcBorders>
            <w:vAlign w:val="top"/>
          </w:tcPr>
          <w:p>
            <w:pPr>
              <w:jc w:val="center"/>
            </w:pPr>
            <w:r>
              <w:rPr>
                <w:b/>
                <w:sz w:val="18"/>
              </w:rPr>
              <w:t>考核标准</w:t>
            </w:r>
          </w:p>
        </w:tc>
        <w:tc>
          <w:tcPr>
            <w:tcW w:type="dxa" w:w="622"/>
            <w:tcBorders>
              <w:top w:val="single" w:color="000000" w:sz="4"/>
              <w:left w:val="single" w:color="000000" w:sz="4"/>
              <w:bottom w:val="single" w:color="000000" w:sz="4"/>
              <w:right w:val="single" w:color="000000" w:sz="4"/>
            </w:tcBorders>
            <w:vAlign w:val="top"/>
          </w:tcPr>
          <w:p>
            <w:pPr>
              <w:jc w:val="center"/>
            </w:pPr>
            <w:r>
              <w:rPr>
                <w:b/>
                <w:sz w:val="18"/>
              </w:rPr>
              <w:t>扣分分值</w:t>
            </w:r>
          </w:p>
        </w:tc>
        <w:tc>
          <w:tcPr>
            <w:tcW w:type="dxa" w:w="838"/>
            <w:tcBorders>
              <w:top w:val="single" w:color="000000" w:sz="4"/>
              <w:left w:val="single" w:color="000000" w:sz="4"/>
              <w:bottom w:val="single" w:color="000000" w:sz="4"/>
              <w:right w:val="single" w:color="000000" w:sz="4"/>
            </w:tcBorders>
            <w:vAlign w:val="top"/>
          </w:tcPr>
          <w:p>
            <w:pPr>
              <w:jc w:val="center"/>
            </w:pPr>
            <w:r>
              <w:rPr>
                <w:b/>
                <w:sz w:val="18"/>
              </w:rPr>
              <w:t>分值</w:t>
            </w: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1</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配送的生鲜食材未是规定时间内出品</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2</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配送的食材不足称</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2分/品类</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3</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配送的食材未提供相关检测报告</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4</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配送的食材（品名，规格等）不满足采购人的要求</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5</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未在规定时间内配送到位</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6</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未经采购人同意更换配送食材的工作人员</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7</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配送食材的工作人员未能遵守采购人的规章制度</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8</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收货时未能提供清晰的配送清单给采购人验货</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9</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配送的食材价格不合理，高于市场价格</w:t>
            </w:r>
            <w:r>
              <w:rPr>
                <w:sz w:val="18"/>
              </w:rPr>
              <w:t>10%。</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2分/品类</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10</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未及时提供相应的清单或发票给采购人</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11</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未采用冷藏车配送食材</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65"/>
            <w:tcBorders>
              <w:top w:val="none" w:color="000000" w:sz="4"/>
              <w:left w:val="single" w:color="000000" w:sz="4"/>
              <w:bottom w:val="single" w:color="000000" w:sz="4"/>
              <w:right w:val="single" w:color="000000" w:sz="4"/>
            </w:tcBorders>
            <w:vAlign w:val="top"/>
          </w:tcPr>
          <w:p>
            <w:pPr>
              <w:jc w:val="center"/>
            </w:pPr>
            <w:r>
              <w:rPr>
                <w:b/>
                <w:sz w:val="18"/>
              </w:rPr>
              <w:t>12</w:t>
            </w:r>
          </w:p>
        </w:tc>
        <w:tc>
          <w:tcPr>
            <w:tcW w:type="dxa" w:w="2807"/>
            <w:tcBorders>
              <w:top w:val="none" w:color="000000" w:sz="4"/>
              <w:left w:val="single" w:color="000000" w:sz="4"/>
              <w:bottom w:val="single" w:color="000000" w:sz="4"/>
              <w:right w:val="single" w:color="000000" w:sz="4"/>
            </w:tcBorders>
            <w:vAlign w:val="top"/>
          </w:tcPr>
          <w:p>
            <w:pPr>
              <w:jc w:val="both"/>
            </w:pPr>
            <w:r>
              <w:rPr>
                <w:sz w:val="18"/>
              </w:rPr>
              <w:t>配送车辆没有消杀</w:t>
            </w:r>
          </w:p>
        </w:tc>
        <w:tc>
          <w:tcPr>
            <w:tcW w:type="dxa" w:w="622"/>
            <w:tcBorders>
              <w:top w:val="none" w:color="000000" w:sz="4"/>
              <w:left w:val="single" w:color="000000" w:sz="4"/>
              <w:bottom w:val="single" w:color="000000" w:sz="4"/>
              <w:right w:val="single" w:color="000000" w:sz="4"/>
            </w:tcBorders>
            <w:vAlign w:val="top"/>
          </w:tcPr>
          <w:p>
            <w:pPr>
              <w:jc w:val="both"/>
            </w:pPr>
            <w:r>
              <w:rPr>
                <w:b/>
                <w:sz w:val="18"/>
              </w:rPr>
              <w:t>2分</w:t>
            </w:r>
          </w:p>
        </w:tc>
        <w:tc>
          <w:tcPr>
            <w:tcW w:type="dxa" w:w="838"/>
            <w:tcBorders>
              <w:top w:val="none" w:color="000000" w:sz="4"/>
              <w:left w:val="single" w:color="000000" w:sz="4"/>
              <w:bottom w:val="single" w:color="000000" w:sz="4"/>
              <w:right w:val="single" w:color="000000" w:sz="4"/>
            </w:tcBorders>
            <w:vAlign w:val="top"/>
          </w:tcPr>
          <w:p>
            <w:pPr>
              <w:jc w:val="both"/>
            </w:pPr>
          </w:p>
        </w:tc>
      </w:tr>
      <w:tr>
        <w:tc>
          <w:tcPr>
            <w:tcW w:type="dxa" w:w="3794"/>
            <w:gridSpan w:val="3"/>
            <w:tcBorders>
              <w:top w:val="none" w:color="000000" w:sz="4"/>
              <w:left w:val="single" w:color="000000" w:sz="4"/>
              <w:bottom w:val="single" w:color="000000" w:sz="4"/>
              <w:right w:val="single" w:color="000000" w:sz="4"/>
            </w:tcBorders>
            <w:vAlign w:val="top"/>
          </w:tcPr>
          <w:p>
            <w:pPr>
              <w:jc w:val="center"/>
            </w:pPr>
            <w:r>
              <w:rPr>
                <w:b/>
                <w:sz w:val="18"/>
              </w:rPr>
              <w:t>合计扣分分值</w:t>
            </w:r>
          </w:p>
        </w:tc>
        <w:tc>
          <w:tcPr>
            <w:tcW w:type="dxa" w:w="838"/>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采购人每日验收时进行现场考核，得出扣分值；每月对每日进行检查的扣分值进行累加统计，计算出月扣分值，以</w:t>
      </w:r>
      <w:r>
        <w:rPr>
          <w:sz w:val="21"/>
        </w:rPr>
        <w:t>100分为满分，减去月累计扣分值，为每月配送情况模块考核得分。</w:t>
      </w:r>
    </w:p>
    <w:p>
      <w:pPr>
        <w:jc w:val="both"/>
      </w:pPr>
      <w:r>
        <w:rPr>
          <w:sz w:val="21"/>
        </w:rPr>
        <w:t>考评人：</w:t>
      </w:r>
    </w:p>
    <w:p>
      <w:pPr>
        <w:jc w:val="both"/>
      </w:pPr>
      <w:r>
        <w:rPr>
          <w:sz w:val="21"/>
        </w:rPr>
        <w:t>配送员：</w:t>
      </w:r>
    </w:p>
    <w:p>
      <w:pPr>
        <w:jc w:val="both"/>
      </w:pPr>
    </w:p>
    <w:p>
      <w:pPr>
        <w:jc w:val="right"/>
      </w:pPr>
      <w:r>
        <w:rPr>
          <w:b/>
          <w:sz w:val="21"/>
        </w:rPr>
        <w:t>日期：</w:t>
      </w:r>
      <w:r>
        <w:rPr>
          <w:b/>
          <w:sz w:val="24"/>
          <w:u w:val="single"/>
        </w:rPr>
        <w:t xml:space="preserve">     </w:t>
      </w:r>
      <w:r>
        <w:rPr>
          <w:b/>
          <w:sz w:val="21"/>
        </w:rPr>
        <w:t>年</w:t>
      </w:r>
      <w:r>
        <w:rPr>
          <w:b/>
          <w:sz w:val="24"/>
          <w:u w:val="single"/>
        </w:rPr>
        <w:t xml:space="preserve">     </w:t>
      </w:r>
      <w:r>
        <w:rPr>
          <w:b/>
          <w:sz w:val="21"/>
        </w:rPr>
        <w:t>月</w:t>
      </w:r>
      <w:r>
        <w:rPr>
          <w:b/>
          <w:sz w:val="24"/>
          <w:u w:val="single"/>
        </w:rPr>
        <w:t xml:space="preserve">     </w:t>
      </w:r>
      <w:r>
        <w:rPr>
          <w:b/>
          <w:sz w:val="21"/>
        </w:rPr>
        <w:t>日</w:t>
      </w:r>
    </w:p>
    <w:p>
      <w:pPr>
        <w:jc w:val="right"/>
      </w:pPr>
      <w:r>
        <w:rPr/>
        <w:t xml:space="preserve"> </w:t>
      </w:r>
    </w:p>
    <w:p>
      <w:r>
        <w:rPr/>
        <w:t xml:space="preserve"> </w:t>
      </w:r>
    </w:p>
    <w:p>
      <w:pPr>
        <w:jc w:val="both"/>
      </w:pPr>
      <w:r>
        <w:rPr>
          <w:b/>
          <w:sz w:val="32"/>
        </w:rPr>
        <w:t>三、采购包</w:t>
      </w:r>
      <w:r>
        <w:rPr>
          <w:b/>
          <w:sz w:val="32"/>
        </w:rPr>
        <w:t>2（中山市廉政教育中心2023年度食堂外包服务采购项目）采购需求内容：</w:t>
      </w:r>
    </w:p>
    <w:p>
      <w:pPr>
        <w:ind w:firstLine="421"/>
        <w:jc w:val="left"/>
      </w:pPr>
    </w:p>
    <w:p>
      <w:pPr>
        <w:ind w:firstLine="421"/>
        <w:jc w:val="left"/>
      </w:pPr>
      <w:r>
        <w:rPr>
          <w:b/>
          <w:sz w:val="21"/>
        </w:rPr>
        <w:t>（一）</w:t>
      </w:r>
      <w:r>
        <w:rPr>
          <w:b/>
          <w:sz w:val="21"/>
        </w:rPr>
        <w:t>基本信息</w:t>
      </w:r>
    </w:p>
    <w:p>
      <w:pPr>
        <w:ind w:firstLine="480"/>
        <w:jc w:val="left"/>
      </w:pPr>
      <w:r>
        <w:rPr>
          <w:sz w:val="21"/>
        </w:rPr>
        <w:t>1</w:t>
      </w:r>
      <w:r>
        <w:rPr>
          <w:sz w:val="21"/>
        </w:rPr>
        <w:t>.预算金额：</w:t>
      </w:r>
      <w:r>
        <w:rPr>
          <w:sz w:val="21"/>
        </w:rPr>
        <w:t>500</w:t>
      </w:r>
      <w:r>
        <w:rPr>
          <w:sz w:val="21"/>
        </w:rPr>
        <w:t>万元</w:t>
      </w:r>
    </w:p>
    <w:p>
      <w:pPr>
        <w:ind w:firstLine="480"/>
        <w:jc w:val="left"/>
      </w:pPr>
      <w:r>
        <w:rPr>
          <w:sz w:val="21"/>
        </w:rPr>
        <w:t>2</w:t>
      </w:r>
      <w:r>
        <w:rPr>
          <w:sz w:val="21"/>
        </w:rPr>
        <w:t>.最高</w:t>
      </w:r>
      <w:r>
        <w:rPr>
          <w:sz w:val="21"/>
        </w:rPr>
        <w:t>限价：</w:t>
      </w:r>
      <w:r>
        <w:rPr>
          <w:sz w:val="21"/>
        </w:rPr>
        <w:t>与预算金额一致，投标报价超过最高限价的按无效投标处理。</w:t>
      </w:r>
    </w:p>
    <w:p>
      <w:pPr>
        <w:ind w:firstLine="480"/>
        <w:jc w:val="left"/>
      </w:pPr>
      <w:r>
        <w:rPr>
          <w:sz w:val="21"/>
        </w:rPr>
        <w:t>3</w:t>
      </w:r>
      <w:r>
        <w:rPr>
          <w:sz w:val="21"/>
        </w:rPr>
        <w:t>.服务期：自合同生效之日起12个月，具体起止期限以采购人与中标人签订的合同约定为准。采购人与中标人签订合同之日起7天内，中标人需进场开展工作，以确保能顺利开展工作。</w:t>
      </w:r>
    </w:p>
    <w:p>
      <w:pPr>
        <w:ind w:firstLine="480"/>
        <w:jc w:val="left"/>
      </w:pPr>
      <w:r>
        <w:rPr>
          <w:sz w:val="21"/>
        </w:rPr>
        <w:t>4.非小微企业投标的，</w:t>
      </w:r>
      <w:r>
        <w:rPr>
          <w:sz w:val="21"/>
        </w:rPr>
        <w:t>鼓励</w:t>
      </w:r>
      <w:r>
        <w:rPr>
          <w:sz w:val="21"/>
        </w:rPr>
        <w:t>中标后</w:t>
      </w:r>
      <w:r>
        <w:rPr>
          <w:sz w:val="21"/>
        </w:rPr>
        <w:t>将专业资质维保部分</w:t>
      </w:r>
      <w:r>
        <w:rPr>
          <w:sz w:val="21"/>
        </w:rPr>
        <w:t>分包给小</w:t>
      </w:r>
      <w:r>
        <w:rPr>
          <w:sz w:val="21"/>
        </w:rPr>
        <w:t>型企业或</w:t>
      </w:r>
      <w:r>
        <w:rPr>
          <w:sz w:val="21"/>
        </w:rPr>
        <w:t>微</w:t>
      </w:r>
      <w:r>
        <w:rPr>
          <w:sz w:val="21"/>
        </w:rPr>
        <w:t>型</w:t>
      </w:r>
      <w:r>
        <w:rPr>
          <w:sz w:val="21"/>
        </w:rPr>
        <w:t>企业。</w:t>
      </w:r>
    </w:p>
    <w:p>
      <w:pPr>
        <w:ind w:firstLine="480"/>
        <w:jc w:val="left"/>
      </w:pPr>
      <w:r>
        <w:rPr>
          <w:sz w:val="21"/>
        </w:rPr>
        <w:t>5</w:t>
      </w:r>
      <w:r>
        <w:rPr>
          <w:sz w:val="21"/>
        </w:rPr>
        <w:t>.本</w:t>
      </w:r>
      <w:r>
        <w:rPr>
          <w:sz w:val="21"/>
        </w:rPr>
        <w:t>采购包</w:t>
      </w:r>
      <w:r>
        <w:rPr>
          <w:sz w:val="21"/>
        </w:rPr>
        <w:t>由中标人负责招标文件对中标人要求的一切事宜及责任。</w:t>
      </w:r>
    </w:p>
    <w:p>
      <w:pPr>
        <w:ind w:firstLine="480"/>
        <w:jc w:val="left"/>
      </w:pPr>
      <w:r>
        <w:rPr>
          <w:sz w:val="21"/>
        </w:rPr>
        <w:t>6</w:t>
      </w:r>
      <w:r>
        <w:rPr>
          <w:sz w:val="21"/>
        </w:rPr>
        <w:t>.中标人不得以任何方式</w:t>
      </w:r>
      <w:r>
        <w:rPr>
          <w:sz w:val="21"/>
        </w:rPr>
        <w:t>将本采购包进行</w:t>
      </w:r>
      <w:r>
        <w:rPr>
          <w:sz w:val="21"/>
        </w:rPr>
        <w:t>转包。</w:t>
      </w:r>
    </w:p>
    <w:p>
      <w:pPr>
        <w:ind w:firstLine="480"/>
        <w:jc w:val="left"/>
      </w:pPr>
      <w:r>
        <w:rPr>
          <w:sz w:val="21"/>
        </w:rPr>
        <w:t>7</w:t>
      </w:r>
      <w:r>
        <w:rPr>
          <w:sz w:val="21"/>
        </w:rPr>
        <w:t>.本</w:t>
      </w:r>
      <w:r>
        <w:rPr>
          <w:sz w:val="21"/>
        </w:rPr>
        <w:t>采购包</w:t>
      </w:r>
      <w:r>
        <w:rPr>
          <w:sz w:val="21"/>
        </w:rPr>
        <w:t>不接受联合体投标。</w:t>
      </w:r>
    </w:p>
    <w:p>
      <w:pPr>
        <w:ind w:firstLine="421"/>
        <w:jc w:val="both"/>
      </w:pPr>
      <w:r>
        <w:rPr>
          <w:b/>
          <w:sz w:val="21"/>
        </w:rPr>
        <w:t>（二）</w:t>
      </w:r>
      <w:r>
        <w:rPr>
          <w:b/>
          <w:sz w:val="21"/>
        </w:rPr>
        <w:t>违约条款</w:t>
      </w:r>
    </w:p>
    <w:p>
      <w:pPr>
        <w:ind w:firstLine="420"/>
        <w:jc w:val="both"/>
      </w:pPr>
      <w:r>
        <w:rPr>
          <w:sz w:val="21"/>
        </w:rPr>
        <w:t>1.投标人在投标文件中承诺的内容将作为以后（中标后）签订政府采购合同的内容，包括★条款、▲条款及一般条款的响应情况，投标人在履行合同过程中必须严格执行，在履行合同过程中无法满足★条款的相关要求将按中标人违约处理（采购人有权扣除较重的违约金甚至解除合同），在履行合同中无法满足▲条款及一般条款的相关要求将按中标人违约处理（采购人有权扣除一定的违约金甚至解除合同）。</w:t>
      </w:r>
    </w:p>
    <w:p>
      <w:pPr>
        <w:ind w:firstLine="420"/>
        <w:jc w:val="both"/>
      </w:pPr>
      <w:r>
        <w:rPr>
          <w:sz w:val="21"/>
        </w:rPr>
        <w:t>2.投标人在投标文件中用于响应评分的服务方案</w:t>
      </w:r>
      <w:r>
        <w:rPr>
          <w:sz w:val="21"/>
        </w:rPr>
        <w:t>【</w:t>
      </w:r>
      <w:r>
        <w:rPr>
          <w:sz w:val="21"/>
        </w:rPr>
        <w:t>包括但不限于技术评分表</w:t>
      </w:r>
      <w:r>
        <w:rPr>
          <w:sz w:val="21"/>
        </w:rPr>
        <w:t>（采购包</w:t>
      </w:r>
      <w:r>
        <w:rPr>
          <w:sz w:val="21"/>
        </w:rPr>
        <w:t>2</w:t>
      </w:r>
      <w:r>
        <w:rPr>
          <w:sz w:val="21"/>
        </w:rPr>
        <w:t>）</w:t>
      </w:r>
      <w:r>
        <w:rPr>
          <w:sz w:val="21"/>
        </w:rPr>
        <w:t>的方案</w:t>
      </w:r>
      <w:r>
        <w:rPr>
          <w:sz w:val="21"/>
        </w:rPr>
        <w:t>】</w:t>
      </w:r>
      <w:r>
        <w:rPr>
          <w:sz w:val="21"/>
        </w:rPr>
        <w:t>将作为以后（中标后）签订政府采购合同的内容，在履行合同过程中无法满足要求的将按中标人违约处理（采购人有权扣除一定的违约金甚至解除合同）。</w:t>
      </w:r>
    </w:p>
    <w:p>
      <w:pPr>
        <w:ind w:firstLine="420"/>
        <w:jc w:val="both"/>
      </w:pPr>
      <w:r>
        <w:rPr>
          <w:sz w:val="21"/>
        </w:rPr>
        <w:t>3.投标人在投标文件中用于响应评分的委派具体人员为中标后委派人员，实际到场人员与投标文件中拟派具体人员不符的，将按中标人违约处理（采购人有权扣除较重的违约金甚至解除合同）。</w:t>
      </w:r>
    </w:p>
    <w:p>
      <w:pPr>
        <w:ind w:firstLine="421"/>
        <w:jc w:val="left"/>
      </w:pPr>
      <w:r>
        <w:rPr>
          <w:b/>
          <w:sz w:val="21"/>
        </w:rPr>
        <w:t>（三）</w:t>
      </w:r>
      <w:r>
        <w:rPr>
          <w:b/>
          <w:sz w:val="21"/>
        </w:rPr>
        <w:t>具体服务内容与要求</w:t>
      </w:r>
    </w:p>
    <w:p>
      <w:pPr>
        <w:ind w:firstLine="421"/>
        <w:jc w:val="left"/>
      </w:pPr>
      <w:r>
        <w:rPr>
          <w:b/>
          <w:sz w:val="21"/>
        </w:rPr>
        <w:t>（</w:t>
      </w:r>
      <w:r>
        <w:rPr>
          <w:b/>
          <w:sz w:val="21"/>
        </w:rPr>
        <w:t>1</w:t>
      </w:r>
      <w:r>
        <w:rPr>
          <w:b/>
          <w:sz w:val="21"/>
        </w:rPr>
        <w:t>）服务内容</w:t>
      </w:r>
    </w:p>
    <w:p>
      <w:pPr>
        <w:ind w:firstLine="420"/>
        <w:jc w:val="both"/>
      </w:pPr>
      <w:r>
        <w:rPr>
          <w:sz w:val="21"/>
        </w:rPr>
        <w:t>1.本项目服务区域包括以下两处：</w:t>
      </w:r>
    </w:p>
    <w:p>
      <w:pPr>
        <w:ind w:firstLine="420"/>
        <w:jc w:val="both"/>
      </w:pPr>
      <w:r>
        <w:rPr>
          <w:sz w:val="21"/>
        </w:rPr>
        <w:t>1.1东江路食堂，地址为中山市火炬开发区东江路33号，可提供500人就餐供应，包括有生产、储存、就餐和接待等功能区。</w:t>
      </w:r>
    </w:p>
    <w:p>
      <w:pPr>
        <w:ind w:firstLine="420"/>
        <w:jc w:val="both"/>
      </w:pPr>
      <w:r>
        <w:rPr>
          <w:sz w:val="21"/>
        </w:rPr>
        <w:t>1.2桂苑商务区食堂，地址为中山市博爱四路桂苑商务区，能满足150人就餐供应，包括有生产、储存、就餐等功能区。</w:t>
      </w:r>
    </w:p>
    <w:p>
      <w:pPr>
        <w:ind w:firstLine="420"/>
        <w:jc w:val="both"/>
      </w:pPr>
      <w:r>
        <w:rPr>
          <w:sz w:val="21"/>
        </w:rPr>
        <w:t>2.</w:t>
      </w:r>
      <w:r>
        <w:rPr>
          <w:sz w:val="21"/>
        </w:rPr>
        <w:t>以上两处食堂配套设备齐全，证照齐全，接受市有关行政部门监督检查。</w:t>
      </w:r>
      <w:r>
        <w:rPr>
          <w:sz w:val="21"/>
        </w:rPr>
        <w:t>包括炊具、食物加工、材料保存、消毒设备、餐具、台椅等；设备置换、增加由采购人负责提供；维护保养由中标人负责，维护保养费用由中标人负责；如涉及维修，中标人提出维修方案，经采购人同意后进行维修，费用由采购人负责。</w:t>
      </w:r>
    </w:p>
    <w:p>
      <w:pPr>
        <w:ind w:firstLine="420"/>
        <w:jc w:val="both"/>
      </w:pPr>
      <w:r>
        <w:rPr>
          <w:sz w:val="21"/>
        </w:rPr>
        <w:t>3.中标人应为厨房工作人员每季度配2套工作服、水鞋以及日常使用的口罩、厨师帽等服装配饰。在工作区域内配置应急药箱，定期补充、更换应急、常备药物。每日应对食堂工作人员进行考勤和岗前健康检查，严格落实国家食品经营相关法律法规要求。</w:t>
      </w:r>
    </w:p>
    <w:p>
      <w:pPr>
        <w:ind w:firstLine="420"/>
        <w:jc w:val="both"/>
      </w:pPr>
      <w:r>
        <w:rPr>
          <w:sz w:val="21"/>
        </w:rPr>
        <w:t>4.水、电、燃气等附属设施齐全，正常供给，费用由采购人负责支付。</w:t>
      </w:r>
    </w:p>
    <w:p>
      <w:pPr>
        <w:ind w:firstLine="420"/>
        <w:jc w:val="both"/>
      </w:pPr>
      <w:r>
        <w:rPr>
          <w:sz w:val="21"/>
        </w:rPr>
        <w:t>5.采购人提供餐厅、厨房、仓库等相应的制作、供餐、就餐场地给中标人管理，中标人负责食堂的菜单制定下单、食物烹煮分装、卫生保洁消毒，厨房及就餐区相关设备设施维护保养等。采购人已确定食材配送供应商，食品、原材料由该食材配送供应商每日供应，费用由采购人支付。</w:t>
      </w:r>
    </w:p>
    <w:p>
      <w:pPr>
        <w:jc w:val="left"/>
      </w:pPr>
      <w:r>
        <w:rPr>
          <w:sz w:val="21"/>
        </w:rPr>
        <w:t>6.采购人已建有消费系统，可实现员工就餐管理，中标人需对就餐人员刷卡进行监督，确保就餐人数和刷卡数量一致。</w:t>
      </w:r>
    </w:p>
    <w:p>
      <w:pPr>
        <w:jc w:val="left"/>
      </w:pPr>
      <w:r>
        <w:rPr>
          <w:sz w:val="21"/>
        </w:rPr>
        <w:t>7.因工作需要，工作人员需接受采购人的统一调配，临时安排至其他工作点协助就餐服务。</w:t>
      </w:r>
    </w:p>
    <w:p>
      <w:pPr>
        <w:ind w:firstLine="421"/>
        <w:jc w:val="left"/>
      </w:pPr>
      <w:r>
        <w:rPr>
          <w:b/>
          <w:sz w:val="21"/>
        </w:rPr>
        <w:t>（</w:t>
      </w:r>
      <w:r>
        <w:rPr>
          <w:b/>
          <w:sz w:val="21"/>
        </w:rPr>
        <w:t>2</w:t>
      </w:r>
      <w:r>
        <w:rPr>
          <w:b/>
          <w:sz w:val="21"/>
        </w:rPr>
        <w:t>）项目基本要求</w:t>
      </w:r>
    </w:p>
    <w:p>
      <w:pPr>
        <w:ind w:firstLine="420"/>
        <w:jc w:val="both"/>
      </w:pPr>
      <w:r>
        <w:rPr>
          <w:sz w:val="21"/>
        </w:rPr>
        <w:t>1</w:t>
      </w:r>
      <w:r>
        <w:rPr>
          <w:sz w:val="21"/>
        </w:rPr>
        <w:t>.中标人负责招标文件对中标人要求的一切事宜及责任。食堂员工的工资福利、保险等相关费用由中标人负责。中标人依法承担所属员工及承包范围内的计划生育、食品安全、安全生产、消防、社会治安综合治理等一切责任。本食堂为采购人内部食堂，中标人不得以任何方式超过本项目规定的范围管理，否则采购人有权立即终止合同。</w:t>
      </w:r>
    </w:p>
    <w:p>
      <w:pPr>
        <w:ind w:firstLine="420"/>
        <w:jc w:val="both"/>
      </w:pPr>
      <w:r>
        <w:rPr>
          <w:sz w:val="21"/>
        </w:rPr>
        <w:t>2</w:t>
      </w:r>
      <w:r>
        <w:rPr>
          <w:sz w:val="21"/>
        </w:rPr>
        <w:t>.签订合同后其中前3个月为试用期，每月采取组织人员对中标人以第</w:t>
      </w:r>
      <w:r>
        <w:rPr>
          <w:sz w:val="21"/>
        </w:rPr>
        <w:t>七</w:t>
      </w:r>
      <w:r>
        <w:rPr>
          <w:sz w:val="21"/>
        </w:rPr>
        <w:t>项：考核管理办法</w:t>
      </w:r>
      <w:r>
        <w:rPr>
          <w:sz w:val="21"/>
        </w:rPr>
        <w:t>1.《总体考核打分表》的方式实施考评（具体人员范围由采购人确定），如服务满意度平均得分低于80分的，采购人有权在10 个工作日内决定是否给予中标人不长于1个月的整改期限。试用期满或整改期满，中标人如果仍未达到采购人的相关服务要求和质量，采购人有权单方终止合同，重新组织招标采购。</w:t>
      </w:r>
    </w:p>
    <w:p>
      <w:pPr>
        <w:ind w:firstLine="420"/>
        <w:jc w:val="both"/>
      </w:pPr>
      <w:r>
        <w:rPr>
          <w:sz w:val="21"/>
        </w:rPr>
        <w:t>3</w:t>
      </w:r>
      <w:r>
        <w:rPr>
          <w:sz w:val="21"/>
        </w:rPr>
        <w:t>.投标人投标报价默认包括了与本次服务项目相关的全部费用（除采购人另有说明外），不另向采购人收费。</w:t>
      </w:r>
    </w:p>
    <w:p>
      <w:pPr>
        <w:ind w:firstLine="420"/>
        <w:jc w:val="both"/>
      </w:pPr>
      <w:r>
        <w:rPr>
          <w:sz w:val="21"/>
        </w:rPr>
        <w:t>4</w:t>
      </w:r>
      <w:r>
        <w:rPr>
          <w:sz w:val="21"/>
        </w:rPr>
        <w:t>.本项目投标报价应包括：提供服务的服务费及完成服务所须的服务外包人员包含但不限于食堂管理服务费用须包含但不限于岗位人员的工资、社保、综合医疗保险、住房公积金、其他福利、节日慰问品、食堂的安全卫生管理、就餐管理、人事管理、利润、商业保险、体检、健康证、工会费、高温津贴、残障金、管理费、服装费、税费，另须同时承担岗位人员的加班费</w:t>
      </w:r>
      <w:r>
        <w:rPr>
          <w:sz w:val="21"/>
        </w:rPr>
        <w:t>（含节假日）</w:t>
      </w:r>
      <w:r>
        <w:rPr>
          <w:sz w:val="21"/>
        </w:rPr>
        <w:t>、慰问费、福利费、年终绩效等工资福利、经济补偿金、经济赔偿金、一次性伤残补助金、一次性伤残医疗补助金、一次性伤残就业补助金等。若服务期间，国家、省、市对缴费标准有新的政策规定，则须按新的规定及时调整。</w:t>
      </w:r>
    </w:p>
    <w:p>
      <w:pPr>
        <w:ind w:firstLine="420"/>
        <w:jc w:val="both"/>
      </w:pPr>
      <w:r>
        <w:rPr>
          <w:sz w:val="21"/>
        </w:rPr>
        <w:t>5</w:t>
      </w:r>
      <w:r>
        <w:rPr>
          <w:sz w:val="21"/>
        </w:rPr>
        <w:t>.投标人需利用信息化手段以及先进设备辅助食堂管理服务工作，以实现高效高质服务的方案（包括但不限于信息化应用于任务派工、服务效果监督、耗材物品管理、人员考勤、应急处理管理等</w:t>
      </w:r>
      <w:r>
        <w:rPr>
          <w:sz w:val="21"/>
        </w:rPr>
        <w:t>，先进设备用于食材粗加工和烹调、点心蛋糕和饮品制作、环境卫生保障等</w:t>
      </w:r>
      <w:r>
        <w:rPr>
          <w:sz w:val="21"/>
        </w:rPr>
        <w:t>）。</w:t>
      </w:r>
    </w:p>
    <w:p>
      <w:pPr>
        <w:jc w:val="both"/>
      </w:pPr>
      <w:r>
        <w:rPr>
          <w:sz w:val="24"/>
        </w:rPr>
        <w:t xml:space="preserve"> </w:t>
      </w:r>
    </w:p>
    <w:p>
      <w:pPr>
        <w:ind w:firstLine="421"/>
        <w:jc w:val="left"/>
      </w:pPr>
      <w:r>
        <w:rPr>
          <w:b/>
          <w:sz w:val="21"/>
        </w:rPr>
        <w:t>（</w:t>
      </w:r>
      <w:r>
        <w:rPr>
          <w:b/>
          <w:sz w:val="21"/>
        </w:rPr>
        <w:t>3</w:t>
      </w:r>
      <w:r>
        <w:rPr>
          <w:b/>
          <w:sz w:val="21"/>
        </w:rPr>
        <w:t>）管理要求</w:t>
      </w:r>
    </w:p>
    <w:p>
      <w:pPr>
        <w:jc w:val="left"/>
      </w:pPr>
      <w:r>
        <w:rPr>
          <w:sz w:val="21"/>
        </w:rPr>
        <w:t>1.采购人负责提供场地、水电、燃气等，中标人负责管理食堂，供餐分量与就餐人数相适应，不能造成浪费。饭菜出品要符合用餐人员要求。</w:t>
      </w:r>
      <w:r>
        <w:rPr>
          <w:sz w:val="21"/>
        </w:rPr>
        <w:t>食品加工和就餐的环境要符合有关卫生要求。</w:t>
      </w:r>
    </w:p>
    <w:p>
      <w:pPr>
        <w:ind w:firstLine="420"/>
        <w:jc w:val="both"/>
      </w:pPr>
      <w:r>
        <w:rPr>
          <w:sz w:val="21"/>
        </w:rPr>
        <w:t>★2.中标人应根据采购人的就餐需求投入专业工作人员（厨房工作人员），并承担所投入人员的工资、福利、社保等一切费用。厨房工作人员必须具备符合有关健康规定持证上岗，并每半年进行一次体检，体检结果报采购人备案，体检不合格的人员须马上更换，费用由中标人负责。中标人</w:t>
      </w:r>
      <w:r>
        <w:rPr>
          <w:sz w:val="21"/>
        </w:rPr>
        <w:t>要按照有关要求及时配备工作人员，录用工作人员需征得采购人同意才能上岗，如存在缺员情况须在十五天内配备完毕</w:t>
      </w:r>
      <w:r>
        <w:rPr>
          <w:sz w:val="21"/>
        </w:rPr>
        <w:t>；在工作过程中，采购人如发现工作人员不适合该岗位，中标人应在收到通知</w:t>
      </w:r>
      <w:r>
        <w:rPr>
          <w:sz w:val="21"/>
        </w:rPr>
        <w:t>之日起</w:t>
      </w:r>
      <w:r>
        <w:rPr>
          <w:sz w:val="21"/>
        </w:rPr>
        <w:t>30天内无条件更换该工作人员。</w:t>
      </w:r>
      <w:r>
        <w:rPr>
          <w:sz w:val="21"/>
        </w:rPr>
        <w:t>人员要求如下：</w:t>
      </w:r>
    </w:p>
    <w:p>
      <w:pPr>
        <w:ind w:firstLine="420"/>
        <w:jc w:val="both"/>
      </w:pPr>
      <w:r>
        <w:rPr>
          <w:sz w:val="21"/>
        </w:rPr>
        <w:t>2.1项目经理1名</w:t>
      </w:r>
      <w:r>
        <w:rPr>
          <w:sz w:val="21"/>
        </w:rPr>
        <w:t>，全面负责</w:t>
      </w:r>
      <w:r>
        <w:rPr>
          <w:sz w:val="21"/>
        </w:rPr>
        <w:t>以下</w:t>
      </w:r>
      <w:r>
        <w:rPr>
          <w:sz w:val="21"/>
        </w:rPr>
        <w:t>两个食堂</w:t>
      </w:r>
      <w:r>
        <w:rPr>
          <w:sz w:val="21"/>
        </w:rPr>
        <w:t>（</w:t>
      </w:r>
      <w:r>
        <w:rPr>
          <w:sz w:val="21"/>
        </w:rPr>
        <w:t>东江路食堂和</w:t>
      </w:r>
      <w:r>
        <w:rPr>
          <w:sz w:val="21"/>
        </w:rPr>
        <w:t>桂苑商务区食堂</w:t>
      </w:r>
      <w:r>
        <w:rPr>
          <w:sz w:val="21"/>
        </w:rPr>
        <w:t>）</w:t>
      </w:r>
      <w:r>
        <w:rPr>
          <w:sz w:val="21"/>
        </w:rPr>
        <w:t>的管理工作</w:t>
      </w:r>
      <w:r>
        <w:rPr>
          <w:sz w:val="21"/>
        </w:rPr>
        <w:t>。</w:t>
      </w:r>
    </w:p>
    <w:p>
      <w:pPr>
        <w:ind w:firstLine="420"/>
        <w:jc w:val="both"/>
      </w:pPr>
      <w:r>
        <w:rPr>
          <w:sz w:val="21"/>
        </w:rPr>
        <w:t>2.2东江路食堂保证应投入至少35名或以上的专业工作人员：包含厨师6名；点心师5名；二厨7名；厨房保洁人员14名；服务员3名。</w:t>
      </w:r>
    </w:p>
    <w:p>
      <w:pPr>
        <w:ind w:firstLine="420"/>
        <w:jc w:val="both"/>
      </w:pPr>
      <w:r>
        <w:rPr>
          <w:sz w:val="21"/>
        </w:rPr>
        <w:t>2.</w:t>
      </w:r>
      <w:r>
        <w:rPr>
          <w:sz w:val="21"/>
        </w:rPr>
        <w:t>3</w:t>
      </w:r>
      <w:r>
        <w:rPr>
          <w:sz w:val="21"/>
        </w:rPr>
        <w:t>桂苑商务区食堂保证投入至少</w:t>
      </w:r>
      <w:r>
        <w:rPr>
          <w:sz w:val="21"/>
        </w:rPr>
        <w:t>11名或以上的专业工作人员，包含厨师2名；点心师1名；二厨3名；厨房保洁</w:t>
      </w:r>
      <w:r>
        <w:rPr>
          <w:sz w:val="21"/>
        </w:rPr>
        <w:t>人员</w:t>
      </w:r>
      <w:r>
        <w:rPr>
          <w:sz w:val="21"/>
        </w:rPr>
        <w:t>4名；服务员1名。</w:t>
      </w:r>
    </w:p>
    <w:p>
      <w:pPr>
        <w:ind w:firstLine="420"/>
        <w:jc w:val="both"/>
      </w:pPr>
      <w:r>
        <w:rPr>
          <w:sz w:val="21"/>
        </w:rPr>
        <w:t>【以上</w:t>
      </w:r>
      <w:r>
        <w:rPr>
          <w:sz w:val="21"/>
        </w:rPr>
        <w:t>2（2.1</w:t>
      </w:r>
      <w:r>
        <w:rPr>
          <w:sz w:val="21"/>
        </w:rPr>
        <w:t>、</w:t>
      </w:r>
      <w:r>
        <w:rPr>
          <w:sz w:val="21"/>
        </w:rPr>
        <w:t>2.2</w:t>
      </w:r>
      <w:r>
        <w:rPr>
          <w:sz w:val="21"/>
        </w:rPr>
        <w:t>、</w:t>
      </w:r>
      <w:r>
        <w:rPr>
          <w:sz w:val="21"/>
        </w:rPr>
        <w:t>2.3</w:t>
      </w:r>
      <w:r>
        <w:rPr>
          <w:sz w:val="21"/>
        </w:rPr>
        <w:t>）点</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jc w:val="left"/>
      </w:pPr>
      <w:r>
        <w:rPr>
          <w:sz w:val="21"/>
        </w:rPr>
        <w:t>3</w:t>
      </w:r>
      <w:r>
        <w:rPr>
          <w:sz w:val="21"/>
        </w:rPr>
        <w:t>.人员配备要求：</w:t>
      </w:r>
    </w:p>
    <w:p>
      <w:pPr>
        <w:ind w:firstLine="420"/>
        <w:jc w:val="left"/>
      </w:pPr>
      <w:r>
        <w:rPr>
          <w:sz w:val="21"/>
        </w:rPr>
        <w:t>★</w:t>
      </w:r>
      <w:r>
        <w:rPr>
          <w:sz w:val="21"/>
        </w:rPr>
        <w:t>3</w:t>
      </w:r>
      <w:r>
        <w:rPr>
          <w:sz w:val="21"/>
        </w:rPr>
        <w:t>.1项目经理：大专以上学历，年龄要求在45岁以下</w:t>
      </w:r>
      <w:r>
        <w:rPr>
          <w:sz w:val="21"/>
        </w:rPr>
        <w:t>（</w:t>
      </w:r>
      <w:r>
        <w:rPr>
          <w:sz w:val="21"/>
        </w:rPr>
        <w:t>45岁以上年龄人员若身体健康且具备满足对应工作的体力和能力，经采购人同意，可以适当放宽</w:t>
      </w:r>
      <w:r>
        <w:rPr>
          <w:sz w:val="21"/>
        </w:rPr>
        <w:t>）</w:t>
      </w:r>
      <w:r>
        <w:rPr>
          <w:sz w:val="21"/>
        </w:rPr>
        <w:t>，具有</w:t>
      </w:r>
      <w:r>
        <w:rPr>
          <w:sz w:val="21"/>
        </w:rPr>
        <w:t>5年以上餐饮、从业经历或机关餐饮管理工作，同时持有</w:t>
      </w:r>
      <w:r>
        <w:rPr>
          <w:sz w:val="21"/>
        </w:rPr>
        <w:t>“中级食品安全管理员”（餐饮服务）资格证、</w:t>
      </w:r>
      <w:r>
        <w:rPr>
          <w:sz w:val="21"/>
        </w:rPr>
        <w:t>《健康合格证明》；主要负责对接采购人，根据采购人需要，调配、管理厨房人员，制定人员考勤、奖罚、培训、保密等工作制度，</w:t>
      </w:r>
      <w:r>
        <w:rPr>
          <w:sz w:val="21"/>
        </w:rPr>
        <w:t>监督检查食堂内的卫生情况和食堂各设施设备的运维情况，</w:t>
      </w:r>
      <w:r>
        <w:rPr>
          <w:sz w:val="21"/>
        </w:rPr>
        <w:t>完成采购人交办的工作任务。熟悉相关食品安全法律法规；具有强烈的服务意识和责任心，认真钻研业务，根据需求不断创新出品，吃苦耐劳，无犯罪记录</w:t>
      </w:r>
      <w:r>
        <w:rPr>
          <w:sz w:val="21"/>
        </w:rPr>
        <w:t>的</w:t>
      </w:r>
      <w:r>
        <w:rPr>
          <w:sz w:val="21"/>
        </w:rPr>
        <w:t>证明。录用标准以采购人</w:t>
      </w:r>
      <w:r>
        <w:rPr>
          <w:sz w:val="21"/>
        </w:rPr>
        <w:t>意见为准</w:t>
      </w:r>
      <w:r>
        <w:rPr>
          <w:sz w:val="21"/>
        </w:rPr>
        <w:t>。</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left"/>
      </w:pPr>
      <w:r>
        <w:rPr>
          <w:sz w:val="21"/>
        </w:rPr>
        <w:t>★</w:t>
      </w:r>
      <w:r>
        <w:rPr>
          <w:sz w:val="21"/>
        </w:rPr>
        <w:t>3</w:t>
      </w:r>
      <w:r>
        <w:rPr>
          <w:sz w:val="21"/>
        </w:rPr>
        <w:t>.</w:t>
      </w:r>
      <w:r>
        <w:rPr>
          <w:sz w:val="21"/>
        </w:rPr>
        <w:t>2</w:t>
      </w:r>
      <w:r>
        <w:rPr>
          <w:sz w:val="21"/>
        </w:rPr>
        <w:t>厨师：年龄要求在</w:t>
      </w:r>
      <w:r>
        <w:rPr>
          <w:sz w:val="21"/>
        </w:rPr>
        <w:t>50岁以下</w:t>
      </w:r>
      <w:r>
        <w:rPr>
          <w:sz w:val="21"/>
        </w:rPr>
        <w:t>（</w:t>
      </w:r>
      <w:r>
        <w:rPr>
          <w:sz w:val="21"/>
        </w:rPr>
        <w:t>50岁以上年龄人员若身体健康且具备满足对应工作的体力和能力，经采购人同意，可以适当放宽</w:t>
      </w:r>
      <w:r>
        <w:rPr>
          <w:sz w:val="21"/>
        </w:rPr>
        <w:t>）</w:t>
      </w:r>
      <w:r>
        <w:rPr>
          <w:sz w:val="21"/>
        </w:rPr>
        <w:t>，具</w:t>
      </w:r>
      <w:r>
        <w:rPr>
          <w:sz w:val="21"/>
        </w:rPr>
        <w:t>8年以上餐饮、烹饪相关从业经历；持有《中式烹调师证》等相关证件，同时持有《健康合格证明》，熟悉相关食品安全法律法规；具有强烈的服务意识和责任心，吃苦耐劳，无犯罪记录</w:t>
      </w:r>
      <w:r>
        <w:rPr>
          <w:sz w:val="21"/>
        </w:rPr>
        <w:t>的</w:t>
      </w:r>
      <w:r>
        <w:rPr>
          <w:sz w:val="21"/>
        </w:rPr>
        <w:t>证明。录用标准以采购人</w:t>
      </w:r>
      <w:r>
        <w:rPr>
          <w:sz w:val="21"/>
        </w:rPr>
        <w:t>意见为准</w:t>
      </w:r>
      <w:r>
        <w:rPr>
          <w:sz w:val="21"/>
        </w:rPr>
        <w:t>。</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left"/>
      </w:pPr>
      <w:r>
        <w:rPr>
          <w:sz w:val="21"/>
        </w:rPr>
        <w:t>★</w:t>
      </w:r>
      <w:r>
        <w:rPr>
          <w:sz w:val="21"/>
        </w:rPr>
        <w:t>3</w:t>
      </w:r>
      <w:r>
        <w:rPr>
          <w:sz w:val="21"/>
        </w:rPr>
        <w:t>.</w:t>
      </w:r>
      <w:r>
        <w:rPr>
          <w:sz w:val="21"/>
        </w:rPr>
        <w:t>3</w:t>
      </w:r>
      <w:r>
        <w:rPr>
          <w:sz w:val="21"/>
        </w:rPr>
        <w:t>点心师：年龄要求在</w:t>
      </w:r>
      <w:r>
        <w:rPr>
          <w:sz w:val="21"/>
        </w:rPr>
        <w:t>50岁以下</w:t>
      </w:r>
      <w:r>
        <w:rPr>
          <w:sz w:val="21"/>
        </w:rPr>
        <w:t>（</w:t>
      </w:r>
      <w:r>
        <w:rPr>
          <w:sz w:val="21"/>
        </w:rPr>
        <w:t>50岁以上年龄人员若身体健康且具备满足对应工作的体力和能力，经采购人同意，可以适当放宽</w:t>
      </w:r>
      <w:r>
        <w:rPr>
          <w:sz w:val="21"/>
        </w:rPr>
        <w:t>）</w:t>
      </w:r>
      <w:r>
        <w:rPr>
          <w:sz w:val="21"/>
        </w:rPr>
        <w:t>，具</w:t>
      </w:r>
      <w:r>
        <w:rPr>
          <w:sz w:val="21"/>
        </w:rPr>
        <w:t>5年以上餐饮、烹饪相关从业经历；会做各类中式早点和西式餐包，保证出品质量，同时持有《健康合格证明》，熟悉相关食品安全法律法规；具有强烈的服务意识、创新意识和责任心，认真钻研业务，根据需求不断创新出品，吃苦耐劳，无犯罪记录</w:t>
      </w:r>
      <w:r>
        <w:rPr>
          <w:sz w:val="21"/>
        </w:rPr>
        <w:t>的</w:t>
      </w:r>
      <w:r>
        <w:rPr>
          <w:sz w:val="21"/>
        </w:rPr>
        <w:t>证明。录用标准以采购人</w:t>
      </w:r>
      <w:r>
        <w:rPr>
          <w:sz w:val="21"/>
        </w:rPr>
        <w:t>意见为准</w:t>
      </w:r>
      <w:r>
        <w:rPr>
          <w:sz w:val="21"/>
        </w:rPr>
        <w:t>。</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left"/>
      </w:pPr>
      <w:r>
        <w:rPr>
          <w:sz w:val="21"/>
        </w:rPr>
        <w:t>★</w:t>
      </w:r>
      <w:r>
        <w:rPr>
          <w:sz w:val="21"/>
        </w:rPr>
        <w:t>3</w:t>
      </w:r>
      <w:r>
        <w:rPr>
          <w:sz w:val="21"/>
        </w:rPr>
        <w:t>.</w:t>
      </w:r>
      <w:r>
        <w:rPr>
          <w:sz w:val="21"/>
        </w:rPr>
        <w:t>4</w:t>
      </w:r>
      <w:r>
        <w:rPr>
          <w:sz w:val="21"/>
        </w:rPr>
        <w:t>二厨：年龄要求在</w:t>
      </w:r>
      <w:r>
        <w:rPr>
          <w:sz w:val="21"/>
        </w:rPr>
        <w:t>50岁以下</w:t>
      </w:r>
      <w:r>
        <w:rPr>
          <w:sz w:val="21"/>
        </w:rPr>
        <w:t>（</w:t>
      </w:r>
      <w:r>
        <w:rPr>
          <w:sz w:val="21"/>
        </w:rPr>
        <w:t>50岁以上年龄人员若身体健康且具备满足对应工作的体力和能力，经采购人同意，可以适当放宽</w:t>
      </w:r>
      <w:r>
        <w:rPr>
          <w:sz w:val="21"/>
        </w:rPr>
        <w:t>）</w:t>
      </w:r>
      <w:r>
        <w:rPr>
          <w:sz w:val="21"/>
        </w:rPr>
        <w:t>，具</w:t>
      </w:r>
      <w:r>
        <w:rPr>
          <w:sz w:val="21"/>
        </w:rPr>
        <w:t>3年以上餐饮、烹饪相关从业经历，具有一定烹饪技能；同时持有《健康合格证明》，熟悉相关食品安全法律法规；具有强烈的服务意识和责任心，吃苦耐劳，无犯罪记录</w:t>
      </w:r>
      <w:r>
        <w:rPr>
          <w:sz w:val="21"/>
        </w:rPr>
        <w:t>的</w:t>
      </w:r>
      <w:r>
        <w:rPr>
          <w:sz w:val="21"/>
        </w:rPr>
        <w:t>证明。录用标准以采购人</w:t>
      </w:r>
      <w:r>
        <w:rPr>
          <w:sz w:val="21"/>
        </w:rPr>
        <w:t>意见为准</w:t>
      </w:r>
      <w:r>
        <w:rPr>
          <w:sz w:val="21"/>
        </w:rPr>
        <w:t>。</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left"/>
      </w:pPr>
      <w:r>
        <w:rPr>
          <w:sz w:val="21"/>
        </w:rPr>
        <w:t>★</w:t>
      </w:r>
      <w:r>
        <w:rPr>
          <w:sz w:val="21"/>
        </w:rPr>
        <w:t>3</w:t>
      </w:r>
      <w:r>
        <w:rPr>
          <w:sz w:val="21"/>
        </w:rPr>
        <w:t>.</w:t>
      </w:r>
      <w:r>
        <w:rPr>
          <w:sz w:val="21"/>
        </w:rPr>
        <w:t>5</w:t>
      </w:r>
      <w:r>
        <w:rPr>
          <w:sz w:val="21"/>
        </w:rPr>
        <w:t>厨房保洁</w:t>
      </w:r>
      <w:r>
        <w:rPr>
          <w:sz w:val="21"/>
        </w:rPr>
        <w:t>人员</w:t>
      </w:r>
      <w:r>
        <w:rPr>
          <w:sz w:val="21"/>
        </w:rPr>
        <w:t>：年龄要求在</w:t>
      </w:r>
      <w:r>
        <w:rPr>
          <w:sz w:val="21"/>
        </w:rPr>
        <w:t>55岁以下</w:t>
      </w:r>
      <w:r>
        <w:rPr>
          <w:sz w:val="21"/>
        </w:rPr>
        <w:t>（</w:t>
      </w:r>
      <w:r>
        <w:rPr>
          <w:sz w:val="21"/>
        </w:rPr>
        <w:t>55岁以上年龄人员若身体健康且具备满足对应工作的体力和能力，经采购人同意，可以适当放宽</w:t>
      </w:r>
      <w:r>
        <w:rPr>
          <w:sz w:val="21"/>
        </w:rPr>
        <w:t>）</w:t>
      </w:r>
      <w:r>
        <w:rPr>
          <w:sz w:val="21"/>
        </w:rPr>
        <w:t>，具有</w:t>
      </w:r>
      <w:r>
        <w:rPr>
          <w:sz w:val="21"/>
        </w:rPr>
        <w:t>2年以上餐饮、从业餐饮工作，同时持有《健康合格证明》，熟悉相关食品安全法律法规；具有强烈的服务意识和责任心，吃苦耐劳，无犯罪记录</w:t>
      </w:r>
      <w:r>
        <w:rPr>
          <w:sz w:val="21"/>
        </w:rPr>
        <w:t>的</w:t>
      </w:r>
      <w:r>
        <w:rPr>
          <w:sz w:val="21"/>
        </w:rPr>
        <w:t>证明。录用标准以采购人</w:t>
      </w:r>
      <w:r>
        <w:rPr>
          <w:sz w:val="21"/>
        </w:rPr>
        <w:t>意见为准</w:t>
      </w:r>
      <w:r>
        <w:rPr>
          <w:sz w:val="21"/>
        </w:rPr>
        <w:t>。</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left"/>
      </w:pPr>
      <w:r>
        <w:rPr>
          <w:sz w:val="21"/>
        </w:rPr>
        <w:t>★</w:t>
      </w:r>
      <w:r>
        <w:rPr>
          <w:sz w:val="21"/>
        </w:rPr>
        <w:t>3</w:t>
      </w:r>
      <w:r>
        <w:rPr>
          <w:sz w:val="21"/>
        </w:rPr>
        <w:t>.</w:t>
      </w:r>
      <w:r>
        <w:rPr>
          <w:sz w:val="21"/>
        </w:rPr>
        <w:t>6</w:t>
      </w:r>
      <w:r>
        <w:rPr>
          <w:sz w:val="21"/>
        </w:rPr>
        <w:t>服务员：大专以上学历，年龄要求在</w:t>
      </w:r>
      <w:r>
        <w:rPr>
          <w:sz w:val="21"/>
        </w:rPr>
        <w:t>35岁以下</w:t>
      </w:r>
      <w:r>
        <w:rPr>
          <w:sz w:val="21"/>
        </w:rPr>
        <w:t>（</w:t>
      </w:r>
      <w:r>
        <w:rPr>
          <w:sz w:val="21"/>
        </w:rPr>
        <w:t>35岁以上年龄人员若身体健康且具备满足对应工作的体力和能力，经采购人同意，可以适当放宽</w:t>
      </w:r>
      <w:r>
        <w:rPr>
          <w:sz w:val="21"/>
        </w:rPr>
        <w:t>）</w:t>
      </w:r>
      <w:r>
        <w:rPr>
          <w:sz w:val="21"/>
        </w:rPr>
        <w:t>，具有</w:t>
      </w:r>
      <w:r>
        <w:rPr>
          <w:sz w:val="21"/>
        </w:rPr>
        <w:t>2年以上食品检测相关工作经验</w:t>
      </w:r>
      <w:r>
        <w:rPr>
          <w:sz w:val="21"/>
        </w:rPr>
        <w:t>，熟悉掌握食品快检操作，具有行政主管部门颁发的快检上岗证</w:t>
      </w:r>
      <w:r>
        <w:rPr>
          <w:sz w:val="21"/>
        </w:rPr>
        <w:t>；同时持有《健康合格证明》，熟悉相关食品安全法律法规；具有强烈的服务意识和责任心，吃苦耐劳，气质形象佳，无犯罪记录</w:t>
      </w:r>
      <w:r>
        <w:rPr>
          <w:sz w:val="21"/>
        </w:rPr>
        <w:t>的</w:t>
      </w:r>
      <w:r>
        <w:rPr>
          <w:sz w:val="21"/>
        </w:rPr>
        <w:t>证明。</w:t>
      </w:r>
      <w:r>
        <w:rPr>
          <w:sz w:val="21"/>
        </w:rPr>
        <w:t>做好食品留样登记制度，食品留样足克，标记清晰，过期留样食材清理及时。配合做好打餐工作。</w:t>
      </w:r>
      <w:r>
        <w:rPr>
          <w:sz w:val="21"/>
        </w:rPr>
        <w:t>录用标准以采购人</w:t>
      </w:r>
      <w:r>
        <w:rPr>
          <w:sz w:val="21"/>
        </w:rPr>
        <w:t>意见为准</w:t>
      </w:r>
      <w:r>
        <w:rPr>
          <w:sz w:val="21"/>
        </w:rPr>
        <w:t>。</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left"/>
      </w:pPr>
      <w:r>
        <w:rPr>
          <w:sz w:val="21"/>
        </w:rPr>
        <w:t>4</w:t>
      </w:r>
      <w:r>
        <w:rPr>
          <w:sz w:val="21"/>
        </w:rPr>
        <w:t>.提供生产和管理服务。中标人包括提供全部食物（品）和全权负责生产原材料的加工、保管和出品等“一条龙”的供餐服务；并承担对食品加工、食堂卫生和工作团队的管理；中标人需承诺按每个项目的规模购买餐饮业经营者责任保险、食品安全责任险和员工意外伤害保险（具体金额待定）；对厨余垃圾及生活垃圾作环保处理，费用</w:t>
      </w:r>
      <w:r>
        <w:rPr>
          <w:sz w:val="21"/>
        </w:rPr>
        <w:t>由</w:t>
      </w:r>
      <w:r>
        <w:rPr>
          <w:sz w:val="21"/>
        </w:rPr>
        <w:t>中标人负责。</w:t>
      </w:r>
    </w:p>
    <w:p>
      <w:pPr>
        <w:ind w:firstLine="420"/>
        <w:jc w:val="left"/>
      </w:pPr>
      <w:r>
        <w:rPr>
          <w:sz w:val="21"/>
        </w:rPr>
        <w:t>5</w:t>
      </w:r>
      <w:r>
        <w:rPr>
          <w:sz w:val="21"/>
        </w:rPr>
        <w:t>.后勤管理服务：负责仓库货物、台账管理工作及做好食材收验货工作;协助就餐卡充值管理及数据统计工作;搞好工作区域的清洁卫生工作，</w:t>
      </w:r>
      <w:r>
        <w:rPr>
          <w:sz w:val="21"/>
        </w:rPr>
        <w:t>保障食堂（含厨房）的环境卫生和各项设施设备的正常运维，</w:t>
      </w:r>
      <w:r>
        <w:rPr>
          <w:sz w:val="21"/>
        </w:rPr>
        <w:t>协助</w:t>
      </w:r>
      <w:r>
        <w:rPr>
          <w:sz w:val="21"/>
        </w:rPr>
        <w:t>做</w:t>
      </w:r>
      <w:r>
        <w:rPr>
          <w:sz w:val="21"/>
        </w:rPr>
        <w:t>好后勤部各项相关工作。</w:t>
      </w:r>
    </w:p>
    <w:p>
      <w:pPr>
        <w:ind w:firstLine="420"/>
        <w:jc w:val="left"/>
      </w:pPr>
      <w:r>
        <w:rPr>
          <w:sz w:val="21"/>
        </w:rPr>
        <w:t>6</w:t>
      </w:r>
      <w:r>
        <w:rPr>
          <w:sz w:val="21"/>
        </w:rPr>
        <w:t>.食材验收服务：核验进货的食材是否与订购单上的相符，检查账单上食材的数量和规格是否与实物相符。验收食材时坚持“一看二闻三手感”的原则，</w:t>
      </w:r>
      <w:r>
        <w:rPr>
          <w:sz w:val="21"/>
        </w:rPr>
        <w:t>质量</w:t>
      </w:r>
      <w:r>
        <w:rPr>
          <w:sz w:val="21"/>
        </w:rPr>
        <w:t>有问题的食物坚决不能验收。验收完毕签名确认，收取配送单及其他相关材料。食材验收工作共</w:t>
      </w:r>
      <w:r>
        <w:rPr>
          <w:sz w:val="21"/>
        </w:rPr>
        <w:t>2人，由厨师、点心师、二厨、服务员组合搭档完成。</w:t>
      </w:r>
    </w:p>
    <w:p>
      <w:pPr>
        <w:ind w:firstLine="420"/>
        <w:jc w:val="left"/>
      </w:pPr>
      <w:r>
        <w:rPr>
          <w:sz w:val="21"/>
        </w:rPr>
        <w:t>★</w:t>
      </w:r>
      <w:r>
        <w:rPr>
          <w:sz w:val="21"/>
        </w:rPr>
        <w:t>7</w:t>
      </w:r>
      <w:r>
        <w:rPr>
          <w:sz w:val="21"/>
        </w:rPr>
        <w:t>.中标人承诺优先聘用自愿留下的原工作人员。【响应方式：应优先在“投标文件附加格式《“★”条款响应表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left"/>
      </w:pPr>
      <w:r>
        <w:rPr>
          <w:sz w:val="21"/>
        </w:rPr>
        <w:t>8.以上服务人员除了项目经理外，至少委派2人以上作为食品安全管理人员（兼任），需具有食品安全管理员（餐饮服务）资格</w:t>
      </w:r>
      <w:r>
        <w:rPr>
          <w:sz w:val="21"/>
        </w:rPr>
        <w:t>证</w:t>
      </w:r>
      <w:r>
        <w:rPr>
          <w:sz w:val="21"/>
        </w:rPr>
        <w:t>，负责食品安全管理相关工作。</w:t>
      </w:r>
    </w:p>
    <w:p>
      <w:pPr>
        <w:ind w:firstLine="420"/>
        <w:jc w:val="left"/>
      </w:pPr>
      <w:r>
        <w:rPr>
          <w:sz w:val="21"/>
        </w:rPr>
        <w:t>9.以上服务人员至少含有1人持有公共营养师证书。</w:t>
      </w:r>
    </w:p>
    <w:p>
      <w:pPr>
        <w:ind w:firstLine="420"/>
        <w:jc w:val="left"/>
      </w:pPr>
      <w:r>
        <w:rPr>
          <w:sz w:val="21"/>
        </w:rPr>
        <w:t>10.投标人应具备科学制定菜谱的专业能力，可提供餐饮主管部门或行业协会颁发的相关奖项或认定证书等材料作为佐证。</w:t>
      </w:r>
    </w:p>
    <w:p>
      <w:pPr>
        <w:ind w:firstLine="420"/>
        <w:jc w:val="left"/>
      </w:pPr>
      <w:r>
        <w:rPr>
          <w:sz w:val="21"/>
        </w:rPr>
        <w:t>11.具体岗位工作工作人员排班需求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98"/>
        <w:gridCol w:w="3995"/>
      </w:tblGrid>
      <w:tr>
        <w:tc>
          <w:tcPr>
            <w:tcW w:type="dxa" w:w="598"/>
            <w:tcBorders>
              <w:top w:val="single" w:color="000000" w:sz="4"/>
              <w:left w:val="single" w:color="000000" w:sz="4"/>
              <w:bottom w:val="single" w:color="000000" w:sz="4"/>
              <w:right w:val="single" w:color="000000" w:sz="4"/>
            </w:tcBorders>
            <w:vAlign w:val="top"/>
          </w:tcPr>
          <w:p>
            <w:pPr>
              <w:jc w:val="center"/>
            </w:pPr>
            <w:r>
              <w:rPr>
                <w:b/>
                <w:sz w:val="22"/>
              </w:rPr>
              <w:t>时间</w:t>
            </w:r>
          </w:p>
        </w:tc>
        <w:tc>
          <w:tcPr>
            <w:tcW w:type="dxa" w:w="3995"/>
            <w:tcBorders>
              <w:top w:val="single" w:color="000000" w:sz="4"/>
              <w:left w:val="none" w:color="000000" w:sz="4"/>
              <w:bottom w:val="single" w:color="000000" w:sz="4"/>
              <w:right w:val="single" w:color="000000" w:sz="4"/>
            </w:tcBorders>
            <w:vAlign w:val="top"/>
          </w:tcPr>
          <w:p>
            <w:pPr>
              <w:jc w:val="center"/>
            </w:pPr>
            <w:r>
              <w:rPr>
                <w:b/>
                <w:sz w:val="22"/>
              </w:rPr>
              <w:t>厨师</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2"/>
              </w:rPr>
              <w:t>早班</w:t>
            </w:r>
          </w:p>
        </w:tc>
        <w:tc>
          <w:tcPr>
            <w:tcW w:type="dxa" w:w="3995"/>
            <w:tcBorders>
              <w:top w:val="none" w:color="000000" w:sz="4"/>
              <w:left w:val="none" w:color="000000" w:sz="4"/>
              <w:bottom w:val="single" w:color="000000" w:sz="4"/>
              <w:right w:val="single" w:color="000000" w:sz="4"/>
            </w:tcBorders>
            <w:vAlign w:val="top"/>
          </w:tcPr>
          <w:p>
            <w:pPr>
              <w:jc w:val="center"/>
            </w:pPr>
            <w:r>
              <w:rPr>
                <w:sz w:val="22"/>
              </w:rPr>
              <w:t>5:00-13:00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2"/>
              </w:rPr>
              <w:t>中班</w:t>
            </w:r>
          </w:p>
        </w:tc>
        <w:tc>
          <w:tcPr>
            <w:tcW w:type="dxa" w:w="3995"/>
            <w:tcBorders>
              <w:top w:val="none" w:color="000000" w:sz="4"/>
              <w:left w:val="none" w:color="000000" w:sz="4"/>
              <w:bottom w:val="single" w:color="000000" w:sz="4"/>
              <w:right w:val="single" w:color="000000" w:sz="4"/>
            </w:tcBorders>
            <w:vAlign w:val="top"/>
          </w:tcPr>
          <w:p>
            <w:pPr>
              <w:jc w:val="center"/>
            </w:pPr>
            <w:r>
              <w:rPr>
                <w:sz w:val="22"/>
              </w:rPr>
              <w:t>6:30-12:30；15:30-18:30</w:t>
            </w:r>
          </w:p>
        </w:tc>
      </w:tr>
      <w:tr>
        <w:tc>
          <w:tcPr>
            <w:tcW w:type="dxa" w:w="598"/>
            <w:tcBorders>
              <w:top w:val="none" w:color="000000" w:sz="4"/>
              <w:left w:val="single" w:color="000000" w:sz="4"/>
              <w:bottom w:val="none" w:color="000000" w:sz="4"/>
              <w:right w:val="single" w:color="000000" w:sz="4"/>
            </w:tcBorders>
            <w:vAlign w:val="top"/>
          </w:tcPr>
          <w:p>
            <w:pPr>
              <w:jc w:val="center"/>
            </w:pPr>
            <w:r>
              <w:rPr>
                <w:sz w:val="22"/>
              </w:rPr>
              <w:t>夜班</w:t>
            </w:r>
          </w:p>
        </w:tc>
        <w:tc>
          <w:tcPr>
            <w:tcW w:type="dxa" w:w="3995"/>
            <w:tcBorders>
              <w:top w:val="none" w:color="000000" w:sz="4"/>
              <w:left w:val="none" w:color="000000" w:sz="4"/>
              <w:bottom w:val="none" w:color="000000" w:sz="4"/>
              <w:right w:val="single" w:color="000000" w:sz="4"/>
            </w:tcBorders>
            <w:vAlign w:val="top"/>
          </w:tcPr>
          <w:p>
            <w:pPr>
              <w:jc w:val="center"/>
            </w:pPr>
            <w:r>
              <w:rPr>
                <w:sz w:val="22"/>
              </w:rPr>
              <w:t>6:30-11:00；16:00-18:00；20:00-21:00</w:t>
            </w:r>
          </w:p>
        </w:tc>
      </w:tr>
      <w:tr>
        <w:tc>
          <w:tcPr>
            <w:tcW w:type="dxa" w:w="598"/>
            <w:tcBorders>
              <w:top w:val="single" w:color="000000" w:sz="4"/>
              <w:left w:val="single" w:color="000000" w:sz="4"/>
              <w:bottom w:val="single" w:color="000000" w:sz="4"/>
              <w:right w:val="single" w:color="000000" w:sz="4"/>
            </w:tcBorders>
            <w:vAlign w:val="top"/>
          </w:tcPr>
          <w:p>
            <w:pPr>
              <w:jc w:val="center"/>
            </w:pPr>
            <w:r>
              <w:rPr>
                <w:b/>
                <w:sz w:val="22"/>
              </w:rPr>
              <w:t>时间</w:t>
            </w:r>
          </w:p>
        </w:tc>
        <w:tc>
          <w:tcPr>
            <w:tcW w:type="dxa" w:w="3995"/>
            <w:tcBorders>
              <w:top w:val="single" w:color="000000" w:sz="4"/>
              <w:left w:val="none" w:color="000000" w:sz="4"/>
              <w:bottom w:val="single" w:color="000000" w:sz="4"/>
              <w:right w:val="single" w:color="000000" w:sz="4"/>
            </w:tcBorders>
            <w:vAlign w:val="top"/>
          </w:tcPr>
          <w:p>
            <w:pPr>
              <w:jc w:val="center"/>
            </w:pPr>
            <w:r>
              <w:rPr>
                <w:b/>
                <w:sz w:val="22"/>
              </w:rPr>
              <w:t>点心师</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2"/>
              </w:rPr>
              <w:t>早班</w:t>
            </w:r>
          </w:p>
        </w:tc>
        <w:tc>
          <w:tcPr>
            <w:tcW w:type="dxa" w:w="3995"/>
            <w:tcBorders>
              <w:top w:val="none" w:color="000000" w:sz="4"/>
              <w:left w:val="none" w:color="000000" w:sz="4"/>
              <w:bottom w:val="single" w:color="000000" w:sz="4"/>
              <w:right w:val="single" w:color="000000" w:sz="4"/>
            </w:tcBorders>
            <w:vAlign w:val="top"/>
          </w:tcPr>
          <w:p>
            <w:pPr>
              <w:jc w:val="center"/>
            </w:pPr>
            <w:r>
              <w:rPr>
                <w:sz w:val="22"/>
              </w:rPr>
              <w:t>5:00-12:00</w:t>
            </w:r>
          </w:p>
        </w:tc>
      </w:tr>
      <w:tr>
        <w:tc>
          <w:tcPr>
            <w:tcW w:type="dxa" w:w="598"/>
            <w:tcBorders>
              <w:top w:val="none" w:color="000000" w:sz="4"/>
              <w:left w:val="single" w:color="000000" w:sz="4"/>
              <w:bottom w:val="single" w:color="000000" w:sz="4"/>
              <w:right w:val="single" w:color="000000" w:sz="4"/>
            </w:tcBorders>
            <w:vAlign w:val="top"/>
          </w:tcPr>
          <w:p>
            <w:pPr>
              <w:jc w:val="center"/>
            </w:pPr>
            <w:r>
              <w:rPr>
                <w:b/>
                <w:sz w:val="22"/>
              </w:rPr>
              <w:t>时间</w:t>
            </w:r>
          </w:p>
        </w:tc>
        <w:tc>
          <w:tcPr>
            <w:tcW w:type="dxa" w:w="3995"/>
            <w:tcBorders>
              <w:top w:val="none" w:color="000000" w:sz="4"/>
              <w:left w:val="none" w:color="000000" w:sz="4"/>
              <w:bottom w:val="single" w:color="000000" w:sz="4"/>
              <w:right w:val="single" w:color="000000" w:sz="4"/>
            </w:tcBorders>
            <w:vAlign w:val="top"/>
          </w:tcPr>
          <w:p>
            <w:pPr>
              <w:jc w:val="center"/>
            </w:pPr>
            <w:r>
              <w:rPr>
                <w:b/>
                <w:sz w:val="22"/>
              </w:rPr>
              <w:t>厨房保洁</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2"/>
              </w:rPr>
              <w:t>A班</w:t>
            </w:r>
          </w:p>
        </w:tc>
        <w:tc>
          <w:tcPr>
            <w:tcW w:type="dxa" w:w="3995"/>
            <w:tcBorders>
              <w:top w:val="none" w:color="000000" w:sz="4"/>
              <w:left w:val="none" w:color="000000" w:sz="4"/>
              <w:bottom w:val="single" w:color="000000" w:sz="4"/>
              <w:right w:val="single" w:color="000000" w:sz="4"/>
            </w:tcBorders>
            <w:vAlign w:val="top"/>
          </w:tcPr>
          <w:p>
            <w:pPr>
              <w:jc w:val="center"/>
            </w:pPr>
            <w:r>
              <w:rPr>
                <w:sz w:val="22"/>
              </w:rPr>
              <w:t xml:space="preserve">6:30-12:00；16:30-19:00   </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2"/>
              </w:rPr>
              <w:t>B班</w:t>
            </w:r>
          </w:p>
        </w:tc>
        <w:tc>
          <w:tcPr>
            <w:tcW w:type="dxa" w:w="3995"/>
            <w:tcBorders>
              <w:top w:val="none" w:color="000000" w:sz="4"/>
              <w:left w:val="none" w:color="000000" w:sz="4"/>
              <w:bottom w:val="single" w:color="000000" w:sz="4"/>
              <w:right w:val="single" w:color="000000" w:sz="4"/>
            </w:tcBorders>
            <w:vAlign w:val="top"/>
          </w:tcPr>
          <w:p>
            <w:pPr>
              <w:jc w:val="center"/>
            </w:pPr>
            <w:r>
              <w:rPr>
                <w:sz w:val="22"/>
              </w:rPr>
              <w:t>7:00-13:30；17:30-19:00</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2"/>
              </w:rPr>
              <w:t>C班</w:t>
            </w:r>
          </w:p>
        </w:tc>
        <w:tc>
          <w:tcPr>
            <w:tcW w:type="dxa" w:w="3995"/>
            <w:tcBorders>
              <w:top w:val="none" w:color="000000" w:sz="4"/>
              <w:left w:val="none" w:color="000000" w:sz="4"/>
              <w:bottom w:val="single" w:color="000000" w:sz="4"/>
              <w:right w:val="single" w:color="000000" w:sz="4"/>
            </w:tcBorders>
            <w:vAlign w:val="top"/>
          </w:tcPr>
          <w:p>
            <w:pPr>
              <w:jc w:val="center"/>
            </w:pPr>
            <w:r>
              <w:rPr>
                <w:sz w:val="22"/>
              </w:rPr>
              <w:t>7:30-13:30；17:00-19:00</w:t>
            </w:r>
          </w:p>
        </w:tc>
      </w:tr>
      <w:tr>
        <w:tc>
          <w:tcPr>
            <w:tcW w:type="dxa" w:w="598"/>
            <w:tcBorders>
              <w:top w:val="none" w:color="000000" w:sz="4"/>
              <w:left w:val="single" w:color="000000" w:sz="4"/>
              <w:bottom w:val="none" w:color="000000" w:sz="4"/>
              <w:right w:val="single" w:color="000000" w:sz="4"/>
            </w:tcBorders>
            <w:vAlign w:val="top"/>
          </w:tcPr>
          <w:p>
            <w:pPr>
              <w:jc w:val="center"/>
            </w:pPr>
            <w:r>
              <w:rPr>
                <w:sz w:val="22"/>
              </w:rPr>
              <w:t>D班</w:t>
            </w:r>
          </w:p>
        </w:tc>
        <w:tc>
          <w:tcPr>
            <w:tcW w:type="dxa" w:w="3995"/>
            <w:tcBorders>
              <w:top w:val="none" w:color="000000" w:sz="4"/>
              <w:left w:val="none" w:color="000000" w:sz="4"/>
              <w:bottom w:val="none" w:color="000000" w:sz="4"/>
              <w:right w:val="single" w:color="000000" w:sz="4"/>
            </w:tcBorders>
            <w:vAlign w:val="top"/>
          </w:tcPr>
          <w:p>
            <w:pPr>
              <w:jc w:val="center"/>
            </w:pPr>
            <w:r>
              <w:rPr>
                <w:sz w:val="22"/>
              </w:rPr>
              <w:t>8:00-14:00；17:30-19:30</w:t>
            </w:r>
          </w:p>
        </w:tc>
      </w:tr>
      <w:tr>
        <w:tc>
          <w:tcPr>
            <w:tcW w:type="dxa" w:w="598"/>
            <w:tcBorders>
              <w:top w:val="single" w:color="000000" w:sz="4"/>
              <w:left w:val="single" w:color="000000" w:sz="4"/>
              <w:bottom w:val="single" w:color="000000" w:sz="4"/>
              <w:right w:val="single" w:color="000000" w:sz="4"/>
            </w:tcBorders>
            <w:vAlign w:val="top"/>
          </w:tcPr>
          <w:p>
            <w:pPr>
              <w:jc w:val="center"/>
            </w:pPr>
            <w:r>
              <w:rPr>
                <w:b/>
                <w:sz w:val="22"/>
              </w:rPr>
              <w:t>时间</w:t>
            </w:r>
          </w:p>
        </w:tc>
        <w:tc>
          <w:tcPr>
            <w:tcW w:type="dxa" w:w="3995"/>
            <w:tcBorders>
              <w:top w:val="single" w:color="000000" w:sz="4"/>
              <w:left w:val="none" w:color="000000" w:sz="4"/>
              <w:bottom w:val="single" w:color="000000" w:sz="4"/>
              <w:right w:val="single" w:color="000000" w:sz="4"/>
            </w:tcBorders>
            <w:vAlign w:val="top"/>
          </w:tcPr>
          <w:p>
            <w:pPr>
              <w:jc w:val="center"/>
            </w:pPr>
            <w:r>
              <w:rPr>
                <w:b/>
                <w:sz w:val="22"/>
              </w:rPr>
              <w:t>服务员</w:t>
            </w:r>
          </w:p>
        </w:tc>
      </w:tr>
      <w:tr>
        <w:tc>
          <w:tcPr>
            <w:tcW w:type="dxa" w:w="598"/>
            <w:tcBorders>
              <w:top w:val="none" w:color="000000" w:sz="4"/>
              <w:left w:val="single" w:color="000000" w:sz="4"/>
              <w:bottom w:val="single" w:color="000000" w:sz="4"/>
              <w:right w:val="single" w:color="000000" w:sz="4"/>
            </w:tcBorders>
            <w:vAlign w:val="top"/>
          </w:tcPr>
          <w:p>
            <w:pPr>
              <w:jc w:val="center"/>
            </w:pPr>
            <w:r>
              <w:rPr>
                <w:sz w:val="22"/>
              </w:rPr>
              <w:t>行政班</w:t>
            </w:r>
          </w:p>
        </w:tc>
        <w:tc>
          <w:tcPr>
            <w:tcW w:type="dxa" w:w="3995"/>
            <w:tcBorders>
              <w:top w:val="none" w:color="000000" w:sz="4"/>
              <w:left w:val="none" w:color="000000" w:sz="4"/>
              <w:bottom w:val="single" w:color="000000" w:sz="4"/>
              <w:right w:val="single" w:color="000000" w:sz="4"/>
            </w:tcBorders>
            <w:vAlign w:val="top"/>
          </w:tcPr>
          <w:p>
            <w:pPr>
              <w:jc w:val="center"/>
            </w:pPr>
            <w:r>
              <w:rPr>
                <w:sz w:val="22"/>
              </w:rPr>
              <w:t>7:30-12:00；15:00-18:30</w:t>
            </w:r>
          </w:p>
        </w:tc>
      </w:tr>
    </w:tbl>
    <w:p>
      <w:pPr>
        <w:jc w:val="left"/>
      </w:pPr>
    </w:p>
    <w:p>
      <w:pPr>
        <w:jc w:val="left"/>
      </w:pPr>
      <w:r>
        <w:rPr/>
        <w:t xml:space="preserve"> </w:t>
      </w:r>
    </w:p>
    <w:p>
      <w:pPr>
        <w:jc w:val="left"/>
      </w:pPr>
      <w:r>
        <w:rPr>
          <w:sz w:val="21"/>
        </w:rPr>
        <w:t>★</w:t>
      </w:r>
      <w:r>
        <w:rPr>
          <w:sz w:val="21"/>
        </w:rPr>
        <w:t>12</w:t>
      </w:r>
      <w:r>
        <w:rPr>
          <w:sz w:val="21"/>
        </w:rPr>
        <w:t>.</w:t>
      </w:r>
      <w:r>
        <w:rPr>
          <w:sz w:val="21"/>
        </w:rPr>
        <w:t>中标人应服从采购人安排进行封闭式管理</w:t>
      </w:r>
      <w:r>
        <w:rPr>
          <w:sz w:val="21"/>
        </w:rPr>
        <w:t>。</w:t>
      </w:r>
      <w:r>
        <w:rPr>
          <w:sz w:val="21"/>
        </w:rPr>
        <w:t>【响应方式：应优先在</w:t>
      </w:r>
      <w:r>
        <w:rPr>
          <w:sz w:val="21"/>
        </w:rPr>
        <w:t>“投标文件附加格式《“★”条款响应表（采购包2）》”中填写并作出响应，填表视为已承诺，作为评审依据。】</w:t>
      </w:r>
    </w:p>
    <w:p>
      <w:pPr>
        <w:jc w:val="left"/>
      </w:pPr>
    </w:p>
    <w:p>
      <w:pPr>
        <w:ind w:firstLine="420"/>
        <w:jc w:val="both"/>
      </w:pPr>
      <w:r>
        <w:rPr>
          <w:sz w:val="21"/>
        </w:rPr>
        <w:t>★</w:t>
      </w:r>
      <w:r>
        <w:rPr>
          <w:sz w:val="21"/>
        </w:rPr>
        <w:t>13</w:t>
      </w:r>
      <w:r>
        <w:rPr>
          <w:sz w:val="21"/>
        </w:rPr>
        <w:t>.中标人所聘用的所有服务人员录用前必须征得采购人的同意，并向采购人办公室提交相关身份证明、资格证明、无犯罪记录</w:t>
      </w:r>
      <w:r>
        <w:rPr>
          <w:sz w:val="21"/>
        </w:rPr>
        <w:t>的</w:t>
      </w:r>
      <w:r>
        <w:rPr>
          <w:sz w:val="21"/>
        </w:rPr>
        <w:t>证明等材料；</w:t>
      </w:r>
      <w:r>
        <w:rPr>
          <w:sz w:val="21"/>
        </w:rPr>
        <w:t>中标人收到员工离职申请时须同步报采购人</w:t>
      </w:r>
      <w:r>
        <w:rPr>
          <w:sz w:val="21"/>
        </w:rPr>
        <w:t>，并登记备案。【响应方式：应优先在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w:t>
      </w:r>
      <w:r>
        <w:rPr>
          <w:sz w:val="21"/>
        </w:rPr>
        <w:t>填表视为已承诺</w:t>
      </w:r>
      <w:r>
        <w:rPr>
          <w:sz w:val="21"/>
        </w:rPr>
        <w:t>，作为评审依据。】</w:t>
      </w:r>
    </w:p>
    <w:p>
      <w:pPr>
        <w:ind w:firstLine="420"/>
        <w:jc w:val="both"/>
      </w:pPr>
      <w:r>
        <w:rPr>
          <w:sz w:val="21"/>
        </w:rPr>
        <w:t>★</w:t>
      </w:r>
      <w:r>
        <w:rPr>
          <w:sz w:val="21"/>
        </w:rPr>
        <w:t>14.</w:t>
      </w:r>
      <w:r>
        <w:rPr>
          <w:sz w:val="21"/>
        </w:rPr>
        <w:t>中标人对其所聘用的全体人员负责，所聘用的全体人员劳动合同应与中标人签订。采购人对中标人所雇用人员不承担任何责任。中标人与其聘用人员之间的一切权利、义务和纠纷由中标人自行负责，与采购人无关。中标人必须为其聘用人员购买养老、医疗、工伤、失业等国家法律规定的社会保险</w:t>
      </w:r>
      <w:r>
        <w:rPr>
          <w:sz w:val="21"/>
        </w:rPr>
        <w:t>和必要的员工意外伤害保险</w:t>
      </w:r>
      <w:r>
        <w:rPr>
          <w:sz w:val="21"/>
        </w:rPr>
        <w:t>，按国家法律法规规定发放工资福利，每月按照签订合同所制定的工资标准足额支付给聘用人员。因采购人工作需要安排服务人员值班、加班（</w:t>
      </w:r>
      <w:r>
        <w:rPr>
          <w:sz w:val="21"/>
        </w:rPr>
        <w:t>含节假日</w:t>
      </w:r>
      <w:r>
        <w:rPr>
          <w:sz w:val="21"/>
        </w:rPr>
        <w:t>）产生的费用，由中标人按照国家法律规定足额支付。【响应方式：应优先在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w:t>
      </w:r>
      <w:r>
        <w:rPr>
          <w:sz w:val="21"/>
        </w:rPr>
        <w:t>为已承诺，作为评审依据。】</w:t>
      </w:r>
    </w:p>
    <w:p>
      <w:pPr>
        <w:jc w:val="left"/>
      </w:pPr>
    </w:p>
    <w:p>
      <w:pPr>
        <w:ind w:firstLine="421"/>
        <w:jc w:val="left"/>
      </w:pPr>
      <w:r>
        <w:rPr>
          <w:b/>
          <w:sz w:val="21"/>
        </w:rPr>
        <w:t>（</w:t>
      </w:r>
      <w:r>
        <w:rPr>
          <w:b/>
          <w:sz w:val="21"/>
        </w:rPr>
        <w:t>4</w:t>
      </w:r>
      <w:r>
        <w:rPr>
          <w:b/>
          <w:sz w:val="21"/>
        </w:rPr>
        <w:t>）食堂设施及场地管理要求</w:t>
      </w:r>
    </w:p>
    <w:p>
      <w:pPr>
        <w:ind w:firstLine="421"/>
        <w:jc w:val="left"/>
      </w:pPr>
      <w:r>
        <w:rPr>
          <w:sz w:val="21"/>
        </w:rPr>
        <w:t>1.采购人保证中标人正常服务期内的水、电、燃气（瓶装气除外）的供应（水、电、燃气费用由采购人承担）。如中标人人为损坏水、电、气设备，造成的后果由中标人承担；中标人进场后，如因设备本身原因造成水、电、气出现故障和异常，应及时报采购人维修。</w:t>
      </w:r>
    </w:p>
    <w:p>
      <w:pPr>
        <w:ind w:firstLine="421"/>
        <w:jc w:val="left"/>
      </w:pPr>
      <w:r>
        <w:rPr>
          <w:sz w:val="21"/>
        </w:rPr>
        <w:t>2.厨房内厨具设备、设施、用品、用具的添置，厨具保养更新费用及场地布局调整费用由采购人承担。因中标人工作人员造成设备损坏的维修费用由中标人承担，采购人提供协助。</w:t>
      </w:r>
    </w:p>
    <w:p>
      <w:pPr>
        <w:ind w:firstLine="421"/>
        <w:jc w:val="left"/>
      </w:pPr>
      <w:r>
        <w:rPr>
          <w:sz w:val="21"/>
        </w:rPr>
        <w:t>3.食堂</w:t>
      </w:r>
      <w:r>
        <w:rPr>
          <w:sz w:val="21"/>
        </w:rPr>
        <w:t>区域（含就餐区、</w:t>
      </w:r>
      <w:r>
        <w:rPr>
          <w:sz w:val="21"/>
        </w:rPr>
        <w:t>厨房操作区、就餐区、收货区</w:t>
      </w:r>
      <w:r>
        <w:rPr>
          <w:sz w:val="21"/>
        </w:rPr>
        <w:t>、仓库等）</w:t>
      </w:r>
      <w:r>
        <w:rPr>
          <w:sz w:val="21"/>
        </w:rPr>
        <w:t>所有清洁卫生由中标人负责。中标人要合理使用、妥善保管厨房设备设施，确保餐具彻底清洁消毒。搞好室内外环境清洁和消毒工作，清除卫生死角，保持墙壁、墙裙、天花板、地面整洁，疏通下水道，垃圾桶须加盖并保持桶身的清洁。所需清洁卫生易耗品（包括但不限于扫帚、拖把、手套等）、清洁消毒剂等均由中标人负责。</w:t>
      </w:r>
    </w:p>
    <w:p>
      <w:pPr>
        <w:ind w:firstLine="421"/>
        <w:jc w:val="left"/>
      </w:pPr>
      <w:r>
        <w:rPr>
          <w:sz w:val="21"/>
        </w:rPr>
        <w:t>4.留样区相关消耗品，如一次性留样盒、标签、留样袋等与留样相关的物品由中标人负责支付。</w:t>
      </w:r>
    </w:p>
    <w:p>
      <w:pPr>
        <w:ind w:firstLine="421"/>
        <w:jc w:val="left"/>
      </w:pPr>
      <w:r>
        <w:rPr>
          <w:sz w:val="21"/>
        </w:rPr>
        <w:t>5.每天做好配送食材的快检工作并做好台帐登记，食堂快检室的检验设备、检验耗材由采购人提供。</w:t>
      </w:r>
    </w:p>
    <w:p>
      <w:pPr>
        <w:ind w:firstLine="421"/>
        <w:jc w:val="left"/>
      </w:pPr>
      <w:r>
        <w:rPr>
          <w:sz w:val="21"/>
        </w:rPr>
        <w:t>6</w:t>
      </w:r>
      <w:r>
        <w:rPr>
          <w:sz w:val="21"/>
        </w:rPr>
        <w:t>.食堂的剩余饭菜、废弃油脂、垃圾由中标人按相关规定进行处理，费用由中标人承担。不按规定处理引起的一切责任由中标人承担。</w:t>
      </w:r>
    </w:p>
    <w:p>
      <w:pPr>
        <w:ind w:firstLine="421"/>
        <w:jc w:val="left"/>
      </w:pPr>
      <w:r>
        <w:rPr>
          <w:sz w:val="21"/>
        </w:rPr>
        <w:t>7</w:t>
      </w:r>
      <w:r>
        <w:rPr>
          <w:sz w:val="21"/>
        </w:rPr>
        <w:t>.中标人须按照食品安全有关规定，严格从事食品加工、烹调、分餐、存储等工作。中标人必须对隔油池、抽油烟机、排烟管道定期进行清理和清洗（隔油池</w:t>
      </w:r>
      <w:r>
        <w:rPr>
          <w:sz w:val="21"/>
        </w:rPr>
        <w:t>至少</w:t>
      </w:r>
      <w:r>
        <w:rPr>
          <w:sz w:val="21"/>
        </w:rPr>
        <w:t>每半月进行一次清理，抽油烟机、排烟管道</w:t>
      </w:r>
      <w:r>
        <w:rPr>
          <w:sz w:val="21"/>
        </w:rPr>
        <w:t>至少</w:t>
      </w:r>
      <w:r>
        <w:rPr>
          <w:sz w:val="21"/>
        </w:rPr>
        <w:t>每季度进行一次清洗</w:t>
      </w:r>
      <w:r>
        <w:rPr>
          <w:sz w:val="21"/>
        </w:rPr>
        <w:t>，隔油池容量满、抽油烟机和排烟管道过脏即需处理，具体次数以实际需求为准</w:t>
      </w:r>
      <w:r>
        <w:rPr>
          <w:sz w:val="21"/>
        </w:rPr>
        <w:t>），费用由中标人负责。</w:t>
      </w:r>
    </w:p>
    <w:p>
      <w:pPr>
        <w:ind w:firstLine="421"/>
        <w:jc w:val="left"/>
      </w:pPr>
      <w:r>
        <w:rPr>
          <w:sz w:val="21"/>
        </w:rPr>
        <w:t>8</w:t>
      </w:r>
      <w:r>
        <w:rPr>
          <w:sz w:val="21"/>
        </w:rPr>
        <w:t>.中标人须做好食堂的消防安全工作，不得出现任何人为的消防安全事故隐患，并定期接受采购人及相关机构的监督检查。食堂内的消防安全及工具、煤气、电源（炉灶、各种炊事设备）操作事故责任均由中标人承担。</w:t>
      </w:r>
    </w:p>
    <w:p>
      <w:pPr>
        <w:ind w:firstLine="210"/>
        <w:jc w:val="left"/>
      </w:pPr>
      <w:r>
        <w:rPr>
          <w:sz w:val="21"/>
        </w:rPr>
        <w:t>★</w:t>
      </w:r>
      <w:r>
        <w:rPr>
          <w:sz w:val="21"/>
        </w:rPr>
        <w:t>9</w:t>
      </w:r>
      <w:r>
        <w:rPr>
          <w:sz w:val="21"/>
        </w:rPr>
        <w:t>.中标人法人为食堂消防、食品安全第一责任人，必须服从采购人及上级有关部门的监督和检查。因中标人的管理不善造成的人员意外伤害、管理场所发生的失窃和火灾及工伤等事故所造成的一切经济损失由中标人负责，采购人不承担由此产生的任何责任和费用。</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210"/>
        <w:jc w:val="left"/>
      </w:pPr>
      <w:r>
        <w:rPr>
          <w:sz w:val="21"/>
        </w:rPr>
        <w:t>10</w:t>
      </w:r>
      <w:r>
        <w:rPr>
          <w:sz w:val="21"/>
        </w:rPr>
        <w:t>.中标人负责维护好食堂秩序，食堂餐具和用餐台椅供采购人员工使用。非采购人员工或未经采购人同意的其他人员一律不得打包带走。</w:t>
      </w:r>
    </w:p>
    <w:p>
      <w:pPr>
        <w:ind w:firstLine="210"/>
        <w:jc w:val="left"/>
      </w:pPr>
      <w:r>
        <w:rPr>
          <w:sz w:val="21"/>
        </w:rPr>
        <w:t>1</w:t>
      </w:r>
      <w:r>
        <w:rPr>
          <w:sz w:val="21"/>
        </w:rPr>
        <w:t>1</w:t>
      </w:r>
      <w:r>
        <w:rPr>
          <w:sz w:val="21"/>
        </w:rPr>
        <w:t>.中标人应爱护食堂内的公物，不得将食堂内的用具随意损坏、丢失或转借他人。</w:t>
      </w:r>
    </w:p>
    <w:p>
      <w:pPr>
        <w:ind w:firstLine="210"/>
        <w:jc w:val="left"/>
      </w:pPr>
      <w:r>
        <w:rPr>
          <w:sz w:val="21"/>
        </w:rPr>
        <w:t>1</w:t>
      </w:r>
      <w:r>
        <w:rPr>
          <w:sz w:val="21"/>
        </w:rPr>
        <w:t>2</w:t>
      </w:r>
      <w:r>
        <w:rPr>
          <w:sz w:val="21"/>
        </w:rPr>
        <w:t>.采购人免费提供现有的食堂工作场地，食堂内现有炉灶餐具、厨具、空调、冰柜、餐车等设施设备，经盘点后并开列清单提供给中标人使用，中标人要认真保管使用，承包合同（政府采购合同）终止时如数退还采购人，如有人为损坏或丢失则由中标人赔偿或补充。中标人如需携带设备进驻工作场地，需与采购人进行盘点确认并形成台账，承包合同（政府采购合同）终止时可悉数带离。</w:t>
      </w:r>
      <w:r>
        <w:rPr>
          <w:sz w:val="21"/>
        </w:rPr>
        <w:t>食堂内的基础设施维修（如灯具、墙面、水电、桌椅等），由采购人负责；</w:t>
      </w:r>
      <w:r>
        <w:rPr>
          <w:sz w:val="21"/>
        </w:rPr>
        <w:t>厨房设施设备如蒸笼、锅炉、烤箱等易损件需维修的，维修费用</w:t>
      </w:r>
      <w:r>
        <w:rPr>
          <w:sz w:val="21"/>
        </w:rPr>
        <w:t>1000元人民币以下的由中标人负责支付，维修费用1000元人民币以上的由采购人负责支付</w:t>
      </w:r>
      <w:r>
        <w:rPr>
          <w:sz w:val="21"/>
        </w:rPr>
        <w:t>，采购人可予以协助</w:t>
      </w:r>
      <w:r>
        <w:rPr>
          <w:sz w:val="21"/>
        </w:rPr>
        <w:t>。</w:t>
      </w:r>
    </w:p>
    <w:p>
      <w:pPr>
        <w:ind w:firstLine="210"/>
        <w:jc w:val="left"/>
      </w:pPr>
      <w:r>
        <w:rPr>
          <w:sz w:val="21"/>
        </w:rPr>
        <w:t>13.</w:t>
      </w:r>
      <w:r>
        <w:rPr>
          <w:sz w:val="21"/>
        </w:rPr>
        <w:t>加强</w:t>
      </w:r>
      <w:r>
        <w:rPr>
          <w:sz w:val="21"/>
        </w:rPr>
        <w:t>食堂范围内</w:t>
      </w:r>
      <w:r>
        <w:rPr>
          <w:sz w:val="21"/>
        </w:rPr>
        <w:t>灭蝇、灭蟑螂、灭鼠</w:t>
      </w:r>
      <w:r>
        <w:rPr>
          <w:sz w:val="21"/>
        </w:rPr>
        <w:t>、灭蚁</w:t>
      </w:r>
      <w:r>
        <w:rPr>
          <w:sz w:val="21"/>
        </w:rPr>
        <w:t>等措施</w:t>
      </w:r>
      <w:r>
        <w:rPr>
          <w:sz w:val="21"/>
        </w:rPr>
        <w:t>。</w:t>
      </w:r>
    </w:p>
    <w:p>
      <w:pPr>
        <w:ind w:firstLine="210"/>
        <w:jc w:val="left"/>
      </w:pPr>
      <w:r>
        <w:rPr>
          <w:sz w:val="21"/>
        </w:rPr>
        <w:t>13.1</w:t>
      </w:r>
      <w:r>
        <w:rPr>
          <w:sz w:val="21"/>
        </w:rPr>
        <w:t>每月至少两次定期进行全面灭蝇、灭蟑、灭鼠、灭蚁；</w:t>
      </w:r>
      <w:r>
        <w:rPr>
          <w:sz w:val="21"/>
        </w:rPr>
        <w:t>“四害”较为严重时，在接到采购人通知后工作日2小时内，非工作日4小时内到场处理。</w:t>
      </w:r>
    </w:p>
    <w:p>
      <w:pPr>
        <w:ind w:firstLine="210"/>
        <w:jc w:val="left"/>
      </w:pPr>
    </w:p>
    <w:p>
      <w:pPr>
        <w:ind w:firstLine="420"/>
        <w:jc w:val="both"/>
      </w:pPr>
      <w:r>
        <w:rPr>
          <w:sz w:val="21"/>
        </w:rPr>
        <w:t>13.2</w:t>
      </w:r>
      <w:r>
        <w:rPr>
          <w:sz w:val="21"/>
        </w:rPr>
        <w:t>灭鼠、灭蚊、灭苍蝇、灭蟑螂达到当地</w:t>
      </w:r>
      <w:r>
        <w:rPr>
          <w:sz w:val="21"/>
        </w:rPr>
        <w:t>“除四害”管理规定的标准；施药次数为参考值，使用符合国家标准用于食堂的消毒、杀虫害等药剂进行环保消杀工作，具体实际次数和时间随政府部门的相关要求及本单位实际工作要求变化</w:t>
      </w:r>
      <w:r>
        <w:rPr>
          <w:sz w:val="21"/>
        </w:rPr>
        <w:t>,</w:t>
      </w:r>
      <w:r>
        <w:rPr>
          <w:sz w:val="21"/>
        </w:rPr>
        <w:t>相关费用、耗材由中标人支付</w:t>
      </w:r>
      <w:r>
        <w:rPr>
          <w:sz w:val="21"/>
        </w:rPr>
        <w:t>。</w:t>
      </w:r>
    </w:p>
    <w:p>
      <w:pPr>
        <w:ind w:firstLine="210"/>
        <w:jc w:val="left"/>
      </w:pPr>
      <w:r>
        <w:rPr>
          <w:sz w:val="21"/>
        </w:rPr>
        <w:t>★1</w:t>
      </w:r>
      <w:r>
        <w:rPr>
          <w:sz w:val="21"/>
        </w:rPr>
        <w:t>4</w:t>
      </w:r>
      <w:r>
        <w:rPr>
          <w:sz w:val="21"/>
        </w:rPr>
        <w:t>.中标人在履行食堂管理服务时必须遵循采购人安排，若中标人提供人员的服务质量或完成的工作任务无法达到采购人要求的，中标人应在采购人3</w:t>
      </w:r>
      <w:r>
        <w:rPr>
          <w:sz w:val="21"/>
        </w:rPr>
        <w:t>0</w:t>
      </w:r>
      <w:r>
        <w:rPr>
          <w:sz w:val="21"/>
        </w:rPr>
        <w:t>天内进行整改，以保障服务质量。</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210"/>
        <w:jc w:val="left"/>
      </w:pPr>
      <w:r>
        <w:rPr>
          <w:sz w:val="21"/>
        </w:rPr>
        <w:t>★1</w:t>
      </w:r>
      <w:r>
        <w:rPr>
          <w:sz w:val="21"/>
        </w:rPr>
        <w:t>5</w:t>
      </w:r>
      <w:r>
        <w:rPr>
          <w:sz w:val="21"/>
        </w:rPr>
        <w:t>.中标人应制定人员管理每</w:t>
      </w:r>
      <w:r>
        <w:rPr>
          <w:sz w:val="21"/>
        </w:rPr>
        <w:t>季度</w:t>
      </w:r>
      <w:r>
        <w:rPr>
          <w:sz w:val="21"/>
        </w:rPr>
        <w:t>考核评分制度，由采购人进行评分，作为人员绩效工</w:t>
      </w:r>
      <w:r>
        <w:rPr>
          <w:sz w:val="21"/>
        </w:rPr>
        <w:t>资的发放依据。【响应方式：应优先在</w:t>
      </w:r>
      <w:r>
        <w:rPr>
          <w:sz w:val="21"/>
        </w:rPr>
        <w:t>“投标文件附加格式《“★”条款响应表（采购包</w:t>
      </w:r>
      <w:r>
        <w:rPr>
          <w:sz w:val="21"/>
        </w:rPr>
        <w:t>2</w:t>
      </w:r>
      <w:r>
        <w:rPr>
          <w:sz w:val="21"/>
        </w:rPr>
        <w:t>）》</w:t>
      </w:r>
      <w:r>
        <w:rPr>
          <w:sz w:val="21"/>
        </w:rPr>
        <w:t>”中填写并作出响应，填表视为已承诺，作为评审依据。】</w:t>
      </w:r>
    </w:p>
    <w:p>
      <w:pPr>
        <w:ind w:firstLine="210"/>
        <w:jc w:val="left"/>
      </w:pPr>
      <w:r>
        <w:rPr>
          <w:b/>
          <w:sz w:val="21"/>
        </w:rPr>
        <w:t>（</w:t>
      </w:r>
      <w:r>
        <w:rPr>
          <w:b/>
          <w:sz w:val="21"/>
        </w:rPr>
        <w:t>5</w:t>
      </w:r>
      <w:r>
        <w:rPr>
          <w:b/>
          <w:sz w:val="21"/>
        </w:rPr>
        <w:t>）菜品质量和营养方案</w:t>
      </w:r>
    </w:p>
    <w:p>
      <w:pPr>
        <w:ind w:firstLine="210"/>
        <w:jc w:val="left"/>
      </w:pPr>
      <w:r>
        <w:rPr>
          <w:sz w:val="21"/>
        </w:rPr>
        <w:t>1.中标人要定期组织厨师研发创新菜品，每周推出新菜式，每周三前将下一周的菜单报给采购人，制定的菜单要符合合理膳食营养要求。</w:t>
      </w:r>
    </w:p>
    <w:p>
      <w:pPr>
        <w:ind w:firstLine="210"/>
        <w:jc w:val="left"/>
      </w:pPr>
      <w:r>
        <w:rPr>
          <w:sz w:val="21"/>
        </w:rPr>
        <w:t>2.对于糖尿病、高血压、高尿酸、肥胖、心脏疾病或肿瘤患者等特殊人群能定制个体化营养方案。</w:t>
      </w:r>
    </w:p>
    <w:p>
      <w:pPr>
        <w:ind w:firstLine="210"/>
        <w:jc w:val="left"/>
      </w:pPr>
    </w:p>
    <w:p>
      <w:pPr>
        <w:ind w:firstLine="421"/>
        <w:jc w:val="left"/>
      </w:pPr>
      <w:r>
        <w:rPr>
          <w:b/>
          <w:sz w:val="21"/>
        </w:rPr>
        <w:t>（</w:t>
      </w:r>
      <w:r>
        <w:rPr>
          <w:b/>
          <w:sz w:val="21"/>
        </w:rPr>
        <w:t>6</w:t>
      </w:r>
      <w:r>
        <w:rPr>
          <w:b/>
          <w:sz w:val="21"/>
        </w:rPr>
        <w:t>）人员</w:t>
      </w:r>
      <w:r>
        <w:rPr>
          <w:b/>
          <w:sz w:val="21"/>
        </w:rPr>
        <w:t>培训</w:t>
      </w:r>
    </w:p>
    <w:p>
      <w:pPr>
        <w:ind w:firstLine="420"/>
        <w:jc w:val="left"/>
      </w:pPr>
      <w:r>
        <w:rPr>
          <w:sz w:val="21"/>
        </w:rPr>
        <w:t>中标人需制定并落实人员培训制度，不断提高从业人员食品安全责任意识，规范操作流</w:t>
      </w:r>
      <w:r>
        <w:rPr>
          <w:sz w:val="21"/>
        </w:rPr>
        <w:t>程和行为。</w:t>
      </w:r>
    </w:p>
    <w:p>
      <w:pPr>
        <w:ind w:firstLine="420"/>
        <w:jc w:val="left"/>
      </w:pPr>
      <w:r>
        <w:rPr>
          <w:sz w:val="21"/>
        </w:rPr>
        <w:t>1.法律法规学习。组织食堂人员学习《中华人民共和国食品卫生法》</w:t>
      </w:r>
      <w:r>
        <w:rPr>
          <w:sz w:val="21"/>
        </w:rPr>
        <w:t>和相关卫生知识</w:t>
      </w:r>
      <w:r>
        <w:rPr>
          <w:sz w:val="21"/>
        </w:rPr>
        <w:t>。</w:t>
      </w:r>
    </w:p>
    <w:p>
      <w:pPr>
        <w:ind w:firstLine="420"/>
        <w:jc w:val="left"/>
      </w:pPr>
      <w:r>
        <w:rPr>
          <w:sz w:val="21"/>
        </w:rPr>
        <w:t>2.岗位技能培训，了解各设备使用方法，了解食材贮存卫生要求，了解产品初加工、清洗工序、烹饪方法</w:t>
      </w:r>
      <w:r>
        <w:rPr>
          <w:sz w:val="21"/>
        </w:rPr>
        <w:t>，以及开展岗位所需资格证书的必要培训</w:t>
      </w:r>
      <w:r>
        <w:rPr>
          <w:sz w:val="21"/>
        </w:rPr>
        <w:t>。</w:t>
      </w:r>
    </w:p>
    <w:p>
      <w:pPr>
        <w:ind w:firstLine="420"/>
        <w:jc w:val="left"/>
      </w:pPr>
      <w:r>
        <w:rPr>
          <w:sz w:val="21"/>
        </w:rPr>
        <w:t>3.个人卫生要求培训，向员工明确着装要求、仪容仪表要求、个人卫生规范等。</w:t>
      </w:r>
    </w:p>
    <w:p>
      <w:pPr>
        <w:ind w:firstLine="420"/>
        <w:jc w:val="both"/>
      </w:pPr>
      <w:r>
        <w:rPr>
          <w:sz w:val="21"/>
        </w:rPr>
        <w:t>4.环境卫生要求培训，食物加工、贮存场所和食堂大厅保持卫生整洁。</w:t>
      </w:r>
    </w:p>
    <w:p>
      <w:pPr>
        <w:ind w:firstLine="420"/>
        <w:jc w:val="left"/>
      </w:pPr>
      <w:r>
        <w:rPr>
          <w:sz w:val="21"/>
        </w:rPr>
        <w:t>5.</w:t>
      </w:r>
      <w:r>
        <w:rPr>
          <w:sz w:val="21"/>
        </w:rPr>
        <w:t>食品安全知识</w:t>
      </w:r>
      <w:r>
        <w:rPr>
          <w:sz w:val="21"/>
        </w:rPr>
        <w:t>培训及</w:t>
      </w:r>
      <w:r>
        <w:rPr>
          <w:sz w:val="21"/>
        </w:rPr>
        <w:t>食品安全知识测试，凡不及格者，进行补考</w:t>
      </w:r>
      <w:r>
        <w:rPr>
          <w:sz w:val="21"/>
        </w:rPr>
        <w:t>并加强教育</w:t>
      </w:r>
      <w:r>
        <w:rPr>
          <w:sz w:val="21"/>
        </w:rPr>
        <w:t>。</w:t>
      </w:r>
    </w:p>
    <w:p>
      <w:pPr>
        <w:jc w:val="left"/>
      </w:pPr>
      <w:r>
        <w:rPr>
          <w:sz w:val="21"/>
        </w:rPr>
        <w:t>6.保密知识培训，切实增强从业人员保密意识</w:t>
      </w:r>
      <w:r>
        <w:rPr>
          <w:sz w:val="21"/>
        </w:rPr>
        <w:t>。</w:t>
      </w:r>
    </w:p>
    <w:p>
      <w:pPr>
        <w:jc w:val="left"/>
      </w:pPr>
    </w:p>
    <w:p>
      <w:pPr>
        <w:ind w:firstLine="421"/>
        <w:jc w:val="left"/>
      </w:pPr>
      <w:r>
        <w:rPr>
          <w:b/>
          <w:sz w:val="21"/>
        </w:rPr>
        <w:t>（四）</w:t>
      </w:r>
      <w:r>
        <w:rPr>
          <w:b/>
          <w:sz w:val="21"/>
        </w:rPr>
        <w:t>采购项目商务要求</w:t>
      </w:r>
    </w:p>
    <w:p>
      <w:pPr>
        <w:ind w:firstLine="210"/>
        <w:jc w:val="left"/>
      </w:pPr>
      <w:r>
        <w:rPr>
          <w:sz w:val="21"/>
        </w:rPr>
        <w:t>★1.保密：未经采购人书面同意，中标人及派驻到采购人工作的服务人员对采购人的有关信息、数据和资料、财物负有严格保密、保护的责任。</w:t>
      </w:r>
      <w:r>
        <w:rPr>
          <w:sz w:val="21"/>
        </w:rPr>
        <w:t>【响应方式：应优先在</w:t>
      </w:r>
      <w:r>
        <w:rPr>
          <w:sz w:val="21"/>
        </w:rPr>
        <w:t>“投标文件附加格式《“★”条款响应表</w:t>
      </w:r>
      <w:r>
        <w:rPr>
          <w:sz w:val="21"/>
        </w:rPr>
        <w:t>（采购包</w:t>
      </w:r>
      <w:r>
        <w:rPr>
          <w:sz w:val="21"/>
        </w:rPr>
        <w:t>2</w:t>
      </w:r>
      <w:r>
        <w:rPr>
          <w:sz w:val="21"/>
        </w:rPr>
        <w:t>）</w:t>
      </w:r>
      <w:r>
        <w:rPr>
          <w:sz w:val="21"/>
        </w:rPr>
        <w:t>》</w:t>
      </w:r>
      <w:r>
        <w:rPr>
          <w:sz w:val="21"/>
        </w:rPr>
        <w:t>”中填写并作出响应，填表视为已承诺，作为评审依据。】</w:t>
      </w:r>
    </w:p>
    <w:p>
      <w:pPr>
        <w:ind w:firstLine="420"/>
        <w:jc w:val="left"/>
      </w:pPr>
      <w:r>
        <w:rPr>
          <w:sz w:val="21"/>
        </w:rPr>
        <w:t>2.违约责任与赔偿损失</w:t>
      </w:r>
    </w:p>
    <w:p>
      <w:pPr>
        <w:ind w:firstLine="420"/>
        <w:jc w:val="left"/>
      </w:pPr>
      <w:r>
        <w:rPr>
          <w:sz w:val="21"/>
        </w:rPr>
        <w:t>2.1</w:t>
      </w:r>
      <w:r>
        <w:rPr>
          <w:sz w:val="21"/>
        </w:rPr>
        <w:t>每月采购人将对中标人进行考核，出现两次低于</w:t>
      </w:r>
      <w:r>
        <w:rPr>
          <w:sz w:val="21"/>
        </w:rPr>
        <w:t>80分的，视为违约，采购人将扣罚一定合同金额，同时</w:t>
      </w:r>
      <w:r>
        <w:rPr>
          <w:sz w:val="21"/>
        </w:rPr>
        <w:t>采购人有权单方面无责解除合同并要求中标人承担采购人因此受到的损失。（详见《总体考核打分表》）</w:t>
      </w:r>
    </w:p>
    <w:p>
      <w:pPr>
        <w:ind w:firstLine="420"/>
        <w:jc w:val="left"/>
      </w:pPr>
      <w:r>
        <w:rPr>
          <w:sz w:val="21"/>
        </w:rPr>
        <w:t>2.</w:t>
      </w:r>
      <w:r>
        <w:rPr>
          <w:sz w:val="21"/>
        </w:rPr>
        <w:t>2</w:t>
      </w:r>
      <w:r>
        <w:rPr>
          <w:sz w:val="21"/>
        </w:rPr>
        <w:t>其他违约责任按《中华人民共和国民法典》处理。</w:t>
      </w:r>
    </w:p>
    <w:p>
      <w:pPr>
        <w:ind w:firstLine="420"/>
        <w:jc w:val="left"/>
      </w:pPr>
      <w:r>
        <w:rPr>
          <w:sz w:val="21"/>
        </w:rPr>
        <w:t>3.争端的解决：合同执行过程中发生的任何争议，双方应先友好协商解决，若双方不能通过友好协商解决的，任何一方可向采购人所在地</w:t>
      </w:r>
      <w:r>
        <w:rPr>
          <w:sz w:val="21"/>
        </w:rPr>
        <w:t>有管辖权的</w:t>
      </w:r>
      <w:r>
        <w:rPr>
          <w:sz w:val="21"/>
        </w:rPr>
        <w:t>人民法院提起诉讼。败诉方应承担对方因此而支出的诉讼费、律师费</w:t>
      </w:r>
      <w:r>
        <w:rPr>
          <w:sz w:val="21"/>
        </w:rPr>
        <w:t>、</w:t>
      </w:r>
      <w:r>
        <w:rPr>
          <w:sz w:val="21"/>
        </w:rPr>
        <w:t>诉讼保全保险费</w:t>
      </w:r>
      <w:r>
        <w:rPr>
          <w:sz w:val="21"/>
        </w:rPr>
        <w:t>等费用。</w:t>
      </w:r>
    </w:p>
    <w:p>
      <w:pPr>
        <w:ind w:firstLine="420"/>
        <w:jc w:val="left"/>
      </w:pPr>
      <w:r>
        <w:rPr>
          <w:sz w:val="21"/>
        </w:rPr>
        <w:t>4.不可抗力：任何一方由于不可抗力原因不能履行协议时，应在不可抗力时间结束后1日内向对方通报，以减轻可能给对方造成的损失，在取得有关机构的不可抗力证明或双方谅</w:t>
      </w:r>
      <w:r>
        <w:rPr>
          <w:sz w:val="21"/>
        </w:rPr>
        <w:t>解确认后，允许延期履行或修订协议，并根据情况可部分或全部免于承担违约责任。</w:t>
      </w:r>
    </w:p>
    <w:p>
      <w:pPr>
        <w:ind w:firstLine="420"/>
        <w:jc w:val="left"/>
      </w:pPr>
      <w:r>
        <w:rPr>
          <w:sz w:val="21"/>
        </w:rPr>
        <w:t>5.</w:t>
      </w:r>
      <w:r>
        <w:rPr>
          <w:sz w:val="21"/>
        </w:rPr>
        <w:t>履约保证金</w:t>
      </w:r>
      <w:r>
        <w:rPr>
          <w:sz w:val="21"/>
        </w:rPr>
        <w:t>：</w:t>
      </w:r>
      <w:r>
        <w:rPr>
          <w:sz w:val="21"/>
        </w:rPr>
        <w:t>中标人在签订合同</w:t>
      </w:r>
      <w:r>
        <w:rPr>
          <w:sz w:val="21"/>
        </w:rPr>
        <w:t>7个工作日内向采购人交纳履约保证金50万元（若50万元超过中标金额的10%，则按中标金额的10%计算；中标人为中小企业时，若50万元超过中标金额的5%，则按中标金额的5%计算）。履约保证金以不可撤销、无条件的银行履约保函的形式提交（履约保函不计息）</w:t>
      </w:r>
      <w:r>
        <w:rPr>
          <w:sz w:val="21"/>
        </w:rPr>
        <w:t>，</w:t>
      </w:r>
      <w:r>
        <w:rPr>
          <w:sz w:val="21"/>
        </w:rPr>
        <w:t>且应在</w:t>
      </w:r>
      <w:r>
        <w:rPr>
          <w:sz w:val="21"/>
        </w:rPr>
        <w:t>服务期</w:t>
      </w:r>
      <w:r>
        <w:rPr>
          <w:sz w:val="21"/>
        </w:rPr>
        <w:t>内持续有效，</w:t>
      </w:r>
      <w:r>
        <w:rPr>
          <w:sz w:val="21"/>
        </w:rPr>
        <w:t>出具保函的银行须在国内注册。若中标人给采购人造成的损失超过履约保函数额的，中标人还应当对超过部分予以赔偿。履约保函应明确列出或附上采购人索赔的资料清单，索赔流程应该具有实操性。</w:t>
      </w:r>
    </w:p>
    <w:p>
      <w:pPr>
        <w:ind w:firstLine="210"/>
        <w:jc w:val="left"/>
      </w:pPr>
    </w:p>
    <w:p>
      <w:pPr>
        <w:ind w:firstLine="210"/>
        <w:jc w:val="left"/>
      </w:pPr>
      <w:r>
        <w:rPr>
          <w:b/>
          <w:sz w:val="21"/>
        </w:rPr>
        <w:t>★</w:t>
      </w:r>
      <w:r>
        <w:rPr>
          <w:b/>
          <w:sz w:val="21"/>
        </w:rPr>
        <w:t>（五）</w:t>
      </w:r>
      <w:r>
        <w:rPr>
          <w:b/>
          <w:sz w:val="21"/>
        </w:rPr>
        <w:t>付款方式</w:t>
      </w:r>
    </w:p>
    <w:p>
      <w:pPr>
        <w:ind w:firstLine="420"/>
        <w:jc w:val="left"/>
      </w:pPr>
      <w:r>
        <w:rPr>
          <w:sz w:val="21"/>
        </w:rPr>
        <w:t>1.中标人与采购人应于中标通知书发出之日起30天内签订政府采购合同，并约定进场服务时间。</w:t>
      </w:r>
      <w:r>
        <w:rPr>
          <w:sz w:val="21"/>
        </w:rPr>
        <w:t>招标文件</w:t>
      </w:r>
      <w:r>
        <w:rPr>
          <w:sz w:val="21"/>
        </w:rPr>
        <w:t>、</w:t>
      </w:r>
      <w:r>
        <w:rPr>
          <w:sz w:val="21"/>
        </w:rPr>
        <w:t>投标文件</w:t>
      </w:r>
      <w:r>
        <w:rPr>
          <w:sz w:val="21"/>
        </w:rPr>
        <w:t>、</w:t>
      </w:r>
      <w:r>
        <w:rPr>
          <w:sz w:val="21"/>
        </w:rPr>
        <w:t>中标通知书、服务考核细则应作为合同附件。</w:t>
      </w:r>
    </w:p>
    <w:p>
      <w:pPr>
        <w:ind w:firstLine="420"/>
        <w:jc w:val="left"/>
      </w:pPr>
      <w:r>
        <w:rPr>
          <w:sz w:val="21"/>
        </w:rPr>
        <w:t>2.采购人按月考核服务情况，按季度汇总考核服务情况。</w:t>
      </w:r>
    </w:p>
    <w:p>
      <w:pPr>
        <w:ind w:firstLine="420"/>
        <w:jc w:val="left"/>
      </w:pPr>
      <w:r>
        <w:rPr>
          <w:sz w:val="21"/>
        </w:rPr>
        <w:t>3.采购人季度支付中标人服务费用。</w:t>
      </w:r>
    </w:p>
    <w:p>
      <w:pPr>
        <w:ind w:firstLine="420"/>
        <w:jc w:val="left"/>
      </w:pPr>
      <w:r>
        <w:rPr>
          <w:sz w:val="21"/>
        </w:rPr>
        <w:t>4.费用支付流程：</w:t>
      </w:r>
    </w:p>
    <w:p>
      <w:pPr>
        <w:ind w:firstLine="420"/>
        <w:jc w:val="left"/>
      </w:pPr>
      <w:r>
        <w:rPr>
          <w:sz w:val="21"/>
        </w:rPr>
        <w:t>4.1中标人于每季度后</w:t>
      </w:r>
      <w:r>
        <w:rPr>
          <w:sz w:val="21"/>
        </w:rPr>
        <w:t>第一个月</w:t>
      </w:r>
      <w:r>
        <w:rPr>
          <w:sz w:val="21"/>
        </w:rPr>
        <w:t>10</w:t>
      </w:r>
      <w:r>
        <w:rPr>
          <w:sz w:val="21"/>
        </w:rPr>
        <w:t>日</w:t>
      </w:r>
      <w:r>
        <w:rPr>
          <w:sz w:val="21"/>
        </w:rPr>
        <w:t>前将上季度结算资料送达采购人，采购人结合考核情况确认该季度实际支付金额。</w:t>
      </w:r>
    </w:p>
    <w:p>
      <w:pPr>
        <w:ind w:firstLine="420"/>
        <w:jc w:val="left"/>
      </w:pPr>
      <w:r>
        <w:rPr>
          <w:sz w:val="21"/>
        </w:rPr>
        <w:t>4.2中标人于每季度后</w:t>
      </w:r>
      <w:r>
        <w:rPr>
          <w:sz w:val="21"/>
        </w:rPr>
        <w:t>第一个月</w:t>
      </w:r>
      <w:r>
        <w:rPr>
          <w:sz w:val="21"/>
        </w:rPr>
        <w:t>10</w:t>
      </w:r>
      <w:r>
        <w:rPr>
          <w:sz w:val="21"/>
        </w:rPr>
        <w:t>日</w:t>
      </w:r>
      <w:r>
        <w:rPr>
          <w:sz w:val="21"/>
        </w:rPr>
        <w:t>前将上季度的发票（发票金额按扣除考核罚款后金额开具）送达采购人，采购人收到发票后支付当期的费用。</w:t>
      </w:r>
    </w:p>
    <w:p>
      <w:pPr>
        <w:ind w:firstLine="420"/>
        <w:jc w:val="left"/>
      </w:pPr>
      <w:r>
        <w:rPr>
          <w:sz w:val="21"/>
        </w:rPr>
        <w:t>注：上述</w:t>
      </w:r>
      <w:r>
        <w:rPr>
          <w:sz w:val="21"/>
        </w:rPr>
        <w:t>4.1所指的结算资料包括：（1）季度费用总表；（2）季度考核报告资料；（3）采购人认为有必要提供的其他资料。</w:t>
      </w:r>
    </w:p>
    <w:p>
      <w:pPr>
        <w:ind w:firstLine="420"/>
        <w:jc w:val="left"/>
      </w:pPr>
      <w:r>
        <w:rPr>
          <w:sz w:val="21"/>
        </w:rPr>
        <w:t>【响应方式：本条款为默认条款，投标人参与投标则被视为承诺响应该条款，无需填写</w:t>
      </w:r>
      <w:r>
        <w:rPr>
          <w:sz w:val="21"/>
        </w:rPr>
        <w:t>“投标文件附加格式《“★”条款响应表</w:t>
      </w:r>
      <w:r>
        <w:rPr>
          <w:sz w:val="21"/>
        </w:rPr>
        <w:t>（采购包</w:t>
      </w:r>
      <w:r>
        <w:rPr>
          <w:sz w:val="21"/>
        </w:rPr>
        <w:t>2</w:t>
      </w:r>
      <w:r>
        <w:rPr>
          <w:sz w:val="21"/>
        </w:rPr>
        <w:t>）</w:t>
      </w:r>
      <w:r>
        <w:rPr>
          <w:sz w:val="21"/>
        </w:rPr>
        <w:t>》</w:t>
      </w:r>
      <w:r>
        <w:rPr>
          <w:sz w:val="21"/>
        </w:rPr>
        <w:t>”】</w:t>
      </w:r>
    </w:p>
    <w:p>
      <w:pPr>
        <w:jc w:val="left"/>
      </w:pPr>
    </w:p>
    <w:p>
      <w:pPr>
        <w:jc w:val="left"/>
      </w:pPr>
      <w:r>
        <w:rPr>
          <w:b/>
          <w:sz w:val="21"/>
        </w:rPr>
        <w:t>（六）</w:t>
      </w:r>
      <w:r>
        <w:rPr>
          <w:b/>
          <w:sz w:val="21"/>
        </w:rPr>
        <w:t>采购人配合条件</w:t>
      </w:r>
    </w:p>
    <w:p>
      <w:pPr>
        <w:ind w:firstLine="420"/>
        <w:jc w:val="left"/>
      </w:pPr>
      <w:r>
        <w:rPr>
          <w:sz w:val="21"/>
        </w:rPr>
        <w:t>中标人在投标文件中要列明在项目实施过程中要求采购人提供的配合条件，采购人视情况进行采纳。</w:t>
      </w:r>
    </w:p>
    <w:p>
      <w:pPr>
        <w:ind w:firstLine="421"/>
        <w:jc w:val="both"/>
      </w:pPr>
    </w:p>
    <w:p>
      <w:pPr>
        <w:ind w:firstLine="421"/>
        <w:jc w:val="both"/>
      </w:pPr>
      <w:r>
        <w:rPr>
          <w:b/>
          <w:sz w:val="21"/>
        </w:rPr>
        <w:t>（七）</w:t>
      </w:r>
      <w:r>
        <w:rPr>
          <w:b/>
          <w:sz w:val="21"/>
        </w:rPr>
        <w:t>考核管理办法</w:t>
      </w:r>
    </w:p>
    <w:p>
      <w:pPr>
        <w:jc w:val="left"/>
      </w:pPr>
      <w:r>
        <w:rPr>
          <w:b/>
          <w:sz w:val="21"/>
        </w:rPr>
        <w:t>1.《总体考核打分表》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465"/>
        <w:gridCol w:w="672"/>
        <w:gridCol w:w="2591"/>
        <w:gridCol w:w="938"/>
      </w:tblGrid>
      <w:tr>
        <w:tc>
          <w:tcPr>
            <w:tcW w:type="dxa" w:w="465"/>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672"/>
            <w:tcBorders>
              <w:top w:val="single" w:color="000000" w:sz="4"/>
              <w:left w:val="single" w:color="000000" w:sz="4"/>
              <w:bottom w:val="single" w:color="000000" w:sz="4"/>
              <w:right w:val="single" w:color="000000" w:sz="4"/>
            </w:tcBorders>
            <w:vAlign w:val="top"/>
          </w:tcPr>
          <w:p>
            <w:pPr>
              <w:jc w:val="center"/>
            </w:pPr>
            <w:r>
              <w:rPr>
                <w:b/>
                <w:sz w:val="18"/>
              </w:rPr>
              <w:t>考核内容</w:t>
            </w:r>
          </w:p>
        </w:tc>
        <w:tc>
          <w:tcPr>
            <w:tcW w:type="dxa" w:w="2591"/>
            <w:tcBorders>
              <w:top w:val="single" w:color="000000" w:sz="4"/>
              <w:left w:val="single" w:color="000000" w:sz="4"/>
              <w:bottom w:val="single" w:color="000000" w:sz="4"/>
              <w:right w:val="single" w:color="000000" w:sz="4"/>
            </w:tcBorders>
            <w:vAlign w:val="top"/>
          </w:tcPr>
          <w:p>
            <w:pPr>
              <w:jc w:val="center"/>
            </w:pPr>
            <w:r>
              <w:rPr>
                <w:b/>
                <w:sz w:val="18"/>
              </w:rPr>
              <w:t>考核细则</w:t>
            </w:r>
          </w:p>
        </w:tc>
        <w:tc>
          <w:tcPr>
            <w:tcW w:type="dxa" w:w="938"/>
            <w:tcBorders>
              <w:top w:val="single" w:color="000000" w:sz="4"/>
              <w:left w:val="single" w:color="000000" w:sz="4"/>
              <w:bottom w:val="single" w:color="000000" w:sz="4"/>
              <w:right w:val="single" w:color="000000" w:sz="4"/>
            </w:tcBorders>
            <w:vAlign w:val="top"/>
          </w:tcPr>
          <w:p>
            <w:pPr>
              <w:jc w:val="center"/>
            </w:pPr>
            <w:r>
              <w:rPr>
                <w:b/>
                <w:sz w:val="18"/>
              </w:rPr>
              <w:t>考核标准</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1</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规章制度</w:t>
            </w:r>
          </w:p>
        </w:tc>
        <w:tc>
          <w:tcPr>
            <w:tcW w:type="dxa" w:w="2591"/>
            <w:tcBorders>
              <w:top w:val="none" w:color="000000" w:sz="4"/>
              <w:left w:val="single" w:color="000000" w:sz="4"/>
              <w:bottom w:val="single" w:color="000000" w:sz="4"/>
              <w:right w:val="single" w:color="000000" w:sz="4"/>
            </w:tcBorders>
            <w:vAlign w:val="top"/>
          </w:tcPr>
          <w:p>
            <w:pPr>
              <w:jc w:val="both"/>
            </w:pPr>
            <w:r>
              <w:rPr>
                <w:sz w:val="18"/>
              </w:rPr>
              <w:t>十项制度（索证采购制度、采购验收储存制度、分拣加工管理制度、农药残留检测制度、食材留样制度、从业人员晨检制度、场地用具清洗消毒保洁制度、食材安全保卫制度、食物中毒或其他食源性疾患突发事件报告制度、食材卫生责任追究制度）齐全，并公布上墙</w:t>
            </w:r>
          </w:p>
        </w:tc>
        <w:tc>
          <w:tcPr>
            <w:tcW w:type="dxa" w:w="938"/>
            <w:tcBorders>
              <w:top w:val="none" w:color="000000" w:sz="4"/>
              <w:left w:val="single" w:color="000000" w:sz="4"/>
              <w:bottom w:val="single" w:color="000000" w:sz="4"/>
              <w:right w:val="single" w:color="000000" w:sz="4"/>
            </w:tcBorders>
            <w:vAlign w:val="top"/>
          </w:tcPr>
          <w:p>
            <w:pPr>
              <w:jc w:val="left"/>
            </w:pPr>
            <w:r>
              <w:rPr>
                <w:sz w:val="18"/>
              </w:rPr>
              <w:t>缺一项制度扣</w:t>
            </w:r>
            <w:r>
              <w:rPr>
                <w:sz w:val="18"/>
              </w:rPr>
              <w:t>2分，不上墙扣1分</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2</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岗位职责</w:t>
            </w:r>
          </w:p>
        </w:tc>
        <w:tc>
          <w:tcPr>
            <w:tcW w:type="dxa" w:w="2591"/>
            <w:tcBorders>
              <w:top w:val="none" w:color="000000" w:sz="4"/>
              <w:left w:val="single" w:color="000000" w:sz="4"/>
              <w:bottom w:val="single" w:color="000000" w:sz="4"/>
              <w:right w:val="single" w:color="000000" w:sz="4"/>
            </w:tcBorders>
            <w:vAlign w:val="top"/>
          </w:tcPr>
          <w:p>
            <w:pPr>
              <w:jc w:val="both"/>
            </w:pPr>
            <w:r>
              <w:rPr>
                <w:sz w:val="18"/>
              </w:rPr>
              <w:t>七项岗位职责（单位法人（或项目经理）岗位职责、财务人员工作职责、卫生安全管理员岗位职责、食材验收员岗位职责、分拣员岗位职责、仓库保管员岗位职责、农药残留检测员岗位职责）齐全，并公布上墙，落实到人</w:t>
            </w:r>
          </w:p>
        </w:tc>
        <w:tc>
          <w:tcPr>
            <w:tcW w:type="dxa" w:w="938"/>
            <w:tcBorders>
              <w:top w:val="none" w:color="000000" w:sz="4"/>
              <w:left w:val="single" w:color="000000" w:sz="4"/>
              <w:bottom w:val="single" w:color="000000" w:sz="4"/>
              <w:right w:val="single" w:color="000000" w:sz="4"/>
            </w:tcBorders>
            <w:vAlign w:val="top"/>
          </w:tcPr>
          <w:p>
            <w:pPr>
              <w:jc w:val="left"/>
            </w:pPr>
            <w:r>
              <w:rPr>
                <w:sz w:val="18"/>
              </w:rPr>
              <w:t>缺一项岗位职责扣</w:t>
            </w:r>
            <w:r>
              <w:rPr>
                <w:sz w:val="18"/>
              </w:rPr>
              <w:t>1分，不上墙扣1分</w:t>
            </w:r>
          </w:p>
        </w:tc>
      </w:tr>
      <w:tr>
        <w:tc>
          <w:tcPr>
            <w:tcW w:type="dxa" w:w="465"/>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672"/>
            <w:vMerge w:val="restart"/>
            <w:tcBorders>
              <w:top w:val="none" w:color="000000" w:sz="4"/>
              <w:left w:val="single" w:color="000000" w:sz="4"/>
              <w:bottom w:val="single" w:color="000000" w:sz="4"/>
              <w:right w:val="single" w:color="000000" w:sz="4"/>
            </w:tcBorders>
            <w:vAlign w:val="top"/>
          </w:tcPr>
          <w:p>
            <w:pPr>
              <w:jc w:val="center"/>
            </w:pPr>
            <w:r>
              <w:rPr>
                <w:sz w:val="18"/>
              </w:rPr>
              <w:t>从业人员</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从业人员名册及健康证原件</w:t>
            </w:r>
          </w:p>
        </w:tc>
        <w:tc>
          <w:tcPr>
            <w:tcW w:type="dxa" w:w="938"/>
            <w:tcBorders>
              <w:top w:val="none" w:color="000000" w:sz="4"/>
              <w:left w:val="single" w:color="000000" w:sz="4"/>
              <w:bottom w:val="single" w:color="000000" w:sz="4"/>
              <w:right w:val="single" w:color="000000" w:sz="4"/>
            </w:tcBorders>
            <w:vAlign w:val="top"/>
          </w:tcPr>
          <w:p>
            <w:pPr>
              <w:jc w:val="left"/>
            </w:pPr>
            <w:r>
              <w:rPr>
                <w:sz w:val="18"/>
              </w:rPr>
              <w:t>须持有效健康证，缺一个扣</w:t>
            </w:r>
            <w:r>
              <w:rPr>
                <w:sz w:val="18"/>
              </w:rPr>
              <w:t>2分</w:t>
            </w:r>
          </w:p>
        </w:tc>
      </w:tr>
      <w:tr>
        <w:tc>
          <w:tcPr>
            <w:tcW w:type="dxa" w:w="465"/>
            <w:vMerge/>
            <w:tcBorders>
              <w:top w:val="none" w:color="000000" w:sz="4"/>
              <w:left w:val="single" w:color="000000" w:sz="4"/>
              <w:bottom w:val="single" w:color="000000" w:sz="4"/>
              <w:right w:val="single" w:color="000000" w:sz="4"/>
            </w:tcBorders>
          </w:tcPr>
          <w:p/>
        </w:tc>
        <w:tc>
          <w:tcPr>
            <w:tcW w:type="dxa" w:w="672"/>
            <w:vMerge/>
            <w:tcBorders>
              <w:top w:val="none" w:color="000000" w:sz="4"/>
              <w:left w:val="single" w:color="000000" w:sz="4"/>
              <w:bottom w:val="single" w:color="000000" w:sz="4"/>
              <w:right w:val="single" w:color="000000" w:sz="4"/>
            </w:tcBorders>
          </w:tcPr>
          <w:p/>
        </w:tc>
        <w:tc>
          <w:tcPr>
            <w:tcW w:type="dxa" w:w="2591"/>
            <w:tcBorders>
              <w:top w:val="none" w:color="000000" w:sz="4"/>
              <w:left w:val="single" w:color="000000" w:sz="4"/>
              <w:bottom w:val="single" w:color="000000" w:sz="4"/>
              <w:right w:val="single" w:color="000000" w:sz="4"/>
            </w:tcBorders>
            <w:vAlign w:val="top"/>
          </w:tcPr>
          <w:p>
            <w:pPr>
              <w:jc w:val="left"/>
            </w:pPr>
            <w:r>
              <w:rPr>
                <w:sz w:val="18"/>
              </w:rPr>
              <w:t>晨检记录</w:t>
            </w:r>
          </w:p>
        </w:tc>
        <w:tc>
          <w:tcPr>
            <w:tcW w:type="dxa" w:w="938"/>
            <w:tcBorders>
              <w:top w:val="none" w:color="000000" w:sz="4"/>
              <w:left w:val="single" w:color="000000" w:sz="4"/>
              <w:bottom w:val="single" w:color="000000" w:sz="4"/>
              <w:right w:val="single" w:color="000000" w:sz="4"/>
            </w:tcBorders>
            <w:vAlign w:val="top"/>
          </w:tcPr>
          <w:p>
            <w:pPr>
              <w:jc w:val="left"/>
            </w:pPr>
            <w:r>
              <w:rPr>
                <w:sz w:val="18"/>
              </w:rPr>
              <w:t>每一工作日均有记录，缺一扣</w:t>
            </w:r>
            <w:r>
              <w:rPr>
                <w:sz w:val="18"/>
              </w:rPr>
              <w:t>1分</w:t>
            </w:r>
          </w:p>
        </w:tc>
      </w:tr>
      <w:tr>
        <w:tc>
          <w:tcPr>
            <w:tcW w:type="dxa" w:w="465"/>
            <w:vMerge w:val="restart"/>
            <w:tcBorders>
              <w:top w:val="none" w:color="000000" w:sz="4"/>
              <w:left w:val="single" w:color="000000" w:sz="4"/>
              <w:bottom w:val="single" w:color="000000" w:sz="4"/>
              <w:right w:val="single" w:color="000000" w:sz="4"/>
            </w:tcBorders>
            <w:vAlign w:val="top"/>
          </w:tcPr>
          <w:p>
            <w:pPr>
              <w:jc w:val="center"/>
            </w:pPr>
            <w:r>
              <w:rPr>
                <w:sz w:val="18"/>
              </w:rPr>
              <w:t>4</w:t>
            </w:r>
          </w:p>
        </w:tc>
        <w:tc>
          <w:tcPr>
            <w:tcW w:type="dxa" w:w="672"/>
            <w:vMerge w:val="restart"/>
            <w:tcBorders>
              <w:top w:val="none" w:color="000000" w:sz="4"/>
              <w:left w:val="single" w:color="000000" w:sz="4"/>
              <w:bottom w:val="single" w:color="000000" w:sz="4"/>
              <w:right w:val="single" w:color="000000" w:sz="4"/>
            </w:tcBorders>
            <w:vAlign w:val="top"/>
          </w:tcPr>
          <w:p>
            <w:pPr>
              <w:jc w:val="center"/>
            </w:pPr>
            <w:r>
              <w:rPr>
                <w:sz w:val="18"/>
              </w:rPr>
              <w:t>安全保障</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领导小组、管理网络健全</w:t>
            </w:r>
          </w:p>
        </w:tc>
        <w:tc>
          <w:tcPr>
            <w:tcW w:type="dxa" w:w="938"/>
            <w:tcBorders>
              <w:top w:val="none" w:color="000000" w:sz="4"/>
              <w:left w:val="single" w:color="000000" w:sz="4"/>
              <w:bottom w:val="single" w:color="000000" w:sz="4"/>
              <w:right w:val="single" w:color="000000" w:sz="4"/>
            </w:tcBorders>
            <w:vAlign w:val="top"/>
          </w:tcPr>
          <w:p>
            <w:pPr>
              <w:jc w:val="left"/>
            </w:pPr>
            <w:r>
              <w:rPr>
                <w:sz w:val="18"/>
              </w:rPr>
              <w:t>缺一扣</w:t>
            </w:r>
            <w:r>
              <w:rPr>
                <w:sz w:val="18"/>
              </w:rPr>
              <w:t>1分</w:t>
            </w:r>
          </w:p>
        </w:tc>
      </w:tr>
      <w:tr>
        <w:tc>
          <w:tcPr>
            <w:tcW w:type="dxa" w:w="465"/>
            <w:vMerge/>
            <w:tcBorders>
              <w:top w:val="none" w:color="000000" w:sz="4"/>
              <w:left w:val="single" w:color="000000" w:sz="4"/>
              <w:bottom w:val="single" w:color="000000" w:sz="4"/>
              <w:right w:val="single" w:color="000000" w:sz="4"/>
            </w:tcBorders>
          </w:tcPr>
          <w:p/>
        </w:tc>
        <w:tc>
          <w:tcPr>
            <w:tcW w:type="dxa" w:w="672"/>
            <w:vMerge/>
            <w:tcBorders>
              <w:top w:val="none" w:color="000000" w:sz="4"/>
              <w:left w:val="single" w:color="000000" w:sz="4"/>
              <w:bottom w:val="single" w:color="000000" w:sz="4"/>
              <w:right w:val="single" w:color="000000" w:sz="4"/>
            </w:tcBorders>
          </w:tcPr>
          <w:p/>
        </w:tc>
        <w:tc>
          <w:tcPr>
            <w:tcW w:type="dxa" w:w="2591"/>
            <w:tcBorders>
              <w:top w:val="none" w:color="000000" w:sz="4"/>
              <w:left w:val="single" w:color="000000" w:sz="4"/>
              <w:bottom w:val="single" w:color="000000" w:sz="4"/>
              <w:right w:val="single" w:color="000000" w:sz="4"/>
            </w:tcBorders>
            <w:vAlign w:val="top"/>
          </w:tcPr>
          <w:p>
            <w:pPr>
              <w:jc w:val="left"/>
            </w:pPr>
            <w:r>
              <w:rPr>
                <w:sz w:val="18"/>
              </w:rPr>
              <w:t>食材卫生应急预案</w:t>
            </w:r>
          </w:p>
        </w:tc>
        <w:tc>
          <w:tcPr>
            <w:tcW w:type="dxa" w:w="938"/>
            <w:tcBorders>
              <w:top w:val="none" w:color="000000" w:sz="4"/>
              <w:left w:val="single" w:color="000000" w:sz="4"/>
              <w:bottom w:val="single" w:color="000000" w:sz="4"/>
              <w:right w:val="single" w:color="000000" w:sz="4"/>
            </w:tcBorders>
            <w:vAlign w:val="top"/>
          </w:tcPr>
          <w:p>
            <w:pPr>
              <w:jc w:val="left"/>
            </w:pPr>
            <w:r>
              <w:rPr>
                <w:sz w:val="18"/>
              </w:rPr>
              <w:t>如无扣</w:t>
            </w:r>
            <w:r>
              <w:rPr>
                <w:sz w:val="18"/>
              </w:rPr>
              <w:t>3分</w:t>
            </w:r>
          </w:p>
        </w:tc>
      </w:tr>
      <w:tr>
        <w:tc>
          <w:tcPr>
            <w:tcW w:type="dxa" w:w="465"/>
            <w:vMerge/>
            <w:tcBorders>
              <w:top w:val="none" w:color="000000" w:sz="4"/>
              <w:left w:val="single" w:color="000000" w:sz="4"/>
              <w:bottom w:val="single" w:color="000000" w:sz="4"/>
              <w:right w:val="single" w:color="000000" w:sz="4"/>
            </w:tcBorders>
          </w:tcPr>
          <w:p/>
        </w:tc>
        <w:tc>
          <w:tcPr>
            <w:tcW w:type="dxa" w:w="672"/>
            <w:vMerge/>
            <w:tcBorders>
              <w:top w:val="none" w:color="000000" w:sz="4"/>
              <w:left w:val="single" w:color="000000" w:sz="4"/>
              <w:bottom w:val="single" w:color="000000" w:sz="4"/>
              <w:right w:val="single" w:color="000000" w:sz="4"/>
            </w:tcBorders>
          </w:tcPr>
          <w:p/>
        </w:tc>
        <w:tc>
          <w:tcPr>
            <w:tcW w:type="dxa" w:w="2591"/>
            <w:tcBorders>
              <w:top w:val="none" w:color="000000" w:sz="4"/>
              <w:left w:val="single" w:color="000000" w:sz="4"/>
              <w:bottom w:val="single" w:color="000000" w:sz="4"/>
              <w:right w:val="single" w:color="000000" w:sz="4"/>
            </w:tcBorders>
            <w:vAlign w:val="top"/>
          </w:tcPr>
          <w:p>
            <w:pPr>
              <w:jc w:val="left"/>
            </w:pPr>
            <w:r>
              <w:rPr>
                <w:sz w:val="18"/>
              </w:rPr>
              <w:t>电路器材安全可靠、消防设施配置合理、有防盗措施</w:t>
            </w:r>
          </w:p>
        </w:tc>
        <w:tc>
          <w:tcPr>
            <w:tcW w:type="dxa" w:w="938"/>
            <w:tcBorders>
              <w:top w:val="none" w:color="000000" w:sz="4"/>
              <w:left w:val="single" w:color="000000" w:sz="4"/>
              <w:bottom w:val="single" w:color="000000" w:sz="4"/>
              <w:right w:val="single" w:color="000000" w:sz="4"/>
            </w:tcBorders>
            <w:vAlign w:val="top"/>
          </w:tcPr>
          <w:p>
            <w:pPr>
              <w:jc w:val="left"/>
            </w:pPr>
            <w:r>
              <w:rPr>
                <w:sz w:val="18"/>
              </w:rPr>
              <w:t>缺一扣</w:t>
            </w:r>
            <w:r>
              <w:rPr>
                <w:sz w:val="18"/>
              </w:rPr>
              <w:t>1分</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5</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质量保障</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产品有质量合格证明或检测报告</w:t>
            </w:r>
          </w:p>
        </w:tc>
        <w:tc>
          <w:tcPr>
            <w:tcW w:type="dxa" w:w="938"/>
            <w:tcBorders>
              <w:top w:val="none" w:color="000000" w:sz="4"/>
              <w:left w:val="single" w:color="000000" w:sz="4"/>
              <w:bottom w:val="single" w:color="000000" w:sz="4"/>
              <w:right w:val="single" w:color="000000" w:sz="4"/>
            </w:tcBorders>
            <w:vAlign w:val="top"/>
          </w:tcPr>
          <w:p>
            <w:pPr>
              <w:jc w:val="left"/>
            </w:pPr>
            <w:r>
              <w:rPr>
                <w:sz w:val="18"/>
              </w:rPr>
              <w:t>缺一扣</w:t>
            </w:r>
            <w:r>
              <w:rPr>
                <w:sz w:val="18"/>
              </w:rPr>
              <w:t>2分</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6</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环境卫生</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用具干净卫生，每天进行清洗消毒，有记录</w:t>
            </w:r>
          </w:p>
        </w:tc>
        <w:tc>
          <w:tcPr>
            <w:tcW w:type="dxa" w:w="938"/>
            <w:tcBorders>
              <w:top w:val="none" w:color="000000" w:sz="4"/>
              <w:left w:val="single" w:color="000000" w:sz="4"/>
              <w:bottom w:val="single" w:color="000000" w:sz="4"/>
              <w:right w:val="single" w:color="000000" w:sz="4"/>
            </w:tcBorders>
            <w:vAlign w:val="top"/>
          </w:tcPr>
          <w:p>
            <w:pPr>
              <w:jc w:val="left"/>
            </w:pPr>
            <w:r>
              <w:rPr>
                <w:sz w:val="18"/>
              </w:rPr>
              <w:t>不符要求扣</w:t>
            </w:r>
            <w:r>
              <w:rPr>
                <w:sz w:val="18"/>
              </w:rPr>
              <w:t>1分</w:t>
            </w:r>
          </w:p>
        </w:tc>
      </w:tr>
      <w:tr>
        <w:tc>
          <w:tcPr>
            <w:tcW w:type="dxa" w:w="465"/>
            <w:vMerge w:val="restart"/>
            <w:tcBorders>
              <w:top w:val="none" w:color="000000" w:sz="4"/>
              <w:left w:val="single" w:color="000000" w:sz="4"/>
              <w:bottom w:val="single" w:color="000000" w:sz="4"/>
              <w:right w:val="single" w:color="000000" w:sz="4"/>
            </w:tcBorders>
            <w:vAlign w:val="top"/>
          </w:tcPr>
          <w:p>
            <w:pPr>
              <w:jc w:val="center"/>
            </w:pPr>
            <w:r>
              <w:rPr>
                <w:sz w:val="18"/>
              </w:rPr>
              <w:t>7</w:t>
            </w:r>
          </w:p>
        </w:tc>
        <w:tc>
          <w:tcPr>
            <w:tcW w:type="dxa" w:w="672"/>
            <w:vMerge w:val="restart"/>
            <w:tcBorders>
              <w:top w:val="none" w:color="000000" w:sz="4"/>
              <w:left w:val="single" w:color="000000" w:sz="4"/>
              <w:bottom w:val="single" w:color="000000" w:sz="4"/>
              <w:right w:val="single" w:color="000000" w:sz="4"/>
            </w:tcBorders>
            <w:vAlign w:val="top"/>
          </w:tcPr>
          <w:p>
            <w:pPr>
              <w:jc w:val="center"/>
            </w:pPr>
            <w:r>
              <w:rPr>
                <w:sz w:val="18"/>
              </w:rPr>
              <w:t>食材储存</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货物存放要求离墙、离地，有货架、垫仓板、货物标牌</w:t>
            </w:r>
          </w:p>
        </w:tc>
        <w:tc>
          <w:tcPr>
            <w:tcW w:type="dxa" w:w="938"/>
            <w:tcBorders>
              <w:top w:val="none" w:color="000000" w:sz="4"/>
              <w:left w:val="single" w:color="000000" w:sz="4"/>
              <w:bottom w:val="single" w:color="000000" w:sz="4"/>
              <w:right w:val="single" w:color="000000" w:sz="4"/>
            </w:tcBorders>
            <w:vAlign w:val="top"/>
          </w:tcPr>
          <w:p>
            <w:pPr>
              <w:jc w:val="left"/>
            </w:pPr>
            <w:r>
              <w:rPr>
                <w:sz w:val="18"/>
              </w:rPr>
              <w:t>不符要求扣</w:t>
            </w:r>
            <w:r>
              <w:rPr>
                <w:sz w:val="18"/>
              </w:rPr>
              <w:t>2分</w:t>
            </w:r>
          </w:p>
        </w:tc>
      </w:tr>
      <w:tr>
        <w:tc>
          <w:tcPr>
            <w:tcW w:type="dxa" w:w="465"/>
            <w:vMerge/>
            <w:tcBorders>
              <w:top w:val="none" w:color="000000" w:sz="4"/>
              <w:left w:val="single" w:color="000000" w:sz="4"/>
              <w:bottom w:val="single" w:color="000000" w:sz="4"/>
              <w:right w:val="single" w:color="000000" w:sz="4"/>
            </w:tcBorders>
          </w:tcPr>
          <w:p/>
        </w:tc>
        <w:tc>
          <w:tcPr>
            <w:tcW w:type="dxa" w:w="672"/>
            <w:vMerge/>
            <w:tcBorders>
              <w:top w:val="none" w:color="000000" w:sz="4"/>
              <w:left w:val="single" w:color="000000" w:sz="4"/>
              <w:bottom w:val="single" w:color="000000" w:sz="4"/>
              <w:right w:val="single" w:color="000000" w:sz="4"/>
            </w:tcBorders>
          </w:tcPr>
          <w:p/>
        </w:tc>
        <w:tc>
          <w:tcPr>
            <w:tcW w:type="dxa" w:w="2591"/>
            <w:tcBorders>
              <w:top w:val="none" w:color="000000" w:sz="4"/>
              <w:left w:val="single" w:color="000000" w:sz="4"/>
              <w:bottom w:val="single" w:color="000000" w:sz="4"/>
              <w:right w:val="single" w:color="000000" w:sz="4"/>
            </w:tcBorders>
            <w:vAlign w:val="top"/>
          </w:tcPr>
          <w:p>
            <w:pPr>
              <w:jc w:val="left"/>
            </w:pPr>
            <w:r>
              <w:rPr>
                <w:sz w:val="18"/>
              </w:rPr>
              <w:t>库内五防（防火、防鼠、防蝇、防尘、防盗）</w:t>
            </w:r>
          </w:p>
        </w:tc>
        <w:tc>
          <w:tcPr>
            <w:tcW w:type="dxa" w:w="938"/>
            <w:tcBorders>
              <w:top w:val="none" w:color="000000" w:sz="4"/>
              <w:left w:val="single" w:color="000000" w:sz="4"/>
              <w:bottom w:val="single" w:color="000000" w:sz="4"/>
              <w:right w:val="single" w:color="000000" w:sz="4"/>
            </w:tcBorders>
            <w:vAlign w:val="top"/>
          </w:tcPr>
          <w:p>
            <w:pPr>
              <w:jc w:val="left"/>
            </w:pPr>
            <w:r>
              <w:rPr>
                <w:sz w:val="18"/>
              </w:rPr>
              <w:t>不符要求扣</w:t>
            </w:r>
            <w:r>
              <w:rPr>
                <w:sz w:val="18"/>
              </w:rPr>
              <w:t>2分</w:t>
            </w:r>
          </w:p>
        </w:tc>
      </w:tr>
      <w:tr>
        <w:tc>
          <w:tcPr>
            <w:tcW w:type="dxa" w:w="465"/>
            <w:vMerge/>
            <w:tcBorders>
              <w:top w:val="none" w:color="000000" w:sz="4"/>
              <w:left w:val="single" w:color="000000" w:sz="4"/>
              <w:bottom w:val="single" w:color="000000" w:sz="4"/>
              <w:right w:val="single" w:color="000000" w:sz="4"/>
            </w:tcBorders>
          </w:tcPr>
          <w:p/>
        </w:tc>
        <w:tc>
          <w:tcPr>
            <w:tcW w:type="dxa" w:w="672"/>
            <w:vMerge/>
            <w:tcBorders>
              <w:top w:val="none" w:color="000000" w:sz="4"/>
              <w:left w:val="single" w:color="000000" w:sz="4"/>
              <w:bottom w:val="single" w:color="000000" w:sz="4"/>
              <w:right w:val="single" w:color="000000" w:sz="4"/>
            </w:tcBorders>
          </w:tcPr>
          <w:p/>
        </w:tc>
        <w:tc>
          <w:tcPr>
            <w:tcW w:type="dxa" w:w="2591"/>
            <w:tcBorders>
              <w:top w:val="none" w:color="000000" w:sz="4"/>
              <w:left w:val="single" w:color="000000" w:sz="4"/>
              <w:bottom w:val="single" w:color="000000" w:sz="4"/>
              <w:right w:val="single" w:color="000000" w:sz="4"/>
            </w:tcBorders>
            <w:vAlign w:val="top"/>
          </w:tcPr>
          <w:p>
            <w:pPr>
              <w:jc w:val="left"/>
            </w:pPr>
            <w:r>
              <w:rPr>
                <w:sz w:val="18"/>
              </w:rPr>
              <w:t>冷冻库、保鲜库内货物堆放整齐，清洁无异味，正常使用</w:t>
            </w:r>
          </w:p>
        </w:tc>
        <w:tc>
          <w:tcPr>
            <w:tcW w:type="dxa" w:w="938"/>
            <w:tcBorders>
              <w:top w:val="none" w:color="000000" w:sz="4"/>
              <w:left w:val="single" w:color="000000" w:sz="4"/>
              <w:bottom w:val="single" w:color="000000" w:sz="4"/>
              <w:right w:val="single" w:color="000000" w:sz="4"/>
            </w:tcBorders>
            <w:vAlign w:val="top"/>
          </w:tcPr>
          <w:p>
            <w:pPr>
              <w:jc w:val="left"/>
            </w:pPr>
            <w:r>
              <w:rPr>
                <w:sz w:val="18"/>
              </w:rPr>
              <w:t>不符要求扣</w:t>
            </w:r>
            <w:r>
              <w:rPr>
                <w:sz w:val="18"/>
              </w:rPr>
              <w:t>2分</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8</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价格执行</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按本项目招标文件</w:t>
            </w:r>
            <w:r>
              <w:rPr>
                <w:sz w:val="18"/>
              </w:rPr>
              <w:t>/用户需求书中的要求执行</w:t>
            </w:r>
          </w:p>
        </w:tc>
        <w:tc>
          <w:tcPr>
            <w:tcW w:type="dxa" w:w="938"/>
            <w:tcBorders>
              <w:top w:val="none" w:color="000000" w:sz="4"/>
              <w:left w:val="single" w:color="000000" w:sz="4"/>
              <w:bottom w:val="single" w:color="000000" w:sz="4"/>
              <w:right w:val="single" w:color="000000" w:sz="4"/>
            </w:tcBorders>
            <w:vAlign w:val="top"/>
          </w:tcPr>
          <w:p>
            <w:pPr>
              <w:jc w:val="left"/>
            </w:pPr>
            <w:r>
              <w:rPr>
                <w:sz w:val="18"/>
              </w:rPr>
              <w:t>不按本项目招标文件</w:t>
            </w:r>
            <w:r>
              <w:rPr>
                <w:sz w:val="18"/>
              </w:rPr>
              <w:t>/用户需求书中的要求执行一次扣2分</w:t>
            </w:r>
          </w:p>
        </w:tc>
      </w:tr>
      <w:tr>
        <w:tc>
          <w:tcPr>
            <w:tcW w:type="dxa" w:w="465"/>
            <w:vMerge w:val="restart"/>
            <w:tcBorders>
              <w:top w:val="none" w:color="000000" w:sz="4"/>
              <w:left w:val="single" w:color="000000" w:sz="4"/>
              <w:bottom w:val="single" w:color="000000" w:sz="4"/>
              <w:right w:val="single" w:color="000000" w:sz="4"/>
            </w:tcBorders>
            <w:vAlign w:val="top"/>
          </w:tcPr>
          <w:p>
            <w:pPr>
              <w:jc w:val="center"/>
            </w:pPr>
            <w:r>
              <w:rPr>
                <w:sz w:val="18"/>
              </w:rPr>
              <w:t>9</w:t>
            </w:r>
          </w:p>
        </w:tc>
        <w:tc>
          <w:tcPr>
            <w:tcW w:type="dxa" w:w="672"/>
            <w:vMerge w:val="restart"/>
            <w:tcBorders>
              <w:top w:val="none" w:color="000000" w:sz="4"/>
              <w:left w:val="single" w:color="000000" w:sz="4"/>
              <w:bottom w:val="single" w:color="000000" w:sz="4"/>
              <w:right w:val="single" w:color="000000" w:sz="4"/>
            </w:tcBorders>
            <w:vAlign w:val="top"/>
          </w:tcPr>
          <w:p>
            <w:pPr>
              <w:jc w:val="center"/>
            </w:pPr>
            <w:r>
              <w:rPr>
                <w:sz w:val="18"/>
              </w:rPr>
              <w:t>食堂使用单位评价</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书面实名的感谢信或表扬信（或含同类意思），当月有效，计入当月考核评分。</w:t>
            </w:r>
          </w:p>
        </w:tc>
        <w:tc>
          <w:tcPr>
            <w:tcW w:type="dxa" w:w="938"/>
            <w:tcBorders>
              <w:top w:val="none" w:color="000000" w:sz="4"/>
              <w:left w:val="single" w:color="000000" w:sz="4"/>
              <w:bottom w:val="single" w:color="000000" w:sz="4"/>
              <w:right w:val="single" w:color="000000" w:sz="4"/>
            </w:tcBorders>
            <w:vAlign w:val="top"/>
          </w:tcPr>
          <w:p>
            <w:pPr>
              <w:jc w:val="left"/>
            </w:pPr>
            <w:r>
              <w:rPr>
                <w:sz w:val="18"/>
              </w:rPr>
              <w:t>每一份</w:t>
            </w:r>
            <w:r>
              <w:rPr>
                <w:sz w:val="18"/>
              </w:rPr>
              <w:t>0.5分，每月累计最高得5分</w:t>
            </w:r>
          </w:p>
        </w:tc>
      </w:tr>
      <w:tr>
        <w:tc>
          <w:tcPr>
            <w:tcW w:type="dxa" w:w="465"/>
            <w:vMerge/>
            <w:tcBorders>
              <w:top w:val="none" w:color="000000" w:sz="4"/>
              <w:left w:val="single" w:color="000000" w:sz="4"/>
              <w:bottom w:val="single" w:color="000000" w:sz="4"/>
              <w:right w:val="single" w:color="000000" w:sz="4"/>
            </w:tcBorders>
          </w:tcPr>
          <w:p/>
        </w:tc>
        <w:tc>
          <w:tcPr>
            <w:tcW w:type="dxa" w:w="672"/>
            <w:vMerge/>
            <w:tcBorders>
              <w:top w:val="none" w:color="000000" w:sz="4"/>
              <w:left w:val="single" w:color="000000" w:sz="4"/>
              <w:bottom w:val="single" w:color="000000" w:sz="4"/>
              <w:right w:val="single" w:color="000000" w:sz="4"/>
            </w:tcBorders>
          </w:tcPr>
          <w:p/>
        </w:tc>
        <w:tc>
          <w:tcPr>
            <w:tcW w:type="dxa" w:w="2591"/>
            <w:tcBorders>
              <w:top w:val="none" w:color="000000" w:sz="4"/>
              <w:left w:val="single" w:color="000000" w:sz="4"/>
              <w:bottom w:val="single" w:color="000000" w:sz="4"/>
              <w:right w:val="single" w:color="000000" w:sz="4"/>
            </w:tcBorders>
            <w:vAlign w:val="top"/>
          </w:tcPr>
          <w:p>
            <w:pPr>
              <w:jc w:val="left"/>
            </w:pPr>
            <w:r>
              <w:rPr>
                <w:sz w:val="18"/>
              </w:rPr>
              <w:t>晚上服务时间加班到晚上</w:t>
            </w:r>
            <w:r>
              <w:rPr>
                <w:sz w:val="18"/>
              </w:rPr>
              <w:t>22:00，且服务人员不少于2人，当月有效，计入当月考核评分。</w:t>
            </w:r>
          </w:p>
        </w:tc>
        <w:tc>
          <w:tcPr>
            <w:tcW w:type="dxa" w:w="938"/>
            <w:tcBorders>
              <w:top w:val="none" w:color="000000" w:sz="4"/>
              <w:left w:val="single" w:color="000000" w:sz="4"/>
              <w:bottom w:val="single" w:color="000000" w:sz="4"/>
              <w:right w:val="single" w:color="000000" w:sz="4"/>
            </w:tcBorders>
            <w:vAlign w:val="top"/>
          </w:tcPr>
          <w:p>
            <w:pPr>
              <w:jc w:val="left"/>
            </w:pPr>
            <w:r>
              <w:rPr>
                <w:sz w:val="18"/>
              </w:rPr>
              <w:t>每一份</w:t>
            </w:r>
            <w:r>
              <w:rPr>
                <w:sz w:val="18"/>
              </w:rPr>
              <w:t>1分，每月累计最高得5分</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内部评价</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采购人以内部问卷调查形式给食堂外包服务项目满意度打分，总分</w:t>
            </w:r>
            <w:r>
              <w:rPr>
                <w:sz w:val="18"/>
              </w:rPr>
              <w:t>100分。</w:t>
            </w:r>
          </w:p>
        </w:tc>
        <w:tc>
          <w:tcPr>
            <w:tcW w:type="dxa" w:w="938"/>
            <w:tcBorders>
              <w:top w:val="none" w:color="000000" w:sz="4"/>
              <w:left w:val="single" w:color="000000" w:sz="4"/>
              <w:bottom w:val="single" w:color="000000" w:sz="4"/>
              <w:right w:val="single" w:color="000000" w:sz="4"/>
            </w:tcBorders>
            <w:vAlign w:val="top"/>
          </w:tcPr>
          <w:p>
            <w:pPr>
              <w:jc w:val="center"/>
            </w:pPr>
            <w:r>
              <w:rPr>
                <w:sz w:val="18"/>
              </w:rPr>
              <w:t>1、平均分95分以上不扣分；</w:t>
            </w:r>
          </w:p>
          <w:p>
            <w:pPr>
              <w:jc w:val="center"/>
            </w:pPr>
            <w:r>
              <w:rPr>
                <w:sz w:val="18"/>
              </w:rPr>
              <w:t>2、平均分90-95分：扣5分；</w:t>
            </w:r>
          </w:p>
          <w:p>
            <w:pPr>
              <w:jc w:val="center"/>
            </w:pPr>
            <w:r>
              <w:rPr>
                <w:sz w:val="18"/>
              </w:rPr>
              <w:t>3、平均分80-90分：扣15分</w:t>
            </w:r>
          </w:p>
          <w:p>
            <w:pPr>
              <w:jc w:val="center"/>
            </w:pPr>
            <w:r>
              <w:rPr>
                <w:sz w:val="18"/>
              </w:rPr>
              <w:t>4、平均分70-80分：扣30分</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食材验收</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确保</w:t>
            </w:r>
            <w:r>
              <w:rPr>
                <w:sz w:val="18"/>
              </w:rPr>
              <w:t>进货的食材与订购单上的相符，</w:t>
            </w:r>
            <w:r>
              <w:rPr>
                <w:sz w:val="18"/>
              </w:rPr>
              <w:t>确保</w:t>
            </w:r>
            <w:r>
              <w:rPr>
                <w:sz w:val="18"/>
              </w:rPr>
              <w:t>账单上食材的数量和规格与实物相符。</w:t>
            </w:r>
            <w:r>
              <w:rPr>
                <w:sz w:val="18"/>
              </w:rPr>
              <w:t>确保食材品质优良，无残次品</w:t>
            </w:r>
            <w:r>
              <w:rPr>
                <w:sz w:val="18"/>
              </w:rPr>
              <w:t>。验收完毕签名确认，收取配送单及其他相关材料。</w:t>
            </w:r>
          </w:p>
        </w:tc>
        <w:tc>
          <w:tcPr>
            <w:tcW w:type="dxa" w:w="938"/>
            <w:tcBorders>
              <w:top w:val="none" w:color="000000" w:sz="4"/>
              <w:left w:val="single" w:color="000000" w:sz="4"/>
              <w:bottom w:val="single" w:color="000000" w:sz="4"/>
              <w:right w:val="single" w:color="000000" w:sz="4"/>
            </w:tcBorders>
            <w:vAlign w:val="top"/>
          </w:tcPr>
          <w:p>
            <w:pPr>
              <w:jc w:val="left"/>
            </w:pPr>
            <w:r>
              <w:rPr>
                <w:sz w:val="18"/>
              </w:rPr>
              <w:t>不符要求</w:t>
            </w:r>
            <w:r>
              <w:rPr>
                <w:sz w:val="18"/>
              </w:rPr>
              <w:t>，</w:t>
            </w:r>
            <w:r>
              <w:rPr>
                <w:sz w:val="18"/>
              </w:rPr>
              <w:t>每项</w:t>
            </w:r>
            <w:r>
              <w:rPr>
                <w:sz w:val="18"/>
              </w:rPr>
              <w:t>扣</w:t>
            </w:r>
            <w:r>
              <w:rPr>
                <w:sz w:val="18"/>
              </w:rPr>
              <w:t>2分</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人员培训</w:t>
            </w:r>
          </w:p>
        </w:tc>
        <w:tc>
          <w:tcPr>
            <w:tcW w:type="dxa" w:w="2591"/>
            <w:tcBorders>
              <w:top w:val="none" w:color="000000" w:sz="4"/>
              <w:left w:val="single" w:color="000000" w:sz="4"/>
              <w:bottom w:val="single" w:color="000000" w:sz="4"/>
              <w:right w:val="single" w:color="000000" w:sz="4"/>
            </w:tcBorders>
            <w:vAlign w:val="top"/>
          </w:tcPr>
          <w:p>
            <w:pPr>
              <w:jc w:val="left"/>
            </w:pPr>
            <w:r>
              <w:rPr>
                <w:sz w:val="18"/>
              </w:rPr>
              <w:t>培训做好台账，编写培训报告交采购人存档。</w:t>
            </w:r>
          </w:p>
        </w:tc>
        <w:tc>
          <w:tcPr>
            <w:tcW w:type="dxa" w:w="938"/>
            <w:tcBorders>
              <w:top w:val="none" w:color="000000" w:sz="4"/>
              <w:left w:val="single" w:color="000000" w:sz="4"/>
              <w:bottom w:val="single" w:color="000000" w:sz="4"/>
              <w:right w:val="single" w:color="000000" w:sz="4"/>
            </w:tcBorders>
            <w:vAlign w:val="top"/>
          </w:tcPr>
          <w:p>
            <w:pPr>
              <w:jc w:val="left"/>
            </w:pPr>
            <w:r>
              <w:rPr>
                <w:sz w:val="18"/>
              </w:rPr>
              <w:t>不符要求扣</w:t>
            </w:r>
            <w:r>
              <w:rPr>
                <w:sz w:val="18"/>
              </w:rPr>
              <w:t>2分</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人员编制</w:t>
            </w:r>
          </w:p>
        </w:tc>
        <w:tc>
          <w:tcPr>
            <w:tcW w:type="dxa" w:w="2591"/>
            <w:tcBorders>
              <w:top w:val="none" w:color="000000" w:sz="4"/>
              <w:left w:val="single" w:color="000000" w:sz="4"/>
              <w:bottom w:val="single" w:color="000000" w:sz="4"/>
              <w:right w:val="single" w:color="000000" w:sz="4"/>
            </w:tcBorders>
            <w:vAlign w:val="top"/>
          </w:tcPr>
          <w:p>
            <w:pPr>
              <w:ind w:firstLine="360"/>
              <w:jc w:val="left"/>
            </w:pPr>
            <w:r>
              <w:rPr>
                <w:sz w:val="18"/>
              </w:rPr>
              <w:t>人员招聘及时，缺员的情况下十五天内能及时补充；采购人认为工作人员不适合的，三十天内予以更换。</w:t>
            </w:r>
          </w:p>
        </w:tc>
        <w:tc>
          <w:tcPr>
            <w:tcW w:type="dxa" w:w="938"/>
            <w:tcBorders>
              <w:top w:val="none" w:color="000000" w:sz="4"/>
              <w:left w:val="single" w:color="000000" w:sz="4"/>
              <w:bottom w:val="single" w:color="000000" w:sz="4"/>
              <w:right w:val="single" w:color="000000" w:sz="4"/>
            </w:tcBorders>
            <w:vAlign w:val="top"/>
          </w:tcPr>
          <w:p>
            <w:pPr>
              <w:jc w:val="left"/>
            </w:pPr>
            <w:r>
              <w:rPr>
                <w:sz w:val="18"/>
              </w:rPr>
              <w:t>不符合要求扣</w:t>
            </w:r>
            <w:r>
              <w:rPr>
                <w:sz w:val="18"/>
              </w:rPr>
              <w:t>5分，超过限定日期的，超出每五天扣5分（甲方意愿不录用的除外）</w:t>
            </w:r>
          </w:p>
        </w:tc>
      </w:tr>
      <w:tr>
        <w:tc>
          <w:tcPr>
            <w:tcW w:type="dxa" w:w="465"/>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672"/>
            <w:tcBorders>
              <w:top w:val="none" w:color="000000" w:sz="4"/>
              <w:left w:val="single" w:color="000000" w:sz="4"/>
              <w:bottom w:val="single" w:color="000000" w:sz="4"/>
              <w:right w:val="single" w:color="000000" w:sz="4"/>
            </w:tcBorders>
            <w:vAlign w:val="top"/>
          </w:tcPr>
          <w:p>
            <w:pPr>
              <w:jc w:val="center"/>
            </w:pPr>
            <w:r>
              <w:rPr>
                <w:sz w:val="18"/>
              </w:rPr>
              <w:t>灭</w:t>
            </w:r>
            <w:r>
              <w:rPr>
                <w:sz w:val="18"/>
              </w:rPr>
              <w:t>“四害”</w:t>
            </w:r>
          </w:p>
        </w:tc>
        <w:tc>
          <w:tcPr>
            <w:tcW w:type="dxa" w:w="2591"/>
            <w:tcBorders>
              <w:top w:val="none" w:color="000000" w:sz="4"/>
              <w:left w:val="single" w:color="000000" w:sz="4"/>
              <w:bottom w:val="single" w:color="000000" w:sz="4"/>
              <w:right w:val="single" w:color="000000" w:sz="4"/>
            </w:tcBorders>
            <w:vAlign w:val="top"/>
          </w:tcPr>
          <w:p>
            <w:pPr>
              <w:ind w:firstLine="360"/>
              <w:jc w:val="left"/>
            </w:pPr>
            <w:r>
              <w:rPr>
                <w:sz w:val="18"/>
              </w:rPr>
              <w:t>定期全面灭</w:t>
            </w:r>
            <w:r>
              <w:rPr>
                <w:sz w:val="18"/>
              </w:rPr>
              <w:t>”四害”,采购人通知灭“四害”后，</w:t>
            </w:r>
            <w:r>
              <w:rPr>
                <w:sz w:val="18"/>
              </w:rPr>
              <w:t>及时开展相关</w:t>
            </w:r>
            <w:r>
              <w:rPr>
                <w:sz w:val="18"/>
              </w:rPr>
              <w:t>措施</w:t>
            </w:r>
            <w:r>
              <w:rPr>
                <w:sz w:val="18"/>
              </w:rPr>
              <w:t>,防止“四害”猖獗。</w:t>
            </w:r>
          </w:p>
        </w:tc>
        <w:tc>
          <w:tcPr>
            <w:tcW w:type="dxa" w:w="938"/>
            <w:tcBorders>
              <w:top w:val="none" w:color="000000" w:sz="4"/>
              <w:left w:val="single" w:color="000000" w:sz="4"/>
              <w:bottom w:val="single" w:color="000000" w:sz="4"/>
              <w:right w:val="single" w:color="000000" w:sz="4"/>
            </w:tcBorders>
            <w:vAlign w:val="top"/>
          </w:tcPr>
          <w:p>
            <w:pPr>
              <w:jc w:val="left"/>
            </w:pPr>
            <w:r>
              <w:rPr>
                <w:sz w:val="18"/>
              </w:rPr>
              <w:t>不符合要求，每次扣</w:t>
            </w:r>
            <w:r>
              <w:rPr>
                <w:sz w:val="18"/>
              </w:rPr>
              <w:t>5分</w:t>
            </w:r>
          </w:p>
        </w:tc>
      </w:tr>
      <w:tr>
        <w:tc>
          <w:tcPr>
            <w:tcW w:type="dxa" w:w="1137"/>
            <w:gridSpan w:val="2"/>
            <w:tcBorders>
              <w:top w:val="none" w:color="000000" w:sz="4"/>
              <w:left w:val="single" w:color="000000" w:sz="4"/>
              <w:bottom w:val="single" w:color="000000" w:sz="4"/>
              <w:right w:val="single" w:color="000000" w:sz="4"/>
            </w:tcBorders>
            <w:vAlign w:val="top"/>
          </w:tcPr>
          <w:p>
            <w:pPr>
              <w:jc w:val="center"/>
            </w:pPr>
            <w:r>
              <w:rPr>
                <w:sz w:val="18"/>
              </w:rPr>
              <w:t>总分</w:t>
            </w:r>
          </w:p>
        </w:tc>
        <w:tc>
          <w:tcPr>
            <w:tcW w:type="dxa" w:w="2591"/>
            <w:tcBorders>
              <w:top w:val="none" w:color="000000" w:sz="4"/>
              <w:left w:val="single" w:color="000000" w:sz="4"/>
              <w:bottom w:val="single" w:color="000000" w:sz="4"/>
              <w:right w:val="single" w:color="000000" w:sz="4"/>
            </w:tcBorders>
            <w:vAlign w:val="top"/>
          </w:tcPr>
          <w:p>
            <w:pPr>
              <w:ind w:firstLine="360"/>
              <w:jc w:val="left"/>
            </w:pPr>
          </w:p>
        </w:tc>
        <w:tc>
          <w:tcPr>
            <w:tcW w:type="dxa" w:w="938"/>
            <w:tcBorders>
              <w:top w:val="none" w:color="000000" w:sz="4"/>
              <w:left w:val="single" w:color="000000" w:sz="4"/>
              <w:bottom w:val="single" w:color="000000" w:sz="4"/>
              <w:right w:val="single" w:color="000000" w:sz="4"/>
            </w:tcBorders>
            <w:vAlign w:val="top"/>
          </w:tcPr>
          <w:p>
            <w:pPr>
              <w:ind w:firstLine="360"/>
              <w:jc w:val="left"/>
            </w:pPr>
          </w:p>
        </w:tc>
      </w:tr>
      <w:tr>
        <w:tc>
          <w:tcPr>
            <w:tcW w:type="dxa" w:w="4666"/>
            <w:gridSpan w:val="4"/>
            <w:tcBorders>
              <w:top w:val="none" w:color="000000" w:sz="4"/>
              <w:left w:val="single" w:color="000000" w:sz="4"/>
              <w:bottom w:val="single" w:color="000000" w:sz="4"/>
              <w:right w:val="single" w:color="000000" w:sz="4"/>
            </w:tcBorders>
            <w:vAlign w:val="top"/>
          </w:tcPr>
          <w:p>
            <w:pPr>
              <w:ind w:firstLine="360"/>
              <w:jc w:val="left"/>
            </w:pPr>
            <w:r>
              <w:rPr>
                <w:sz w:val="18"/>
              </w:rPr>
              <w:t>考核人：</w:t>
            </w:r>
            <w:r>
              <w:rPr>
                <w:sz w:val="21"/>
              </w:rPr>
              <w:t xml:space="preserve">                   </w:t>
            </w:r>
            <w:r>
              <w:rPr>
                <w:sz w:val="18"/>
              </w:rPr>
              <w:t>中标人（盖章）：</w:t>
            </w:r>
            <w:r>
              <w:rPr>
                <w:sz w:val="21"/>
              </w:rPr>
              <w:t xml:space="preserve">                </w:t>
            </w:r>
            <w:r>
              <w:rPr>
                <w:sz w:val="18"/>
              </w:rPr>
              <w:t>日期：</w:t>
            </w:r>
          </w:p>
        </w:tc>
      </w:tr>
      <w:tr>
        <w:tc>
          <w:tcPr>
            <w:tcW w:type="dxa" w:w="4666"/>
            <w:gridSpan w:val="4"/>
            <w:tcBorders>
              <w:top w:val="none" w:color="000000" w:sz="4"/>
              <w:left w:val="single" w:color="000000" w:sz="4"/>
              <w:bottom w:val="single" w:color="000000" w:sz="4"/>
              <w:right w:val="single" w:color="000000" w:sz="4"/>
            </w:tcBorders>
            <w:vAlign w:val="top"/>
          </w:tcPr>
          <w:p>
            <w:pPr>
              <w:jc w:val="both"/>
            </w:pPr>
            <w:r>
              <w:rPr>
                <w:sz w:val="18"/>
              </w:rPr>
              <w:t>说明：说明：服务期限内，每月不定期对中标人进行考核打分，</w:t>
            </w:r>
            <w:r>
              <w:rPr>
                <w:sz w:val="18"/>
              </w:rPr>
              <w:t>原始分为</w:t>
            </w:r>
            <w:r>
              <w:rPr>
                <w:sz w:val="18"/>
              </w:rPr>
              <w:t>100分，</w:t>
            </w:r>
            <w:r>
              <w:rPr>
                <w:sz w:val="18"/>
              </w:rPr>
              <w:t>月平均得分低于</w:t>
            </w:r>
            <w:r>
              <w:rPr>
                <w:sz w:val="18"/>
              </w:rPr>
              <w:t>85 分，食堂使用单位（采购人）有权对中标人进行扣罚。</w:t>
            </w:r>
          </w:p>
          <w:p>
            <w:pPr>
              <w:jc w:val="both"/>
            </w:pPr>
            <w:r>
              <w:rPr>
                <w:sz w:val="18"/>
              </w:rPr>
              <w:t>1.第一次月平均得分低于 85 分的，</w:t>
            </w:r>
            <w:r>
              <w:rPr>
                <w:sz w:val="18"/>
              </w:rPr>
              <w:t>扣减当季度管理服务费的</w:t>
            </w:r>
            <w:r>
              <w:rPr>
                <w:sz w:val="18"/>
              </w:rPr>
              <w:t>1%</w:t>
            </w:r>
            <w:r>
              <w:rPr>
                <w:sz w:val="18"/>
              </w:rPr>
              <w:t>，</w:t>
            </w:r>
            <w:r>
              <w:rPr>
                <w:sz w:val="18"/>
              </w:rPr>
              <w:t>支付当季度管理服务费</w:t>
            </w:r>
            <w:r>
              <w:rPr>
                <w:sz w:val="18"/>
              </w:rPr>
              <w:t>99%金额</w:t>
            </w:r>
            <w:r>
              <w:rPr>
                <w:sz w:val="18"/>
              </w:rPr>
              <w:t>；</w:t>
            </w:r>
          </w:p>
          <w:p>
            <w:pPr>
              <w:jc w:val="both"/>
            </w:pPr>
            <w:r>
              <w:rPr>
                <w:sz w:val="18"/>
              </w:rPr>
              <w:t>2.第二次月平均得分低于 85 分的，</w:t>
            </w:r>
            <w:r>
              <w:rPr>
                <w:sz w:val="18"/>
              </w:rPr>
              <w:t>扣减当季度管理服务费的</w:t>
            </w:r>
            <w:r>
              <w:rPr>
                <w:sz w:val="18"/>
              </w:rPr>
              <w:t>2%</w:t>
            </w:r>
            <w:r>
              <w:rPr>
                <w:sz w:val="18"/>
              </w:rPr>
              <w:t>，</w:t>
            </w:r>
            <w:r>
              <w:rPr>
                <w:sz w:val="18"/>
              </w:rPr>
              <w:t>支付当季度管理服务费</w:t>
            </w:r>
            <w:r>
              <w:rPr>
                <w:sz w:val="18"/>
              </w:rPr>
              <w:t>98%金额</w:t>
            </w:r>
            <w:r>
              <w:rPr>
                <w:sz w:val="18"/>
              </w:rPr>
              <w:t>；</w:t>
            </w:r>
          </w:p>
          <w:p>
            <w:pPr>
              <w:jc w:val="both"/>
            </w:pPr>
            <w:r>
              <w:rPr>
                <w:sz w:val="18"/>
              </w:rPr>
              <w:t>3.第三次月平均得分低于 85 分的或试用期内连续二次平均得分低于 85 分的，</w:t>
            </w:r>
            <w:r>
              <w:rPr>
                <w:sz w:val="18"/>
              </w:rPr>
              <w:t>扣减当季度管理服务费的</w:t>
            </w:r>
            <w:r>
              <w:rPr>
                <w:sz w:val="18"/>
              </w:rPr>
              <w:t>3%</w:t>
            </w:r>
            <w:r>
              <w:rPr>
                <w:sz w:val="18"/>
              </w:rPr>
              <w:t>，</w:t>
            </w:r>
            <w:r>
              <w:rPr>
                <w:sz w:val="18"/>
              </w:rPr>
              <w:t>支付当季度管理服务费</w:t>
            </w:r>
            <w:r>
              <w:rPr>
                <w:sz w:val="18"/>
              </w:rPr>
              <w:t>97%金额</w:t>
            </w:r>
            <w:r>
              <w:rPr>
                <w:sz w:val="18"/>
              </w:rPr>
              <w:t>，食堂使用单位（采购人）有权单方解除政府采购合同（罚款在服务费结算时扣除）。</w:t>
            </w:r>
          </w:p>
        </w:tc>
      </w:tr>
    </w:tbl>
    <w:p>
      <w:pPr>
        <w:jc w:val="left"/>
      </w:pPr>
    </w:p>
    <w:p>
      <w:pPr>
        <w:jc w:val="left"/>
      </w:pPr>
      <w:r>
        <w:rPr/>
        <w:t xml:space="preserve"> </w:t>
      </w:r>
    </w:p>
    <w:p>
      <w:pPr>
        <w:jc w:val="left"/>
      </w:pPr>
    </w:p>
    <w:p>
      <w:pPr>
        <w:jc w:val="left"/>
      </w:pPr>
      <w:r>
        <w:rPr>
          <w:b/>
          <w:sz w:val="21"/>
        </w:rPr>
        <w:t>2</w:t>
      </w:r>
      <w:r>
        <w:rPr>
          <w:b/>
          <w:sz w:val="21"/>
        </w:rPr>
        <w:t xml:space="preserve">.服务期限内，每日对中标人进行监督检查。       </w:t>
      </w:r>
    </w:p>
    <w:tbl>
      <w:tblPr>
        <w:tblW w:w="0" w:type="auto"/>
        <w:tblBorders>
          <w:top w:val="none" w:color="000000" w:sz="4"/>
          <w:left w:val="none" w:color="000000" w:sz="4"/>
          <w:bottom w:val="none" w:color="000000" w:sz="4"/>
          <w:right w:val="none" w:color="000000" w:sz="4"/>
          <w:insideH w:val="none"/>
          <w:insideV w:val="none"/>
        </w:tblBorders>
      </w:tblPr>
      <w:tblGrid>
        <w:gridCol w:w="390"/>
        <w:gridCol w:w="1453"/>
        <w:gridCol w:w="1902"/>
        <w:gridCol w:w="465"/>
        <w:gridCol w:w="448"/>
      </w:tblGrid>
      <w:tr>
        <w:tc>
          <w:tcPr>
            <w:tcW w:type="dxa" w:w="4658"/>
            <w:gridSpan w:val="5"/>
            <w:tcBorders>
              <w:top w:val="single" w:color="000000" w:sz="4"/>
              <w:left w:val="single" w:color="000000" w:sz="4"/>
              <w:bottom w:val="single" w:color="000000" w:sz="4"/>
              <w:right w:val="single" w:color="000000" w:sz="4"/>
            </w:tcBorders>
            <w:vAlign w:val="top"/>
          </w:tcPr>
          <w:p>
            <w:pPr>
              <w:jc w:val="center"/>
            </w:pPr>
            <w:r>
              <w:rPr>
                <w:b/>
                <w:sz w:val="18"/>
              </w:rPr>
              <w:t>每日监督检查表</w:t>
            </w:r>
          </w:p>
        </w:tc>
      </w:tr>
      <w:tr>
        <w:tc>
          <w:tcPr>
            <w:tcW w:type="dxa" w:w="4658"/>
            <w:gridSpan w:val="5"/>
            <w:tcBorders>
              <w:top w:val="none" w:color="000000" w:sz="4"/>
              <w:left w:val="single" w:color="000000" w:sz="4"/>
              <w:bottom w:val="single" w:color="000000" w:sz="4"/>
              <w:right w:val="single" w:color="000000" w:sz="4"/>
            </w:tcBorders>
            <w:vAlign w:val="top"/>
          </w:tcPr>
          <w:p>
            <w:pPr>
              <w:jc w:val="both"/>
            </w:pPr>
            <w:r>
              <w:rPr>
                <w:b/>
                <w:sz w:val="18"/>
              </w:rPr>
              <w:t>填报单位：</w:t>
            </w:r>
            <w:r>
              <w:rPr>
                <w:b/>
                <w:sz w:val="18"/>
              </w:rPr>
              <w:t xml:space="preserve">                    </w:t>
            </w:r>
            <w:r>
              <w:rPr>
                <w:b/>
                <w:sz w:val="18"/>
              </w:rPr>
              <w:t>填报人：</w:t>
            </w:r>
            <w:r>
              <w:rPr>
                <w:b/>
                <w:sz w:val="18"/>
              </w:rPr>
              <w:t xml:space="preserve">              </w:t>
            </w:r>
            <w:r>
              <w:rPr>
                <w:b/>
                <w:sz w:val="18"/>
              </w:rPr>
              <w:t>填报日期：</w:t>
            </w:r>
          </w:p>
        </w:tc>
      </w:tr>
      <w:tr>
        <w:tc>
          <w:tcPr>
            <w:tcW w:type="dxa" w:w="390"/>
            <w:tcBorders>
              <w:top w:val="none" w:color="000000" w:sz="4"/>
              <w:left w:val="single" w:color="000000" w:sz="4"/>
              <w:bottom w:val="single" w:color="000000" w:sz="4"/>
              <w:right w:val="single" w:color="000000" w:sz="4"/>
            </w:tcBorders>
            <w:vAlign w:val="top"/>
          </w:tcPr>
          <w:p>
            <w:pPr>
              <w:jc w:val="center"/>
            </w:pPr>
            <w:r>
              <w:rPr>
                <w:b/>
                <w:sz w:val="18"/>
              </w:rPr>
              <w:t>序号</w:t>
            </w:r>
          </w:p>
        </w:tc>
        <w:tc>
          <w:tcPr>
            <w:tcW w:type="dxa" w:w="1453"/>
            <w:tcBorders>
              <w:top w:val="single" w:color="000000" w:sz="4"/>
              <w:left w:val="single" w:color="000000" w:sz="4"/>
              <w:bottom w:val="single" w:color="000000" w:sz="4"/>
              <w:right w:val="single" w:color="000000" w:sz="4"/>
            </w:tcBorders>
            <w:vAlign w:val="top"/>
          </w:tcPr>
          <w:p>
            <w:pPr>
              <w:jc w:val="center"/>
            </w:pPr>
            <w:r>
              <w:rPr>
                <w:b/>
                <w:sz w:val="18"/>
              </w:rPr>
              <w:t>检查内容</w:t>
            </w:r>
          </w:p>
        </w:tc>
        <w:tc>
          <w:tcPr>
            <w:tcW w:type="dxa" w:w="1902"/>
            <w:tcBorders>
              <w:top w:val="single" w:color="000000" w:sz="4"/>
              <w:left w:val="single" w:color="000000" w:sz="4"/>
              <w:bottom w:val="single" w:color="000000" w:sz="4"/>
              <w:right w:val="single" w:color="000000" w:sz="4"/>
            </w:tcBorders>
            <w:vAlign w:val="top"/>
          </w:tcPr>
          <w:p>
            <w:pPr>
              <w:jc w:val="center"/>
            </w:pPr>
            <w:r>
              <w:rPr>
                <w:b/>
                <w:sz w:val="18"/>
              </w:rPr>
              <w:t>检查记录</w:t>
            </w:r>
          </w:p>
          <w:p>
            <w:pPr>
              <w:jc w:val="center"/>
            </w:pPr>
            <w:r>
              <w:rPr>
                <w:sz w:val="18"/>
              </w:rPr>
              <w:t>在对应选项进行</w:t>
            </w:r>
            <w:r>
              <w:rPr>
                <w:sz w:val="18"/>
              </w:rPr>
              <w:t>“√”选</w:t>
            </w:r>
          </w:p>
        </w:tc>
        <w:tc>
          <w:tcPr>
            <w:tcW w:type="dxa" w:w="465"/>
            <w:tcBorders>
              <w:top w:val="single" w:color="000000" w:sz="4"/>
              <w:left w:val="single" w:color="000000" w:sz="4"/>
              <w:bottom w:val="single" w:color="000000" w:sz="4"/>
              <w:right w:val="single" w:color="000000" w:sz="4"/>
            </w:tcBorders>
            <w:vAlign w:val="top"/>
          </w:tcPr>
          <w:p>
            <w:pPr>
              <w:jc w:val="center"/>
            </w:pPr>
            <w:r>
              <w:rPr>
                <w:b/>
                <w:sz w:val="18"/>
              </w:rPr>
              <w:t>分值</w:t>
            </w:r>
          </w:p>
        </w:tc>
        <w:tc>
          <w:tcPr>
            <w:tcW w:type="dxa" w:w="448"/>
            <w:tcBorders>
              <w:top w:val="single" w:color="000000" w:sz="4"/>
              <w:left w:val="single" w:color="000000" w:sz="4"/>
              <w:bottom w:val="single" w:color="000000" w:sz="4"/>
              <w:right w:val="single" w:color="000000" w:sz="4"/>
            </w:tcBorders>
            <w:vAlign w:val="top"/>
          </w:tcPr>
          <w:p>
            <w:pPr>
              <w:jc w:val="left"/>
            </w:pPr>
            <w:r>
              <w:rPr>
                <w:b/>
                <w:sz w:val="18"/>
              </w:rPr>
              <w:t>评分</w:t>
            </w:r>
          </w:p>
        </w:tc>
      </w:tr>
      <w:tr>
        <w:tc>
          <w:tcPr>
            <w:tcW w:type="dxa" w:w="390"/>
            <w:tcBorders>
              <w:top w:val="none" w:color="000000" w:sz="4"/>
              <w:left w:val="single" w:color="000000" w:sz="4"/>
              <w:bottom w:val="single" w:color="000000" w:sz="4"/>
              <w:right w:val="single" w:color="000000" w:sz="4"/>
            </w:tcBorders>
            <w:vAlign w:val="top"/>
          </w:tcPr>
          <w:p>
            <w:pPr>
              <w:jc w:val="center"/>
            </w:pPr>
            <w:r>
              <w:rPr>
                <w:b/>
                <w:sz w:val="18"/>
              </w:rPr>
              <w:t>1</w:t>
            </w:r>
          </w:p>
        </w:tc>
        <w:tc>
          <w:tcPr>
            <w:tcW w:type="dxa" w:w="1453"/>
            <w:tcBorders>
              <w:top w:val="none" w:color="000000" w:sz="4"/>
              <w:left w:val="single" w:color="000000" w:sz="4"/>
              <w:bottom w:val="single" w:color="000000" w:sz="4"/>
              <w:right w:val="single" w:color="000000" w:sz="4"/>
            </w:tcBorders>
            <w:vAlign w:val="top"/>
          </w:tcPr>
          <w:p>
            <w:pPr>
              <w:jc w:val="left"/>
            </w:pPr>
            <w:r>
              <w:rPr>
                <w:sz w:val="18"/>
              </w:rPr>
              <w:t>防疫期间，工作人员工作时应按要求规范佩戴口</w:t>
            </w:r>
          </w:p>
        </w:tc>
        <w:tc>
          <w:tcPr>
            <w:tcW w:type="dxa" w:w="1902"/>
            <w:tcBorders>
              <w:top w:val="none" w:color="000000" w:sz="4"/>
              <w:left w:val="single" w:color="000000" w:sz="4"/>
              <w:bottom w:val="single" w:color="000000" w:sz="4"/>
              <w:right w:val="single" w:color="000000" w:sz="4"/>
            </w:tcBorders>
            <w:vAlign w:val="top"/>
          </w:tcPr>
          <w:p>
            <w:pPr>
              <w:jc w:val="left"/>
            </w:pPr>
            <w:r>
              <w:rPr>
                <w:sz w:val="18"/>
              </w:rPr>
              <w:t>是（）（为满分</w:t>
            </w:r>
            <w:r>
              <w:rPr>
                <w:sz w:val="18"/>
              </w:rPr>
              <w:t>20分）</w:t>
            </w:r>
          </w:p>
          <w:p>
            <w:pPr>
              <w:jc w:val="left"/>
            </w:pPr>
            <w:r>
              <w:rPr>
                <w:sz w:val="18"/>
              </w:rPr>
              <w:t>否（）（检查情况：）</w:t>
            </w:r>
          </w:p>
          <w:p>
            <w:pPr>
              <w:jc w:val="left"/>
            </w:pPr>
            <w:r>
              <w:rPr>
                <w:sz w:val="18"/>
              </w:rPr>
              <w:t>注：评分低于</w:t>
            </w:r>
            <w:r>
              <w:rPr>
                <w:sz w:val="18"/>
              </w:rPr>
              <w:t>15分，提供照片进行存档</w:t>
            </w:r>
          </w:p>
        </w:tc>
        <w:tc>
          <w:tcPr>
            <w:tcW w:type="dxa" w:w="465"/>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448"/>
            <w:tcBorders>
              <w:top w:val="none" w:color="000000" w:sz="4"/>
              <w:left w:val="single" w:color="000000" w:sz="4"/>
              <w:bottom w:val="single" w:color="000000" w:sz="4"/>
              <w:right w:val="single" w:color="000000" w:sz="4"/>
            </w:tcBorders>
            <w:vAlign w:val="top"/>
          </w:tcPr>
          <w:p>
            <w:pPr>
              <w:jc w:val="left"/>
            </w:pPr>
          </w:p>
        </w:tc>
      </w:tr>
      <w:tr>
        <w:tc>
          <w:tcPr>
            <w:tcW w:type="dxa" w:w="390"/>
            <w:tcBorders>
              <w:top w:val="none" w:color="000000" w:sz="4"/>
              <w:left w:val="single" w:color="000000" w:sz="4"/>
              <w:bottom w:val="single" w:color="000000" w:sz="4"/>
              <w:right w:val="single" w:color="000000" w:sz="4"/>
            </w:tcBorders>
            <w:vAlign w:val="top"/>
          </w:tcPr>
          <w:p>
            <w:pPr>
              <w:jc w:val="center"/>
            </w:pPr>
            <w:r>
              <w:rPr>
                <w:b/>
                <w:sz w:val="18"/>
              </w:rPr>
              <w:t>2</w:t>
            </w:r>
          </w:p>
        </w:tc>
        <w:tc>
          <w:tcPr>
            <w:tcW w:type="dxa" w:w="1453"/>
            <w:tcBorders>
              <w:top w:val="none" w:color="000000" w:sz="4"/>
              <w:left w:val="single" w:color="000000" w:sz="4"/>
              <w:bottom w:val="single" w:color="000000" w:sz="4"/>
              <w:right w:val="single" w:color="000000" w:sz="4"/>
            </w:tcBorders>
            <w:vAlign w:val="top"/>
          </w:tcPr>
          <w:p>
            <w:pPr>
              <w:jc w:val="left"/>
            </w:pPr>
            <w:r>
              <w:rPr>
                <w:sz w:val="18"/>
              </w:rPr>
              <w:t>人员统一穿着制服（标识服）</w:t>
            </w:r>
          </w:p>
        </w:tc>
        <w:tc>
          <w:tcPr>
            <w:tcW w:type="dxa" w:w="1902"/>
            <w:tcBorders>
              <w:top w:val="none" w:color="000000" w:sz="4"/>
              <w:left w:val="single" w:color="000000" w:sz="4"/>
              <w:bottom w:val="single" w:color="000000" w:sz="4"/>
              <w:right w:val="single" w:color="000000" w:sz="4"/>
            </w:tcBorders>
            <w:vAlign w:val="top"/>
          </w:tcPr>
          <w:p>
            <w:pPr>
              <w:jc w:val="left"/>
            </w:pPr>
            <w:r>
              <w:rPr>
                <w:sz w:val="18"/>
              </w:rPr>
              <w:t>是（）（为满分</w:t>
            </w:r>
            <w:r>
              <w:rPr>
                <w:sz w:val="18"/>
              </w:rPr>
              <w:t>20分）</w:t>
            </w:r>
          </w:p>
          <w:p>
            <w:pPr>
              <w:jc w:val="left"/>
            </w:pPr>
            <w:r>
              <w:rPr>
                <w:sz w:val="18"/>
              </w:rPr>
              <w:t>否（）（检查情况：</w:t>
            </w:r>
          </w:p>
          <w:p>
            <w:pPr>
              <w:jc w:val="left"/>
            </w:pPr>
            <w:r>
              <w:rPr>
                <w:sz w:val="18"/>
              </w:rPr>
              <w:t>注：评分低于</w:t>
            </w:r>
            <w:r>
              <w:rPr>
                <w:sz w:val="18"/>
              </w:rPr>
              <w:t>15分，提供照片进行存档</w:t>
            </w:r>
          </w:p>
        </w:tc>
        <w:tc>
          <w:tcPr>
            <w:tcW w:type="dxa" w:w="465"/>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448"/>
            <w:tcBorders>
              <w:top w:val="none" w:color="000000" w:sz="4"/>
              <w:left w:val="single" w:color="000000" w:sz="4"/>
              <w:bottom w:val="single" w:color="000000" w:sz="4"/>
              <w:right w:val="single" w:color="000000" w:sz="4"/>
            </w:tcBorders>
            <w:vAlign w:val="top"/>
          </w:tcPr>
          <w:p>
            <w:pPr>
              <w:jc w:val="left"/>
            </w:pPr>
          </w:p>
        </w:tc>
      </w:tr>
      <w:tr>
        <w:tc>
          <w:tcPr>
            <w:tcW w:type="dxa" w:w="390"/>
            <w:tcBorders>
              <w:top w:val="none" w:color="000000" w:sz="4"/>
              <w:left w:val="single" w:color="000000" w:sz="4"/>
              <w:bottom w:val="single" w:color="000000" w:sz="4"/>
              <w:right w:val="single" w:color="000000" w:sz="4"/>
            </w:tcBorders>
            <w:vAlign w:val="top"/>
          </w:tcPr>
          <w:p>
            <w:pPr>
              <w:jc w:val="center"/>
            </w:pPr>
            <w:r>
              <w:rPr>
                <w:b/>
                <w:sz w:val="18"/>
              </w:rPr>
              <w:t>3</w:t>
            </w:r>
          </w:p>
        </w:tc>
        <w:tc>
          <w:tcPr>
            <w:tcW w:type="dxa" w:w="1453"/>
            <w:tcBorders>
              <w:top w:val="none" w:color="000000" w:sz="4"/>
              <w:left w:val="single" w:color="000000" w:sz="4"/>
              <w:bottom w:val="single" w:color="000000" w:sz="4"/>
              <w:right w:val="single" w:color="000000" w:sz="4"/>
            </w:tcBorders>
            <w:vAlign w:val="top"/>
          </w:tcPr>
          <w:p>
            <w:pPr>
              <w:jc w:val="left"/>
            </w:pPr>
            <w:r>
              <w:rPr>
                <w:sz w:val="18"/>
              </w:rPr>
              <w:t>垃圾桶是否有恶劣气味、虫蝇、是否有隔夜垃圾未处理</w:t>
            </w:r>
          </w:p>
        </w:tc>
        <w:tc>
          <w:tcPr>
            <w:tcW w:type="dxa" w:w="1902"/>
            <w:tcBorders>
              <w:top w:val="none" w:color="000000" w:sz="4"/>
              <w:left w:val="single" w:color="000000" w:sz="4"/>
              <w:bottom w:val="single" w:color="000000" w:sz="4"/>
              <w:right w:val="single" w:color="000000" w:sz="4"/>
            </w:tcBorders>
            <w:vAlign w:val="top"/>
          </w:tcPr>
          <w:p>
            <w:pPr>
              <w:jc w:val="left"/>
            </w:pPr>
            <w:r>
              <w:rPr>
                <w:sz w:val="18"/>
              </w:rPr>
              <w:t>是（）（为满分</w:t>
            </w:r>
            <w:r>
              <w:rPr>
                <w:sz w:val="18"/>
              </w:rPr>
              <w:t>20分）</w:t>
            </w:r>
          </w:p>
          <w:p>
            <w:pPr>
              <w:jc w:val="left"/>
            </w:pPr>
            <w:r>
              <w:rPr>
                <w:sz w:val="18"/>
              </w:rPr>
              <w:t>否（）（检查情况：）</w:t>
            </w:r>
          </w:p>
          <w:p>
            <w:pPr>
              <w:jc w:val="left"/>
            </w:pPr>
            <w:r>
              <w:rPr>
                <w:sz w:val="18"/>
              </w:rPr>
              <w:t>注：评分低于</w:t>
            </w:r>
            <w:r>
              <w:rPr>
                <w:sz w:val="18"/>
              </w:rPr>
              <w:t>15分，提供照片进行存档</w:t>
            </w:r>
          </w:p>
        </w:tc>
        <w:tc>
          <w:tcPr>
            <w:tcW w:type="dxa" w:w="465"/>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448"/>
            <w:tcBorders>
              <w:top w:val="none" w:color="000000" w:sz="4"/>
              <w:left w:val="single" w:color="000000" w:sz="4"/>
              <w:bottom w:val="single" w:color="000000" w:sz="4"/>
              <w:right w:val="single" w:color="000000" w:sz="4"/>
            </w:tcBorders>
            <w:vAlign w:val="top"/>
          </w:tcPr>
          <w:p>
            <w:pPr>
              <w:jc w:val="left"/>
            </w:pPr>
          </w:p>
        </w:tc>
      </w:tr>
      <w:tr>
        <w:tc>
          <w:tcPr>
            <w:tcW w:type="dxa" w:w="390"/>
            <w:tcBorders>
              <w:top w:val="none" w:color="000000" w:sz="4"/>
              <w:left w:val="single" w:color="000000" w:sz="4"/>
              <w:bottom w:val="single" w:color="000000" w:sz="4"/>
              <w:right w:val="single" w:color="000000" w:sz="4"/>
            </w:tcBorders>
            <w:vAlign w:val="top"/>
          </w:tcPr>
          <w:p>
            <w:pPr>
              <w:jc w:val="center"/>
            </w:pPr>
            <w:r>
              <w:rPr>
                <w:b/>
                <w:sz w:val="18"/>
              </w:rPr>
              <w:t>4</w:t>
            </w:r>
          </w:p>
        </w:tc>
        <w:tc>
          <w:tcPr>
            <w:tcW w:type="dxa" w:w="1453"/>
            <w:tcBorders>
              <w:top w:val="none" w:color="000000" w:sz="4"/>
              <w:left w:val="single" w:color="000000" w:sz="4"/>
              <w:bottom w:val="single" w:color="000000" w:sz="4"/>
              <w:right w:val="single" w:color="000000" w:sz="4"/>
            </w:tcBorders>
            <w:vAlign w:val="top"/>
          </w:tcPr>
          <w:p>
            <w:pPr>
              <w:jc w:val="left"/>
            </w:pPr>
            <w:r>
              <w:rPr>
                <w:sz w:val="18"/>
              </w:rPr>
              <w:t>　案台、刀具、盘碟、消毒柜、地面、调味盒、售卖台是否干净、整洁</w:t>
            </w:r>
          </w:p>
        </w:tc>
        <w:tc>
          <w:tcPr>
            <w:tcW w:type="dxa" w:w="1902"/>
            <w:tcBorders>
              <w:top w:val="none" w:color="000000" w:sz="4"/>
              <w:left w:val="single" w:color="000000" w:sz="4"/>
              <w:bottom w:val="single" w:color="000000" w:sz="4"/>
              <w:right w:val="single" w:color="000000" w:sz="4"/>
            </w:tcBorders>
            <w:vAlign w:val="top"/>
          </w:tcPr>
          <w:p>
            <w:pPr>
              <w:jc w:val="left"/>
            </w:pPr>
            <w:r>
              <w:rPr>
                <w:sz w:val="18"/>
              </w:rPr>
              <w:t>是（）（为满分</w:t>
            </w:r>
            <w:r>
              <w:rPr>
                <w:sz w:val="18"/>
              </w:rPr>
              <w:t>20分）</w:t>
            </w:r>
          </w:p>
          <w:p>
            <w:pPr>
              <w:jc w:val="left"/>
            </w:pPr>
            <w:r>
              <w:rPr>
                <w:sz w:val="18"/>
              </w:rPr>
              <w:t>否（）（检查情况：）</w:t>
            </w:r>
          </w:p>
          <w:p>
            <w:pPr>
              <w:jc w:val="left"/>
            </w:pPr>
            <w:r>
              <w:rPr>
                <w:sz w:val="18"/>
              </w:rPr>
              <w:t>注：评分低于</w:t>
            </w:r>
            <w:r>
              <w:rPr>
                <w:sz w:val="18"/>
              </w:rPr>
              <w:t>15分，提供照片进行存档</w:t>
            </w:r>
          </w:p>
        </w:tc>
        <w:tc>
          <w:tcPr>
            <w:tcW w:type="dxa" w:w="465"/>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448"/>
            <w:tcBorders>
              <w:top w:val="none" w:color="000000" w:sz="4"/>
              <w:left w:val="single" w:color="000000" w:sz="4"/>
              <w:bottom w:val="single" w:color="000000" w:sz="4"/>
              <w:right w:val="single" w:color="000000" w:sz="4"/>
            </w:tcBorders>
            <w:vAlign w:val="top"/>
          </w:tcPr>
          <w:p>
            <w:pPr>
              <w:jc w:val="left"/>
            </w:pPr>
          </w:p>
        </w:tc>
      </w:tr>
      <w:tr>
        <w:tc>
          <w:tcPr>
            <w:tcW w:type="dxa" w:w="390"/>
            <w:tcBorders>
              <w:top w:val="none" w:color="000000" w:sz="4"/>
              <w:left w:val="single" w:color="000000" w:sz="4"/>
              <w:bottom w:val="single" w:color="000000" w:sz="4"/>
              <w:right w:val="single" w:color="000000" w:sz="4"/>
            </w:tcBorders>
            <w:vAlign w:val="top"/>
          </w:tcPr>
          <w:p>
            <w:pPr>
              <w:jc w:val="center"/>
            </w:pPr>
            <w:r>
              <w:rPr>
                <w:b/>
                <w:sz w:val="18"/>
              </w:rPr>
              <w:t>5</w:t>
            </w:r>
          </w:p>
        </w:tc>
        <w:tc>
          <w:tcPr>
            <w:tcW w:type="dxa" w:w="1453"/>
            <w:tcBorders>
              <w:top w:val="none" w:color="000000" w:sz="4"/>
              <w:left w:val="single" w:color="000000" w:sz="4"/>
              <w:bottom w:val="single" w:color="000000" w:sz="4"/>
              <w:right w:val="single" w:color="000000" w:sz="4"/>
            </w:tcBorders>
            <w:vAlign w:val="top"/>
          </w:tcPr>
          <w:p>
            <w:pPr>
              <w:jc w:val="both"/>
            </w:pPr>
            <w:r>
              <w:rPr>
                <w:sz w:val="18"/>
              </w:rPr>
              <w:t>餐具是否按要求消毒处理</w:t>
            </w:r>
          </w:p>
        </w:tc>
        <w:tc>
          <w:tcPr>
            <w:tcW w:type="dxa" w:w="1902"/>
            <w:tcBorders>
              <w:top w:val="none" w:color="000000" w:sz="4"/>
              <w:left w:val="single" w:color="000000" w:sz="4"/>
              <w:bottom w:val="single" w:color="000000" w:sz="4"/>
              <w:right w:val="single" w:color="000000" w:sz="4"/>
            </w:tcBorders>
            <w:vAlign w:val="top"/>
          </w:tcPr>
          <w:p>
            <w:pPr>
              <w:jc w:val="left"/>
            </w:pPr>
            <w:r>
              <w:rPr>
                <w:sz w:val="18"/>
              </w:rPr>
              <w:t>是（）（为满分</w:t>
            </w:r>
            <w:r>
              <w:rPr>
                <w:sz w:val="18"/>
              </w:rPr>
              <w:t>20分）</w:t>
            </w:r>
          </w:p>
          <w:p>
            <w:pPr>
              <w:jc w:val="left"/>
            </w:pPr>
            <w:r>
              <w:rPr>
                <w:sz w:val="18"/>
              </w:rPr>
              <w:t>否（）（检查情况：）</w:t>
            </w:r>
          </w:p>
          <w:p>
            <w:pPr>
              <w:jc w:val="left"/>
            </w:pPr>
            <w:r>
              <w:rPr>
                <w:sz w:val="18"/>
              </w:rPr>
              <w:t>注：评分低于</w:t>
            </w:r>
            <w:r>
              <w:rPr>
                <w:sz w:val="18"/>
              </w:rPr>
              <w:t>15分，提供照片进行存档</w:t>
            </w:r>
          </w:p>
        </w:tc>
        <w:tc>
          <w:tcPr>
            <w:tcW w:type="dxa" w:w="465"/>
            <w:tcBorders>
              <w:top w:val="none" w:color="000000" w:sz="4"/>
              <w:left w:val="single" w:color="000000" w:sz="4"/>
              <w:bottom w:val="single" w:color="000000" w:sz="4"/>
              <w:right w:val="single" w:color="000000" w:sz="4"/>
            </w:tcBorders>
            <w:vAlign w:val="top"/>
          </w:tcPr>
          <w:p>
            <w:pPr>
              <w:jc w:val="center"/>
            </w:pPr>
            <w:r>
              <w:rPr>
                <w:sz w:val="18"/>
              </w:rPr>
              <w:t>1-20</w:t>
            </w:r>
          </w:p>
        </w:tc>
        <w:tc>
          <w:tcPr>
            <w:tcW w:type="dxa" w:w="448"/>
            <w:tcBorders>
              <w:top w:val="none" w:color="000000" w:sz="4"/>
              <w:left w:val="single" w:color="000000" w:sz="4"/>
              <w:bottom w:val="single" w:color="000000" w:sz="4"/>
              <w:right w:val="single" w:color="000000" w:sz="4"/>
            </w:tcBorders>
            <w:vAlign w:val="top"/>
          </w:tcPr>
          <w:p>
            <w:pPr>
              <w:jc w:val="left"/>
            </w:pPr>
          </w:p>
        </w:tc>
      </w:tr>
      <w:tr>
        <w:tc>
          <w:tcPr>
            <w:tcW w:type="dxa" w:w="4658"/>
            <w:gridSpan w:val="5"/>
            <w:tcBorders>
              <w:top w:val="none" w:color="000000" w:sz="4"/>
              <w:left w:val="single" w:color="000000" w:sz="4"/>
              <w:bottom w:val="single" w:color="000000" w:sz="4"/>
              <w:right w:val="single" w:color="000000" w:sz="4"/>
            </w:tcBorders>
            <w:vAlign w:val="top"/>
          </w:tcPr>
          <w:p>
            <w:pPr>
              <w:ind w:firstLine="360"/>
              <w:jc w:val="center"/>
            </w:pPr>
            <w:r>
              <w:rPr>
                <w:sz w:val="18"/>
              </w:rPr>
              <w:t>合计（满分</w:t>
            </w:r>
            <w:r>
              <w:rPr>
                <w:sz w:val="18"/>
              </w:rPr>
              <w:t>100分）</w:t>
            </w:r>
          </w:p>
        </w:tc>
      </w:tr>
      <w:tr>
        <w:tc>
          <w:tcPr>
            <w:tcW w:type="dxa" w:w="4658"/>
            <w:gridSpan w:val="5"/>
            <w:tcBorders>
              <w:top w:val="none" w:color="000000" w:sz="4"/>
              <w:left w:val="single" w:color="000000" w:sz="4"/>
              <w:bottom w:val="single" w:color="000000" w:sz="4"/>
              <w:right w:val="single" w:color="000000" w:sz="4"/>
            </w:tcBorders>
            <w:vAlign w:val="top"/>
          </w:tcPr>
          <w:p>
            <w:pPr>
              <w:jc w:val="left"/>
            </w:pPr>
            <w:r>
              <w:rPr>
                <w:sz w:val="18"/>
              </w:rPr>
              <w:t>说明：服务期限内，每日对中标人进行监督检查，月平均得分低于</w:t>
            </w:r>
            <w:r>
              <w:rPr>
                <w:sz w:val="18"/>
              </w:rPr>
              <w:t>85 分，食堂使用单位（采购人）有权对中标人进行扣罚。其中，中标人需每月按投标文件承诺次数安排食品安全员到场组织进行食品安全检查，否则在月平均得分扣 1 分。</w:t>
            </w:r>
          </w:p>
          <w:p>
            <w:pPr>
              <w:jc w:val="left"/>
            </w:pPr>
            <w:r>
              <w:rPr>
                <w:sz w:val="18"/>
              </w:rPr>
              <w:t>1.第一次月平均得分低于 85 分的，扣罚人民币 3000~10000 元，罚款在服务费结算时扣除；</w:t>
            </w:r>
          </w:p>
          <w:p>
            <w:pPr>
              <w:jc w:val="left"/>
            </w:pPr>
            <w:r>
              <w:rPr>
                <w:sz w:val="18"/>
              </w:rPr>
              <w:t>2.第二次月平均得分低于 85 分的，扣罚人民币 5000~20000 元，罚款在服务费结算时扣除；</w:t>
            </w:r>
          </w:p>
          <w:p>
            <w:pPr>
              <w:jc w:val="left"/>
            </w:pPr>
            <w:r>
              <w:rPr>
                <w:sz w:val="18"/>
              </w:rPr>
              <w:t>3.第三次月平均得分低于 85 分的或试用期内连续二次平均得分低于 85 分的，扣罚人民币 10000~50000 元，食堂使用单位（采购人）有权单方解除政府采购合同（罚款在服务费结算时扣除）。</w:t>
            </w:r>
          </w:p>
        </w:tc>
      </w:tr>
    </w:tbl>
    <w:p>
      <w:r>
        <w:rPr/>
        <w:t xml:space="preserve"> </w:t>
      </w:r>
    </w:p>
    <w:p>
      <w:pPr>
        <w:jc w:val="both"/>
      </w:pPr>
      <w:r>
        <w:rPr>
          <w:b/>
          <w:sz w:val="32"/>
        </w:rPr>
        <w:t>四、中小微企业质押融资</w:t>
      </w:r>
    </w:p>
    <w:p>
      <w:pPr>
        <w:ind w:firstLine="420"/>
        <w:jc w:val="both"/>
      </w:pPr>
      <w:r>
        <w:rPr>
          <w:sz w:val="21"/>
        </w:rPr>
        <w:t>1.根据《中国人民银行中山市中心支行 中山市财政局 中山市经济和信息化局 中山市人民</w:t>
      </w:r>
      <w:r>
        <w:rPr>
          <w:sz w:val="21"/>
        </w:rPr>
        <w:t>政府金融工作局关于印发</w:t>
      </w:r>
      <w:r>
        <w:rPr>
          <w:sz w:val="21"/>
        </w:rPr>
        <w:t>&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w:t>
      </w:r>
    </w:p>
    <w:p>
      <w:pPr>
        <w:ind w:firstLine="420"/>
        <w:jc w:val="both"/>
      </w:pPr>
      <w:r>
        <w:rPr>
          <w:sz w:val="21"/>
        </w:rPr>
        <w:t>截至当前，辖内开展政府采购质押融资业务的银行机构报备的联系方式如下：</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390"/>
        <w:gridCol w:w="1129"/>
        <w:gridCol w:w="980"/>
        <w:gridCol w:w="573"/>
        <w:gridCol w:w="1603"/>
      </w:tblGrid>
      <w:tr>
        <w:tc>
          <w:tcPr>
            <w:tcW w:type="dxa" w:w="390"/>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129"/>
            <w:tcBorders>
              <w:top w:val="single" w:color="000000" w:sz="4"/>
              <w:left w:val="single" w:color="000000" w:sz="4"/>
              <w:bottom w:val="single" w:color="000000" w:sz="4"/>
              <w:right w:val="single" w:color="000000" w:sz="4"/>
            </w:tcBorders>
            <w:shd w:fill="FFFFFF"/>
            <w:vAlign w:val="top"/>
          </w:tcPr>
          <w:p>
            <w:pPr>
              <w:jc w:val="center"/>
            </w:pPr>
            <w:r>
              <w:rPr>
                <w:sz w:val="21"/>
              </w:rPr>
              <w:t>银行机构</w:t>
            </w:r>
          </w:p>
        </w:tc>
        <w:tc>
          <w:tcPr>
            <w:tcW w:type="dxa" w:w="980"/>
            <w:tcBorders>
              <w:top w:val="single" w:color="000000" w:sz="4"/>
              <w:left w:val="single" w:color="000000" w:sz="4"/>
              <w:bottom w:val="single" w:color="000000" w:sz="4"/>
              <w:right w:val="single" w:color="000000" w:sz="4"/>
            </w:tcBorders>
            <w:shd w:fill="FFFFFF"/>
            <w:vAlign w:val="top"/>
          </w:tcPr>
          <w:p>
            <w:pPr>
              <w:jc w:val="center"/>
            </w:pPr>
            <w:r>
              <w:rPr>
                <w:sz w:val="21"/>
              </w:rPr>
              <w:t>经办部门</w:t>
            </w:r>
          </w:p>
        </w:tc>
        <w:tc>
          <w:tcPr>
            <w:tcW w:type="dxa" w:w="573"/>
            <w:tcBorders>
              <w:top w:val="single" w:color="000000" w:sz="4"/>
              <w:left w:val="single" w:color="000000" w:sz="4"/>
              <w:bottom w:val="single" w:color="000000" w:sz="4"/>
              <w:right w:val="single" w:color="000000" w:sz="4"/>
            </w:tcBorders>
            <w:shd w:fill="FFFFFF"/>
            <w:vAlign w:val="top"/>
          </w:tcPr>
          <w:p>
            <w:pPr>
              <w:jc w:val="center"/>
            </w:pPr>
            <w:r>
              <w:rPr>
                <w:sz w:val="21"/>
              </w:rPr>
              <w:t>联系人</w:t>
            </w:r>
          </w:p>
        </w:tc>
        <w:tc>
          <w:tcPr>
            <w:tcW w:type="dxa" w:w="1603"/>
            <w:tcBorders>
              <w:top w:val="single" w:color="000000" w:sz="4"/>
              <w:left w:val="single" w:color="000000" w:sz="4"/>
              <w:bottom w:val="single" w:color="000000" w:sz="4"/>
              <w:right w:val="single" w:color="000000" w:sz="4"/>
            </w:tcBorders>
            <w:shd w:fill="FFFFFF"/>
            <w:vAlign w:val="top"/>
          </w:tcPr>
          <w:p>
            <w:pPr>
              <w:jc w:val="center"/>
            </w:pPr>
            <w:r>
              <w:rPr>
                <w:sz w:val="21"/>
              </w:rPr>
              <w:t>联系方式</w:t>
            </w:r>
          </w:p>
        </w:tc>
      </w:tr>
      <w:tr>
        <w:tc>
          <w:tcPr>
            <w:tcW w:type="dxa" w:w="390"/>
            <w:vMerge w:val="restart"/>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29"/>
            <w:vMerge w:val="restart"/>
            <w:tcBorders>
              <w:top w:val="none" w:color="000000" w:sz="4"/>
              <w:left w:val="single" w:color="000000" w:sz="4"/>
              <w:bottom w:val="single" w:color="000000" w:sz="4"/>
              <w:right w:val="single" w:color="000000" w:sz="4"/>
            </w:tcBorders>
            <w:shd w:fill="FFFFFF"/>
            <w:vAlign w:val="top"/>
          </w:tcPr>
          <w:p>
            <w:pPr>
              <w:jc w:val="center"/>
            </w:pPr>
            <w:r>
              <w:rPr>
                <w:sz w:val="21"/>
              </w:rPr>
              <w:t>中国农业发展银行中山市分行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客户业务部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邹可仕</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18802598981</w:t>
            </w:r>
          </w:p>
        </w:tc>
      </w:tr>
      <w:tr>
        <w:tc>
          <w:tcPr>
            <w:tcW w:type="dxa" w:w="390"/>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信贷与风险管理部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陈小龙</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15889891688</w:t>
            </w:r>
          </w:p>
        </w:tc>
      </w:tr>
      <w:tr>
        <w:tc>
          <w:tcPr>
            <w:tcW w:type="dxa" w:w="390"/>
            <w:vMerge w:val="restart"/>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129"/>
            <w:vMerge w:val="restart"/>
            <w:tcBorders>
              <w:top w:val="none" w:color="000000" w:sz="4"/>
              <w:left w:val="single" w:color="000000" w:sz="4"/>
              <w:bottom w:val="single" w:color="000000" w:sz="4"/>
              <w:right w:val="single" w:color="000000" w:sz="4"/>
            </w:tcBorders>
            <w:shd w:fill="FFFFFF"/>
            <w:vAlign w:val="top"/>
          </w:tcPr>
          <w:p>
            <w:pPr>
              <w:jc w:val="center"/>
            </w:pPr>
            <w:r>
              <w:rPr>
                <w:sz w:val="21"/>
              </w:rPr>
              <w:t>中.国工商银行中山分行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普惠金融事业部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陈炳菁</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18928108782</w:t>
            </w:r>
          </w:p>
        </w:tc>
      </w:tr>
      <w:tr>
        <w:tc>
          <w:tcPr>
            <w:tcW w:type="dxa" w:w="390"/>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普惠金融事业部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杨培鹏</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15900085352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中国农业银行中山分行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普惠金融事业部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赖思韵</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22644682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广发银行中山分行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普惠金融部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林光宇</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88862643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中国邮政储蓄银行中山市分行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小企业金融部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黄嘉霖</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13824720741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中山农村商业银行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总行公司业务部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杜保森</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88884181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平安银行中山分行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普惠金融部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林晓冰</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13823931817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兴业银行中山分行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企业金融部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刘中芳</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0760-88368666-203172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招商银行中山分行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公司金融事业部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唐庆颖</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13924998608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中国光大银行中山分行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公司业务管理部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张梓颖</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0760-88858067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广州银行中山分行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公司金融部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杨顺龙</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88776919</w:t>
            </w:r>
          </w:p>
        </w:tc>
      </w:tr>
      <w:tr>
        <w:tc>
          <w:tcPr>
            <w:tcW w:type="dxa" w:w="390"/>
            <w:vMerge w:val="restart"/>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129"/>
            <w:vMerge w:val="restart"/>
            <w:tcBorders>
              <w:top w:val="none" w:color="000000" w:sz="4"/>
              <w:left w:val="single" w:color="000000" w:sz="4"/>
              <w:bottom w:val="single" w:color="000000" w:sz="4"/>
              <w:right w:val="single" w:color="000000" w:sz="4"/>
            </w:tcBorders>
            <w:shd w:fill="FFFFFF"/>
            <w:vAlign w:val="top"/>
          </w:tcPr>
          <w:p>
            <w:pPr>
              <w:jc w:val="center"/>
            </w:pPr>
            <w:r>
              <w:rPr>
                <w:sz w:val="21"/>
              </w:rPr>
              <w:t>中信银行中山分行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普惠金融部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陈廷忠</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15113386853</w:t>
            </w:r>
          </w:p>
        </w:tc>
      </w:tr>
      <w:tr>
        <w:tc>
          <w:tcPr>
            <w:tcW w:type="dxa" w:w="390"/>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普惠金融部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余超贤</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15918291829</w:t>
            </w:r>
          </w:p>
        </w:tc>
      </w:tr>
      <w:tr>
        <w:tc>
          <w:tcPr>
            <w:tcW w:type="dxa" w:w="390"/>
            <w:vMerge w:val="restart"/>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129"/>
            <w:vMerge w:val="restart"/>
            <w:tcBorders>
              <w:top w:val="none" w:color="000000" w:sz="4"/>
              <w:left w:val="single" w:color="000000" w:sz="4"/>
              <w:bottom w:val="single" w:color="000000" w:sz="4"/>
              <w:right w:val="single" w:color="000000" w:sz="4"/>
            </w:tcBorders>
            <w:shd w:fill="FFFFFF"/>
            <w:vAlign w:val="top"/>
          </w:tcPr>
          <w:p>
            <w:pPr>
              <w:jc w:val="center"/>
            </w:pPr>
            <w:r>
              <w:rPr>
                <w:sz w:val="21"/>
              </w:rPr>
              <w:t>渤海银行中山分行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公司金融部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李建夏</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13631124024、0760-87911816</w:t>
            </w:r>
          </w:p>
        </w:tc>
      </w:tr>
      <w:tr>
        <w:tc>
          <w:tcPr>
            <w:tcW w:type="dxa" w:w="390"/>
            <w:vMerge/>
            <w:tcBorders>
              <w:top w:val="none" w:color="000000" w:sz="4"/>
              <w:left w:val="single" w:color="000000" w:sz="4"/>
              <w:bottom w:val="single" w:color="000000" w:sz="4"/>
              <w:right w:val="single" w:color="000000" w:sz="4"/>
            </w:tcBorders>
          </w:tcPr>
          <w:p/>
        </w:tc>
        <w:tc>
          <w:tcPr>
            <w:tcW w:type="dxa" w:w="1129"/>
            <w:vMerge/>
            <w:tcBorders>
              <w:top w:val="none" w:color="000000" w:sz="4"/>
              <w:left w:val="single" w:color="000000" w:sz="4"/>
              <w:bottom w:val="single" w:color="000000" w:sz="4"/>
              <w:right w:val="single" w:color="000000" w:sz="4"/>
            </w:tcBorders>
          </w:tcP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分行营业部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徐艺</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13928142042、0760-87911808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华夏银行中山分行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营销管理部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叶怡</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28137855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东莞银行中山分行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业务部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赵荣耀</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13042854636/86939959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东亚银行（中国）有限公司中山支行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中山支行</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王涛</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89986282/18926998881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129"/>
            <w:tcBorders>
              <w:top w:val="none" w:color="000000" w:sz="4"/>
              <w:left w:val="single" w:color="000000" w:sz="4"/>
              <w:bottom w:val="single" w:color="000000" w:sz="4"/>
              <w:right w:val="single" w:color="000000" w:sz="4"/>
            </w:tcBorders>
            <w:shd w:fill="FFFFFF"/>
            <w:vAlign w:val="top"/>
          </w:tcPr>
          <w:p>
            <w:pPr>
              <w:jc w:val="center"/>
            </w:pPr>
            <w:r>
              <w:rPr>
                <w:sz w:val="21"/>
              </w:rPr>
              <w:t>浦发银行中山分行</w:t>
            </w:r>
          </w:p>
        </w:tc>
        <w:tc>
          <w:tcPr>
            <w:tcW w:type="dxa" w:w="980"/>
            <w:tcBorders>
              <w:top w:val="none" w:color="000000" w:sz="4"/>
              <w:left w:val="single" w:color="000000" w:sz="4"/>
              <w:bottom w:val="single" w:color="000000" w:sz="4"/>
              <w:right w:val="single" w:color="000000" w:sz="4"/>
            </w:tcBorders>
            <w:shd w:fill="FFFFFF"/>
            <w:vAlign w:val="top"/>
          </w:tcPr>
          <w:p>
            <w:pPr>
              <w:jc w:val="center"/>
            </w:pPr>
            <w:r>
              <w:rPr>
                <w:sz w:val="21"/>
              </w:rPr>
              <w:t>交易银行部</w:t>
            </w:r>
          </w:p>
        </w:tc>
        <w:tc>
          <w:tcPr>
            <w:tcW w:type="dxa" w:w="573"/>
            <w:tcBorders>
              <w:top w:val="none" w:color="000000" w:sz="4"/>
              <w:left w:val="single" w:color="000000" w:sz="4"/>
              <w:bottom w:val="single" w:color="000000" w:sz="4"/>
              <w:right w:val="single" w:color="000000" w:sz="4"/>
            </w:tcBorders>
            <w:shd w:fill="FFFFFF"/>
            <w:vAlign w:val="top"/>
          </w:tcPr>
          <w:p>
            <w:pPr>
              <w:jc w:val="center"/>
            </w:pPr>
            <w:r>
              <w:rPr>
                <w:sz w:val="21"/>
              </w:rPr>
              <w:t>付涛</w:t>
            </w:r>
          </w:p>
        </w:tc>
        <w:tc>
          <w:tcPr>
            <w:tcW w:type="dxa" w:w="1603"/>
            <w:tcBorders>
              <w:top w:val="none" w:color="000000" w:sz="4"/>
              <w:left w:val="single" w:color="000000" w:sz="4"/>
              <w:bottom w:val="single" w:color="000000" w:sz="4"/>
              <w:right w:val="single" w:color="000000" w:sz="4"/>
            </w:tcBorders>
            <w:shd w:fill="FFFFFF"/>
            <w:vAlign w:val="top"/>
          </w:tcPr>
          <w:p>
            <w:pPr>
              <w:jc w:val="center"/>
            </w:pPr>
            <w:r>
              <w:rPr>
                <w:sz w:val="21"/>
              </w:rPr>
              <w:t>0760-89982303</w:t>
            </w:r>
          </w:p>
        </w:tc>
      </w:tr>
    </w:tbl>
    <w:p>
      <w:pPr>
        <w:ind w:firstLine="420"/>
        <w:jc w:val="both"/>
      </w:pPr>
      <w:r>
        <w:rPr>
          <w:sz w:val="21"/>
        </w:rPr>
        <w:t>2.</w:t>
      </w:r>
      <w:r>
        <w:rPr>
          <w:sz w:val="21"/>
        </w:rPr>
        <w:t>中小微企业有融资需求的，可通过应收账款融资服务平台（网址：</w:t>
      </w:r>
      <w:r>
        <w:rPr>
          <w:sz w:val="21"/>
        </w:rPr>
        <w:t>www.crcrfsp.com）和中山市社会征信和金融服务一体化系统（网址：www.zsythxt.zs.gov.cn）向辖内特定或非特定银行机构咨询并提出融资申请。</w:t>
      </w:r>
    </w:p>
    <w:p>
      <w:pPr>
        <w:ind w:firstLine="420"/>
        <w:jc w:val="both"/>
      </w:pPr>
      <w:r>
        <w:rPr>
          <w:sz w:val="21"/>
        </w:rPr>
        <w:t>3.</w:t>
      </w:r>
      <w:r>
        <w:rPr>
          <w:sz w:val="21"/>
        </w:rPr>
        <w:t>采购人应当及时在应收账款融资服务平台（网址：</w:t>
      </w:r>
      <w:r>
        <w:rPr>
          <w:sz w:val="21"/>
        </w:rPr>
        <w:t>www.crcrfsp.com）确认债权债务关系，支持中小微企业融资。</w:t>
      </w:r>
    </w:p>
    <w:p>
      <w:pPr>
        <w:ind w:firstLine="420"/>
        <w:jc w:val="both"/>
      </w:pPr>
      <w:r>
        <w:rPr>
          <w:sz w:val="21"/>
        </w:rPr>
        <w:t>4.</w:t>
      </w:r>
      <w:r>
        <w:rPr>
          <w:sz w:val="21"/>
        </w:rPr>
        <w:t>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w:t>
      </w:r>
    </w:p>
    <w:p>
      <w:pPr>
        <w:ind w:firstLine="420"/>
        <w:jc w:val="both"/>
      </w:pPr>
      <w:r>
        <w:rPr>
          <w:sz w:val="21"/>
        </w:rPr>
        <w:t>5.</w:t>
      </w:r>
      <w:r>
        <w:rPr>
          <w:sz w:val="21"/>
        </w:rPr>
        <w:t>财政部门根据《中华人民共和国政府采购法》等相关法规、规章规定，对参加政府采购活动的投标人的不良行为予以记录，并纳入中山市社会征信和金融服务一体化系统，供银行机构融资授信时审慎性参考。</w:t>
      </w:r>
    </w:p>
    <w:p>
      <w:pPr>
        <w:jc w:val="left"/>
      </w:pPr>
    </w:p>
    <w:p/>
    <w:p>
      <w:pPr>
        <w:ind w:firstLine="480"/>
      </w:pPr>
    </w:p>
    <w:p/>
    <w:p>
      <w:r>
        <w:rPr/>
        <w:t>采购包1（中山市廉政教育中心2023年度饭堂食材配送服务采购项目）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自合同生效之日起12个月。合同终止条件包括：情况一，服务期限内结算金额累计达到采购预算金额时，合同终止。情况二，合同服务期满时，结算金额累计未达到采购预算金额的，按实结算，合同终止。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1期：支付比例100%,1.中标人与采购人应于中标通知书发出之日起30天内签订政府采购合同，并约定进场服务时间。招标文件、投标文件、中标通知书、考核细则应作为合同附件。 2.采购人按月考核服务情况。 3.采购人按月支付中标人服务费用。 4.费用支付流程： 4.1中标人于每月5日前将上个月结算资料送达采购人，采购人结合上个月考核情况确认该月实际支付金额。 4.2中标人于每月15日前将上个月的发票（发票金额按扣除考核罚款后金额开具）送达采购人，采购人收到发票后支付当期的费用。 注：上述4.1所指的结算资料包括：（1）上个月供货记录资料；（2）上个月供货费用费用统计表；（3）上个月考核报告资料；（4）采购人认为有必要提供的其他资料。</w:t>
            </w:r>
          </w:p>
        </w:tc>
      </w:tr>
      <w:tr>
        <w:tc>
          <w:tcPr>
            <w:tcW w:type="dxa" w:w="4153"/>
          </w:tcPr>
          <w:p>
            <w:r>
              <w:rPr/>
              <w:t>验收要求</w:t>
            </w:r>
          </w:p>
        </w:tc>
        <w:tc>
          <w:tcPr>
            <w:tcW w:type="dxa" w:w="4153"/>
          </w:tcPr>
          <w:p/>
          <w:p/>
          <w:p/>
          <w:p>
            <w:r>
              <w:rPr/>
              <w:t>1期：详见招标文件第二章 采购需求。</w:t>
            </w:r>
          </w:p>
        </w:tc>
      </w:tr>
      <w:tr>
        <w:tc>
          <w:tcPr>
            <w:tcW w:type="dxa" w:w="4153"/>
          </w:tcPr>
          <w:p>
            <w:r>
              <w:rPr/>
              <w:t>履约保证金</w:t>
            </w:r>
          </w:p>
        </w:tc>
        <w:tc>
          <w:tcPr>
            <w:tcW w:type="dxa" w:w="4153"/>
          </w:tcPr>
          <w:p/>
          <w:p/>
          <w:p/>
          <w:p/>
          <w:p>
            <w:r>
              <w:rPr/>
              <w:t>收取比例：10%,说明：中标人在签订合同7个工作日内向采购人交纳履约保证金50万元（若50万元超过中标金额的10%，则按中标金额的10%计算；中标人为中小企业时，若50万元超过中标金额的5%，则按中标金额的5%计算）。履约保证金以不可撤销、无条件的银行履约保函的形式提交（履约保函不计息），且应在服务期内持续有效，出具保函的银行须在国内注册。若中标人给采购人造成的损失超过履约保函数额的，中标人还应当对超过部分予以赔偿。履约保函应明确列出或附上采购人索赔的资料清单，索赔流程应该具有实操性。</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中山市廉政教育中心2023年度饭堂食材配送服务采购项目</w:t>
            </w:r>
          </w:p>
        </w:tc>
        <w:tc>
          <w:tcPr>
            <w:tcW w:type="dxa" w:w="831"/>
          </w:tcPr>
          <w:p>
            <w:pPr>
              <w:jc w:val="left"/>
            </w:pPr>
            <w:r>
              <w:rPr/>
              <w:t>项</w:t>
            </w:r>
          </w:p>
        </w:tc>
        <w:tc>
          <w:tcPr>
            <w:tcW w:type="dxa" w:w="831"/>
          </w:tcPr>
          <w:p>
            <w:pPr>
              <w:jc w:val="right"/>
            </w:pPr>
            <w:r>
              <w:rPr/>
              <w:t>1.00</w:t>
            </w:r>
          </w:p>
        </w:tc>
        <w:tc>
          <w:tcPr>
            <w:tcW w:type="dxa" w:w="831"/>
          </w:tcPr>
          <w:p>
            <w:pPr>
              <w:jc w:val="right"/>
            </w:pPr>
            <w:r>
              <w:rPr/>
              <w:t>14,490,000.00</w:t>
            </w:r>
          </w:p>
        </w:tc>
        <w:tc>
          <w:tcPr>
            <w:tcW w:type="dxa" w:w="831"/>
          </w:tcPr>
          <w:p>
            <w:pPr>
              <w:jc w:val="right"/>
            </w:pPr>
            <w:r>
              <w:rPr/>
              <w:t>14,490,000.00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中山市廉政教育中心2023年度饭堂食材配送服务采购项目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6"/>
              </w:rPr>
              <w:t>详见招标文件第二章 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采购包2（中山市廉政教育中心2023年度食堂外包服务采购项目）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自合同生效之日起12个月，具体起止期限以采购人与中标人签订的合同约定为准。采购人与中标人签订合同之日起7天内，中标人需进场开展工作，以确保能顺利开展工作。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1期：支付比例100%,1.中标人与采购人应于中标通知书发出之日起30天内签订政府采购合同，并约定进场服务时间。招标文件、投标文件、中标通知书、服务考核细则应作为合同附件。 2.采购人按月考核服务情况，按季度汇总考核服务情况。 3.采购人季度支付中标人服务费用。 4.费用支付流程： 4.1中标人于每季度后第一个月10日前将上季度结算资料送达采购人，采购人结合考核情况确认该季度实际支付金额。 4.2中标人于每季度后第一个月10日前将上季度的发票（发票金额按扣除考核罚款后金额开具）送达采购人，采购人收到发票后支付当期的费用。 注：上述4.1所指的结算资料包括：（1）季度费用总表；（2）季度考核报告资料；（3）采购人认为有必要提供的其他资料。</w:t>
            </w:r>
          </w:p>
        </w:tc>
      </w:tr>
      <w:tr>
        <w:tc>
          <w:tcPr>
            <w:tcW w:type="dxa" w:w="4153"/>
          </w:tcPr>
          <w:p>
            <w:r>
              <w:rPr/>
              <w:t>验收要求</w:t>
            </w:r>
          </w:p>
        </w:tc>
        <w:tc>
          <w:tcPr>
            <w:tcW w:type="dxa" w:w="4153"/>
          </w:tcPr>
          <w:p/>
          <w:p/>
          <w:p/>
          <w:p>
            <w:r>
              <w:rPr/>
              <w:t>1期：详见招标文件第二章 采购需求。</w:t>
            </w:r>
          </w:p>
        </w:tc>
      </w:tr>
      <w:tr>
        <w:tc>
          <w:tcPr>
            <w:tcW w:type="dxa" w:w="4153"/>
          </w:tcPr>
          <w:p>
            <w:r>
              <w:rPr/>
              <w:t>履约保证金</w:t>
            </w:r>
          </w:p>
        </w:tc>
        <w:tc>
          <w:tcPr>
            <w:tcW w:type="dxa" w:w="4153"/>
          </w:tcPr>
          <w:p/>
          <w:p/>
          <w:p/>
          <w:p/>
          <w:p>
            <w:r>
              <w:rPr/>
              <w:t>收取比例：10%,说明：中标人在签订合同7个工作日内向采购人交纳履约保证金50万元（若50万元超过中标金额的10%，则按中标金额的10%计算；中标人为中小企业时，若50万元超过中标金额的5%，则按中标金额的5%计算）。履约保证金以不可撤销、无条件的银行履约保函的形式提交（履约保函不计息），且应在服务期内持续有效，出具保函的银行须在国内注册。若中标人给采购人造成的损失超过履约保函数额的，中标人还应当对超过部分予以赔偿。履约保函应明确列出或附上采购人索赔的资料清单，索赔流程应该具有实操性。</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餐饮服务</w:t>
            </w:r>
          </w:p>
        </w:tc>
        <w:tc>
          <w:tcPr>
            <w:tcW w:type="dxa" w:w="933"/>
          </w:tcPr>
          <w:p>
            <w:pPr>
              <w:jc w:val="left"/>
            </w:pPr>
            <w:r>
              <w:rPr/>
              <w:t>中山市廉政教育中心2023年度食堂外包服务采购项目</w:t>
            </w:r>
          </w:p>
        </w:tc>
        <w:tc>
          <w:tcPr>
            <w:tcW w:type="dxa" w:w="933"/>
          </w:tcPr>
          <w:p>
            <w:pPr>
              <w:jc w:val="left"/>
            </w:pPr>
            <w:r>
              <w:rPr/>
              <w:t>项</w:t>
            </w:r>
          </w:p>
        </w:tc>
        <w:tc>
          <w:tcPr>
            <w:tcW w:type="dxa" w:w="933"/>
          </w:tcPr>
          <w:p>
            <w:pPr>
              <w:jc w:val="right"/>
            </w:pPr>
            <w:r>
              <w:rPr/>
              <w:t>1.00</w:t>
            </w:r>
          </w:p>
        </w:tc>
        <w:tc>
          <w:tcPr>
            <w:tcW w:type="dxa" w:w="933"/>
          </w:tcPr>
          <w:p>
            <w:pPr>
              <w:jc w:val="right"/>
            </w:pPr>
            <w:r>
              <w:rPr/>
              <w:t>5,000,000.00</w:t>
            </w:r>
          </w:p>
        </w:tc>
        <w:tc>
          <w:tcPr>
            <w:tcW w:type="dxa" w:w="933"/>
          </w:tcPr>
          <w:p>
            <w:pPr>
              <w:jc w:val="right"/>
            </w:pPr>
            <w:r>
              <w:rPr/>
              <w:t>5,000,000.00</w:t>
            </w:r>
          </w:p>
        </w:tc>
        <w:tc>
          <w:tcPr>
            <w:tcW w:type="dxa" w:w="840"/>
          </w:tcPr>
          <w:p>
            <w:r>
              <w:rPr/>
              <w:t>餐饮业</w:t>
            </w:r>
          </w:p>
        </w:tc>
        <w:tc>
          <w:tcPr>
            <w:tcW w:type="dxa" w:w="933"/>
          </w:tcPr>
          <w:p>
            <w:r>
              <w:rPr/>
              <w:t>详见附表一</w:t>
            </w:r>
          </w:p>
        </w:tc>
      </w:tr>
    </w:tbl>
    <w:p/>
    <w:p>
      <w:r>
        <w:rPr>
          <w:b/>
        </w:rPr>
        <w:t>附表</w:t>
      </w:r>
      <w:r>
        <w:rPr>
          <w:b/>
        </w:rPr>
        <w:t>一</w:t>
      </w:r>
      <w:r>
        <w:rPr>
          <w:b/>
        </w:rPr>
        <w:t>：</w:t>
      </w:r>
      <w:r>
        <w:rPr>
          <w:b/>
        </w:rPr>
        <w:t>中山市廉政教育中心2023年度食堂外包服务采购项目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16"/>
              </w:rPr>
              <w:t>详见招标文件第二章 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1.采购代理机构：本项目是指中山市政府采购中心，负责整个采购活动的组织，依法负责编制和发布招标文件，对招标文件拥有最终的解释权，不以任何身份出任评标委员会成员。</w:t>
      </w:r>
    </w:p>
    <w:p>
      <w:pPr>
        <w:ind w:firstLine="480"/>
      </w:pPr>
      <w:r>
        <w:rPr/>
        <w:t>2.采购人：本项目是指</w:t>
      </w:r>
      <w:r>
        <w:rPr/>
        <w:t>中国共产党中山市纪律检查委员会</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采购包2：总价</w:t>
            </w:r>
          </w:p>
        </w:tc>
      </w:tr>
      <w:tr>
        <w:tc>
          <w:tcPr>
            <w:tcW w:type="dxa" w:w="1051"/>
          </w:tcPr>
          <w:p>
            <w:r>
              <w:rPr/>
              <w:t>6</w:t>
            </w:r>
          </w:p>
        </w:tc>
        <w:tc>
          <w:tcPr>
            <w:tcW w:type="dxa" w:w="2252"/>
          </w:tcPr>
          <w:p>
            <w:r>
              <w:rPr/>
              <w:t>报价要求</w:t>
            </w:r>
          </w:p>
        </w:tc>
        <w:tc>
          <w:tcPr>
            <w:tcW w:type="dxa" w:w="5004"/>
          </w:tcPr>
          <w:p/>
          <w:p>
            <w:r>
              <w:rPr/>
              <w:t>采购包1：0% - 100%</w:t>
            </w:r>
          </w:p>
          <w:p/>
          <w:p>
            <w:r>
              <w:rPr/>
              <w:t>采购包2：各采购包报价不超过预算总价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兼投不兼中：本项目兼投不兼中，投标人可对一个或多个采购包进行投标，但只能中标其中一个采购包。 说明：具体按以下程序确认中标候选人。 1.采购包1：根据综合得分由高到低排序，推荐排名第一的投标人为第一中标候选人，推荐排名第二的投标人为第二中标候选人； 2.采购包2：若采购包1第一中标候选人投了本采购包，则剔除采购包1的第一中标候选人后，由综合得分排名第一的投标人作为本采购包的第一中标候选人，推荐排名第二的投标人为第二中标候选人。</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投标解密时长：根据实际情况填写。具体情况根据开标时现场采购机构人员设置为准。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采购包1：面向小微企业，以合同分包形式预留，预留比例：50.0%。</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中山市政府采购中心</w:t>
      </w:r>
      <w:r>
        <w:rPr/>
        <w:t>代收。具体操作要求详见</w:t>
      </w:r>
      <w:r>
        <w:rPr/>
        <w:t>中山市政府采购中心</w:t>
      </w:r>
      <w:r>
        <w:rPr/>
        <w:t>有关指引，递交事宜请自行咨询</w:t>
      </w:r>
      <w:r>
        <w:rPr/>
        <w:t>中山市政府采购中心</w:t>
      </w:r>
      <w:r>
        <w:rPr/>
        <w:t>；请各投标人在投标文件递交截止时间前按须知前附表规定的金额递交至</w:t>
      </w:r>
      <w:r>
        <w:rPr/>
        <w:t>中山市政府采购中心</w:t>
      </w:r>
      <w:r>
        <w:rPr/>
        <w:t>，到账情况以开标时</w:t>
      </w:r>
      <w:r>
        <w:rPr/>
        <w:t>中山市政府采购中心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刘小姐</w:t>
      </w:r>
    </w:p>
    <w:p>
      <w:pPr>
        <w:ind w:firstLine="480"/>
      </w:pPr>
      <w:r>
        <w:rPr/>
        <w:t>电话：</w:t>
      </w:r>
      <w:r>
        <w:rPr/>
        <w:t>0760-89817327 ，0760-89817062</w:t>
      </w:r>
    </w:p>
    <w:p>
      <w:pPr>
        <w:ind w:firstLine="480"/>
      </w:pPr>
      <w:r>
        <w:rPr/>
        <w:t>传真：</w:t>
      </w:r>
      <w:r>
        <w:rPr/>
        <w:t>0760-89817367</w:t>
      </w:r>
    </w:p>
    <w:p>
      <w:pPr>
        <w:ind w:firstLine="480"/>
      </w:pPr>
      <w:r>
        <w:rPr/>
        <w:t>邮箱：</w:t>
      </w:r>
      <w:r>
        <w:rPr/>
        <w:t>3529316724@qq.com</w:t>
      </w:r>
    </w:p>
    <w:p>
      <w:pPr>
        <w:ind w:firstLine="480"/>
      </w:pPr>
      <w:r>
        <w:rPr/>
        <w:t>地址：</w:t>
      </w:r>
      <w:r>
        <w:rPr/>
        <w:t>中山市博爱六路22号政务服务大厅二楼D区公共资源交易中心</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廉政教育中心2023年度饭堂食材配送服务采购项目)：综合评分法,是指投标文件满足招标文件全部实质性要求，且按照评审因素的量化指标评审得分最高的投标人为中标候选人的评标方法。（最低报价不是中标的唯一依据。）</w:t>
      </w:r>
    </w:p>
    <w:p/>
    <w:p>
      <w:r>
        <w:rPr/>
        <w:t>采购包2(中山市廉政教育中心2023年度食堂外包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中山市政府采购中心</w:t>
      </w:r>
      <w:r>
        <w:rPr/>
        <w:t>统一对外发布。</w:t>
      </w:r>
    </w:p>
    <w:p>
      <w:pPr>
        <w:ind w:firstLine="480"/>
      </w:pPr>
      <w:r>
        <w:rPr/>
        <w:t>（2）对</w:t>
      </w:r>
      <w:r>
        <w:rPr/>
        <w:t>中山市政府采购中心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采购包1（中山市廉政教育中心2023年度饭堂食材配送服务采购项目）：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采购包2（中山市廉政教育中心2023年度食堂外包服务采购项目）：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20%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采购包1（中山市廉政教育中心2023年度饭堂食材配送服务采购项目）：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投标人须具有有效的《食品生产许可证》或《食品药品经营许可证》或《食品经营许可证》。</w:t>
            </w:r>
          </w:p>
        </w:tc>
        <w:tc>
          <w:tcPr>
            <w:tcW w:type="dxa" w:w="4238"/>
          </w:tcPr>
          <w:p>
            <w:r>
              <w:rPr/>
              <w:t>投标人须具有有效的《食品生产许可证》或《食品药品经营许可证》或《食品经营许可证》。（在投标文件中提供证书复印件）</w:t>
            </w:r>
          </w:p>
        </w:tc>
      </w:tr>
      <w:tr>
        <w:tc>
          <w:tcPr>
            <w:tcW w:type="dxa" w:w="890"/>
          </w:tcPr>
          <w:p>
            <w:r>
              <w:rPr/>
              <w:t>7</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r>
        <w:tc>
          <w:tcPr>
            <w:tcW w:type="dxa" w:w="890"/>
          </w:tcPr>
          <w:p>
            <w:r>
              <w:rPr/>
              <w:t>9</w:t>
            </w:r>
          </w:p>
        </w:tc>
        <w:tc>
          <w:tcPr>
            <w:tcW w:type="dxa" w:w="3178"/>
          </w:tcPr>
          <w:p>
            <w:r>
              <w:rPr/>
              <w:t>本采购包专门面向中小企业采购</w:t>
            </w:r>
          </w:p>
        </w:tc>
        <w:tc>
          <w:tcPr>
            <w:tcW w:type="dxa" w:w="4238"/>
          </w:tcPr>
          <w:p>
            <w:r>
              <w:rPr/>
              <w:t>本采购包预留份额面向小型企业或微型企业：投标人为大型企业或中型企业的，须提供《分包承诺函》承诺中标后将50%或以上份额分包给小型企业或微型企业完成（《分包承诺函》格式详见采购公告附件）。投标人为小型企业或微型企业的，则提供《中小企业声明函（工程、服务）》（中小企业划分标准所属行业为：餐饮业）。（监狱企业、残疾人福利性单位视同小型、微型企业）</w:t>
            </w:r>
          </w:p>
        </w:tc>
      </w:tr>
    </w:tbl>
    <w:p/>
    <w:p>
      <w:r>
        <w:rPr/>
        <w:t>采购包2（中山市廉政教育中心2023年度食堂外包服务采购项目）：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提供有缴纳过税收和社保的证明材料，具体要求为：2022年1月至开标当月内任意1个月依法缴纳税收和社会保障资金的相关材料。如依法免税或不需要缴纳社会保障资金的，提供相应证明材料。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供应商必须具有良好的商业信誉和健全的财务会计制度，提供以下证明材料之一：（1）2021年度财务状况报告；（2）2022年度财务状况报告；（3）企业所在基本开户行出具的资信证明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投标人在投标函中申明具备《中华人民共和国政府采购法》第二十二条规定的条件，则视为符合要求。</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按招标文件第六章“格式一”提供《投标函》，对应内容为《投标函》的第十三条）</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（按招标文件第六章“格式一”提供《投标函》，对应内容为《投标函》的第十条和第十一条）</w:t>
            </w:r>
          </w:p>
        </w:tc>
      </w:tr>
    </w:tbl>
    <w:p/>
    <w:p>
      <w:pPr>
        <w:ind w:firstLine="480"/>
      </w:pPr>
      <w:r>
        <w:rPr/>
        <w:t>表二符合性审查表：</w:t>
      </w:r>
    </w:p>
    <w:p>
      <w:pPr>
        <w:ind w:firstLine="480"/>
      </w:pPr>
    </w:p>
    <w:p/>
    <w:p>
      <w:r>
        <w:rPr/>
        <w:t>采购包1（中山市廉政教育中心2023年度饭堂食材配送服务采购项目）：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t>采购包2（中山市廉政教育中心2023年度食堂外包服务采购项目）：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提交投标函，并按要求签署、盖章。</w:t>
            </w:r>
          </w:p>
        </w:tc>
      </w:tr>
      <w:tr>
        <w:tc>
          <w:tcPr>
            <w:tcW w:type="dxa" w:w="890"/>
          </w:tcPr>
          <w:p>
            <w:r>
              <w:rPr/>
              <w:t>2</w:t>
            </w:r>
          </w:p>
        </w:tc>
        <w:tc>
          <w:tcPr>
            <w:tcW w:type="dxa" w:w="3178"/>
          </w:tcPr>
          <w:p>
            <w:r>
              <w:rPr/>
              <w:t>投标有效期</w:t>
            </w:r>
          </w:p>
        </w:tc>
        <w:tc>
          <w:tcPr>
            <w:tcW w:type="dxa" w:w="4238"/>
          </w:tcPr>
          <w:p>
            <w:r>
              <w:rPr/>
              <w:t>投标有效期为投标截止日起90天（按招标文件第六章“格式一”提供《投标函》，对应内容为《投标函》的第二条）。</w:t>
            </w:r>
          </w:p>
        </w:tc>
      </w:tr>
      <w:tr>
        <w:tc>
          <w:tcPr>
            <w:tcW w:type="dxa" w:w="890"/>
          </w:tcPr>
          <w:p>
            <w:r>
              <w:rPr/>
              <w:t>3</w:t>
            </w:r>
          </w:p>
        </w:tc>
        <w:tc>
          <w:tcPr>
            <w:tcW w:type="dxa" w:w="3178"/>
          </w:tcPr>
          <w:p>
            <w:r>
              <w:rPr/>
              <w:t>法定代表人证明书及法定代表人授权书</w:t>
            </w:r>
          </w:p>
        </w:tc>
        <w:tc>
          <w:tcPr>
            <w:tcW w:type="dxa" w:w="4238"/>
          </w:tcPr>
          <w:p>
            <w:r>
              <w:rPr/>
              <w:t>提交法定代表人证明书及法定代表人授权书，按对应格式文件签署、盖章。</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投标（报价）总金额是固定价且是唯一的，未超过本项目最高限价。最高限价详见招标文件第二章。</w:t>
            </w:r>
          </w:p>
        </w:tc>
      </w:tr>
      <w:tr>
        <w:tc>
          <w:tcPr>
            <w:tcW w:type="dxa" w:w="890"/>
          </w:tcPr>
          <w:p>
            <w:r>
              <w:rPr/>
              <w:t>5</w:t>
            </w:r>
          </w:p>
        </w:tc>
        <w:tc>
          <w:tcPr>
            <w:tcW w:type="dxa" w:w="3178"/>
          </w:tcPr>
          <w:p>
            <w:r>
              <w:rPr/>
              <w:t>“★”条款满足招标文件要求</w:t>
            </w:r>
          </w:p>
        </w:tc>
        <w:tc>
          <w:tcPr>
            <w:tcW w:type="dxa" w:w="4238"/>
          </w:tcPr>
          <w:p>
            <w:r>
              <w:rPr/>
              <w:t>投标文件完全满足招标文件的实质性条款(即★条款)。</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采购包1(中山市廉政教育中心2023年度饭堂食材配送服务采购项目):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商务部分27.0分</w:t>
            </w:r>
          </w:p>
          <w:p>
            <w:r>
              <w:rPr/>
              <w:t>技术部分63.0分</w:t>
            </w:r>
          </w:p>
          <w:p>
            <w:r>
              <w:rPr/>
              <w:t>报价得分10.0分</w:t>
            </w:r>
          </w:p>
        </w:tc>
      </w:tr>
      <w:tr>
        <w:tc>
          <w:tcPr>
            <w:tcW w:type="dxa" w:w="922"/>
            <w:gridSpan w:val="2"/>
            <w:vMerge w:val="restart"/>
          </w:tcPr>
          <w:p>
            <w:pPr>
              <w:jc w:val="center"/>
            </w:pPr>
            <w:r>
              <w:rPr/>
              <w:t>技术部分</w:t>
            </w:r>
          </w:p>
        </w:tc>
        <w:tc>
          <w:tcPr>
            <w:tcW w:type="dxa" w:w="2307"/>
          </w:tcPr>
          <w:p>
            <w:pPr>
              <w:jc w:val="left"/>
            </w:pPr>
            <w:r>
              <w:rPr/>
              <w:t>配送运输硬件能力 (6.0分)</w:t>
            </w:r>
          </w:p>
        </w:tc>
        <w:tc>
          <w:tcPr>
            <w:tcW w:type="dxa" w:w="5076"/>
          </w:tcPr>
          <w:p>
            <w:pPr>
              <w:jc w:val="left"/>
            </w:pPr>
            <w:r>
              <w:rPr/>
              <w:t>评标委员会对投标人自有或租赁配送车辆情况进行评分： 1.每提供一辆冷藏车得2分，本小项最高得4分。 2.每提供一辆其他配送运输车辆（为厢式货车）得1分，本小项最高得2分。 注： （1）本项最多得6分。（2）投标文件中提供每辆车照片各2张（照片需体现车牌号）。（3）投标文件中提供在年审有效期内的车辆行驶证和所属证明（每辆车）：车辆为投标人自有的，提供投标人名下的行驶证及购置发票；车辆为投标人租赁的，提供行驶证及租赁合同（或协议）证明材料，乙方为投标人。（4）未按要求提供的不得分。</w:t>
            </w:r>
          </w:p>
        </w:tc>
      </w:tr>
      <w:tr>
        <w:tc>
          <w:tcPr>
            <w:tcW w:type="dxa" w:w="922"/>
            <w:gridSpan w:val="2"/>
            <w:vMerge/>
          </w:tcPr>
          <w:p/>
        </w:tc>
        <w:tc>
          <w:tcPr>
            <w:tcW w:type="dxa" w:w="2307"/>
          </w:tcPr>
          <w:p>
            <w:pPr>
              <w:jc w:val="left"/>
            </w:pPr>
            <w:r>
              <w:rPr/>
              <w:t>食材来源评审 (5.0分)</w:t>
            </w:r>
          </w:p>
        </w:tc>
        <w:tc>
          <w:tcPr>
            <w:tcW w:type="dxa" w:w="5076"/>
          </w:tcPr>
          <w:p>
            <w:pPr>
              <w:jc w:val="left"/>
            </w:pPr>
            <w:r>
              <w:rPr/>
              <w:t>评标委员会对投标人供应食材的来源渠道进行评分，食材包括：食用油类、大米类、鲜肉类、家禽类、水产类、蔬菜类、乳制品类、冷冻类、豆制品类、蛋类。 投标文件中提供合作协议文件（合同）复印件（可多家供货商组合），涵盖上述食材的每一类得0.5分，最高分得5分。</w:t>
            </w:r>
          </w:p>
        </w:tc>
      </w:tr>
      <w:tr>
        <w:tc>
          <w:tcPr>
            <w:tcW w:type="dxa" w:w="922"/>
            <w:gridSpan w:val="2"/>
            <w:vMerge/>
          </w:tcPr>
          <w:p/>
        </w:tc>
        <w:tc>
          <w:tcPr>
            <w:tcW w:type="dxa" w:w="2307"/>
          </w:tcPr>
          <w:p>
            <w:pPr>
              <w:jc w:val="left"/>
            </w:pPr>
            <w:r>
              <w:rPr/>
              <w:t>食材基地评审 (4.0分)</w:t>
            </w:r>
            <w:r>
              <w:rPr/>
              <w:t>，（等次分值选择：</w:t>
            </w:r>
            <w:r>
              <w:rPr/>
              <w:t>0.0;</w:t>
            </w:r>
            <w:r>
              <w:rPr/>
              <w:t>1.0;</w:t>
            </w:r>
            <w:r>
              <w:rPr/>
              <w:t>2.0;</w:t>
            </w:r>
            <w:r>
              <w:rPr/>
              <w:t>4.0;</w:t>
            </w:r>
            <w:r>
              <w:rPr/>
              <w:t>）</w:t>
            </w:r>
          </w:p>
        </w:tc>
        <w:tc>
          <w:tcPr>
            <w:tcW w:type="dxa" w:w="5076"/>
          </w:tcPr>
          <w:p>
            <w:pPr>
              <w:jc w:val="left"/>
            </w:pPr>
            <w:r>
              <w:rPr/>
              <w:t>评标委员会对投标人自有或租赁的水产养殖基地、家禽养殖基地、蔬菜种植基地、水果种植基地等四类基地进行评分。主要评价因素包括：四类基地齐全，产权清晰或租赁事项约定明确，服务期内能稳定供应商食材，基地周边没有存在污染源，整体经营基础扎实，基地运作规范高效，基地管理模式先进，基地生产模式环保健康，基地取得相关认证，基地获得相关奖项等。投标人可以提供相关佐证材料复印件，包括但不限于：基地产权证明或租赁合同、现场实地多角度照片、第三方权威认证报告或检测报告、食材供应客户评价、基地周边环境相关资料以及投标人认为有必要提供的其他资料。 1.得4分，投标人提供的基地齐全，完全符合或优于上述条件要求。 2.得2分，投标人提供的基地齐全，但仅部分内容符合上述条件要求。 3.得1分，投标人提供的基地不全，大部分内容不符合上述条件要求。 4.得0分，资料不符合要求，或没有提供相关资料。</w:t>
            </w:r>
          </w:p>
        </w:tc>
      </w:tr>
      <w:tr>
        <w:tc>
          <w:tcPr>
            <w:tcW w:type="dxa" w:w="922"/>
            <w:gridSpan w:val="2"/>
            <w:vMerge/>
          </w:tcPr>
          <w:p/>
        </w:tc>
        <w:tc>
          <w:tcPr>
            <w:tcW w:type="dxa" w:w="2307"/>
          </w:tcPr>
          <w:p>
            <w:pPr>
              <w:jc w:val="left"/>
            </w:pPr>
            <w:r>
              <w:rPr/>
              <w:t>配送检测情况 (4.5分)</w:t>
            </w:r>
          </w:p>
        </w:tc>
        <w:tc>
          <w:tcPr>
            <w:tcW w:type="dxa" w:w="5076"/>
          </w:tcPr>
          <w:p>
            <w:pPr>
              <w:jc w:val="left"/>
            </w:pPr>
            <w:r>
              <w:rPr/>
              <w:t>投标人提供2022年10月1日以来自行送检的由第三方检测机构出具的合格且带有CMA或CNAS标识的农副产品检测报告，食材品类包括：食用油类、大米类、家禽类、水产类、蔬菜类、乳制品类、冷冻类、豆制品类、菇类。 投标文件中提供检测报告复印件，涵盖上述食材每类得得0.5分，最高得4.5分。</w:t>
            </w:r>
          </w:p>
        </w:tc>
      </w:tr>
      <w:tr>
        <w:tc>
          <w:tcPr>
            <w:tcW w:type="dxa" w:w="922"/>
            <w:gridSpan w:val="2"/>
            <w:vMerge/>
          </w:tcPr>
          <w:p/>
        </w:tc>
        <w:tc>
          <w:tcPr>
            <w:tcW w:type="dxa" w:w="2307"/>
          </w:tcPr>
          <w:p>
            <w:pPr>
              <w:jc w:val="left"/>
            </w:pPr>
            <w:r>
              <w:rPr/>
              <w:t>食品安全检测能力 (3.5分)</w:t>
            </w:r>
            <w:r>
              <w:rPr/>
              <w:t>，（等次分值选择：</w:t>
            </w:r>
            <w:r>
              <w:rPr/>
              <w:t>0.0;</w:t>
            </w:r>
            <w:r>
              <w:rPr/>
              <w:t>0.5;</w:t>
            </w:r>
            <w:r>
              <w:rPr/>
              <w:t>1.5;</w:t>
            </w:r>
            <w:r>
              <w:rPr/>
              <w:t>3.5;</w:t>
            </w:r>
            <w:r>
              <w:rPr/>
              <w:t>）</w:t>
            </w:r>
          </w:p>
        </w:tc>
        <w:tc>
          <w:tcPr>
            <w:tcW w:type="dxa" w:w="5076"/>
          </w:tcPr>
          <w:p>
            <w:pPr>
              <w:jc w:val="left"/>
            </w:pPr>
            <w:r>
              <w:rPr/>
              <w:t>根据投标人提供检测室情况进行评价：检验室应当配备相应的检验设施和检验人员，具有快速检测食品原料中兽药残留、农药残留等理化指标和检验食品菌落总数、大肠菌群等微生物指标以及接触直接入口食品的餐用具大肠菌群等项目的能力。投标人可以提供相关佐证材料复印件，包括但不限于：检测设备照片、购置发票复印件、租赁合同复印件、检测室实景照片以及投标人认为有必要提供的其他资料。 1.得3.5分：检测室检测设备齐全，检验支撑能力强，检验效率高； 2.得1.5分：检测室检测设备基本齐全，检验支撑能力较强，检验效率较高； 3.得0.5分：检测室检测设备缺失，检验支撑能力差，检验效率低； 4.得0分：不满足要求或未提供相关资料。</w:t>
            </w:r>
          </w:p>
        </w:tc>
      </w:tr>
      <w:tr>
        <w:tc>
          <w:tcPr>
            <w:tcW w:type="dxa" w:w="922"/>
            <w:gridSpan w:val="2"/>
            <w:vMerge/>
          </w:tcPr>
          <w:p/>
        </w:tc>
        <w:tc>
          <w:tcPr>
            <w:tcW w:type="dxa" w:w="2307"/>
          </w:tcPr>
          <w:p>
            <w:pPr>
              <w:jc w:val="left"/>
            </w:pPr>
            <w:r>
              <w:rPr/>
              <w:t>食材配送服务方案 (6.0分)</w:t>
            </w:r>
            <w:r>
              <w:rPr/>
              <w:t>，（等次分值选择：</w:t>
            </w:r>
            <w:r>
              <w:rPr/>
              <w:t>0.0;</w:t>
            </w:r>
            <w:r>
              <w:rPr/>
              <w:t>1.0;</w:t>
            </w:r>
            <w:r>
              <w:rPr/>
              <w:t>3.0;</w:t>
            </w:r>
            <w:r>
              <w:rPr/>
              <w:t>6.0;</w:t>
            </w:r>
            <w:r>
              <w:rPr/>
              <w:t>）</w:t>
            </w:r>
          </w:p>
        </w:tc>
        <w:tc>
          <w:tcPr>
            <w:tcW w:type="dxa" w:w="5076"/>
          </w:tcPr>
          <w:p>
            <w:pPr>
              <w:jc w:val="left"/>
            </w:pPr>
            <w:r>
              <w:rPr/>
              <w:t>根据各投标人提供的食材配送服务方案进行综合评审。  1.得6分：清晰、明确且食材配送服务方案优于招标文件中“采购需求”的要求，响应时间快，能提供其他增值特色服务； 2.得3分：食材配送服务方案完全满足招标文件中“采购需求”的要求； 3.得1分：食材配送服务方案部分满足招标文件中“采购需求”的要求； 4.得0分：食材配送服务方案不满足要求或未提供相关资料。</w:t>
            </w:r>
          </w:p>
        </w:tc>
      </w:tr>
      <w:tr>
        <w:tc>
          <w:tcPr>
            <w:tcW w:type="dxa" w:w="922"/>
            <w:gridSpan w:val="2"/>
            <w:vMerge/>
          </w:tcPr>
          <w:p/>
        </w:tc>
        <w:tc>
          <w:tcPr>
            <w:tcW w:type="dxa" w:w="2307"/>
          </w:tcPr>
          <w:p>
            <w:pPr>
              <w:jc w:val="left"/>
            </w:pPr>
            <w:r>
              <w:rPr/>
              <w:t>人员管理制度 (6.0分)</w:t>
            </w:r>
            <w:r>
              <w:rPr/>
              <w:t>，（等次分值选择：</w:t>
            </w:r>
            <w:r>
              <w:rPr/>
              <w:t>0.0;</w:t>
            </w:r>
            <w:r>
              <w:rPr/>
              <w:t>1.0;</w:t>
            </w:r>
            <w:r>
              <w:rPr/>
              <w:t>3.0;</w:t>
            </w:r>
            <w:r>
              <w:rPr/>
              <w:t>6.0;</w:t>
            </w:r>
            <w:r>
              <w:rPr/>
              <w:t>）</w:t>
            </w:r>
          </w:p>
        </w:tc>
        <w:tc>
          <w:tcPr>
            <w:tcW w:type="dxa" w:w="5076"/>
          </w:tcPr>
          <w:p>
            <w:pPr>
              <w:jc w:val="left"/>
            </w:pPr>
            <w:r>
              <w:rPr/>
              <w:t>评委对各投标人提供的人员管理制度进行评审。 1.得6分：人员管理制度健全、规范、科学、负责、高素质、沟通反馈能力及机制强； 2.得3分：人员管理制度大部分健全、良好，有较高的素质； 3.得1分：有人员管理制度； 4.得0分：未提供相关资料。</w:t>
            </w:r>
          </w:p>
        </w:tc>
      </w:tr>
      <w:tr>
        <w:tc>
          <w:tcPr>
            <w:tcW w:type="dxa" w:w="922"/>
            <w:gridSpan w:val="2"/>
            <w:vMerge/>
          </w:tcPr>
          <w:p/>
        </w:tc>
        <w:tc>
          <w:tcPr>
            <w:tcW w:type="dxa" w:w="2307"/>
          </w:tcPr>
          <w:p>
            <w:pPr>
              <w:jc w:val="left"/>
            </w:pPr>
            <w:r>
              <w:rPr/>
              <w:t>卫生管理制度 (5.0分)</w:t>
            </w:r>
            <w:r>
              <w:rPr/>
              <w:t>，（等次分值选择：</w:t>
            </w:r>
            <w:r>
              <w:rPr/>
              <w:t>0.0;</w:t>
            </w:r>
            <w:r>
              <w:rPr/>
              <w:t>1.0;</w:t>
            </w:r>
            <w:r>
              <w:rPr/>
              <w:t>2.0;</w:t>
            </w:r>
            <w:r>
              <w:rPr/>
              <w:t>5.0;</w:t>
            </w:r>
            <w:r>
              <w:rPr/>
              <w:t>）</w:t>
            </w:r>
          </w:p>
        </w:tc>
        <w:tc>
          <w:tcPr>
            <w:tcW w:type="dxa" w:w="5076"/>
          </w:tcPr>
          <w:p>
            <w:pPr>
              <w:jc w:val="left"/>
            </w:pPr>
            <w:r>
              <w:rPr/>
              <w:t>评委对各投标人提供的卫生管理制度进行评审。 1.得5分：卫生管理制度健全、科学，仓储、车辆、人员卫生均达到高标准，设备及运输用品每日消毒； 2.得2分：卫生管理制度基本健全、良好，仓储、车辆、人员卫生均达标，设备及运输用品保持干净； 3.得1分：有卫生管理制度，注意仓储、车辆、设备及运输用品、人员卫生； 4.得0分：不满足要求或未提供相关资料。</w:t>
            </w:r>
          </w:p>
        </w:tc>
      </w:tr>
      <w:tr>
        <w:tc>
          <w:tcPr>
            <w:tcW w:type="dxa" w:w="922"/>
            <w:gridSpan w:val="2"/>
            <w:vMerge/>
          </w:tcPr>
          <w:p/>
        </w:tc>
        <w:tc>
          <w:tcPr>
            <w:tcW w:type="dxa" w:w="2307"/>
          </w:tcPr>
          <w:p>
            <w:pPr>
              <w:jc w:val="left"/>
            </w:pPr>
            <w:r>
              <w:rPr/>
              <w:t>供货稳定性 (5.0分)</w:t>
            </w:r>
            <w:r>
              <w:rPr/>
              <w:t>，（等次分值选择：</w:t>
            </w:r>
            <w:r>
              <w:rPr/>
              <w:t>0.0;</w:t>
            </w:r>
            <w:r>
              <w:rPr/>
              <w:t>1.0;</w:t>
            </w:r>
            <w:r>
              <w:rPr/>
              <w:t>2.0;</w:t>
            </w:r>
            <w:r>
              <w:rPr/>
              <w:t>5.0;</w:t>
            </w:r>
            <w:r>
              <w:rPr/>
              <w:t>）</w:t>
            </w:r>
          </w:p>
        </w:tc>
        <w:tc>
          <w:tcPr>
            <w:tcW w:type="dxa" w:w="5076"/>
          </w:tcPr>
          <w:p>
            <w:pPr>
              <w:jc w:val="left"/>
            </w:pPr>
            <w:r>
              <w:rPr/>
              <w:t>评委对各投标人提供的供货稳定性方案进行评审。 1.得5分：有稳定的较近的配送点，采购备货优势明显，采购清单中货品基本有自产或与种植/养殖厂有协议供货； 2.得2分：有稳定的配送点，采购备货优势良好，需求量大的有自产或与种植/养殖厂有协议供货； 3.得1分：配送点基本达到要求，采购备货能力基本达标； 4.得0分：供货稳定性方案不满足要求或未提供相关资料。</w:t>
            </w:r>
          </w:p>
        </w:tc>
      </w:tr>
      <w:tr>
        <w:tc>
          <w:tcPr>
            <w:tcW w:type="dxa" w:w="922"/>
            <w:gridSpan w:val="2"/>
            <w:vMerge/>
          </w:tcPr>
          <w:p/>
        </w:tc>
        <w:tc>
          <w:tcPr>
            <w:tcW w:type="dxa" w:w="2307"/>
          </w:tcPr>
          <w:p>
            <w:pPr>
              <w:jc w:val="left"/>
            </w:pPr>
            <w:r>
              <w:rPr/>
              <w:t>食材供货广泛性 (5.0分)</w:t>
            </w:r>
            <w:r>
              <w:rPr/>
              <w:t>，（等次分值选择：</w:t>
            </w:r>
            <w:r>
              <w:rPr/>
              <w:t>0.0;</w:t>
            </w:r>
            <w:r>
              <w:rPr/>
              <w:t>1.0;</w:t>
            </w:r>
            <w:r>
              <w:rPr/>
              <w:t>2.0;</w:t>
            </w:r>
            <w:r>
              <w:rPr/>
              <w:t>5.0;</w:t>
            </w:r>
            <w:r>
              <w:rPr/>
              <w:t>）</w:t>
            </w:r>
          </w:p>
        </w:tc>
        <w:tc>
          <w:tcPr>
            <w:tcW w:type="dxa" w:w="5076"/>
          </w:tcPr>
          <w:p>
            <w:pPr>
              <w:jc w:val="left"/>
            </w:pPr>
            <w:r>
              <w:rPr/>
              <w:t>评委对各投标人提供的食材供货广泛性方案进行评审。 1.得5分：合作生产（种植/养殖）商多样，食材供货多样，质量可供择优选择，可备应急，覆盖市面产品范围； 2.得2分：合作生产（种植/养殖）商多样，食材供货广泛不单一，质量可供择优选择，可备应急，基本覆盖全部所需供货产品范围； 3.得1分：合作生产（种植/养殖）少，食材供货单一，覆盖大部分所需供货产品范围； 4.得0分：食材供货广泛性方案不满足要求或未提供相关资料。</w:t>
            </w:r>
          </w:p>
        </w:tc>
      </w:tr>
      <w:tr>
        <w:tc>
          <w:tcPr>
            <w:tcW w:type="dxa" w:w="922"/>
            <w:gridSpan w:val="2"/>
            <w:vMerge/>
          </w:tcPr>
          <w:p/>
        </w:tc>
        <w:tc>
          <w:tcPr>
            <w:tcW w:type="dxa" w:w="2307"/>
          </w:tcPr>
          <w:p>
            <w:pPr>
              <w:jc w:val="left"/>
            </w:pPr>
            <w:r>
              <w:rPr/>
              <w:t>留痕溯源方案 (5.0分)</w:t>
            </w:r>
            <w:r>
              <w:rPr/>
              <w:t>，（等次分值选择：</w:t>
            </w:r>
            <w:r>
              <w:rPr/>
              <w:t>0.0;</w:t>
            </w:r>
            <w:r>
              <w:rPr/>
              <w:t>1.0;</w:t>
            </w:r>
            <w:r>
              <w:rPr/>
              <w:t>2.0;</w:t>
            </w:r>
            <w:r>
              <w:rPr/>
              <w:t>5.0;</w:t>
            </w:r>
            <w:r>
              <w:rPr/>
              <w:t>）</w:t>
            </w:r>
          </w:p>
        </w:tc>
        <w:tc>
          <w:tcPr>
            <w:tcW w:type="dxa" w:w="5076"/>
          </w:tcPr>
          <w:p>
            <w:pPr>
              <w:jc w:val="left"/>
            </w:pPr>
            <w:r>
              <w:rPr/>
              <w:t>评委对各投标人提供的留痕溯源方案进行评审。 1.得5分：有完善的留痕溯源体系、系统、可有效的保障食材的质量，能及时发现问题所在环节，接手人员均有记录； 2.得2分：有基本的留痕溯源体系、系统、可基本保障食材的质量，能发现问题所在，接手人员有记录； 3.得1分：有部分记录登记； 4.得0分：未提供相关资料。</w:t>
            </w:r>
          </w:p>
        </w:tc>
      </w:tr>
      <w:tr>
        <w:tc>
          <w:tcPr>
            <w:tcW w:type="dxa" w:w="922"/>
            <w:gridSpan w:val="2"/>
            <w:vMerge/>
          </w:tcPr>
          <w:p/>
        </w:tc>
        <w:tc>
          <w:tcPr>
            <w:tcW w:type="dxa" w:w="2307"/>
          </w:tcPr>
          <w:p>
            <w:pPr>
              <w:jc w:val="left"/>
            </w:pPr>
            <w:r>
              <w:rPr/>
              <w:t>突发事件处理及临时配送预案 (4.0分)</w:t>
            </w:r>
            <w:r>
              <w:rPr/>
              <w:t>，（等次分值选择：</w:t>
            </w:r>
            <w:r>
              <w:rPr/>
              <w:t>0.0;</w:t>
            </w:r>
            <w:r>
              <w:rPr/>
              <w:t>1.0;</w:t>
            </w:r>
            <w:r>
              <w:rPr/>
              <w:t>2.0;</w:t>
            </w:r>
            <w:r>
              <w:rPr/>
              <w:t>4.0;</w:t>
            </w:r>
            <w:r>
              <w:rPr/>
              <w:t>）</w:t>
            </w:r>
          </w:p>
        </w:tc>
        <w:tc>
          <w:tcPr>
            <w:tcW w:type="dxa" w:w="5076"/>
          </w:tcPr>
          <w:p>
            <w:pPr>
              <w:jc w:val="left"/>
            </w:pPr>
            <w:r>
              <w:rPr/>
              <w:t>评委对各投标人提供的突发事件处理及临时配送预案进行评审施（包含但不限于自然灾害预案、因食物中毒或者其他食源性疾患、采购人临时增加订单、以及因交通、天气、疫病等原因不能按时送达或临时配送等突发事件的应急预案等）。 1.得4分：预案详细完整，科学可行性高，反映迅速； 2.得2分：预案基本完整，能解决大部分情况，相对科学可行； 3.得1分：应急预案不够完整，科学可行性和反应速度一般； 4.得0分：预案差或未提供相关资料。</w:t>
            </w:r>
          </w:p>
        </w:tc>
      </w:tr>
      <w:tr>
        <w:tc>
          <w:tcPr>
            <w:tcW w:type="dxa" w:w="922"/>
            <w:gridSpan w:val="2"/>
            <w:vMerge/>
          </w:tcPr>
          <w:p/>
        </w:tc>
        <w:tc>
          <w:tcPr>
            <w:tcW w:type="dxa" w:w="2307"/>
          </w:tcPr>
          <w:p>
            <w:pPr>
              <w:jc w:val="left"/>
            </w:pPr>
            <w:r>
              <w:rPr/>
              <w:t>出现产品质量问题退换货方案 (4.0分)</w:t>
            </w:r>
            <w:r>
              <w:rPr/>
              <w:t>，（等次分值选择：</w:t>
            </w:r>
            <w:r>
              <w:rPr/>
              <w:t>0.0;</w:t>
            </w:r>
            <w:r>
              <w:rPr/>
              <w:t>1.0;</w:t>
            </w:r>
            <w:r>
              <w:rPr/>
              <w:t>2.0;</w:t>
            </w:r>
            <w:r>
              <w:rPr/>
              <w:t>4.0;</w:t>
            </w:r>
            <w:r>
              <w:rPr/>
              <w:t>）</w:t>
            </w:r>
          </w:p>
        </w:tc>
        <w:tc>
          <w:tcPr>
            <w:tcW w:type="dxa" w:w="5076"/>
          </w:tcPr>
          <w:p>
            <w:pPr>
              <w:jc w:val="left"/>
            </w:pPr>
            <w:r>
              <w:rPr/>
              <w:t>投标人提供的产品质量问题时的退换货方案（包括但不限于退换货流程、退换货便利性说明及相关承诺）进行评审：  1.得4分，退换货流程十分清晰，便利程度高，退换货承诺全面、具体、合理；  2.得2分，退换货流程基本清晰、便利，退换货承诺基本合理和详细；  3.得1分，退换货流程基本清晰，便利程度差，退换货承诺不够充分合理；  4.得0分：方案差或未提供相关资料。</w:t>
            </w:r>
          </w:p>
        </w:tc>
      </w:tr>
      <w:tr>
        <w:tc>
          <w:tcPr>
            <w:tcW w:type="dxa" w:w="922"/>
            <w:gridSpan w:val="2"/>
            <w:vMerge w:val="restart"/>
          </w:tcPr>
          <w:p>
            <w:pPr>
              <w:jc w:val="center"/>
            </w:pPr>
            <w:r>
              <w:rPr/>
              <w:t>商务部分</w:t>
            </w:r>
          </w:p>
        </w:tc>
        <w:tc>
          <w:tcPr>
            <w:tcW w:type="dxa" w:w="2307"/>
          </w:tcPr>
          <w:p>
            <w:pPr>
              <w:jc w:val="left"/>
            </w:pPr>
            <w:r>
              <w:rPr/>
              <w:t>企业认证 (15.0分)</w:t>
            </w:r>
          </w:p>
        </w:tc>
        <w:tc>
          <w:tcPr>
            <w:tcW w:type="dxa" w:w="5076"/>
          </w:tcPr>
          <w:p>
            <w:pPr>
              <w:jc w:val="left"/>
            </w:pPr>
            <w:r>
              <w:rPr/>
              <w:t>1.投标人具有有效的质量管理体系认证，得3分； 2.投标人具有有效的环境管理体系认证，得3分； 3.投标人具有有效的职业健康安全管理体系认证，得3分； 4.投标人具有有效的食品安全管理体系认证，得3分。 5.投标人具有有效的HACCP危险分析与关键点控制认证证书，得3分。 注：（1）投标文件中提供认证证书复印件；（2）投标文件中提供以上认证在“全国认证认可信息公共服务平台”的查询截图（网址：http://cx.cnca.cn/CertECloud/result/skipResultList），截图必须含有“证书编号”“证书状态”的内容，截图中的“证书状态”应处于“有效”状态。（3）未按要求提供的不得分。</w:t>
            </w:r>
          </w:p>
        </w:tc>
      </w:tr>
      <w:tr>
        <w:tc>
          <w:tcPr>
            <w:tcW w:type="dxa" w:w="922"/>
            <w:gridSpan w:val="2"/>
            <w:vMerge/>
          </w:tcPr>
          <w:p/>
        </w:tc>
        <w:tc>
          <w:tcPr>
            <w:tcW w:type="dxa" w:w="2307"/>
          </w:tcPr>
          <w:p>
            <w:pPr>
              <w:jc w:val="left"/>
            </w:pPr>
            <w:r>
              <w:rPr/>
              <w:t>业绩 (12.0分)</w:t>
            </w:r>
          </w:p>
        </w:tc>
        <w:tc>
          <w:tcPr>
            <w:tcW w:type="dxa" w:w="5076"/>
          </w:tcPr>
          <w:p>
            <w:pPr>
              <w:jc w:val="left"/>
            </w:pPr>
            <w:r>
              <w:rPr/>
              <w:t>投标人2019年以来开展同类食材配送项目的业绩情况，每份业绩得2分。 注：（1）投标文件中提供业绩合同复印件，未按要求提供的不得分。（2）业绩合同履行期限在2019年1月1日（含）之后结束的，均符合“2019年以来”的要求。</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采购包2(中山市廉政教育中心2023年度食堂外包服务采购项目):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项目的理解及整体响应方案 (8.0分)</w:t>
            </w:r>
            <w:r>
              <w:rPr/>
              <w:t>，（等次分值选择：</w:t>
            </w:r>
            <w:r>
              <w:rPr/>
              <w:t>0.0;</w:t>
            </w:r>
            <w:r>
              <w:rPr/>
              <w:t>2.0;</w:t>
            </w:r>
            <w:r>
              <w:rPr/>
              <w:t>5.0;</w:t>
            </w:r>
            <w:r>
              <w:rPr/>
              <w:t>8.0;</w:t>
            </w:r>
            <w:r>
              <w:rPr/>
              <w:t>）</w:t>
            </w:r>
          </w:p>
        </w:tc>
        <w:tc>
          <w:tcPr>
            <w:tcW w:type="dxa" w:w="5076"/>
          </w:tcPr>
          <w:p>
            <w:pPr>
              <w:jc w:val="left"/>
            </w:pPr>
            <w:r>
              <w:rPr/>
              <w:t>评委根据各投标人提供的整体实施方案进行综合评审。   1.得8分：充分理解用户需求，方案详细具体，具有很强针对性和可行性，具备科学合理性，各阶段服务计划详尽，能贴合项目实际需求； 2.得5分：基本理解用户需求，方案基本完整，有一定的针对性和可行性，有一定的科学合理性，各阶段服务计划基本完整，基本能贴合项目实际需求； 3.得2分：无法理解用户需求，方案及各阶段服务计划缺漏可行性低，不能贴合项目实际需求； 4.得0分：方案不满足要求或未提供相关资料。</w:t>
            </w:r>
          </w:p>
        </w:tc>
      </w:tr>
      <w:tr>
        <w:tc>
          <w:tcPr>
            <w:tcW w:type="dxa" w:w="922"/>
            <w:gridSpan w:val="2"/>
            <w:vMerge/>
          </w:tcPr>
          <w:p/>
        </w:tc>
        <w:tc>
          <w:tcPr>
            <w:tcW w:type="dxa" w:w="2307"/>
          </w:tcPr>
          <w:p>
            <w:pPr>
              <w:jc w:val="left"/>
            </w:pPr>
            <w:r>
              <w:rPr/>
              <w:t>食堂管理服务方案 (7.0分)</w:t>
            </w:r>
            <w:r>
              <w:rPr/>
              <w:t>，（等次分值选择：</w:t>
            </w:r>
            <w:r>
              <w:rPr/>
              <w:t>0.0;</w:t>
            </w:r>
            <w:r>
              <w:rPr/>
              <w:t>2.0;</w:t>
            </w:r>
            <w:r>
              <w:rPr/>
              <w:t>5.0;</w:t>
            </w:r>
            <w:r>
              <w:rPr/>
              <w:t>7.0;</w:t>
            </w:r>
            <w:r>
              <w:rPr/>
              <w:t>）</w:t>
            </w:r>
          </w:p>
        </w:tc>
        <w:tc>
          <w:tcPr>
            <w:tcW w:type="dxa" w:w="5076"/>
          </w:tcPr>
          <w:p>
            <w:pPr>
              <w:jc w:val="left"/>
            </w:pPr>
            <w:r>
              <w:rPr/>
              <w:t>评委对各投标人提供的食堂管理服务方案进行评审，包括但不限于服务团队的架构、厨房清洁卫生、消防安全管理、厨房日常工作检查、设施设备使用维护及防疫措施等进行综合评审。 1.得7分：方案有具体的操作规范、计划安排科学合理、操作可行性强；  2.得5分：方案有较具体的操作规范，计划安排较合理、具有可操作性； 3.得2分：方案有基本的操作规范，计划安排不够合理，可操作性一般；  4.得0分：方案不满足要求或未提供相关资料。</w:t>
            </w:r>
          </w:p>
        </w:tc>
      </w:tr>
      <w:tr>
        <w:tc>
          <w:tcPr>
            <w:tcW w:type="dxa" w:w="922"/>
            <w:gridSpan w:val="2"/>
            <w:vMerge/>
          </w:tcPr>
          <w:p/>
        </w:tc>
        <w:tc>
          <w:tcPr>
            <w:tcW w:type="dxa" w:w="2307"/>
          </w:tcPr>
          <w:p>
            <w:pPr>
              <w:jc w:val="left"/>
            </w:pPr>
            <w:r>
              <w:rPr/>
              <w:t>食品安全、原材料管理及食品卫生管理方案 (6.0分)</w:t>
            </w:r>
            <w:r>
              <w:rPr/>
              <w:t>，（等次分值选择：</w:t>
            </w:r>
            <w:r>
              <w:rPr/>
              <w:t>0.0;</w:t>
            </w:r>
            <w:r>
              <w:rPr/>
              <w:t>2.0;</w:t>
            </w:r>
            <w:r>
              <w:rPr/>
              <w:t>4.0;</w:t>
            </w:r>
            <w:r>
              <w:rPr/>
              <w:t>6.0;</w:t>
            </w:r>
            <w:r>
              <w:rPr/>
              <w:t>）</w:t>
            </w:r>
          </w:p>
        </w:tc>
        <w:tc>
          <w:tcPr>
            <w:tcW w:type="dxa" w:w="5076"/>
          </w:tcPr>
          <w:p>
            <w:pPr>
              <w:jc w:val="left"/>
            </w:pPr>
            <w:r>
              <w:rPr/>
              <w:t>评委对各投标人的食品安全、原材料管理及食品卫生管理方案进行评审。 1.得6分：食品安全、原材料管理及食品卫生管理方案科学、合理、可行性强； 2.得4分：食品安全、原材料管理及食品卫生管理方案较科学、较合理、可行性较强； 3.得2分：食品安全、原材料管理及食品卫生管理方案一般、合理性一般、可行性一般； 4.得0分：方案不满足要求或未提供相关资料。</w:t>
            </w:r>
          </w:p>
        </w:tc>
      </w:tr>
      <w:tr>
        <w:tc>
          <w:tcPr>
            <w:tcW w:type="dxa" w:w="922"/>
            <w:gridSpan w:val="2"/>
            <w:vMerge/>
          </w:tcPr>
          <w:p/>
        </w:tc>
        <w:tc>
          <w:tcPr>
            <w:tcW w:type="dxa" w:w="2307"/>
          </w:tcPr>
          <w:p>
            <w:pPr>
              <w:jc w:val="left"/>
            </w:pPr>
            <w:r>
              <w:rPr/>
              <w:t>食品出品品质、膳食供应服务管理方案 (6.0分)</w:t>
            </w:r>
            <w:r>
              <w:rPr/>
              <w:t>，（等次分值选择：</w:t>
            </w:r>
            <w:r>
              <w:rPr/>
              <w:t>0.0;</w:t>
            </w:r>
            <w:r>
              <w:rPr/>
              <w:t>2.0;</w:t>
            </w:r>
            <w:r>
              <w:rPr/>
              <w:t>4.0;</w:t>
            </w:r>
            <w:r>
              <w:rPr/>
              <w:t>6.0;</w:t>
            </w:r>
            <w:r>
              <w:rPr/>
              <w:t>）</w:t>
            </w:r>
          </w:p>
        </w:tc>
        <w:tc>
          <w:tcPr>
            <w:tcW w:type="dxa" w:w="5076"/>
          </w:tcPr>
          <w:p>
            <w:pPr>
              <w:jc w:val="left"/>
            </w:pPr>
            <w:r>
              <w:rPr/>
              <w:t>评委对各投标人的食品出品品质、膳食供应服务管理方案进行评审。 1.得6分：食品出品品质、膳食供应服务管理方案详细、可行性强； 2.得4分：食品出品品质、膳食供应服务管理方案较详细，可行性较强； 3.得2分：食品出品品质、膳食供应服务管理方案一般，可行性较一般； 4.得0分：方案不满足要求或未提供相关资料。</w:t>
            </w:r>
          </w:p>
        </w:tc>
      </w:tr>
      <w:tr>
        <w:tc>
          <w:tcPr>
            <w:tcW w:type="dxa" w:w="922"/>
            <w:gridSpan w:val="2"/>
            <w:vMerge/>
          </w:tcPr>
          <w:p/>
        </w:tc>
        <w:tc>
          <w:tcPr>
            <w:tcW w:type="dxa" w:w="2307"/>
          </w:tcPr>
          <w:p>
            <w:pPr>
              <w:jc w:val="left"/>
            </w:pPr>
            <w:r>
              <w:rPr/>
              <w:t>岗位责任和服务流程方案 (5.0分)</w:t>
            </w:r>
            <w:r>
              <w:rPr/>
              <w:t>，（等次分值选择：</w:t>
            </w:r>
            <w:r>
              <w:rPr/>
              <w:t>0.0;</w:t>
            </w:r>
            <w:r>
              <w:rPr/>
              <w:t>1.0;</w:t>
            </w:r>
            <w:r>
              <w:rPr/>
              <w:t>3.0;</w:t>
            </w:r>
            <w:r>
              <w:rPr/>
              <w:t>5.0;</w:t>
            </w:r>
            <w:r>
              <w:rPr/>
              <w:t>）</w:t>
            </w:r>
          </w:p>
        </w:tc>
        <w:tc>
          <w:tcPr>
            <w:tcW w:type="dxa" w:w="5076"/>
          </w:tcPr>
          <w:p>
            <w:pPr>
              <w:jc w:val="left"/>
            </w:pPr>
            <w:r>
              <w:rPr/>
              <w:t>评委对各投标人提供的岗位责任和服务流程方案进行评审。 1.得5分：岗位责任制和服务流程说明、各项服务工作计划、流程（程序）清晰、详细、内容合理；各项服务的具体实施方法和技术措施详细、可行； 2.得3分：岗位责任制和服务流程说明、各项服务工作计划、流程（程序）较清晰、详细，内容较合理；各项服务的具体实施方法和技术措施较详细、可行； 3.得1分：岗位责任制和服务流程说明、各项服务工作计划、流程（程序）一般，内容一般；各项服务的具体实施方法和技术措施基本有描述但不详细，可行性一般； 4.得0分：岗位责任制和服务流程说明、各项服务工作计划、流程（程序）不清晰，有缺漏；各项服务的具体实施方法和技术措施不可行或未提供相关资料。</w:t>
            </w:r>
          </w:p>
        </w:tc>
      </w:tr>
      <w:tr>
        <w:tc>
          <w:tcPr>
            <w:tcW w:type="dxa" w:w="922"/>
            <w:gridSpan w:val="2"/>
            <w:vMerge/>
          </w:tcPr>
          <w:p/>
        </w:tc>
        <w:tc>
          <w:tcPr>
            <w:tcW w:type="dxa" w:w="2307"/>
          </w:tcPr>
          <w:p>
            <w:pPr>
              <w:jc w:val="left"/>
            </w:pPr>
            <w:r>
              <w:rPr/>
              <w:t>人力资源保障措施方案 (4.0分)</w:t>
            </w:r>
            <w:r>
              <w:rPr/>
              <w:t>，（等次分值选择：</w:t>
            </w:r>
            <w:r>
              <w:rPr/>
              <w:t>0.0;</w:t>
            </w:r>
            <w:r>
              <w:rPr/>
              <w:t>1.0;</w:t>
            </w:r>
            <w:r>
              <w:rPr/>
              <w:t>2.0;</w:t>
            </w:r>
            <w:r>
              <w:rPr/>
              <w:t>4.0;</w:t>
            </w:r>
            <w:r>
              <w:rPr/>
              <w:t>）</w:t>
            </w:r>
          </w:p>
        </w:tc>
        <w:tc>
          <w:tcPr>
            <w:tcW w:type="dxa" w:w="5076"/>
          </w:tcPr>
          <w:p>
            <w:pPr>
              <w:jc w:val="left"/>
            </w:pPr>
            <w:r>
              <w:rPr/>
              <w:t>评委对各投标人提供的人力资源保障措施方案（含人员储备计划、人员补充方案）进行评审。 1.得4分：人力资源保障措施方案好，人员储备计划内容详细，明确，人员补充的途径多样化，确保人员满足采购人服务要求； 2.得2分：人力资源保障措施方案较好，人员储备计划内容较为详细，人员补充的途径较多，满足采购人服务要求； 3.得1分：人力资源保障措施方案一般，人员储备计划内容普通，缺乏针对性，人员补充途径少； 4.得0分：方案不满足要求或未提供相关资料。</w:t>
            </w:r>
          </w:p>
        </w:tc>
      </w:tr>
      <w:tr>
        <w:tc>
          <w:tcPr>
            <w:tcW w:type="dxa" w:w="922"/>
            <w:gridSpan w:val="2"/>
            <w:vMerge/>
          </w:tcPr>
          <w:p/>
        </w:tc>
        <w:tc>
          <w:tcPr>
            <w:tcW w:type="dxa" w:w="2307"/>
          </w:tcPr>
          <w:p>
            <w:pPr>
              <w:jc w:val="left"/>
            </w:pPr>
            <w:r>
              <w:rPr/>
              <w:t>人员培训方案 (4.0分)</w:t>
            </w:r>
            <w:r>
              <w:rPr/>
              <w:t>，（等次分值选择：</w:t>
            </w:r>
            <w:r>
              <w:rPr/>
              <w:t>0.0;</w:t>
            </w:r>
            <w:r>
              <w:rPr/>
              <w:t>1.0;</w:t>
            </w:r>
            <w:r>
              <w:rPr/>
              <w:t>2.0;</w:t>
            </w:r>
            <w:r>
              <w:rPr/>
              <w:t>4.0;</w:t>
            </w:r>
            <w:r>
              <w:rPr/>
              <w:t>）</w:t>
            </w:r>
          </w:p>
        </w:tc>
        <w:tc>
          <w:tcPr>
            <w:tcW w:type="dxa" w:w="5076"/>
          </w:tcPr>
          <w:p>
            <w:pPr>
              <w:jc w:val="left"/>
            </w:pPr>
            <w:r>
              <w:rPr/>
              <w:t>评委对各投标人提供的人员培训方案进行评审。 1.得4分：人员培训方案条理清晰，脉络分明，实际操作性和针对性强； 2.得2分：人员培训方案条理较清晰，脉络较分明，实际操作性和针对性较强； 3.得1分：人员培训方案条理一般，脉络性一般，实际操作性和针对性一般； 4.得0分：方案不满足要求或未提供相关资料。</w:t>
            </w:r>
          </w:p>
        </w:tc>
      </w:tr>
      <w:tr>
        <w:tc>
          <w:tcPr>
            <w:tcW w:type="dxa" w:w="922"/>
            <w:gridSpan w:val="2"/>
            <w:vMerge/>
          </w:tcPr>
          <w:p/>
        </w:tc>
        <w:tc>
          <w:tcPr>
            <w:tcW w:type="dxa" w:w="2307"/>
          </w:tcPr>
          <w:p>
            <w:pPr>
              <w:jc w:val="left"/>
            </w:pPr>
            <w:r>
              <w:rPr/>
              <w:t>应急预案 (4.0分)</w:t>
            </w:r>
            <w:r>
              <w:rPr/>
              <w:t>，（等次分值选择：</w:t>
            </w:r>
            <w:r>
              <w:rPr/>
              <w:t>0.0;</w:t>
            </w:r>
            <w:r>
              <w:rPr/>
              <w:t>1.0;</w:t>
            </w:r>
            <w:r>
              <w:rPr/>
              <w:t>2.0;</w:t>
            </w:r>
            <w:r>
              <w:rPr/>
              <w:t>4.0;</w:t>
            </w:r>
            <w:r>
              <w:rPr/>
              <w:t>）</w:t>
            </w:r>
          </w:p>
        </w:tc>
        <w:tc>
          <w:tcPr>
            <w:tcW w:type="dxa" w:w="5076"/>
          </w:tcPr>
          <w:p>
            <w:pPr>
              <w:jc w:val="left"/>
            </w:pPr>
            <w:r>
              <w:rPr/>
              <w:t>评委对各投标人提供的突发事件应急预案进行评审。 1.得4分：应急预案好，考虑情况全面，处理措施完善，具有丰富的处理各类突发事件的经验及能力； 2.得2分：应急预案较好，考虑情况较全面，处理措施较好，具有处理各类突发事件的经验及能力； 3.得1分：应急预案一般，考虑情况一般，处理措施一般，处理突发事件经验及能力不足； 4.得0分：预案不满足要求或未提供相关资料。</w:t>
            </w:r>
          </w:p>
        </w:tc>
      </w:tr>
      <w:tr>
        <w:tc>
          <w:tcPr>
            <w:tcW w:type="dxa" w:w="922"/>
            <w:gridSpan w:val="2"/>
            <w:vMerge/>
          </w:tcPr>
          <w:p/>
        </w:tc>
        <w:tc>
          <w:tcPr>
            <w:tcW w:type="dxa" w:w="2307"/>
          </w:tcPr>
          <w:p>
            <w:pPr>
              <w:jc w:val="left"/>
            </w:pPr>
            <w:r>
              <w:rPr/>
              <w:t>员工工资、福利方案 (4.0分)</w:t>
            </w:r>
            <w:r>
              <w:rPr/>
              <w:t>，（等次分值选择：</w:t>
            </w:r>
            <w:r>
              <w:rPr/>
              <w:t>0.0;</w:t>
            </w:r>
            <w:r>
              <w:rPr/>
              <w:t>1.0;</w:t>
            </w:r>
            <w:r>
              <w:rPr/>
              <w:t>2.0;</w:t>
            </w:r>
            <w:r>
              <w:rPr/>
              <w:t>4.0;</w:t>
            </w:r>
            <w:r>
              <w:rPr/>
              <w:t>）</w:t>
            </w:r>
          </w:p>
        </w:tc>
        <w:tc>
          <w:tcPr>
            <w:tcW w:type="dxa" w:w="5076"/>
          </w:tcPr>
          <w:p>
            <w:pPr>
              <w:jc w:val="left"/>
            </w:pPr>
            <w:r>
              <w:rPr/>
              <w:t>评委对各投标人提供的员工工资、福利方案进行评审。 1.得4分：员工工资、福利好，服务人员能有很好的生活保障； 2.得2分：员工工资、福利较好，服务人员能有较好的生活保障； 3.得1分：员工工资、福利一般，服务人员生活保障一般； 4.得0分：方案不满足要求或未提供相关资料。</w:t>
            </w:r>
          </w:p>
        </w:tc>
      </w:tr>
      <w:tr>
        <w:tc>
          <w:tcPr>
            <w:tcW w:type="dxa" w:w="922"/>
            <w:gridSpan w:val="2"/>
            <w:vMerge/>
          </w:tcPr>
          <w:p/>
        </w:tc>
        <w:tc>
          <w:tcPr>
            <w:tcW w:type="dxa" w:w="2307"/>
          </w:tcPr>
          <w:p>
            <w:pPr>
              <w:jc w:val="left"/>
            </w:pPr>
            <w:r>
              <w:rPr/>
              <w:t>信息化、先进设备 (4.0分)</w:t>
            </w:r>
            <w:r>
              <w:rPr/>
              <w:t>，（等次分值选择：</w:t>
            </w:r>
            <w:r>
              <w:rPr/>
              <w:t>0.0;</w:t>
            </w:r>
            <w:r>
              <w:rPr/>
              <w:t>1.0;</w:t>
            </w:r>
            <w:r>
              <w:rPr/>
              <w:t>2.0;</w:t>
            </w:r>
            <w:r>
              <w:rPr/>
              <w:t>4.0;</w:t>
            </w:r>
            <w:r>
              <w:rPr/>
              <w:t>）</w:t>
            </w:r>
          </w:p>
        </w:tc>
        <w:tc>
          <w:tcPr>
            <w:tcW w:type="dxa" w:w="5076"/>
          </w:tcPr>
          <w:p>
            <w:pPr>
              <w:jc w:val="left"/>
            </w:pPr>
            <w:r>
              <w:rPr/>
              <w:t>评委对各投标人利用信息化手段和先进设备辅助饭堂管理服务进行评审，主要评审因素包括：食堂管理各环节信息同步实时更新，采购人下达任务、人员工作安排方便快捷，任务响应及时高效，先进设备代替人力更高效、制作食品更多样化、环境卫生更保障等。投标人根据采购需求条款的要求及上述标准要求提供相关证明资料。 1.得4分：信息化手段和先进设备能切实提高工作效率和服务质量，信息化管理全面科学，思路清晰、内容详细，可行性及合理性高，有相关信息化系统操作图片佐证； 2.得2分：信息化手段和先进设备能一定程度提高工作效率和服务质量，信息化管理较全面，思路较清晰，可行性及合理性较好； 3.得1分：信息化手段和先进设备没法切实提高工作效率和服务质量，信息化管理不全，思路不清晰，可行性及合理性一般； 4.得0分：方案不满足要求或未提供相关资料。</w:t>
            </w:r>
          </w:p>
        </w:tc>
      </w:tr>
      <w:tr>
        <w:tc>
          <w:tcPr>
            <w:tcW w:type="dxa" w:w="922"/>
            <w:gridSpan w:val="2"/>
            <w:vMerge/>
          </w:tcPr>
          <w:p/>
        </w:tc>
        <w:tc>
          <w:tcPr>
            <w:tcW w:type="dxa" w:w="2307"/>
          </w:tcPr>
          <w:p>
            <w:pPr>
              <w:jc w:val="left"/>
            </w:pPr>
            <w:r>
              <w:rPr/>
              <w:t>防疫防病措施方案 (4.0分)</w:t>
            </w:r>
            <w:r>
              <w:rPr/>
              <w:t>，（等次分值选择：</w:t>
            </w:r>
            <w:r>
              <w:rPr/>
              <w:t>0.0;</w:t>
            </w:r>
            <w:r>
              <w:rPr/>
              <w:t>1.0;</w:t>
            </w:r>
            <w:r>
              <w:rPr/>
              <w:t>2.0;</w:t>
            </w:r>
            <w:r>
              <w:rPr/>
              <w:t>4.0;</w:t>
            </w:r>
            <w:r>
              <w:rPr/>
              <w:t>）</w:t>
            </w:r>
          </w:p>
        </w:tc>
        <w:tc>
          <w:tcPr>
            <w:tcW w:type="dxa" w:w="5076"/>
          </w:tcPr>
          <w:p>
            <w:pPr>
              <w:jc w:val="left"/>
            </w:pPr>
            <w:r>
              <w:rPr/>
              <w:t>评委对各投标人在食堂管理服务中执行的防疫防病措施进行评审，评审因素包括工作人员防疫防病管理、日常食材处理防疫防病措施、特殊管控时期人员防疫及食材处理防疫措施、防疫监控机制、疫情相关突发事故应急处理方案等。 1.得4分，投标人提供的防控方案详细，具备实操性，防疫效果明显。 2.得2分，投标人提供的防控方案较详细，但缺乏实操性，防疫效果不明显。 3.得1分，投标人提供的防控方案一般，缺乏实操性，防疫效果一般。 4.得0分，资料不符合要求，或没有提供相关资料。</w:t>
            </w:r>
          </w:p>
        </w:tc>
      </w:tr>
      <w:tr>
        <w:tc>
          <w:tcPr>
            <w:tcW w:type="dxa" w:w="922"/>
            <w:gridSpan w:val="2"/>
            <w:vMerge/>
          </w:tcPr>
          <w:p/>
        </w:tc>
        <w:tc>
          <w:tcPr>
            <w:tcW w:type="dxa" w:w="2307"/>
          </w:tcPr>
          <w:p>
            <w:pPr>
              <w:jc w:val="left"/>
            </w:pPr>
            <w:r>
              <w:rPr/>
              <w:t>营养科学配餐 (4.0分)</w:t>
            </w:r>
            <w:r>
              <w:rPr/>
              <w:t>，（等次分值选择：</w:t>
            </w:r>
            <w:r>
              <w:rPr/>
              <w:t>0.0;</w:t>
            </w:r>
            <w:r>
              <w:rPr/>
              <w:t>1.0;</w:t>
            </w:r>
            <w:r>
              <w:rPr/>
              <w:t>2.0;</w:t>
            </w:r>
            <w:r>
              <w:rPr/>
              <w:t>4.0;</w:t>
            </w:r>
            <w:r>
              <w:rPr/>
              <w:t>）</w:t>
            </w:r>
          </w:p>
        </w:tc>
        <w:tc>
          <w:tcPr>
            <w:tcW w:type="dxa" w:w="5076"/>
          </w:tcPr>
          <w:p>
            <w:pPr>
              <w:jc w:val="left"/>
            </w:pPr>
            <w:r>
              <w:rPr/>
              <w:t>评委对各投标人在食堂配餐服务中营养科学方案进行评审，评审因素包括投入人员具备营养相关专业知识，能科学制定每周菜单、针对特殊人群制定个性化膳食方案、调味品用量控制方案等。 1.得4分：投标人提供的营养科学配餐方案（含特殊人群配餐方案）详细，菜色食谱一周内每天菜式不重复，荤素、色彩搭配得当，营养均衡。 2.得2分：投标人提供的营养科学配餐方案较详细（含特殊人群配餐方案），菜色食谱一周内每天菜式不重复，品种搭配合理，有营养。 3.得1分：投标人提供的营养科学配餐方案一般（含特殊人群配餐方案），菜色食谱一周内每天菜式有重复，品种搭配、营养较差。 4.得0分：方案不满足要求或未提供相关资料。</w:t>
            </w:r>
          </w:p>
        </w:tc>
      </w:tr>
      <w:tr>
        <w:tc>
          <w:tcPr>
            <w:tcW w:type="dxa" w:w="922"/>
            <w:gridSpan w:val="2"/>
            <w:vMerge w:val="restart"/>
          </w:tcPr>
          <w:p>
            <w:pPr>
              <w:jc w:val="center"/>
            </w:pPr>
            <w:r>
              <w:rPr/>
              <w:t>商务部分</w:t>
            </w:r>
          </w:p>
        </w:tc>
        <w:tc>
          <w:tcPr>
            <w:tcW w:type="dxa" w:w="2307"/>
          </w:tcPr>
          <w:p>
            <w:pPr>
              <w:jc w:val="left"/>
            </w:pPr>
            <w:r>
              <w:rPr/>
              <w:t>企业认证 (12.0分)</w:t>
            </w:r>
          </w:p>
        </w:tc>
        <w:tc>
          <w:tcPr>
            <w:tcW w:type="dxa" w:w="5076"/>
          </w:tcPr>
          <w:p>
            <w:pPr>
              <w:jc w:val="left"/>
            </w:pPr>
            <w:r>
              <w:rPr/>
              <w:t>1.投标人具有有效的质量管理体系认证，得3分； 2.投标人具有有效的环境管理体系认证，得3分； 3.投标人具有有效的职业健康安全管理体系认证，得3分。 4.投标人具有有效的食品安全管理体系认证，得3分。 注： （1）投标文件中提供认证证书复印件； （2）投标文件中提供以上认证在“全国认证认可信息公共服务平台”的查询截图（网址：http://cx.cnca.cn/CertECloud/result/skipResultList），截图必须含有“证书编号”“证书状态”的内容，截图中的“证书状态”应处于“有效”状态。未按要求提供的不得分。</w:t>
            </w:r>
          </w:p>
        </w:tc>
      </w:tr>
      <w:tr>
        <w:tc>
          <w:tcPr>
            <w:tcW w:type="dxa" w:w="922"/>
            <w:gridSpan w:val="2"/>
            <w:vMerge/>
          </w:tcPr>
          <w:p/>
        </w:tc>
        <w:tc>
          <w:tcPr>
            <w:tcW w:type="dxa" w:w="2307"/>
          </w:tcPr>
          <w:p>
            <w:pPr>
              <w:jc w:val="left"/>
            </w:pPr>
            <w:r>
              <w:rPr/>
              <w:t>业绩 (18.0分)</w:t>
            </w:r>
          </w:p>
        </w:tc>
        <w:tc>
          <w:tcPr>
            <w:tcW w:type="dxa" w:w="5076"/>
          </w:tcPr>
          <w:p>
            <w:pPr>
              <w:jc w:val="left"/>
            </w:pPr>
            <w:r>
              <w:rPr/>
              <w:t>投标人2019年以来开展同类业绩情况，每份业绩得3分。 注： （1）投标文件中提供业绩合同复印件。 （2）业绩合同履行期限在2019年1月1日（含）之后结束的，均符合“2019年以来”的要求。 （3）未按要求提供的不得分。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1.委托服务期间自______年______月至______年______月止。</w:t>
      </w:r>
    </w:p>
    <w:p>
      <w:pPr>
        <w:jc w:val="both"/>
      </w:pPr>
      <w:r>
        <w:rPr>
          <w:b/>
        </w:rPr>
        <w:t>五、付款方式</w:t>
      </w:r>
    </w:p>
    <w:p>
      <w:pPr>
        <w:jc w:val="both"/>
      </w:pPr>
      <w:r>
        <w:rPr>
          <w:color w:val="222222"/>
          <w:sz w:val="27"/>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color w:val="222222"/>
          <w:sz w:val="27"/>
        </w:rPr>
        <w:t xml:space="preserve"> </w:t>
      </w:r>
      <w:r>
        <w:rPr>
          <w:color w:val="222222"/>
          <w:sz w:val="27"/>
        </w:rPr>
        <w:t>内付款：</w:t>
      </w:r>
    </w:p>
    <w:p>
      <w:pPr>
        <w:jc w:val="both"/>
      </w:pPr>
      <w:r>
        <w:rPr>
          <w:color w:val="222222"/>
          <w:sz w:val="27"/>
        </w:rPr>
        <w:t>　　1.在合同实施及服务人员到达服务地后__天内，甲方应将第一次付款总服务费的__(-%)付给乙方。</w:t>
      </w:r>
    </w:p>
    <w:p>
      <w:pPr>
        <w:jc w:val="both"/>
      </w:pPr>
      <w:r>
        <w:rPr>
          <w:color w:val="222222"/>
          <w:sz w:val="27"/>
        </w:rPr>
        <w:t>　　2.第二次付款额应为总服务费的__(-%)，甲方应在乙方已经准备好，并递交了服务报告及其它相关文件，而这些报告和文件符合合同附件上的要求并被甲方验收后付给乙方。</w:t>
      </w:r>
    </w:p>
    <w:p>
      <w:pPr>
        <w:jc w:val="both"/>
      </w:pPr>
      <w:r>
        <w:rPr>
          <w:color w:val="222222"/>
          <w:sz w:val="27"/>
        </w:rPr>
        <w:t>　　3.最后一次付款额应为总服务费的__(-%)，甲方应在乙方递交了服务总结报告和说明并完全履行合同完毕_________日内付给乙方。</w:t>
      </w:r>
    </w:p>
    <w:p>
      <w:pPr>
        <w:jc w:val="both"/>
      </w:pPr>
      <w:r>
        <w:rPr>
          <w:color w:val="222222"/>
          <w:sz w:val="27"/>
        </w:rPr>
        <w:t>　　4.对于满足合同约定支付条件的，甲方应当自收到发票后</w:t>
      </w:r>
      <w:r>
        <w:rPr>
          <w:color w:val="222222"/>
          <w:sz w:val="27"/>
          <w:u w:val="single"/>
        </w:rPr>
        <w:t xml:space="preserve">  </w:t>
      </w:r>
      <w:r>
        <w:rPr>
          <w:color w:val="222222"/>
          <w:sz w:val="27"/>
        </w:rPr>
        <w:t>日内将资金支付到合同约定的乙方账户，不得以机构变动、人员更替、政策调整等为由延迟付款，不得将采购文件和合同中未规定的义务作为向乙方付款的条件。</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1.乙方提供的服务不符合本合同规定的，甲方有权拒收，并且乙方须向甲方方支付本合同总价</w:t>
      </w:r>
      <w:r>
        <w:rPr>
          <w:color w:val="222222"/>
          <w:sz w:val="27"/>
          <w:u w:val="single"/>
        </w:rPr>
        <w:t xml:space="preserve">  </w:t>
      </w:r>
      <w:r>
        <w:rPr>
          <w:color w:val="222222"/>
          <w:sz w:val="27"/>
        </w:rPr>
        <w:t>%的违约金。</w:t>
      </w:r>
    </w:p>
    <w:p>
      <w:pPr>
        <w:jc w:val="both"/>
      </w:pPr>
      <w:r>
        <w:rPr>
          <w:color w:val="222222"/>
          <w:sz w:val="27"/>
        </w:rPr>
        <w:t>　　2.乙方未能按本合同规定的交货时间提供服务，从逾期之日起每日按本合同总价</w:t>
      </w:r>
      <w:r>
        <w:rPr>
          <w:color w:val="222222"/>
          <w:sz w:val="27"/>
          <w:u w:val="single"/>
        </w:rPr>
        <w:t xml:space="preserve">  </w:t>
      </w:r>
      <w:r>
        <w:rPr>
          <w:color w:val="222222"/>
          <w:sz w:val="27"/>
        </w:rPr>
        <w:t>‰的数额向甲方支付违约金；逾期</w:t>
      </w:r>
      <w:r>
        <w:rPr>
          <w:color w:val="222222"/>
          <w:sz w:val="27"/>
          <w:u w:val="single"/>
        </w:rPr>
        <w:t xml:space="preserve">  </w:t>
      </w:r>
      <w:r>
        <w:rPr>
          <w:color w:val="222222"/>
          <w:sz w:val="27"/>
        </w:rPr>
        <w:t>个月以上的，甲方有权终止合同，由此造成的甲方经济损失由乙方承担。</w:t>
      </w:r>
    </w:p>
    <w:p>
      <w:pPr>
        <w:jc w:val="both"/>
      </w:pPr>
      <w:r>
        <w:rPr>
          <w:color w:val="222222"/>
          <w:sz w:val="27"/>
        </w:rPr>
        <w:t>　　3.甲方无正当理由拒收接受服务，到期拒付服务款项的，甲方向乙方偿付本合同总的</w:t>
      </w:r>
      <w:r>
        <w:rPr>
          <w:color w:val="222222"/>
          <w:sz w:val="27"/>
          <w:u w:val="single"/>
        </w:rPr>
        <w:t xml:space="preserve">  </w:t>
      </w:r>
      <w:r>
        <w:rPr>
          <w:color w:val="222222"/>
          <w:sz w:val="27"/>
        </w:rPr>
        <w:t>%的违约金。甲方人逾期付款，则每日按本合同总价的</w:t>
      </w:r>
      <w:r>
        <w:rPr>
          <w:color w:val="222222"/>
          <w:sz w:val="27"/>
          <w:u w:val="single"/>
        </w:rPr>
        <w:t xml:space="preserve">  </w:t>
      </w:r>
      <w:r>
        <w:rPr>
          <w:color w:val="222222"/>
          <w:sz w:val="27"/>
        </w:rPr>
        <w:t>‰向乙方偿付违约金。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5.其它违约责任按《</w:t>
      </w:r>
      <w:r>
        <w:rPr>
          <w:color w:val="222222"/>
          <w:sz w:val="27"/>
        </w:rPr>
        <w:t>中华人民共和国民法典(合同编)</w:t>
      </w:r>
      <w:r>
        <w:rPr>
          <w:color w:val="222222"/>
          <w:sz w:val="27"/>
        </w:rPr>
        <w:t>》处理。</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w:t>
      </w:r>
      <w:r>
        <w:rPr>
          <w:color w:val="222222"/>
          <w:sz w:val="27"/>
          <w:u w:val="single"/>
        </w:rPr>
        <w:t xml:space="preserve">  </w:t>
      </w:r>
      <w:r>
        <w:rPr>
          <w:color w:val="222222"/>
          <w:sz w:val="27"/>
        </w:rPr>
        <w:t>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442000-2023-01050</w:t>
      </w:r>
    </w:p>
    <w:p>
      <w:pPr>
        <w:jc w:val="center"/>
      </w:pPr>
      <w:r>
        <w:rPr>
          <w:b/>
          <w:sz w:val="24"/>
        </w:rPr>
        <w:t>采购项目编号：</w:t>
      </w:r>
      <w:r>
        <w:rPr>
          <w:b/>
          <w:sz w:val="24"/>
        </w:rPr>
        <w:t>CGZX-CG202302008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中山市政府采购中心</w:t>
      </w:r>
    </w:p>
    <w:p>
      <w:pPr>
        <w:ind w:firstLine="480"/>
      </w:pPr>
      <w:r>
        <w:rPr/>
        <w:t>你方组织的</w:t>
      </w:r>
      <w:r>
        <w:rPr>
          <w:u w:val="single"/>
        </w:rPr>
        <w:t>“</w:t>
      </w:r>
      <w:r>
        <w:rPr>
          <w:u w:val="single"/>
        </w:rPr>
        <w:t>中国共产党中山市纪律检查委员会中山市廉政教育中心2023年度食堂食材配送及外包服务采购项目</w:t>
      </w:r>
      <w:r>
        <w:rPr>
          <w:u w:val="single"/>
        </w:rPr>
        <w:t>”</w:t>
      </w:r>
      <w:r>
        <w:rPr/>
        <w:t>项目的招标[采购项目编号为：</w:t>
      </w:r>
      <w:r>
        <w:rPr>
          <w:u w:val="single"/>
        </w:rPr>
        <w:t>CGZX-CG202302008</w:t>
      </w:r>
      <w:r>
        <w:rPr/>
        <w:t>]，我方愿参与投标。</w:t>
      </w:r>
    </w:p>
    <w:p>
      <w:pPr>
        <w:ind w:firstLine="480"/>
      </w:pPr>
      <w:r>
        <w:rPr/>
        <w:t>我方确认收到贵方提供的</w:t>
      </w:r>
      <w:r>
        <w:rPr>
          <w:u w:val="single"/>
        </w:rPr>
        <w:t>“</w:t>
      </w:r>
      <w:r>
        <w:rPr>
          <w:u w:val="single"/>
        </w:rPr>
        <w:t>中国共产党中山市纪律检查委员会中山市廉政教育中心2023年度食堂食材配送及外包服务采购项目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中山市政府采购中心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中国共产党中山市纪律检查委员会中山市廉政教育中心2023年度食堂食材配送及外包服务采购项目</w:t>
      </w:r>
      <w:r>
        <w:rPr/>
        <w:t>”项目采购[采购项目编号为</w:t>
      </w:r>
      <w:r>
        <w:rPr/>
        <w:t>CGZX-CG202302008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中国共产党中山市纪律检查委员会</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中山市政府采购中心</w:t>
      </w:r>
    </w:p>
    <w:p>
      <w:pPr>
        <w:ind w:firstLine="480"/>
      </w:pPr>
      <w:r>
        <w:rPr/>
        <w:t>如果我方在贵采购代理机构组织的</w:t>
      </w:r>
      <w:r>
        <w:rPr/>
        <w:t>中国共产党中山市纪律检查委员会中山市廉政教育中心2023年度食堂食材配送及外包服务采购项目</w:t>
      </w:r>
      <w:r>
        <w:rPr/>
        <w:t>招标中获中标（采购项目编号：</w:t>
      </w:r>
      <w:r>
        <w:rPr/>
        <w:t>CGZX-CG202302008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中山市政府采购中心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中山市政府采购中心</w:t>
      </w:r>
    </w:p>
    <w:p>
      <w:pPr>
        <w:ind w:firstLine="480"/>
      </w:pPr>
      <w:r>
        <w:rPr/>
        <w:t>我单位已登记并准备参与“</w:t>
      </w:r>
      <w:r>
        <w:rPr/>
        <w:t>中国共产党中山市纪律检查委员会中山市廉政教育中心2023年度食堂食材配送及外包服务采购项目</w:t>
      </w:r>
      <w:r>
        <w:rPr/>
        <w:t>”项目（采购项目编号：</w:t>
      </w:r>
      <w:r>
        <w:rPr/>
        <w:t>CGZX-CG202302008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