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442000-2023-00294</w:t>
      </w:r>
    </w:p>
    <w:p>
      <w:pPr>
        <w:jc w:val="center"/>
      </w:pPr>
      <w:r>
        <w:rPr>
          <w:b/>
          <w:sz w:val="24"/>
        </w:rPr>
        <w:t>采购项目编号：</w:t>
      </w:r>
      <w:r>
        <w:rPr>
          <w:b/>
          <w:sz w:val="24"/>
        </w:rPr>
        <w:t>M4400000707017256001</w:t>
      </w:r>
    </w:p>
    <w:p>
      <w:pPr>
        <w:jc w:val="center"/>
      </w:pPr>
      <w:r>
        <w:rPr>
          <w:b/>
          <w:sz w:val="24"/>
        </w:rPr>
        <w:t>项目名称：</w:t>
      </w:r>
      <w:r>
        <w:rPr>
          <w:b/>
          <w:sz w:val="24"/>
        </w:rPr>
        <w:t>中山市人民医院高水平国际客座教授远程医疗服务合作项目(二次)</w:t>
      </w:r>
    </w:p>
    <w:p>
      <w:pPr>
        <w:jc w:val="center"/>
      </w:pPr>
      <w:r>
        <w:rPr>
          <w:b/>
          <w:sz w:val="24"/>
        </w:rPr>
        <w:t>采购人：</w:t>
      </w:r>
      <w:r>
        <w:rPr>
          <w:b/>
          <w:sz w:val="24"/>
        </w:rPr>
        <w:t>中山市人民医院</w:t>
      </w:r>
    </w:p>
    <w:p>
      <w:pPr>
        <w:jc w:val="center"/>
      </w:pPr>
      <w:r>
        <w:rPr>
          <w:b/>
          <w:sz w:val="24"/>
        </w:rPr>
        <w:t>采购代理机构：</w:t>
      </w:r>
      <w:r>
        <w:rPr>
          <w:b/>
          <w:sz w:val="24"/>
        </w:rPr>
        <w:t>广东省机电设备招标有限公司中山分公司</w:t>
      </w:r>
    </w:p>
    <w:p>
      <w:pPr>
        <w:ind w:firstLine="480"/>
      </w:pPr>
    </w:p>
    <w:p>
      <w:r>
        <w:rPr/>
        <w:t xml:space="preserve"> </w:t>
      </w:r>
    </w:p>
    <w:p/>
    <w:p>
      <w:pPr>
        <w:jc w:val="center"/>
      </w:pPr>
      <w:r>
        <w:rPr>
          <w:b/>
          <w:sz w:val="36"/>
        </w:rPr>
        <w:t>第一章投标邀请</w:t>
      </w:r>
    </w:p>
    <w:p>
      <w:pPr>
        <w:ind w:firstLine="480"/>
      </w:pPr>
      <w:r>
        <w:rPr/>
        <w:t>广东省机电设备招标有限公司中山分公司</w:t>
      </w:r>
      <w:r>
        <w:rPr/>
        <w:t>受</w:t>
      </w:r>
      <w:r>
        <w:rPr/>
        <w:t>中山市人民医院</w:t>
      </w:r>
      <w:r>
        <w:rPr/>
        <w:t>的委托，采用</w:t>
      </w:r>
      <w:r>
        <w:rPr/>
        <w:t>公开招标</w:t>
      </w:r>
      <w:r>
        <w:rPr/>
        <w:t>方式组织采购</w:t>
      </w:r>
      <w:r>
        <w:rPr/>
        <w:t>中山市人民医院高水平国际客座教授远程医疗服务合作项目(二次)</w:t>
      </w:r>
      <w:r>
        <w:rPr/>
        <w:t>。欢迎符合资格条件的国内供应商参加投标。</w:t>
      </w:r>
    </w:p>
    <w:p>
      <w:r>
        <w:rPr>
          <w:b/>
          <w:sz w:val="28"/>
        </w:rPr>
        <w:t>一.项目概述</w:t>
      </w:r>
    </w:p>
    <w:p>
      <w:r>
        <w:rPr>
          <w:b/>
          <w:sz w:val="24"/>
        </w:rPr>
        <w:t>1.名称与编号</w:t>
      </w:r>
    </w:p>
    <w:p>
      <w:pPr>
        <w:ind w:firstLine="480"/>
      </w:pPr>
      <w:r>
        <w:rPr/>
        <w:t>项目名称：</w:t>
      </w:r>
      <w:r>
        <w:rPr/>
        <w:t>中山市人民医院高水平国际客座教授远程医疗服务合作项目(二次)</w:t>
      </w:r>
    </w:p>
    <w:p>
      <w:pPr>
        <w:ind w:firstLine="480"/>
      </w:pPr>
      <w:r>
        <w:rPr/>
        <w:t>采购计划编号：</w:t>
      </w:r>
      <w:r>
        <w:rPr/>
        <w:t>442000-2023-00294</w:t>
      </w:r>
    </w:p>
    <w:p>
      <w:pPr>
        <w:ind w:firstLine="480"/>
      </w:pPr>
      <w:r>
        <w:rPr/>
        <w:t>采购项目编号：</w:t>
      </w:r>
      <w:r>
        <w:rPr/>
        <w:t>M4400000707017256001</w:t>
      </w:r>
    </w:p>
    <w:p>
      <w:pPr>
        <w:ind w:firstLine="480"/>
      </w:pPr>
      <w:r>
        <w:rPr/>
        <w:t>采购方式：</w:t>
      </w:r>
      <w:r>
        <w:rPr/>
        <w:t>公开招标</w:t>
      </w:r>
    </w:p>
    <w:p>
      <w:pPr>
        <w:ind w:firstLine="480"/>
      </w:pPr>
      <w:r>
        <w:rPr/>
        <w:t>预算金额：</w:t>
      </w:r>
      <w:r>
        <w:rPr/>
        <w:t>1,400,000.00</w:t>
      </w:r>
      <w:r>
        <w:rPr/>
        <w:t>元</w:t>
      </w:r>
    </w:p>
    <w:p>
      <w:r>
        <w:rPr>
          <w:b/>
          <w:sz w:val="24"/>
        </w:rPr>
        <w:t>2.项目内容及需求情况（采购项目技术规格、参数及要求）</w:t>
      </w:r>
    </w:p>
    <w:p>
      <w:pPr>
        <w:ind w:firstLine="480"/>
      </w:pPr>
    </w:p>
    <w:p/>
    <w:p>
      <w:r>
        <w:rPr/>
        <w:t>采购包1(高水平国际客座教授远程医疗服务合作项目):</w:t>
      </w:r>
    </w:p>
    <w:p>
      <w:r>
        <w:rPr/>
        <w:t>采购包预算金额：1,400,000.00元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远程医疗服务</w:t>
            </w:r>
          </w:p>
        </w:tc>
        <w:tc>
          <w:tcPr>
            <w:tcW w:type="dxa" w:w="977"/>
          </w:tcPr>
          <w:p>
            <w:r>
              <w:rPr/>
              <w:t>1.0000(项)</w:t>
            </w:r>
          </w:p>
        </w:tc>
        <w:tc>
          <w:tcPr>
            <w:tcW w:type="dxa" w:w="977"/>
          </w:tcPr>
          <w:p>
            <w:r>
              <w:rPr/>
              <w:t>详见第二章</w:t>
            </w:r>
          </w:p>
        </w:tc>
        <w:tc>
          <w:tcPr>
            <w:tcW w:type="dxa" w:w="977"/>
          </w:tcPr>
          <w:p>
            <w:r>
              <w:rPr/>
              <w:t>1,400,000.00</w:t>
            </w:r>
          </w:p>
        </w:tc>
        <w:tc>
          <w:tcPr>
            <w:tcW w:type="dxa" w:w="977"/>
          </w:tcPr>
          <w:p>
            <w:r>
              <w:rPr/>
              <w:t>否</w:t>
            </w:r>
          </w:p>
        </w:tc>
      </w:tr>
    </w:tbl>
    <w:p/>
    <w:p>
      <w:r>
        <w:rPr/>
        <w:t>本采购包不接受联合体投标</w:t>
      </w:r>
    </w:p>
    <w:p/>
    <w:p>
      <w:r>
        <w:rPr/>
        <w:t>合同履行期限：一年（从合同签订后完成服务授权之日起计算）。</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采购包1（高水平国际客座教授远程医疗服务合作项目）：</w:t>
      </w:r>
      <w:r>
        <w:rPr/>
        <w:t>参与的供应商（联合体）服务全部由符合政策要求的中小企业承接</w:t>
      </w:r>
    </w:p>
    <w:p/>
    <w:p>
      <w:r>
        <w:rPr>
          <w:b/>
          <w:sz w:val="24"/>
        </w:rPr>
        <w:t>3.本项目特定的资格要求：</w:t>
      </w:r>
    </w:p>
    <w:p>
      <w:pPr>
        <w:ind w:firstLine="480"/>
      </w:pPr>
    </w:p>
    <w:p/>
    <w:p>
      <w:r>
        <w:rPr/>
        <w:t>采购包1（高水平国际客座教授远程医疗服务合作项目）：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中山市人民医院</w:t>
      </w:r>
    </w:p>
    <w:p>
      <w:pPr>
        <w:ind w:firstLine="480"/>
      </w:pPr>
      <w:r>
        <w:rPr/>
        <w:t>地址：</w:t>
      </w:r>
      <w:r>
        <w:rPr/>
        <w:t>广东省中山市孙文东路2号</w:t>
      </w:r>
    </w:p>
    <w:p>
      <w:pPr>
        <w:ind w:firstLine="480"/>
      </w:pPr>
      <w:r>
        <w:rPr/>
        <w:t>联系方式：</w:t>
      </w:r>
      <w:r>
        <w:rPr/>
        <w:t>0760-88824241</w:t>
      </w:r>
    </w:p>
    <w:p>
      <w:r>
        <w:rPr>
          <w:b/>
          <w:sz w:val="24"/>
        </w:rPr>
        <w:t>2.采购代理机构信息</w:t>
      </w:r>
    </w:p>
    <w:p>
      <w:pPr>
        <w:ind w:firstLine="480"/>
      </w:pPr>
      <w:r>
        <w:rPr/>
        <w:t>名称：</w:t>
      </w:r>
      <w:r>
        <w:rPr/>
        <w:t>广东省机电设备招标有限公司中山分公司</w:t>
      </w:r>
    </w:p>
    <w:p>
      <w:pPr>
        <w:ind w:firstLine="480"/>
      </w:pPr>
      <w:r>
        <w:rPr/>
        <w:t>地址：</w:t>
      </w:r>
      <w:r>
        <w:rPr/>
        <w:t>广东省中山市兴中道5号颐和中心708室（中山分公司）</w:t>
      </w:r>
    </w:p>
    <w:p>
      <w:pPr>
        <w:ind w:firstLine="480"/>
      </w:pPr>
      <w:r>
        <w:rPr/>
        <w:t>联系方式：</w:t>
      </w:r>
      <w:r>
        <w:rPr/>
        <w:t>0760-88817108</w:t>
      </w:r>
    </w:p>
    <w:p>
      <w:r>
        <w:rPr>
          <w:b/>
          <w:sz w:val="24"/>
        </w:rPr>
        <w:t>3.项目联系方式</w:t>
      </w:r>
    </w:p>
    <w:p>
      <w:pPr>
        <w:ind w:firstLine="480"/>
      </w:pPr>
      <w:r>
        <w:rPr/>
        <w:t>项目联系人：</w:t>
      </w:r>
      <w:r>
        <w:rPr/>
        <w:t>李先生</w:t>
      </w:r>
    </w:p>
    <w:p>
      <w:pPr>
        <w:ind w:firstLine="480"/>
      </w:pPr>
      <w:r>
        <w:rPr/>
        <w:t>电话：</w:t>
      </w:r>
      <w:r>
        <w:rPr/>
        <w:t>0760-88817108</w:t>
      </w:r>
    </w:p>
    <w:p>
      <w:r>
        <w:rPr>
          <w:b/>
          <w:sz w:val="24"/>
        </w:rPr>
        <w:t>4.技术支持联系方式</w:t>
      </w:r>
    </w:p>
    <w:p>
      <w:pPr>
        <w:ind w:firstLine="480"/>
      </w:pPr>
      <w:r>
        <w:rPr/>
        <w:t>云平台联系方式：020-88696588</w:t>
      </w:r>
    </w:p>
    <w:p>
      <w:r>
        <w:rPr/>
        <w:t>采购代理机构：</w:t>
      </w:r>
      <w:r>
        <w:rPr/>
        <w:t>广东省机电设备招标有限公司中山分公司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1、采购项目</w:t>
      </w:r>
      <w:r>
        <w:rPr>
          <w:sz w:val="21"/>
        </w:rPr>
        <w:t>名称：</w:t>
      </w:r>
      <w:r>
        <w:rPr>
          <w:sz w:val="21"/>
        </w:rPr>
        <w:t>中山市人民医院高水平国际客座教授远程医疗服务合作项目（二次）</w:t>
      </w:r>
    </w:p>
    <w:p>
      <w:pPr>
        <w:ind w:firstLine="420"/>
        <w:jc w:val="both"/>
      </w:pPr>
      <w:r>
        <w:rPr>
          <w:sz w:val="21"/>
        </w:rPr>
        <w:t>2、</w:t>
      </w:r>
      <w:r>
        <w:rPr>
          <w:sz w:val="21"/>
        </w:rPr>
        <w:t>采购预算：人民币</w:t>
      </w:r>
      <w:r>
        <w:rPr>
          <w:sz w:val="21"/>
        </w:rPr>
        <w:t>1,400,000.00元。</w:t>
      </w:r>
    </w:p>
    <w:p>
      <w:pPr>
        <w:ind w:firstLine="420"/>
        <w:jc w:val="both"/>
      </w:pPr>
      <w:r>
        <w:rPr>
          <w:sz w:val="21"/>
        </w:rPr>
        <w:t>3、试点科室：3个科室(心血管内科、心胸外科、泌尿外科一二区)。</w:t>
      </w:r>
    </w:p>
    <w:p>
      <w:pPr>
        <w:ind w:firstLine="420"/>
        <w:jc w:val="both"/>
      </w:pPr>
      <w:r>
        <w:rPr>
          <w:sz w:val="21"/>
        </w:rPr>
        <w:t>4、本项目拟通过公开招标方式确定一名第三方服务公司承接项目，联络国外大学/医院血管内科、胸外科、泌尿外科专业，开展与采购人的合作服务，协助双方形成国际版的科室共建。</w:t>
      </w:r>
    </w:p>
    <w:p>
      <w:pPr>
        <w:ind w:firstLine="420"/>
        <w:jc w:val="both"/>
      </w:pPr>
      <w:r>
        <w:rPr>
          <w:sz w:val="21"/>
        </w:rPr>
        <w:t>5、本项目只接受唯一方案报价。</w:t>
      </w:r>
    </w:p>
    <w:p>
      <w:pPr>
        <w:ind w:firstLine="420"/>
        <w:jc w:val="both"/>
      </w:pPr>
      <w:r>
        <w:rPr>
          <w:sz w:val="21"/>
        </w:rPr>
        <w:t>6、投标供应商应对采购包内所有的招标内容进行投标，不允许只对采购包内其中部分内容进行投标。</w:t>
      </w:r>
    </w:p>
    <w:p>
      <w:pPr>
        <w:ind w:firstLine="420"/>
        <w:jc w:val="both"/>
      </w:pPr>
      <w:r>
        <w:rPr>
          <w:sz w:val="21"/>
        </w:rPr>
        <w:t>7、投标报价包括服务周期内所有服务的价格、技术支持、培训、必要的保险费用、各项税费及代理服务费等费用的总和。投标报价为全包价，中标供应商不得在中标价外加收任何费用。</w:t>
      </w:r>
    </w:p>
    <w:p>
      <w:pPr>
        <w:ind w:firstLine="420"/>
        <w:jc w:val="both"/>
      </w:pPr>
      <w:r>
        <w:rPr>
          <w:sz w:val="21"/>
        </w:rPr>
        <w:t>8、本项目由中标供应商负责招标文件中对中标供应商要求的一切事宜及责任，如供应商在中标或履行合同过程中出现任何遗漏性内容需产生额外费用，均由中标供应商自行承担，采购人不再支付任何其他费用。中标供应商在实际供应过程中不得以任何理由调整价格，供应商应充分考虑在采购周期内由于市场波动而引致的风险。</w:t>
      </w:r>
    </w:p>
    <w:p>
      <w:pPr>
        <w:ind w:firstLine="420"/>
        <w:jc w:val="left"/>
      </w:pPr>
      <w:r>
        <w:rPr>
          <w:color w:val="000000"/>
          <w:sz w:val="21"/>
        </w:rPr>
        <w:t>9</w:t>
      </w:r>
      <w:r>
        <w:rPr>
          <w:color w:val="000000"/>
          <w:sz w:val="21"/>
        </w:rPr>
        <w:t>、</w:t>
      </w:r>
      <w:r>
        <w:rPr>
          <w:color w:val="000000"/>
          <w:sz w:val="21"/>
        </w:rPr>
        <w:t>本招标文件中凡标有</w:t>
      </w:r>
      <w:r>
        <w:rPr>
          <w:color w:val="000000"/>
          <w:sz w:val="21"/>
        </w:rPr>
        <w:t>“★”</w:t>
      </w:r>
      <w:r>
        <w:rPr>
          <w:color w:val="000000"/>
          <w:sz w:val="21"/>
        </w:rPr>
        <w:t>的地方均被视为重要的指标要求。供应商要特别加以注意，必须对此具体、明确响应并完全满足这些要求。否则若有一项带</w:t>
      </w:r>
      <w:r>
        <w:rPr>
          <w:color w:val="000000"/>
          <w:sz w:val="21"/>
        </w:rPr>
        <w:t>“★”</w:t>
      </w:r>
      <w:r>
        <w:rPr>
          <w:color w:val="000000"/>
          <w:sz w:val="21"/>
        </w:rPr>
        <w:t>的指标未响应或不满足，将视为非实质性响应招标文件要求。</w:t>
      </w:r>
    </w:p>
    <w:p>
      <w:pPr>
        <w:ind w:firstLine="420"/>
        <w:jc w:val="both"/>
      </w:pPr>
      <w:r>
        <w:rPr>
          <w:sz w:val="21"/>
        </w:rPr>
        <w:t>10</w:t>
      </w:r>
      <w:r>
        <w:rPr>
          <w:sz w:val="21"/>
        </w:rPr>
        <w:t>、</w:t>
      </w:r>
      <w:r>
        <w:rPr>
          <w:color w:val="000000"/>
          <w:sz w:val="21"/>
        </w:rPr>
        <w:t>需要落实的政府采购政策：《政府采购促进中小企业发展管理办法》（财库〔</w:t>
      </w:r>
      <w:r>
        <w:rPr>
          <w:color w:val="000000"/>
          <w:sz w:val="21"/>
        </w:rPr>
        <w:t>2020</w:t>
      </w:r>
      <w:r>
        <w:rPr>
          <w:color w:val="000000"/>
          <w:sz w:val="21"/>
        </w:rPr>
        <w:t>〕</w:t>
      </w:r>
      <w:r>
        <w:rPr>
          <w:color w:val="000000"/>
          <w:sz w:val="21"/>
        </w:rPr>
        <w:t>46</w:t>
      </w:r>
      <w:r>
        <w:rPr>
          <w:color w:val="000000"/>
          <w:sz w:val="21"/>
        </w:rPr>
        <w:t>号）、《关于政府采购支持监狱企业发展有关问题的通知》</w:t>
      </w:r>
      <w:r>
        <w:rPr>
          <w:color w:val="000000"/>
          <w:sz w:val="21"/>
        </w:rPr>
        <w:t>(</w:t>
      </w:r>
      <w:r>
        <w:rPr>
          <w:color w:val="000000"/>
          <w:sz w:val="21"/>
        </w:rPr>
        <w:t>财库〔</w:t>
      </w:r>
      <w:r>
        <w:rPr>
          <w:color w:val="000000"/>
          <w:sz w:val="21"/>
        </w:rPr>
        <w:t>2014</w:t>
      </w:r>
      <w:r>
        <w:rPr>
          <w:color w:val="000000"/>
          <w:sz w:val="21"/>
        </w:rPr>
        <w:t>〕</w:t>
      </w:r>
      <w:r>
        <w:rPr>
          <w:color w:val="000000"/>
          <w:sz w:val="21"/>
        </w:rPr>
        <w:t>68</w:t>
      </w:r>
      <w:r>
        <w:rPr>
          <w:color w:val="000000"/>
          <w:sz w:val="21"/>
        </w:rPr>
        <w:t>号</w:t>
      </w:r>
      <w:r>
        <w:rPr>
          <w:color w:val="000000"/>
          <w:sz w:val="21"/>
        </w:rPr>
        <w:t>)</w:t>
      </w:r>
      <w:r>
        <w:rPr>
          <w:color w:val="000000"/>
          <w:sz w:val="21"/>
        </w:rPr>
        <w:t>、《关于促进残疾人就业政府采购政策的通知》（财库〔</w:t>
      </w:r>
      <w:r>
        <w:rPr>
          <w:color w:val="000000"/>
          <w:sz w:val="21"/>
        </w:rPr>
        <w:t>2017</w:t>
      </w:r>
      <w:r>
        <w:rPr>
          <w:color w:val="000000"/>
          <w:sz w:val="21"/>
        </w:rPr>
        <w:t>〕</w:t>
      </w:r>
      <w:r>
        <w:rPr>
          <w:color w:val="000000"/>
          <w:sz w:val="21"/>
        </w:rPr>
        <w:t>141</w:t>
      </w:r>
      <w:r>
        <w:rPr>
          <w:color w:val="000000"/>
          <w:sz w:val="21"/>
        </w:rPr>
        <w:t>号</w:t>
      </w:r>
      <w:r>
        <w:rPr>
          <w:color w:val="000000"/>
          <w:sz w:val="21"/>
        </w:rPr>
        <w:t>)</w:t>
      </w:r>
      <w:r>
        <w:rPr>
          <w:color w:val="000000"/>
          <w:sz w:val="21"/>
        </w:rPr>
        <w:t>等。</w:t>
      </w:r>
    </w:p>
    <w:p>
      <w:pPr>
        <w:ind w:firstLine="420"/>
        <w:jc w:val="both"/>
      </w:pPr>
      <w:r>
        <w:rPr>
          <w:sz w:val="21"/>
        </w:rPr>
        <w:t>11</w:t>
      </w:r>
      <w:r>
        <w:rPr>
          <w:sz w:val="21"/>
        </w:rPr>
        <w:t>、</w:t>
      </w:r>
      <w:r>
        <w:rPr>
          <w:color w:val="000000"/>
          <w:sz w:val="21"/>
        </w:rPr>
        <w:t>中标供应商不得以任何方式转包或分包本项目。</w:t>
      </w:r>
    </w:p>
    <w:p/>
    <w:p>
      <w:pPr>
        <w:ind w:firstLine="480"/>
      </w:pPr>
    </w:p>
    <w:p/>
    <w:p>
      <w:r>
        <w:rPr/>
        <w:t>采购包1（高水平国际客座教授远程医疗服务合作项目）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一年（从合同签订后完成服务授权之日起计算）。</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1期：支付比例80%,双方签订合同后中标供应商向采购人开具有效税务发票，采购人自收到发票后1个月内支付合同金额的80%；</w:t>
            </w:r>
          </w:p>
          <w:p/>
          <w:p>
            <w:r>
              <w:rPr/>
              <w:t>2期：支付比例20%,在中标供应商合同履行结束前的1个月内，中标供应商向采购人开具有效税务发票，采购人支付剩余合同金额。</w:t>
            </w:r>
          </w:p>
        </w:tc>
      </w:tr>
      <w:tr>
        <w:tc>
          <w:tcPr>
            <w:tcW w:type="dxa" w:w="4153"/>
          </w:tcPr>
          <w:p>
            <w:r>
              <w:rPr/>
              <w:t>验收要求</w:t>
            </w:r>
          </w:p>
        </w:tc>
        <w:tc>
          <w:tcPr>
            <w:tcW w:type="dxa" w:w="4153"/>
          </w:tcPr>
          <w:p/>
          <w:p/>
          <w:p/>
          <w:p>
            <w:r>
              <w:rPr/>
              <w:t>1期：由采购人按照采购文件、中标单位的投标文件、合同、相关补充文件的内容进行验收。</w:t>
            </w:r>
          </w:p>
        </w:tc>
      </w:tr>
      <w:tr>
        <w:tc>
          <w:tcPr>
            <w:tcW w:type="dxa" w:w="4153"/>
          </w:tcPr>
          <w:p>
            <w:r>
              <w:rPr/>
              <w:t>履约保证金</w:t>
            </w:r>
          </w:p>
        </w:tc>
        <w:tc>
          <w:tcPr>
            <w:tcW w:type="dxa" w:w="4153"/>
          </w:tcPr>
          <w:p/>
          <w:p/>
          <w:p/>
          <w:p/>
          <w:p>
            <w:r>
              <w:rPr/>
              <w:t>收取比例：5%,说明：投标人确定中标后，30日内须向采购人提供中标金额5%的履约保函，履约担保期间直至项目结束。需采用不可撤销、无条件（见索即付）的银行履约保函形式（不计息）提交。若出现违反招标文件要求或投标文件承诺的行为的，采购人视情节轻重扣除履约保证金。</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远程医疗服务</w:t>
            </w:r>
          </w:p>
        </w:tc>
        <w:tc>
          <w:tcPr>
            <w:tcW w:type="dxa" w:w="933"/>
          </w:tcPr>
          <w:p>
            <w:pPr>
              <w:jc w:val="left"/>
            </w:pPr>
            <w:r>
              <w:rPr/>
              <w:t>项</w:t>
            </w:r>
          </w:p>
        </w:tc>
        <w:tc>
          <w:tcPr>
            <w:tcW w:type="dxa" w:w="933"/>
          </w:tcPr>
          <w:p>
            <w:pPr>
              <w:jc w:val="right"/>
            </w:pPr>
            <w:r>
              <w:rPr/>
              <w:t>1.00</w:t>
            </w:r>
          </w:p>
        </w:tc>
        <w:tc>
          <w:tcPr>
            <w:tcW w:type="dxa" w:w="933"/>
          </w:tcPr>
          <w:p>
            <w:pPr>
              <w:jc w:val="right"/>
            </w:pPr>
            <w:r>
              <w:rPr/>
              <w:t>1,400,000.00</w:t>
            </w:r>
          </w:p>
        </w:tc>
        <w:tc>
          <w:tcPr>
            <w:tcW w:type="dxa" w:w="933"/>
          </w:tcPr>
          <w:p>
            <w:pPr>
              <w:jc w:val="right"/>
            </w:pPr>
            <w:r>
              <w:rPr/>
              <w:t>1,400,000.00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远程医疗服务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费用说明：供应商关于本项目</w:t>
            </w:r>
            <w:r>
              <w:rPr>
                <w:sz w:val="21"/>
              </w:rPr>
              <w:t>的</w:t>
            </w:r>
            <w:r>
              <w:rPr>
                <w:sz w:val="21"/>
              </w:rPr>
              <w:t>投标（响应）报价不得超过最高限价</w:t>
            </w:r>
            <w:r>
              <w:rPr>
                <w:sz w:val="21"/>
              </w:rPr>
              <w:t>人民币</w:t>
            </w:r>
            <w:r>
              <w:rPr>
                <w:sz w:val="21"/>
              </w:rPr>
              <w:t>1,400,000.00</w:t>
            </w:r>
            <w:r>
              <w:rPr>
                <w:sz w:val="21"/>
              </w:rPr>
              <w:t>元，否则按无效</w:t>
            </w:r>
            <w:r>
              <w:rPr>
                <w:sz w:val="21"/>
              </w:rPr>
              <w:t>投标</w:t>
            </w:r>
            <w:r>
              <w:rPr>
                <w:sz w:val="21"/>
              </w:rPr>
              <w:t>处理。</w:t>
            </w:r>
          </w:p>
        </w:tc>
      </w:tr>
      <w:tr>
        <w:tc>
          <w:tcPr>
            <w:tcW w:type="dxa" w:w="2076"/>
          </w:tcPr>
          <w:p/>
        </w:tc>
        <w:tc>
          <w:tcPr>
            <w:tcW w:type="dxa" w:w="415"/>
          </w:tcPr>
          <w:p>
            <w:r>
              <w:rPr/>
              <w:t>2</w:t>
            </w:r>
          </w:p>
        </w:tc>
        <w:tc>
          <w:tcPr>
            <w:tcW w:type="dxa" w:w="5814"/>
          </w:tcPr>
          <w:p>
            <w:pPr>
              <w:jc w:val="both"/>
            </w:pPr>
            <w:r>
              <w:rPr>
                <w:sz w:val="21"/>
              </w:rPr>
              <w:t>二、项目内容</w:t>
            </w:r>
          </w:p>
          <w:p>
            <w:pPr>
              <w:ind w:firstLine="420"/>
              <w:jc w:val="both"/>
            </w:pPr>
            <w:r>
              <w:rPr>
                <w:sz w:val="21"/>
              </w:rPr>
              <w:t>本项目以我</w:t>
            </w:r>
            <w:r>
              <w:rPr>
                <w:sz w:val="21"/>
              </w:rPr>
              <w:t>院心血管内科、心胸外科、泌尿外科（一区、二区）作为</w:t>
            </w:r>
            <w:r>
              <w:rPr>
                <w:sz w:val="21"/>
              </w:rPr>
              <w:t>3</w:t>
            </w:r>
            <w:r>
              <w:rPr>
                <w:sz w:val="21"/>
              </w:rPr>
              <w:t>个试点科室，与国外大学</w:t>
            </w:r>
            <w:r>
              <w:rPr>
                <w:sz w:val="21"/>
              </w:rPr>
              <w:t>/</w:t>
            </w:r>
            <w:r>
              <w:rPr>
                <w:sz w:val="21"/>
              </w:rPr>
              <w:t>医院相关专科构建战略合作关系，开展线上查房、手术指导、远程会诊、疑难病例讨论、线上公开课指导及科研论文润色等远程指导服务。</w:t>
            </w:r>
          </w:p>
          <w:p>
            <w:pPr>
              <w:ind w:firstLine="420"/>
              <w:jc w:val="both"/>
            </w:pPr>
            <w:r>
              <w:rPr>
                <w:sz w:val="21"/>
              </w:rPr>
              <w:t>单个科室项目任务指标：</w:t>
            </w:r>
          </w:p>
          <w:tbl>
            <w:tblPr>
              <w:tblInd w:type="dxa" w:w="120"/>
              <w:tblBorders>
                <w:top w:val="none" w:color="000000" w:sz="4"/>
                <w:left w:val="none" w:color="000000" w:sz="4"/>
                <w:bottom w:val="none" w:color="000000" w:sz="4"/>
                <w:right w:val="none" w:color="000000" w:sz="4"/>
                <w:insideH w:val="none"/>
                <w:insideV w:val="none"/>
              </w:tblBorders>
            </w:tblPr>
            <w:tblGrid>
              <w:gridCol w:w="446"/>
              <w:gridCol w:w="1655"/>
              <w:gridCol w:w="694"/>
              <w:gridCol w:w="367"/>
              <w:gridCol w:w="1684"/>
              <w:gridCol w:w="753"/>
            </w:tblGrid>
            <w:tr>
              <w:tc>
                <w:tcPr>
                  <w:tcW w:type="dxa" w:w="446"/>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1655"/>
                  <w:tcBorders>
                    <w:top w:val="single" w:color="000000" w:sz="4"/>
                    <w:left w:val="single" w:color="000000" w:sz="4"/>
                    <w:bottom w:val="single" w:color="000000" w:sz="4"/>
                    <w:right w:val="single" w:color="000000" w:sz="4"/>
                  </w:tcBorders>
                  <w:vAlign w:val="top"/>
                </w:tcPr>
                <w:p>
                  <w:pPr>
                    <w:jc w:val="center"/>
                  </w:pPr>
                  <w:r>
                    <w:rPr>
                      <w:sz w:val="21"/>
                    </w:rPr>
                    <w:t>内容</w:t>
                  </w:r>
                </w:p>
              </w:tc>
              <w:tc>
                <w:tcPr>
                  <w:tcW w:type="dxa" w:w="694"/>
                  <w:tcBorders>
                    <w:top w:val="single" w:color="000000" w:sz="4"/>
                    <w:left w:val="single" w:color="000000" w:sz="4"/>
                    <w:bottom w:val="single" w:color="000000" w:sz="4"/>
                    <w:right w:val="single" w:color="000000" w:sz="4"/>
                  </w:tcBorders>
                  <w:vAlign w:val="top"/>
                </w:tcPr>
                <w:p>
                  <w:pPr>
                    <w:jc w:val="both"/>
                  </w:pPr>
                  <w:r>
                    <w:rPr>
                      <w:sz w:val="21"/>
                    </w:rPr>
                    <w:t>数量</w:t>
                  </w:r>
                  <w:r>
                    <w:rPr>
                      <w:sz w:val="21"/>
                    </w:rPr>
                    <w:t>(</w:t>
                  </w:r>
                  <w:r>
                    <w:rPr>
                      <w:sz w:val="21"/>
                    </w:rPr>
                    <w:t>每年）</w:t>
                  </w:r>
                </w:p>
              </w:tc>
              <w:tc>
                <w:tcPr>
                  <w:tcW w:type="dxa" w:w="36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684"/>
                  <w:tcBorders>
                    <w:top w:val="single" w:color="000000" w:sz="4"/>
                    <w:left w:val="single" w:color="000000" w:sz="4"/>
                    <w:bottom w:val="single" w:color="000000" w:sz="4"/>
                    <w:right w:val="single" w:color="000000" w:sz="4"/>
                  </w:tcBorders>
                  <w:vAlign w:val="top"/>
                </w:tcPr>
                <w:p>
                  <w:pPr>
                    <w:jc w:val="center"/>
                  </w:pPr>
                  <w:r>
                    <w:rPr>
                      <w:sz w:val="21"/>
                    </w:rPr>
                    <w:t>内容</w:t>
                  </w:r>
                </w:p>
              </w:tc>
              <w:tc>
                <w:tcPr>
                  <w:tcW w:type="dxa" w:w="753"/>
                  <w:tcBorders>
                    <w:top w:val="single" w:color="000000" w:sz="4"/>
                    <w:left w:val="single" w:color="000000" w:sz="4"/>
                    <w:bottom w:val="single" w:color="000000" w:sz="4"/>
                    <w:right w:val="single" w:color="000000" w:sz="4"/>
                  </w:tcBorders>
                  <w:vAlign w:val="top"/>
                </w:tcPr>
                <w:p>
                  <w:pPr>
                    <w:jc w:val="both"/>
                  </w:pPr>
                  <w:r>
                    <w:rPr>
                      <w:sz w:val="21"/>
                    </w:rPr>
                    <w:t>数</w:t>
                  </w:r>
                  <w:r>
                    <w:rPr>
                      <w:sz w:val="21"/>
                    </w:rPr>
                    <w:t xml:space="preserve"> </w:t>
                  </w:r>
                  <w:r>
                    <w:rPr>
                      <w:sz w:val="21"/>
                    </w:rPr>
                    <w:t>量</w:t>
                  </w:r>
                </w:p>
                <w:p>
                  <w:pPr>
                    <w:jc w:val="both"/>
                  </w:pPr>
                  <w:r>
                    <w:rPr>
                      <w:sz w:val="21"/>
                    </w:rPr>
                    <w:t>(</w:t>
                  </w:r>
                  <w:r>
                    <w:rPr>
                      <w:sz w:val="21"/>
                    </w:rPr>
                    <w:t>每年</w:t>
                  </w:r>
                  <w:r>
                    <w:rPr>
                      <w:sz w:val="21"/>
                    </w:rPr>
                    <w:t>)</w:t>
                  </w:r>
                </w:p>
              </w:tc>
            </w:tr>
            <w:tr>
              <w:tc>
                <w:tcPr>
                  <w:tcW w:type="dxa" w:w="44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55"/>
                  <w:tcBorders>
                    <w:top w:val="none" w:color="000000" w:sz="4"/>
                    <w:left w:val="single" w:color="000000" w:sz="4"/>
                    <w:bottom w:val="single" w:color="000000" w:sz="4"/>
                    <w:right w:val="single" w:color="000000" w:sz="4"/>
                  </w:tcBorders>
                  <w:vAlign w:val="top"/>
                </w:tcPr>
                <w:p>
                  <w:pPr>
                    <w:jc w:val="both"/>
                  </w:pPr>
                  <w:r>
                    <w:rPr>
                      <w:sz w:val="21"/>
                    </w:rPr>
                    <w:t>远程查房</w:t>
                  </w:r>
                </w:p>
              </w:tc>
              <w:tc>
                <w:tcPr>
                  <w:tcW w:type="dxa" w:w="694"/>
                  <w:tcBorders>
                    <w:top w:val="none" w:color="000000" w:sz="4"/>
                    <w:left w:val="single" w:color="000000" w:sz="4"/>
                    <w:bottom w:val="single" w:color="000000" w:sz="4"/>
                    <w:right w:val="single" w:color="000000" w:sz="4"/>
                  </w:tcBorders>
                  <w:vAlign w:val="top"/>
                </w:tcPr>
                <w:p>
                  <w:pPr>
                    <w:jc w:val="both"/>
                  </w:pPr>
                  <w:r>
                    <w:rPr>
                      <w:sz w:val="21"/>
                    </w:rPr>
                    <w:t>4</w:t>
                  </w:r>
                  <w:r>
                    <w:rPr>
                      <w:sz w:val="21"/>
                    </w:rPr>
                    <w:t>次</w:t>
                  </w:r>
                </w:p>
              </w:tc>
              <w:tc>
                <w:tcPr>
                  <w:tcW w:type="dxa" w:w="36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684"/>
                  <w:tcBorders>
                    <w:top w:val="none" w:color="000000" w:sz="4"/>
                    <w:left w:val="single" w:color="000000" w:sz="4"/>
                    <w:bottom w:val="single" w:color="000000" w:sz="4"/>
                    <w:right w:val="single" w:color="000000" w:sz="4"/>
                  </w:tcBorders>
                  <w:vAlign w:val="top"/>
                </w:tcPr>
                <w:p>
                  <w:pPr>
                    <w:jc w:val="both"/>
                  </w:pPr>
                  <w:r>
                    <w:rPr>
                      <w:sz w:val="21"/>
                    </w:rPr>
                    <w:t>远程科室管理探讨</w:t>
                  </w:r>
                </w:p>
              </w:tc>
              <w:tc>
                <w:tcPr>
                  <w:tcW w:type="dxa" w:w="753"/>
                  <w:tcBorders>
                    <w:top w:val="none" w:color="000000" w:sz="4"/>
                    <w:left w:val="single" w:color="000000" w:sz="4"/>
                    <w:bottom w:val="single" w:color="000000" w:sz="4"/>
                    <w:right w:val="single" w:color="000000" w:sz="4"/>
                  </w:tcBorders>
                  <w:vAlign w:val="top"/>
                </w:tcPr>
                <w:p>
                  <w:pPr>
                    <w:jc w:val="both"/>
                  </w:pPr>
                  <w:r>
                    <w:rPr>
                      <w:sz w:val="21"/>
                    </w:rPr>
                    <w:t>1</w:t>
                  </w:r>
                  <w:r>
                    <w:rPr>
                      <w:sz w:val="21"/>
                    </w:rPr>
                    <w:t>次</w:t>
                  </w:r>
                </w:p>
              </w:tc>
            </w:tr>
            <w:tr>
              <w:tc>
                <w:tcPr>
                  <w:tcW w:type="dxa" w:w="44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55"/>
                  <w:tcBorders>
                    <w:top w:val="none" w:color="000000" w:sz="4"/>
                    <w:left w:val="single" w:color="000000" w:sz="4"/>
                    <w:bottom w:val="single" w:color="000000" w:sz="4"/>
                    <w:right w:val="single" w:color="000000" w:sz="4"/>
                  </w:tcBorders>
                  <w:vAlign w:val="top"/>
                </w:tcPr>
                <w:p>
                  <w:pPr>
                    <w:jc w:val="both"/>
                  </w:pPr>
                  <w:r>
                    <w:rPr>
                      <w:sz w:val="21"/>
                    </w:rPr>
                    <w:t>远程手术指导</w:t>
                  </w:r>
                </w:p>
              </w:tc>
              <w:tc>
                <w:tcPr>
                  <w:tcW w:type="dxa" w:w="694"/>
                  <w:tcBorders>
                    <w:top w:val="none" w:color="000000" w:sz="4"/>
                    <w:left w:val="single" w:color="000000" w:sz="4"/>
                    <w:bottom w:val="single" w:color="000000" w:sz="4"/>
                    <w:right w:val="single" w:color="000000" w:sz="4"/>
                  </w:tcBorders>
                  <w:vAlign w:val="top"/>
                </w:tcPr>
                <w:p>
                  <w:pPr>
                    <w:jc w:val="both"/>
                  </w:pPr>
                  <w:r>
                    <w:rPr>
                      <w:sz w:val="21"/>
                    </w:rPr>
                    <w:t>4</w:t>
                  </w:r>
                  <w:r>
                    <w:rPr>
                      <w:sz w:val="21"/>
                    </w:rPr>
                    <w:t>次</w:t>
                  </w:r>
                </w:p>
              </w:tc>
              <w:tc>
                <w:tcPr>
                  <w:tcW w:type="dxa" w:w="36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684"/>
                  <w:tcBorders>
                    <w:top w:val="none" w:color="000000" w:sz="4"/>
                    <w:left w:val="single" w:color="000000" w:sz="4"/>
                    <w:bottom w:val="single" w:color="000000" w:sz="4"/>
                    <w:right w:val="single" w:color="000000" w:sz="4"/>
                  </w:tcBorders>
                  <w:vAlign w:val="top"/>
                </w:tcPr>
                <w:p>
                  <w:pPr>
                    <w:jc w:val="both"/>
                  </w:pPr>
                  <w:r>
                    <w:rPr>
                      <w:sz w:val="21"/>
                    </w:rPr>
                    <w:t>线上公开课</w:t>
                  </w:r>
                </w:p>
              </w:tc>
              <w:tc>
                <w:tcPr>
                  <w:tcW w:type="dxa" w:w="753"/>
                  <w:tcBorders>
                    <w:top w:val="none" w:color="000000" w:sz="4"/>
                    <w:left w:val="single" w:color="000000" w:sz="4"/>
                    <w:bottom w:val="single" w:color="000000" w:sz="4"/>
                    <w:right w:val="single" w:color="000000" w:sz="4"/>
                  </w:tcBorders>
                  <w:vAlign w:val="top"/>
                </w:tcPr>
                <w:p>
                  <w:pPr>
                    <w:jc w:val="both"/>
                  </w:pPr>
                  <w:r>
                    <w:rPr>
                      <w:sz w:val="21"/>
                    </w:rPr>
                    <w:t>2</w:t>
                  </w:r>
                  <w:r>
                    <w:rPr>
                      <w:sz w:val="21"/>
                    </w:rPr>
                    <w:t>次</w:t>
                  </w:r>
                </w:p>
              </w:tc>
            </w:tr>
            <w:tr>
              <w:tc>
                <w:tcPr>
                  <w:tcW w:type="dxa" w:w="44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655"/>
                  <w:tcBorders>
                    <w:top w:val="none" w:color="000000" w:sz="4"/>
                    <w:left w:val="single" w:color="000000" w:sz="4"/>
                    <w:bottom w:val="single" w:color="000000" w:sz="4"/>
                    <w:right w:val="single" w:color="000000" w:sz="4"/>
                  </w:tcBorders>
                  <w:vAlign w:val="top"/>
                </w:tcPr>
                <w:p>
                  <w:pPr>
                    <w:jc w:val="both"/>
                  </w:pPr>
                  <w:r>
                    <w:rPr>
                      <w:sz w:val="21"/>
                    </w:rPr>
                    <w:t>远程会诊疑难病例</w:t>
                  </w:r>
                </w:p>
              </w:tc>
              <w:tc>
                <w:tcPr>
                  <w:tcW w:type="dxa" w:w="694"/>
                  <w:tcBorders>
                    <w:top w:val="none" w:color="000000" w:sz="4"/>
                    <w:left w:val="single" w:color="000000" w:sz="4"/>
                    <w:bottom w:val="single" w:color="000000" w:sz="4"/>
                    <w:right w:val="single" w:color="000000" w:sz="4"/>
                  </w:tcBorders>
                  <w:vAlign w:val="top"/>
                </w:tcPr>
                <w:p>
                  <w:pPr>
                    <w:jc w:val="both"/>
                  </w:pPr>
                  <w:r>
                    <w:rPr>
                      <w:sz w:val="21"/>
                    </w:rPr>
                    <w:t>10</w:t>
                  </w:r>
                  <w:r>
                    <w:rPr>
                      <w:sz w:val="21"/>
                    </w:rPr>
                    <w:t>次</w:t>
                  </w:r>
                </w:p>
              </w:tc>
              <w:tc>
                <w:tcPr>
                  <w:tcW w:type="dxa" w:w="36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84"/>
                  <w:tcBorders>
                    <w:top w:val="none" w:color="000000" w:sz="4"/>
                    <w:left w:val="single" w:color="000000" w:sz="4"/>
                    <w:bottom w:val="single" w:color="000000" w:sz="4"/>
                    <w:right w:val="single" w:color="000000" w:sz="4"/>
                  </w:tcBorders>
                  <w:vAlign w:val="top"/>
                </w:tcPr>
                <w:p>
                  <w:pPr>
                    <w:jc w:val="both"/>
                  </w:pPr>
                  <w:r>
                    <w:rPr>
                      <w:sz w:val="21"/>
                    </w:rPr>
                    <w:t>科研论文润色服务</w:t>
                  </w:r>
                </w:p>
              </w:tc>
              <w:tc>
                <w:tcPr>
                  <w:tcW w:type="dxa" w:w="753"/>
                  <w:tcBorders>
                    <w:top w:val="none" w:color="000000" w:sz="4"/>
                    <w:left w:val="single" w:color="000000" w:sz="4"/>
                    <w:bottom w:val="single" w:color="000000" w:sz="4"/>
                    <w:right w:val="single" w:color="000000" w:sz="4"/>
                  </w:tcBorders>
                  <w:vAlign w:val="top"/>
                </w:tcPr>
                <w:p>
                  <w:pPr>
                    <w:jc w:val="both"/>
                  </w:pPr>
                  <w:r>
                    <w:rPr>
                      <w:sz w:val="21"/>
                    </w:rPr>
                    <w:t>3</w:t>
                  </w:r>
                  <w:r>
                    <w:rPr>
                      <w:sz w:val="21"/>
                    </w:rPr>
                    <w:t>篇</w:t>
                  </w:r>
                </w:p>
              </w:tc>
            </w:tr>
          </w:tbl>
          <w:p>
            <w:pPr>
              <w:ind w:firstLine="420"/>
              <w:jc w:val="both"/>
            </w:pPr>
            <w:r>
              <w:rPr>
                <w:sz w:val="21"/>
              </w:rPr>
              <w:t>（</w:t>
            </w:r>
            <w:r>
              <w:rPr>
                <w:sz w:val="21"/>
              </w:rPr>
              <w:t>1</w:t>
            </w:r>
            <w:r>
              <w:rPr>
                <w:sz w:val="21"/>
              </w:rPr>
              <w:t>）远程查房：线上交流专科理论知识及手术技巧；采用不同病例展示，双方团队专家就疾病诊治情况进行现场分析，并对下一步的治疗提出意见建议；讨论遇到的临床热点难点问题，分享专科领域最新国际诊疗进展。</w:t>
            </w:r>
          </w:p>
          <w:p>
            <w:pPr>
              <w:ind w:firstLine="420"/>
              <w:jc w:val="both"/>
            </w:pPr>
            <w:r>
              <w:rPr>
                <w:sz w:val="21"/>
              </w:rPr>
              <w:t>（</w:t>
            </w:r>
            <w:r>
              <w:rPr>
                <w:sz w:val="21"/>
              </w:rPr>
              <w:t>2</w:t>
            </w:r>
            <w:r>
              <w:rPr>
                <w:sz w:val="21"/>
              </w:rPr>
              <w:t>）远程手术指导：在患者或家属知情同意的前提下，打破时间、空间的限制，通过</w:t>
            </w:r>
            <w:r>
              <w:rPr>
                <w:sz w:val="21"/>
              </w:rPr>
              <w:t>5G</w:t>
            </w:r>
            <w:r>
              <w:rPr>
                <w:sz w:val="21"/>
              </w:rPr>
              <w:t>远程手术视频协同设备实时连线，供应商国际专家进行实时高难度手术指导，确保成功完成手术。保障手术的视野暴露清晰，画面传输流畅、无延时。</w:t>
            </w:r>
          </w:p>
          <w:p>
            <w:pPr>
              <w:ind w:firstLine="420"/>
              <w:jc w:val="both"/>
            </w:pPr>
            <w:r>
              <w:rPr>
                <w:sz w:val="21"/>
              </w:rPr>
              <w:t>（</w:t>
            </w:r>
            <w:r>
              <w:rPr>
                <w:sz w:val="21"/>
              </w:rPr>
              <w:t>3</w:t>
            </w:r>
            <w:r>
              <w:rPr>
                <w:sz w:val="21"/>
              </w:rPr>
              <w:t>）远程会诊疑难病例：在患者或家属知情同意的前提下，在远程会诊系统上传部分疑难患者的病历资料，提出目前存在的疑惑和需要解决的问题，向供应商专家申请会诊诉求，让专家通过平台详细与患者、诊治医生沟通交流，并结合患者实际情况，给出了详细专业性的诊疗建议，或为患者量身制定具体治疗方案，帮助更多有需求的患者实现全球医疗资源共享。</w:t>
            </w:r>
          </w:p>
          <w:p>
            <w:pPr>
              <w:ind w:firstLine="420"/>
              <w:jc w:val="both"/>
            </w:pPr>
            <w:r>
              <w:rPr>
                <w:sz w:val="21"/>
              </w:rPr>
              <w:t>（</w:t>
            </w:r>
            <w:r>
              <w:rPr>
                <w:sz w:val="21"/>
              </w:rPr>
              <w:t>4</w:t>
            </w:r>
            <w:r>
              <w:rPr>
                <w:sz w:val="21"/>
              </w:rPr>
              <w:t>）远程科室管理探讨：线上进行重点专科建设、学科建设、科室文化等科室管理方面的探讨。</w:t>
            </w:r>
          </w:p>
          <w:p>
            <w:pPr>
              <w:ind w:firstLine="420"/>
              <w:jc w:val="both"/>
            </w:pPr>
            <w:r>
              <w:rPr>
                <w:sz w:val="21"/>
              </w:rPr>
              <w:t>（</w:t>
            </w:r>
            <w:r>
              <w:rPr>
                <w:sz w:val="21"/>
              </w:rPr>
              <w:t>5</w:t>
            </w:r>
            <w:r>
              <w:rPr>
                <w:sz w:val="21"/>
              </w:rPr>
              <w:t>）线上公开课：线上开展医疗健康及专业领域的前沿临床技术、科研指导等相关的直播课程，达到体验国外大学的教学模式和方法、共享课程资源的目的。</w:t>
            </w:r>
          </w:p>
          <w:p>
            <w:pPr>
              <w:ind w:firstLine="420"/>
              <w:jc w:val="both"/>
            </w:pPr>
            <w:r>
              <w:rPr>
                <w:sz w:val="21"/>
              </w:rPr>
              <w:t>（</w:t>
            </w:r>
            <w:r>
              <w:rPr>
                <w:sz w:val="21"/>
              </w:rPr>
              <w:t>6</w:t>
            </w:r>
            <w:r>
              <w:rPr>
                <w:sz w:val="21"/>
              </w:rPr>
              <w:t>）科研论文润色服务：提供医学领域论文的高质量润色服务，帮助解决论文语言问题。帮助大幅提高在高影响因子医学期刊上成功发表研究论文的机会。</w:t>
            </w:r>
          </w:p>
          <w:p>
            <w:pPr>
              <w:jc w:val="both"/>
            </w:pPr>
            <w:r>
              <w:rPr>
                <w:sz w:val="21"/>
              </w:rPr>
              <w:t>三、服务要求</w:t>
            </w:r>
          </w:p>
          <w:p>
            <w:pPr>
              <w:ind w:firstLine="420"/>
              <w:jc w:val="both"/>
            </w:pPr>
            <w:r>
              <w:rPr>
                <w:sz w:val="21"/>
              </w:rPr>
              <w:t>1</w:t>
            </w:r>
            <w:r>
              <w:rPr>
                <w:sz w:val="21"/>
              </w:rPr>
              <w:t>、</w:t>
            </w:r>
            <w:r>
              <w:rPr>
                <w:sz w:val="21"/>
              </w:rPr>
              <w:t>远程医疗服务投标供应商应具有国际化服务经验，投标文件中须提供相关证明材料（远程服务设备清单、软件系统操作截图、同声传译相关资质、既往服务照片或相关宣传资料等）</w:t>
            </w:r>
            <w:r>
              <w:rPr>
                <w:sz w:val="21"/>
              </w:rPr>
              <w:t>。</w:t>
            </w:r>
          </w:p>
          <w:p>
            <w:pPr>
              <w:ind w:firstLine="420"/>
              <w:jc w:val="both"/>
            </w:pPr>
            <w:r>
              <w:rPr>
                <w:sz w:val="21"/>
              </w:rPr>
              <w:t>2</w:t>
            </w:r>
            <w:r>
              <w:rPr>
                <w:sz w:val="21"/>
              </w:rPr>
              <w:t>、国外合作大学</w:t>
            </w:r>
            <w:r>
              <w:rPr>
                <w:sz w:val="21"/>
              </w:rPr>
              <w:t>/</w:t>
            </w:r>
            <w:r>
              <w:rPr>
                <w:sz w:val="21"/>
              </w:rPr>
              <w:t>医院的要求：</w:t>
            </w:r>
          </w:p>
          <w:p>
            <w:pPr>
              <w:ind w:firstLine="420"/>
              <w:jc w:val="both"/>
            </w:pPr>
            <w:r>
              <w:rPr>
                <w:sz w:val="21"/>
              </w:rPr>
              <w:t>（</w:t>
            </w:r>
            <w:r>
              <w:rPr>
                <w:sz w:val="21"/>
              </w:rPr>
              <w:t>1</w:t>
            </w:r>
            <w:r>
              <w:rPr>
                <w:sz w:val="21"/>
              </w:rPr>
              <w:t>）近三年内大学综合排名应在软科世界大学学术排名、软科世界一流学科排名生命科学与医学领域排名均为世界前</w:t>
            </w:r>
            <w:r>
              <w:rPr>
                <w:sz w:val="21"/>
              </w:rPr>
              <w:t>200</w:t>
            </w:r>
            <w:r>
              <w:rPr>
                <w:sz w:val="21"/>
              </w:rPr>
              <w:t>名。（官网：</w:t>
            </w:r>
            <w:r>
              <w:rPr>
                <w:sz w:val="21"/>
              </w:rPr>
              <w:t>http://www.shanghairanking.com</w:t>
            </w:r>
            <w:r>
              <w:rPr>
                <w:sz w:val="21"/>
              </w:rPr>
              <w:t>）</w:t>
            </w:r>
          </w:p>
          <w:p>
            <w:pPr>
              <w:ind w:firstLine="420"/>
              <w:jc w:val="both"/>
            </w:pPr>
            <w:r>
              <w:rPr>
                <w:sz w:val="21"/>
              </w:rPr>
              <w:t>（</w:t>
            </w:r>
            <w:r>
              <w:rPr>
                <w:sz w:val="21"/>
              </w:rPr>
              <w:t>2</w:t>
            </w:r>
            <w:r>
              <w:rPr>
                <w:sz w:val="21"/>
              </w:rPr>
              <w:t>）近三年内在</w:t>
            </w:r>
            <w:r>
              <w:rPr>
                <w:sz w:val="21"/>
              </w:rPr>
              <w:t>U.S. News</w:t>
            </w:r>
            <w:r>
              <w:rPr>
                <w:sz w:val="21"/>
              </w:rPr>
              <w:t>世界大学排名榜单中，生物科学、医学、药学、生命科学与医学、心理学等排名应位于世界前</w:t>
            </w:r>
            <w:r>
              <w:rPr>
                <w:sz w:val="21"/>
              </w:rPr>
              <w:t>200</w:t>
            </w:r>
            <w:r>
              <w:rPr>
                <w:sz w:val="21"/>
              </w:rPr>
              <w:t>名。</w:t>
            </w:r>
          </w:p>
          <w:p>
            <w:pPr>
              <w:ind w:firstLine="420"/>
              <w:jc w:val="both"/>
            </w:pPr>
            <w:r>
              <w:rPr>
                <w:sz w:val="21"/>
              </w:rPr>
              <w:t>3</w:t>
            </w:r>
            <w:r>
              <w:rPr>
                <w:sz w:val="21"/>
              </w:rPr>
              <w:t>、远程医疗服务专家总人数不少于</w:t>
            </w:r>
            <w:r>
              <w:rPr>
                <w:sz w:val="21"/>
              </w:rPr>
              <w:t>9</w:t>
            </w:r>
            <w:r>
              <w:rPr>
                <w:sz w:val="21"/>
              </w:rPr>
              <w:t>位，其中远程医疗服务专家在血管内科、胸外科、泌尿外科专业领域须具有医学水平，具备教授或院士身份和较高的社会任职（副主委及以上），且远程医疗服务专家个人、团队或研究项目须获得过国际认可的医学奖项等。</w:t>
            </w:r>
          </w:p>
          <w:p>
            <w:pPr>
              <w:ind w:firstLine="420"/>
              <w:jc w:val="both"/>
            </w:pPr>
            <w:r>
              <w:rPr>
                <w:sz w:val="21"/>
              </w:rPr>
              <w:t>4</w:t>
            </w:r>
            <w:r>
              <w:rPr>
                <w:sz w:val="21"/>
              </w:rPr>
              <w:t>、项目合作应得到双方管理层认可和支持，远程医疗服务团队应由科室或中心主任级别以上主导合作。</w:t>
            </w:r>
          </w:p>
          <w:p>
            <w:pPr>
              <w:ind w:firstLine="420"/>
              <w:jc w:val="both"/>
            </w:pPr>
            <w:r>
              <w:rPr>
                <w:sz w:val="21"/>
              </w:rPr>
              <w:t>5</w:t>
            </w:r>
            <w:r>
              <w:rPr>
                <w:sz w:val="21"/>
              </w:rPr>
              <w:t>、合同签订后，中标供应商在一个月内安排授权、揭牌仪式，并邀请中外合作双方副校长</w:t>
            </w:r>
            <w:r>
              <w:rPr>
                <w:sz w:val="21"/>
              </w:rPr>
              <w:t>/</w:t>
            </w:r>
            <w:r>
              <w:rPr>
                <w:sz w:val="21"/>
              </w:rPr>
              <w:t>副院长级别以上领导出席参加仪式。</w:t>
            </w:r>
          </w:p>
          <w:p>
            <w:pPr>
              <w:ind w:firstLine="420"/>
              <w:jc w:val="both"/>
            </w:pPr>
            <w:r>
              <w:rPr>
                <w:sz w:val="21"/>
              </w:rPr>
              <w:t>6</w:t>
            </w:r>
            <w:r>
              <w:rPr>
                <w:sz w:val="21"/>
              </w:rPr>
              <w:t>、签订的合作协议必须与对方大学、医院或专科中心直接签署合作书。</w:t>
            </w:r>
          </w:p>
          <w:p>
            <w:pPr>
              <w:ind w:firstLine="420"/>
              <w:jc w:val="both"/>
            </w:pPr>
            <w:r>
              <w:rPr>
                <w:sz w:val="21"/>
              </w:rPr>
              <w:t>7</w:t>
            </w:r>
            <w:r>
              <w:rPr>
                <w:sz w:val="21"/>
              </w:rPr>
              <w:t>、合作双方达成共识后，应共同拟定具体的实施计划和方案，满足有效沟通、有效实施，确保提供准确、先进的医疗服务和指导。</w:t>
            </w:r>
          </w:p>
          <w:p>
            <w:pPr>
              <w:jc w:val="both"/>
            </w:pPr>
            <w:r>
              <w:rPr>
                <w:sz w:val="21"/>
              </w:rPr>
              <w:t>四、工作人员、远程系统及设备要求</w:t>
            </w:r>
          </w:p>
          <w:p>
            <w:pPr>
              <w:ind w:firstLine="420"/>
              <w:jc w:val="both"/>
            </w:pPr>
            <w:r>
              <w:rPr>
                <w:sz w:val="21"/>
              </w:rPr>
              <w:t>1</w:t>
            </w:r>
            <w:r>
              <w:rPr>
                <w:sz w:val="21"/>
              </w:rPr>
              <w:t>、中标供应商为远程国际交流提供设备和人员支持，安排专业人员携带专业设备到现场进行技术指导，协同翻译等。</w:t>
            </w:r>
          </w:p>
          <w:p>
            <w:pPr>
              <w:ind w:firstLine="420"/>
              <w:jc w:val="both"/>
            </w:pPr>
            <w:r>
              <w:rPr>
                <w:sz w:val="21"/>
              </w:rPr>
              <w:t>2</w:t>
            </w:r>
            <w:r>
              <w:rPr>
                <w:sz w:val="21"/>
              </w:rPr>
              <w:t>、远程系统成熟可靠，能够满足视频实时沟通、病历翻译传输、医学资料信息分享等功能，保证全程无卡顿、无中断。</w:t>
            </w:r>
          </w:p>
          <w:p>
            <w:pPr>
              <w:ind w:firstLine="420"/>
              <w:jc w:val="both"/>
            </w:pPr>
            <w:r>
              <w:rPr>
                <w:sz w:val="21"/>
              </w:rPr>
              <w:t>3</w:t>
            </w:r>
            <w:r>
              <w:rPr>
                <w:sz w:val="21"/>
              </w:rPr>
              <w:t>、远程系统运行安全平稳，操作便捷，需得到中外合作双方的共同认可。远程系统能和中山市人民医院现有软硬件良好匹配运行。中标供应商需提供相应的操作使用培训。</w:t>
            </w:r>
          </w:p>
          <w:p>
            <w:pPr>
              <w:ind w:firstLine="420"/>
              <w:jc w:val="both"/>
            </w:pPr>
            <w:r>
              <w:rPr>
                <w:sz w:val="21"/>
              </w:rPr>
              <w:t>4</w:t>
            </w:r>
            <w:r>
              <w:rPr>
                <w:sz w:val="21"/>
              </w:rPr>
              <w:t>、若远程过程中出现临时故障，中标供应商应做到随时响应，并调试检修，调试时间不超过</w:t>
            </w:r>
            <w:r>
              <w:rPr>
                <w:sz w:val="21"/>
              </w:rPr>
              <w:t>1</w:t>
            </w:r>
            <w:r>
              <w:rPr>
                <w:sz w:val="21"/>
              </w:rPr>
              <w:t>小时。</w:t>
            </w:r>
          </w:p>
          <w:p>
            <w:pPr>
              <w:jc w:val="both"/>
            </w:pPr>
            <w:r>
              <w:rPr>
                <w:sz w:val="21"/>
              </w:rPr>
              <w:t>五、预期效果</w:t>
            </w:r>
          </w:p>
          <w:p>
            <w:pPr>
              <w:ind w:firstLine="420"/>
              <w:jc w:val="both"/>
            </w:pPr>
            <w:r>
              <w:rPr>
                <w:sz w:val="21"/>
              </w:rPr>
              <w:t>中标供应商在满足服务要求的前提下，按时按量完成项目指标任务，达到提升中山市人民医院学科建设水平、医教研综合实力、和社会影响力的效果。</w:t>
            </w:r>
          </w:p>
          <w:p>
            <w:pPr>
              <w:ind w:firstLine="420"/>
              <w:jc w:val="both"/>
            </w:pPr>
            <w:r>
              <w:rPr>
                <w:sz w:val="21"/>
              </w:rPr>
              <w:t>中山市人民医院有权在中标供应商服务期间监管其服务及业务行为，并针对合同约定的项目指标任务量进行服务效果评价，服务半年结束后进行中期评价，合约期最后一个月进行末期评价。若由于中标供应商的原因，不能有效履行约定内容，造成评价结果不合格，中标供应商应与院方协商或通过中山市仲裁机构予以解决。</w:t>
            </w:r>
          </w:p>
          <w:p>
            <w:pPr>
              <w:jc w:val="left"/>
            </w:pPr>
            <w:r>
              <w:rPr>
                <w:sz w:val="21"/>
              </w:rPr>
              <w:t>六、售后服务要求</w:t>
            </w:r>
          </w:p>
          <w:p>
            <w:pPr>
              <w:ind w:firstLine="420"/>
              <w:jc w:val="left"/>
            </w:pPr>
            <w:r>
              <w:rPr>
                <w:sz w:val="21"/>
              </w:rPr>
              <w:t>1、结合采购实际情况，拟定详细的实施计划，含客户化修改、测试、试运行、培训及上线计划。远程会诊新发病例，会诊病例全部由中标供应商进行市场化解决。否则扣除相应服务费。</w:t>
            </w:r>
          </w:p>
          <w:p>
            <w:pPr>
              <w:ind w:firstLine="420"/>
              <w:jc w:val="left"/>
            </w:pPr>
            <w:r>
              <w:rPr>
                <w:sz w:val="21"/>
              </w:rPr>
              <w:t>2、投标供应商中标后履约过程中，必须遵守国家有关法律的规定，如实提供检查所必须的材料，不得拒绝，否则作为年度评价不合格。</w:t>
            </w:r>
          </w:p>
          <w:p>
            <w:pPr>
              <w:jc w:val="left"/>
            </w:pPr>
            <w:r>
              <w:rPr>
                <w:sz w:val="21"/>
              </w:rPr>
              <w:t>七、保密要求</w:t>
            </w:r>
          </w:p>
          <w:p>
            <w:pPr>
              <w:ind w:firstLine="420"/>
              <w:jc w:val="left"/>
            </w:pPr>
            <w:r>
              <w:rPr>
                <w:sz w:val="21"/>
              </w:rPr>
              <w:t>1</w:t>
            </w:r>
            <w:r>
              <w:rPr>
                <w:sz w:val="21"/>
              </w:rPr>
              <w:t>、</w:t>
            </w:r>
            <w:r>
              <w:rPr>
                <w:sz w:val="21"/>
              </w:rPr>
              <w:t>所有数据、资料版权归采购人所有。严格按照与采购人签订的数据保密协议执行。</w:t>
            </w:r>
          </w:p>
          <w:p>
            <w:pPr>
              <w:ind w:firstLine="420"/>
              <w:jc w:val="left"/>
            </w:pPr>
            <w:r>
              <w:rPr>
                <w:sz w:val="21"/>
              </w:rPr>
              <w:t>2</w:t>
            </w:r>
            <w:r>
              <w:rPr>
                <w:sz w:val="21"/>
              </w:rPr>
              <w:t>、</w:t>
            </w:r>
            <w:r>
              <w:rPr>
                <w:sz w:val="21"/>
              </w:rPr>
              <w:t>一方由于签署或履行本合同了解、接触或获得到的对方资料、数据信息、报价均应保守秘密，非经书面同意，任何一方不得以任何方式向第三方泄露。</w:t>
            </w:r>
            <w:r>
              <w:rPr>
                <w:sz w:val="21"/>
              </w:rPr>
              <w:t>供应商</w:t>
            </w:r>
            <w:r>
              <w:rPr>
                <w:sz w:val="21"/>
              </w:rPr>
              <w:t>必须对在为采购人提供服务过程中所收集和使用到的信息保密，未经采购人书面同意，不得以任何方式将保密信息用于采购人投标业务以外任何事项；也不得以任何方式向任何单位、个人泄密。</w:t>
            </w:r>
          </w:p>
          <w:p>
            <w:pPr>
              <w:ind w:firstLine="420"/>
              <w:jc w:val="left"/>
            </w:pPr>
            <w:r>
              <w:rPr>
                <w:sz w:val="21"/>
              </w:rPr>
              <w:t>3</w:t>
            </w:r>
            <w:r>
              <w:rPr>
                <w:sz w:val="21"/>
              </w:rPr>
              <w:t>、</w:t>
            </w:r>
            <w:r>
              <w:rPr>
                <w:sz w:val="21"/>
              </w:rPr>
              <w:t>双方应采取一切合理措施使保密内容免于散发、传播、披露、复制、滥用及被无关人员接触；双方应承诺其与本合同相关人员对触及的保密信息保密，双方对其人员就此条款的违约行为承担法律责任</w:t>
            </w:r>
            <w:r>
              <w:rPr>
                <w:sz w:val="21"/>
              </w:rPr>
              <w:t>。</w:t>
            </w:r>
          </w:p>
          <w:p>
            <w:pPr>
              <w:jc w:val="left"/>
            </w:pPr>
            <w:r>
              <w:rPr>
                <w:sz w:val="21"/>
              </w:rPr>
              <w:t>八、采购人配合条件</w:t>
            </w:r>
          </w:p>
          <w:p>
            <w:pPr>
              <w:jc w:val="both"/>
            </w:pPr>
            <w:r>
              <w:rPr>
                <w:sz w:val="21"/>
              </w:rPr>
              <w:t>投标供应商在投标文件中可列明在项目实施过程中要求采购人提供的配合条件，所列配合条件采购人将尽量配合解决，但不代表采购人全部接受，采购人有权全部或部分拒绝投标供应商提出的配合条件。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1.采购代理机构：本项目是指广东省机电设备招标有限公司中山分公司，负责整个采购活动的组织，依法负责编制和发布招标文件，对招标文件拥有最终的解释权，不以任何身份出任评标委员会成员。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考《招标代理服务收费管理暂行办法》（国家发展计划委员会计价格[2002]1980号）、《国家发展改革委办公厅关于招标代理服务收费有关问题的通知》（发改办价格[2003]857号）及《国家发展改革委关于降低部分建设项目收费标准规范收费行为等有关问题的通知》(发改价格［2011］534号)招标代理服务收费标准的80%向中标（成交）人收取服务费。若招标服务费不足人民币3000元的，按人民币3000元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（一），根据《关于印发〈中山市政府采购支持中小微企业质押融资的实施意见〉的通知》规定，1）根据《 中国人民银行中山市中心支行 中山市财政局 中山市经济和信息化局 中山市人民政府金融工作局关于 印发&lt;中山市政府采购支持中小微企业质押融资的实施意见&gt;的通知》（中人银发【2017】82号）规 定，凡通过政府采购法定程序取得我市政府采购合同的中小微企业，均可向辖内开展政府采购质押融 资业务的银行机构申请办理融资业务。 截至当前，辖内开展政府采购质押融资业务的银行机构报备的 联系方式如下： 序号 银行机构 经办部门 联系人 联系方式 1 中国农业发展银行中山市分行 客户业务 部 邹可仕 18802598981 信贷与风险管理部 陈小龙 15889891688 2 中国工商银行中山分行 普惠 金融事业部 陈炳菁 18928108782 普惠金融事业部 杨培鹏 15900085352 3 中国农业银行中山分 行 普惠金融事业部 赖思韵 22644682 4 广发银行中山分行 普惠金融部 林光宇 88862643 5 中国邮 政储蓄银行中山市分行 小企业金融部 黄嘉霖 13824720741 6 中山农村商业银行 总行公司业务部 杜保森 88884181 7 平安银行中山分行 普惠金融部 林晓冰 13823931817 8 兴业银行中山分行 企 业金融部 刘中芳 0760 -88368666-203172 9 招商银行中山分行 公司金融事业部 唐庆颖 1392499 8608 10 中国光大银行中山分行 公司业务管理部 张梓颖 0760-88858067 11 广州银行中山分行 公 司金融部杨顺龙 88776919 12 中信银行中山分行 普惠金融部 陈廷忠 15113386853 普惠金融部 余超贤 15918291829 13 渤海银行中山分行 公司金融部 李建夏 13631124024、0760-879118 1 6 分行营业部 徐艺 13928142042、0760-87911808 14 华夏银行中山分行 营销管理部 叶怡 281 37855 15 东莞银行中山分行 业务部 赵荣耀 13042854636/86939959 16 东亚银行（中国）有限 公司中山支行 中山支行 王涛 89986282/18926998881 17 浦发银行中山分行交易银行部 付涛 07 60-89982303 2）中小微企业有融资需求的，可通过应收账款融资服务平台（网址：www.crcrfsp. com）和中山市社会征信和金融服务一体化系统（网址：www.zsyt hxt.zs.gov.cn）向辖内特定或 非特定银行机构咨询并提出融资申请。 3）采购人应当及时在应收账款融资服务平台（网址：www.c rcrfsp.com）确认债权债务关系，支持中小微企业融资。 4）中小微企业与银行机构签订政府采购质 押融资合同的，由采购人牵头与中小微企业和银行机构三方签署《政府采购合同项下政府采购资金唯 一回款账户确认函》，确保合同款支付到中小微企业在融资银行机构开立的回款账号。 5）财政部门 根据《政府采购法》等相关法规、规章规定，对参加政府采购活动的投标人的不良行为予以记录，并 纳入中山市社会征信和金融服务一体化系统，供银行机构融资授信时审慎性参考。 （二）开标说明，本项目开标方式为“远程开标”，供应商须在投标文件提交截止时间前，将加密投标文件上传至云平台项目采购系统中，逾期上传或错误方式投递送达将导致投标无效。本项 目将在云平台进行在线签到及在线解密，投标人不需要委派代表前往开标现场。远程开标操作 指南（供应商版）： https://gdgpo.czt.gd.gov.cn/help/transaction/gongyinshan.html。</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广东省机电设备招标有限公司中山分公司</w:t>
      </w:r>
      <w:r>
        <w:rPr/>
        <w:t>代收。具体操作要求详见</w:t>
      </w:r>
      <w:r>
        <w:rPr/>
        <w:t>广东省机电设备招标有限公司中山分公司</w:t>
      </w:r>
      <w:r>
        <w:rPr/>
        <w:t>有关指引，递交事宜请自行咨询</w:t>
      </w:r>
      <w:r>
        <w:rPr/>
        <w:t>广东省机电设备招标有限公司中山分公司</w:t>
      </w:r>
      <w:r>
        <w:rPr/>
        <w:t>；请各投标人在投标文件递交截止时间前按须知前附表规定的金额递交至</w:t>
      </w:r>
      <w:r>
        <w:rPr/>
        <w:t>广东省机电设备招标有限公司中山分公司</w:t>
      </w:r>
      <w:r>
        <w:rPr/>
        <w:t>，到账情况以开标时</w:t>
      </w:r>
      <w:r>
        <w:rPr/>
        <w:t>广东省机电设备招标有限公司中山分公司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吴小姐</w:t>
      </w:r>
    </w:p>
    <w:p>
      <w:pPr>
        <w:ind w:firstLine="480"/>
      </w:pPr>
      <w:r>
        <w:rPr/>
        <w:t>电话：</w:t>
      </w:r>
      <w:r>
        <w:rPr/>
        <w:t>0760-88819798</w:t>
      </w:r>
    </w:p>
    <w:p>
      <w:pPr>
        <w:ind w:firstLine="480"/>
      </w:pPr>
      <w:r>
        <w:rPr/>
        <w:t>传真：</w:t>
      </w:r>
      <w:r>
        <w:rPr/>
        <w:t>0760-88817068</w:t>
      </w:r>
    </w:p>
    <w:p>
      <w:pPr>
        <w:ind w:firstLine="480"/>
      </w:pPr>
      <w:r>
        <w:rPr/>
        <w:t>邮箱：</w:t>
      </w:r>
      <w:r>
        <w:rPr/>
        <w:t>gdjdzb_zs@126.com</w:t>
      </w:r>
    </w:p>
    <w:p>
      <w:pPr>
        <w:ind w:firstLine="480"/>
      </w:pPr>
      <w:r>
        <w:rPr/>
        <w:t>地址：</w:t>
      </w:r>
      <w:r>
        <w:rPr/>
        <w:t>中山市兴中道5号颐和中心708室（中山分公司）</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高水平国际客座教授远程医疗服务合作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广东省机电设备招标有限公司中山分公司</w:t>
      </w:r>
      <w:r>
        <w:rPr/>
        <w:t>统一对外发布。</w:t>
      </w:r>
    </w:p>
    <w:p>
      <w:pPr>
        <w:ind w:firstLine="480"/>
      </w:pPr>
      <w:r>
        <w:rPr/>
        <w:t>（2）对</w:t>
      </w:r>
      <w:r>
        <w:rPr/>
        <w:t>广东省机电设备招标有限公司中山分公司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采购包1（高水平国际客座教授远程医疗服务合作项目）：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采购包1（高水平国际客座教授远程医疗服务合作项目）：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参与的供应商（联合体）服务全部由符合政策要求的中小企业承接</w:t>
            </w:r>
          </w:p>
        </w:tc>
      </w:tr>
    </w:tbl>
    <w:p/>
    <w:p>
      <w:pPr>
        <w:ind w:firstLine="480"/>
      </w:pPr>
      <w:r>
        <w:rPr/>
        <w:t>表二符合性审查表：</w:t>
      </w:r>
    </w:p>
    <w:p>
      <w:pPr>
        <w:ind w:firstLine="480"/>
      </w:pPr>
    </w:p>
    <w:p/>
    <w:p>
      <w:r>
        <w:rPr/>
        <w:t>采购包1（高水平国际客座教授远程医疗服务合作项目）：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投标报价没有超出采购预算，且投标报价是固定唯一。</w:t>
            </w:r>
          </w:p>
        </w:tc>
      </w:tr>
      <w:tr>
        <w:tc>
          <w:tcPr>
            <w:tcW w:type="dxa" w:w="890"/>
          </w:tcPr>
          <w:p>
            <w:r>
              <w:rPr/>
              <w:t>2</w:t>
            </w:r>
          </w:p>
        </w:tc>
        <w:tc>
          <w:tcPr>
            <w:tcW w:type="dxa" w:w="3178"/>
          </w:tcPr>
          <w:p>
            <w:r>
              <w:rPr/>
              <w:t>投标有效期</w:t>
            </w:r>
          </w:p>
        </w:tc>
        <w:tc>
          <w:tcPr>
            <w:tcW w:type="dxa" w:w="4238"/>
          </w:tcPr>
          <w:p>
            <w:r>
              <w:rPr/>
              <w:t>投标有效期满足招标文件要求（90天）。</w:t>
            </w:r>
          </w:p>
        </w:tc>
      </w:tr>
      <w:tr>
        <w:tc>
          <w:tcPr>
            <w:tcW w:type="dxa" w:w="890"/>
          </w:tcPr>
          <w:p>
            <w:r>
              <w:rPr/>
              <w:t>3</w:t>
            </w:r>
          </w:p>
        </w:tc>
        <w:tc>
          <w:tcPr>
            <w:tcW w:type="dxa" w:w="3178"/>
          </w:tcPr>
          <w:p>
            <w:r>
              <w:rPr/>
              <w:t>投标文件完整性</w:t>
            </w:r>
          </w:p>
        </w:tc>
        <w:tc>
          <w:tcPr>
            <w:tcW w:type="dxa" w:w="4238"/>
          </w:tcPr>
          <w:p>
            <w:r>
              <w:rPr/>
              <w:t>投标文件完整，无重大错漏，并按要求签署、盖章。</w:t>
            </w:r>
          </w:p>
        </w:tc>
      </w:tr>
      <w:tr>
        <w:tc>
          <w:tcPr>
            <w:tcW w:type="dxa" w:w="890"/>
          </w:tcPr>
          <w:p>
            <w:r>
              <w:rPr/>
              <w:t>4</w:t>
            </w:r>
          </w:p>
        </w:tc>
        <w:tc>
          <w:tcPr>
            <w:tcW w:type="dxa" w:w="3178"/>
          </w:tcPr>
          <w:p>
            <w:r>
              <w:rPr/>
              <w:t>签署、盖章</w:t>
            </w:r>
          </w:p>
        </w:tc>
        <w:tc>
          <w:tcPr>
            <w:tcW w:type="dxa" w:w="4238"/>
          </w:tcPr>
          <w:p>
            <w:r>
              <w:rPr/>
              <w:t>法定代表人证明书及法定代表人授权书，按对应格式文件签署、盖章（原件）（本条款是根据本项目的特点对招标文件其他内容进行具体补充和修改，如与招标文件其他章节内容有矛盾或不一致的地方，均以本条款要求为准）。</w:t>
            </w:r>
          </w:p>
        </w:tc>
      </w:tr>
      <w:tr>
        <w:tc>
          <w:tcPr>
            <w:tcW w:type="dxa" w:w="890"/>
          </w:tcPr>
          <w:p>
            <w:r>
              <w:rPr/>
              <w:t>5</w:t>
            </w:r>
          </w:p>
        </w:tc>
        <w:tc>
          <w:tcPr>
            <w:tcW w:type="dxa" w:w="3178"/>
          </w:tcPr>
          <w:p>
            <w:r>
              <w:rPr/>
              <w:t>投标报价合理性</w:t>
            </w:r>
          </w:p>
        </w:tc>
        <w:tc>
          <w:tcPr>
            <w:tcW w:type="dxa" w:w="4238"/>
          </w:tcPr>
          <w:p>
            <w:r>
              <w:rPr/>
              <w:t>投标人的报价没有明显低于其他通过符合性审查投标人的报价；或者评标委员会认为投标人的报价明显低于其他通过符合性审查投标人的报价，但投标人能在规定时间内应评标委员会要求证明其报价合理性。</w:t>
            </w:r>
          </w:p>
        </w:tc>
      </w:tr>
      <w:tr>
        <w:tc>
          <w:tcPr>
            <w:tcW w:type="dxa" w:w="890"/>
          </w:tcPr>
          <w:p>
            <w:r>
              <w:rPr/>
              <w:t>6</w:t>
            </w:r>
          </w:p>
        </w:tc>
        <w:tc>
          <w:tcPr>
            <w:tcW w:type="dxa" w:w="3178"/>
          </w:tcPr>
          <w:p>
            <w:r>
              <w:rPr/>
              <w:t>带“★”号条款要求</w:t>
            </w:r>
          </w:p>
        </w:tc>
        <w:tc>
          <w:tcPr>
            <w:tcW w:type="dxa" w:w="4238"/>
          </w:tcPr>
          <w:p>
            <w:r>
              <w:rPr/>
              <w:t>实质性满足用户需求的带“★”号条款要求。</w:t>
            </w:r>
          </w:p>
        </w:tc>
      </w:tr>
      <w:tr>
        <w:tc>
          <w:tcPr>
            <w:tcW w:type="dxa" w:w="890"/>
          </w:tcPr>
          <w:p>
            <w:r>
              <w:rPr/>
              <w:t>7</w:t>
            </w:r>
          </w:p>
        </w:tc>
        <w:tc>
          <w:tcPr>
            <w:tcW w:type="dxa" w:w="3178"/>
          </w:tcPr>
          <w:p>
            <w:r>
              <w:rPr/>
              <w:t>其他要求</w:t>
            </w:r>
          </w:p>
        </w:tc>
        <w:tc>
          <w:tcPr>
            <w:tcW w:type="dxa" w:w="4238"/>
          </w:tcPr>
          <w:p>
            <w:r>
              <w:rPr/>
              <w:t>投标文件实质性响应招标文件要求，且无经评委认定为无效标的。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采购包1(高水平国际客座教授远程医疗服务合作项目):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商务部分29.0分</w:t>
            </w:r>
          </w:p>
          <w:p>
            <w:r>
              <w:rPr/>
              <w:t>技术部分51.0分</w:t>
            </w:r>
          </w:p>
          <w:p>
            <w:r>
              <w:rPr/>
              <w:t>报价得分20.0分</w:t>
            </w:r>
          </w:p>
        </w:tc>
      </w:tr>
      <w:tr>
        <w:tc>
          <w:tcPr>
            <w:tcW w:type="dxa" w:w="922"/>
            <w:gridSpan w:val="2"/>
            <w:vMerge w:val="restart"/>
          </w:tcPr>
          <w:p>
            <w:pPr>
              <w:jc w:val="center"/>
            </w:pPr>
            <w:r>
              <w:rPr/>
              <w:t>技术部分</w:t>
            </w:r>
          </w:p>
        </w:tc>
        <w:tc>
          <w:tcPr>
            <w:tcW w:type="dxa" w:w="2307"/>
          </w:tcPr>
          <w:p>
            <w:pPr>
              <w:jc w:val="left"/>
            </w:pPr>
            <w:r>
              <w:rPr/>
              <w:t>对项目实施难点的认知和对策 (10.0分)</w:t>
            </w:r>
            <w:r>
              <w:rPr/>
              <w:t>，（等次分值选择：</w:t>
            </w:r>
            <w:r>
              <w:rPr/>
              <w:t>0.0;</w:t>
            </w:r>
            <w:r>
              <w:rPr/>
              <w:t>2.0;</w:t>
            </w:r>
            <w:r>
              <w:rPr/>
              <w:t>6.0;</w:t>
            </w:r>
            <w:r>
              <w:rPr/>
              <w:t>10.0;</w:t>
            </w:r>
            <w:r>
              <w:rPr/>
              <w:t>）</w:t>
            </w:r>
          </w:p>
        </w:tc>
        <w:tc>
          <w:tcPr>
            <w:tcW w:type="dxa" w:w="5076"/>
          </w:tcPr>
          <w:p>
            <w:pPr>
              <w:jc w:val="left"/>
            </w:pPr>
            <w:r>
              <w:rPr/>
              <w:t>根据各投标供应商对项目实施难点的认知和对策进行评分： 1、对本项目的实施难点有充分的认识，措施具体，针对性强，得10分； 2、对本项目的实施难点有一定的认识，措施具体，针对性一般，得6分； 3、对本项目的实施难点有认识，措施有针对性但不具体，得2分； 4、对本项目的实施难点没有充分的认识，得0分。</w:t>
            </w:r>
          </w:p>
        </w:tc>
      </w:tr>
      <w:tr>
        <w:tc>
          <w:tcPr>
            <w:tcW w:type="dxa" w:w="922"/>
            <w:gridSpan w:val="2"/>
            <w:vMerge/>
          </w:tcPr>
          <w:p/>
        </w:tc>
        <w:tc>
          <w:tcPr>
            <w:tcW w:type="dxa" w:w="2307"/>
          </w:tcPr>
          <w:p>
            <w:pPr>
              <w:jc w:val="left"/>
            </w:pPr>
            <w:r>
              <w:rPr/>
              <w:t>项目服务方案 (15.0分)</w:t>
            </w:r>
            <w:r>
              <w:rPr/>
              <w:t>，（等次分值选择：</w:t>
            </w:r>
            <w:r>
              <w:rPr/>
              <w:t>0.0;</w:t>
            </w:r>
            <w:r>
              <w:rPr/>
              <w:t>2.0;</w:t>
            </w:r>
            <w:r>
              <w:rPr/>
              <w:t>5.0;</w:t>
            </w:r>
            <w:r>
              <w:rPr/>
              <w:t>10.0;</w:t>
            </w:r>
            <w:r>
              <w:rPr/>
              <w:t>15.0;</w:t>
            </w:r>
            <w:r>
              <w:rPr/>
              <w:t>）</w:t>
            </w:r>
          </w:p>
        </w:tc>
        <w:tc>
          <w:tcPr>
            <w:tcW w:type="dxa" w:w="5076"/>
          </w:tcPr>
          <w:p>
            <w:pPr>
              <w:jc w:val="left"/>
            </w:pPr>
            <w:r>
              <w:rPr/>
              <w:t>根据各投标供应商的项目服务方案进行评分： 1、服务方案详细、具体，内容齐全，对本项目研究的范围明确、内容清楚、技术路线可行，得15分； 2、服务方案较为具体，内容较为齐全，对本项目研究的范围内容较为清晰、技术路线较为可行，得10分； 3、服务方案基本符合要求，内容基本齐全，对本项目研究的范围内容基本清晰、技术路线基本可行，得5分； 4、服务方案内容不齐全，对本项目研究的范围内容较差、技术路线较差，得2分； 5、未提供项目服务方案的不得分。</w:t>
            </w:r>
          </w:p>
        </w:tc>
      </w:tr>
      <w:tr>
        <w:tc>
          <w:tcPr>
            <w:tcW w:type="dxa" w:w="922"/>
            <w:gridSpan w:val="2"/>
            <w:vMerge/>
          </w:tcPr>
          <w:p/>
        </w:tc>
        <w:tc>
          <w:tcPr>
            <w:tcW w:type="dxa" w:w="2307"/>
          </w:tcPr>
          <w:p>
            <w:pPr>
              <w:jc w:val="left"/>
            </w:pPr>
            <w:r>
              <w:rPr/>
              <w:t>保证服务质量采取的措施 (10.0分)</w:t>
            </w:r>
            <w:r>
              <w:rPr/>
              <w:t>，（等次分值选择：</w:t>
            </w:r>
            <w:r>
              <w:rPr/>
              <w:t>0.0;</w:t>
            </w:r>
            <w:r>
              <w:rPr/>
              <w:t>2.0;</w:t>
            </w:r>
            <w:r>
              <w:rPr/>
              <w:t>6.0;</w:t>
            </w:r>
            <w:r>
              <w:rPr/>
              <w:t>10.0;</w:t>
            </w:r>
            <w:r>
              <w:rPr/>
              <w:t>）</w:t>
            </w:r>
          </w:p>
        </w:tc>
        <w:tc>
          <w:tcPr>
            <w:tcW w:type="dxa" w:w="5076"/>
          </w:tcPr>
          <w:p>
            <w:pPr>
              <w:jc w:val="left"/>
            </w:pPr>
            <w:r>
              <w:rPr/>
              <w:t>根据投标供应商的保证服务质量采取的措进行评分： 1、资源配备合理，工作计划安排合理，有合理可行的保障通过相关验收的措施的，得10分； 2、资源配备较合理，工作计划安排较合理，具备能够符合要求的保障通过相关验收的措施的，得6分； 3、资源配备基本合理，工作计划安排基本合理，有基本符合要求的保障通过相关验收的措施的，得2分； 4、保证服务质量所采用的措施不合理，对保障通过相关验收的相关措施较差的，得0分。</w:t>
            </w:r>
          </w:p>
        </w:tc>
      </w:tr>
      <w:tr>
        <w:tc>
          <w:tcPr>
            <w:tcW w:type="dxa" w:w="922"/>
            <w:gridSpan w:val="2"/>
            <w:vMerge/>
          </w:tcPr>
          <w:p/>
        </w:tc>
        <w:tc>
          <w:tcPr>
            <w:tcW w:type="dxa" w:w="2307"/>
          </w:tcPr>
          <w:p>
            <w:pPr>
              <w:jc w:val="left"/>
            </w:pPr>
            <w:r>
              <w:rPr/>
              <w:t>售后服务方案 (6.0分)</w:t>
            </w:r>
            <w:r>
              <w:rPr/>
              <w:t>，（等次分值选择：</w:t>
            </w:r>
            <w:r>
              <w:rPr/>
              <w:t>0.0;</w:t>
            </w:r>
            <w:r>
              <w:rPr/>
              <w:t>2.0;</w:t>
            </w:r>
            <w:r>
              <w:rPr/>
              <w:t>4.0;</w:t>
            </w:r>
            <w:r>
              <w:rPr/>
              <w:t>6.0;</w:t>
            </w:r>
            <w:r>
              <w:rPr/>
              <w:t>）</w:t>
            </w:r>
          </w:p>
        </w:tc>
        <w:tc>
          <w:tcPr>
            <w:tcW w:type="dxa" w:w="5076"/>
          </w:tcPr>
          <w:p>
            <w:pPr>
              <w:jc w:val="left"/>
            </w:pPr>
            <w:r>
              <w:rPr/>
              <w:t>根据各投标供应商提供的售后服务方案进行评审： 1、售后服务便利性高、响应时间及时、服务保障方案考虑十分充足、可实现度高，得6分； 2、售后服务便利性较高、响应时间较及时、服务保障方案考虑较充足、可实现度较高，得4分； 3、售后服务便利性一般、响应时间一般、服务保障方案一般、基本可实现度，得2分； 4、售后服务便利性差、响应时间慢、服务保障方案不太可能实现或未提供的不得分。</w:t>
            </w:r>
          </w:p>
        </w:tc>
      </w:tr>
      <w:tr>
        <w:tc>
          <w:tcPr>
            <w:tcW w:type="dxa" w:w="922"/>
            <w:gridSpan w:val="2"/>
            <w:vMerge/>
          </w:tcPr>
          <w:p/>
        </w:tc>
        <w:tc>
          <w:tcPr>
            <w:tcW w:type="dxa" w:w="2307"/>
          </w:tcPr>
          <w:p>
            <w:pPr>
              <w:jc w:val="left"/>
            </w:pPr>
            <w:r>
              <w:rPr/>
              <w:t>服务团队 (10.0分)</w:t>
            </w:r>
            <w:r>
              <w:rPr/>
              <w:t>，（等次分值选择：</w:t>
            </w:r>
            <w:r>
              <w:rPr/>
              <w:t>0.0;</w:t>
            </w:r>
            <w:r>
              <w:rPr/>
              <w:t>1.0;</w:t>
            </w:r>
            <w:r>
              <w:rPr/>
              <w:t>4.0;</w:t>
            </w:r>
            <w:r>
              <w:rPr/>
              <w:t>7.0;</w:t>
            </w:r>
            <w:r>
              <w:rPr/>
              <w:t>10.0;</w:t>
            </w:r>
            <w:r>
              <w:rPr/>
              <w:t>）</w:t>
            </w:r>
          </w:p>
        </w:tc>
        <w:tc>
          <w:tcPr>
            <w:tcW w:type="dxa" w:w="5076"/>
          </w:tcPr>
          <w:p>
            <w:pPr>
              <w:jc w:val="left"/>
            </w:pPr>
            <w:r>
              <w:rPr/>
              <w:t>根据投标供应商的服务团队进行评审： 1、服务团队人员配置齐全、岗位分工安排合理，经验丰富，得10分； 2、服务团队人员配置齐全、岗位分工安排较合理，经验较丰富，得7分； 3、服务团队人员配置一般、岗位分工安排合理性一般，经验一般，得4分； 4、服务团队人员配置不齐全、岗位分工安排不合理，没有相关经验，得1分； 5、不提供的不得分。</w:t>
            </w:r>
          </w:p>
        </w:tc>
      </w:tr>
      <w:tr>
        <w:tc>
          <w:tcPr>
            <w:tcW w:type="dxa" w:w="922"/>
            <w:gridSpan w:val="2"/>
            <w:vMerge w:val="restart"/>
          </w:tcPr>
          <w:p>
            <w:pPr>
              <w:jc w:val="center"/>
            </w:pPr>
            <w:r>
              <w:rPr/>
              <w:t>商务部分</w:t>
            </w:r>
          </w:p>
        </w:tc>
        <w:tc>
          <w:tcPr>
            <w:tcW w:type="dxa" w:w="2307"/>
          </w:tcPr>
          <w:p>
            <w:pPr>
              <w:jc w:val="left"/>
            </w:pPr>
            <w:r>
              <w:rPr/>
              <w:t>企业信用 (9.0分)</w:t>
            </w:r>
            <w:r>
              <w:rPr/>
              <w:t>，（等次分值选择：</w:t>
            </w:r>
            <w:r>
              <w:rPr/>
              <w:t>0.0;</w:t>
            </w:r>
            <w:r>
              <w:rPr/>
              <w:t>3.0;</w:t>
            </w:r>
            <w:r>
              <w:rPr/>
              <w:t>6.0;</w:t>
            </w:r>
            <w:r>
              <w:rPr/>
              <w:t>9.0;</w:t>
            </w:r>
            <w:r>
              <w:rPr/>
              <w:t>）</w:t>
            </w:r>
          </w:p>
        </w:tc>
        <w:tc>
          <w:tcPr>
            <w:tcW w:type="dxa" w:w="5076"/>
          </w:tcPr>
          <w:p>
            <w:pPr>
              <w:jc w:val="left"/>
            </w:pPr>
            <w:r>
              <w:rPr/>
              <w:t>投标人具有由国家认证认可监督管理部门批准设立的认证机构颁发并在有效期内的质量管理体系认证证书、环境管理体系认证证书、职业健康安全管理体系认证证书的，每个认证证书得3分，最高得9分。  注：投标文件中须提供证书复印件加盖公章及网站页面查询截图（中国国家认证认可监督管理委员会查询平台：http://cx.cnca.cn/CertECloud/index/index/page?currentPosition=undefined）并加盖投标人公章（证书主体须与投标主体一致），不提供不得分。</w:t>
            </w:r>
          </w:p>
        </w:tc>
      </w:tr>
      <w:tr>
        <w:tc>
          <w:tcPr>
            <w:tcW w:type="dxa" w:w="922"/>
            <w:gridSpan w:val="2"/>
            <w:vMerge/>
          </w:tcPr>
          <w:p/>
        </w:tc>
        <w:tc>
          <w:tcPr>
            <w:tcW w:type="dxa" w:w="2307"/>
          </w:tcPr>
          <w:p>
            <w:pPr>
              <w:jc w:val="left"/>
            </w:pPr>
            <w:r>
              <w:rPr/>
              <w:t>同类业绩 (20.0分)</w:t>
            </w:r>
            <w:r>
              <w:rPr/>
              <w:t>，（等次分值选择：</w:t>
            </w:r>
            <w:r>
              <w:rPr/>
              <w:t>0.0;</w:t>
            </w:r>
            <w:r>
              <w:rPr/>
              <w:t>4.0;</w:t>
            </w:r>
            <w:r>
              <w:rPr/>
              <w:t>8.0;</w:t>
            </w:r>
            <w:r>
              <w:rPr/>
              <w:t>12.0;</w:t>
            </w:r>
            <w:r>
              <w:rPr/>
              <w:t>16.0;</w:t>
            </w:r>
            <w:r>
              <w:rPr/>
              <w:t>20.0;</w:t>
            </w:r>
            <w:r>
              <w:rPr/>
              <w:t>）</w:t>
            </w:r>
          </w:p>
        </w:tc>
        <w:tc>
          <w:tcPr>
            <w:tcW w:type="dxa" w:w="5076"/>
          </w:tcPr>
          <w:p>
            <w:pPr>
              <w:jc w:val="left"/>
            </w:pPr>
            <w:r>
              <w:rPr/>
              <w:t>投标人自2019年1月1日以来承担相关业绩，每承接过一项同类业绩的得4分，最高得20分。 注：投标文件中须提供业绩的委托合同（或委托书）复印件并加盖公章，未提供不得分（时间以合同签订时间为准）。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
      <w:pPr>
        <w:jc w:val="center"/>
      </w:pPr>
      <w:r>
        <w:rPr>
          <w:b/>
          <w:sz w:val="52"/>
        </w:rPr>
        <w:t>中山市人民医院通用服务采购合同</w:t>
      </w:r>
    </w:p>
    <w:p>
      <w:pPr>
        <w:jc w:val="center"/>
      </w:pPr>
    </w:p>
    <w:p>
      <w:pPr>
        <w:jc w:val="center"/>
      </w:pPr>
    </w:p>
    <w:p>
      <w:pPr>
        <w:jc w:val="center"/>
      </w:pPr>
    </w:p>
    <w:p>
      <w:pPr>
        <w:jc w:val="center"/>
      </w:pPr>
    </w:p>
    <w:p>
      <w:pPr>
        <w:jc w:val="center"/>
      </w:pPr>
    </w:p>
    <w:p>
      <w:pPr>
        <w:jc w:val="center"/>
      </w:pPr>
    </w:p>
    <w:p>
      <w:pPr>
        <w:jc w:val="center"/>
      </w:pPr>
    </w:p>
    <w:p>
      <w:pPr>
        <w:jc w:val="center"/>
      </w:pPr>
    </w:p>
    <w:p>
      <w:pPr>
        <w:jc w:val="left"/>
      </w:pPr>
      <w:r>
        <w:rPr>
          <w:b/>
          <w:sz w:val="32"/>
        </w:rPr>
        <w:t>采购项目：</w:t>
      </w:r>
      <w:r>
        <w:rPr>
          <w:b/>
          <w:sz w:val="32"/>
        </w:rPr>
        <w:t xml:space="preserve">${采购项目}      </w:t>
      </w:r>
    </w:p>
    <w:p>
      <w:pPr>
        <w:jc w:val="left"/>
      </w:pPr>
      <w:r>
        <w:rPr>
          <w:b/>
          <w:sz w:val="32"/>
        </w:rPr>
        <w:t>甲方：中山市人民医院</w:t>
      </w:r>
    </w:p>
    <w:p>
      <w:pPr>
        <w:jc w:val="left"/>
      </w:pPr>
      <w:r>
        <w:rPr>
          <w:b/>
          <w:sz w:val="32"/>
        </w:rPr>
        <w:t>乙方</w:t>
      </w:r>
      <w:r>
        <w:rPr>
          <w:b/>
          <w:sz w:val="32"/>
        </w:rPr>
        <w:t>：</w:t>
      </w:r>
      <w:r>
        <w:rPr>
          <w:b/>
          <w:sz w:val="32"/>
        </w:rPr>
        <w:t>${乙方全称}</w:t>
      </w:r>
      <w:r>
        <w:rPr>
          <w:b/>
          <w:sz w:val="48"/>
        </w:rPr>
        <w:t xml:space="preserve">      </w:t>
      </w:r>
    </w:p>
    <w:p/>
    <w:p>
      <w:pPr>
        <w:jc w:val="both"/>
      </w:pPr>
    </w:p>
    <w:p>
      <w:pPr>
        <w:jc w:val="center"/>
      </w:pPr>
      <w:r>
        <w:rPr>
          <w:b/>
          <w:color w:val="000000"/>
          <w:sz w:val="44"/>
        </w:rPr>
        <w:t>中山市人民医院通用服务采购合同</w:t>
      </w:r>
    </w:p>
    <w:p>
      <w:pPr>
        <w:jc w:val="both"/>
      </w:pPr>
      <w:r>
        <w:rPr>
          <w:b/>
          <w:sz w:val="30"/>
        </w:rPr>
        <w:t>甲方：中山市人民医院</w:t>
      </w:r>
      <w:r>
        <w:rPr>
          <w:b/>
          <w:sz w:val="30"/>
        </w:rPr>
        <w:t xml:space="preserve">          </w:t>
      </w:r>
      <w:r>
        <w:rPr>
          <w:b/>
          <w:sz w:val="30"/>
        </w:rPr>
        <w:t>签订地：</w:t>
      </w:r>
      <w:r>
        <w:rPr>
          <w:b/>
          <w:sz w:val="30"/>
        </w:rPr>
        <w:t>${</w:t>
      </w:r>
      <w:r>
        <w:rPr>
          <w:b/>
          <w:sz w:val="28"/>
        </w:rPr>
        <w:t>合同签订地</w:t>
      </w:r>
      <w:r>
        <w:rPr>
          <w:b/>
          <w:sz w:val="30"/>
        </w:rPr>
        <w:t>}</w:t>
      </w:r>
    </w:p>
    <w:p>
      <w:pPr>
        <w:jc w:val="both"/>
      </w:pPr>
      <w:r>
        <w:rPr>
          <w:b/>
          <w:sz w:val="30"/>
        </w:rPr>
        <w:t>乙方：</w:t>
      </w:r>
      <w:r>
        <w:rPr>
          <w:b/>
          <w:sz w:val="30"/>
        </w:rPr>
        <w:t>${乙方全称}</w:t>
      </w:r>
    </w:p>
    <w:p>
      <w:pPr>
        <w:ind w:firstLine="480"/>
        <w:jc w:val="left"/>
      </w:pPr>
      <w:r>
        <w:rPr>
          <w:color w:val="000000"/>
          <w:sz w:val="24"/>
        </w:rPr>
        <w:t>为保护甲乙双方合法权益，根据</w:t>
      </w:r>
      <w:r>
        <w:rPr>
          <w:color w:val="000000"/>
          <w:sz w:val="24"/>
          <w:u w:val="single"/>
        </w:rPr>
        <w:t>${采购项目名称}</w:t>
      </w:r>
      <w:r>
        <w:rPr>
          <w:color w:val="000000"/>
          <w:sz w:val="24"/>
        </w:rPr>
        <w:t>的项目（项目编号：</w:t>
      </w:r>
      <w:r>
        <w:rPr>
          <w:color w:val="000000"/>
          <w:sz w:val="24"/>
          <w:u w:val="single"/>
        </w:rPr>
        <w:t>${项目编号}</w:t>
      </w:r>
      <w:r>
        <w:rPr>
          <w:color w:val="000000"/>
          <w:sz w:val="24"/>
        </w:rPr>
        <w:t>）的采购结果，以及《中华人民共和国民法典》、《中华人民共和国政府采购法》等相关法律、法规，以及广东省定点采购相关规定，签订本合同，并共同遵守。</w:t>
      </w:r>
    </w:p>
    <w:p>
      <w:pPr>
        <w:ind w:firstLine="482"/>
        <w:jc w:val="left"/>
      </w:pPr>
    </w:p>
    <w:p>
      <w:pPr>
        <w:ind w:firstLine="482"/>
        <w:jc w:val="left"/>
      </w:pPr>
      <w:r>
        <w:rPr>
          <w:b/>
          <w:color w:val="000000"/>
          <w:sz w:val="24"/>
        </w:rPr>
        <w:t>第一条</w:t>
      </w:r>
      <w:r>
        <w:rPr>
          <w:b/>
          <w:color w:val="000000"/>
          <w:sz w:val="24"/>
        </w:rPr>
        <w:t>合同标的</w:t>
      </w:r>
    </w:p>
    <w:p>
      <w:pPr>
        <w:ind w:firstLine="480"/>
        <w:jc w:val="left"/>
      </w:pPr>
      <w:r>
        <w:rPr>
          <w:color w:val="000000"/>
          <w:sz w:val="24"/>
        </w:rPr>
        <w:t>1.服务内容：</w:t>
      </w:r>
    </w:p>
    <w:p>
      <w:pPr>
        <w:ind w:firstLine="482"/>
        <w:jc w:val="center"/>
      </w:pPr>
      <w:r>
        <w:rPr>
          <w:b/>
          <w:color w:val="000000"/>
          <w:sz w:val="24"/>
        </w:rPr>
        <w:t>服务内容清单</w:t>
      </w:r>
    </w:p>
    <w:tbl>
      <w:tblPr>
        <w:tblW w:w="0" w:type="auto"/>
        <w:tblBorders>
          <w:top w:val="none" w:color="000000" w:sz="4"/>
          <w:left w:val="none" w:color="000000" w:sz="4"/>
          <w:bottom w:val="none" w:color="000000" w:sz="4"/>
          <w:right w:val="none" w:color="000000" w:sz="4"/>
          <w:insideH w:val="none"/>
          <w:insideV w:val="none"/>
        </w:tblBorders>
      </w:tblPr>
      <w:tblGrid>
        <w:gridCol w:w="1588"/>
        <w:gridCol w:w="2029"/>
        <w:gridCol w:w="882"/>
        <w:gridCol w:w="1191"/>
        <w:gridCol w:w="1308"/>
        <w:gridCol w:w="1308"/>
      </w:tblGrid>
      <w:tr>
        <w:tc>
          <w:tcPr>
            <w:tcW w:type="dxa" w:w="1588"/>
            <w:tcBorders>
              <w:top w:val="single" w:color="000000" w:sz="4"/>
              <w:left w:val="single" w:color="000000" w:sz="4"/>
              <w:bottom w:val="single" w:color="000000" w:sz="4"/>
              <w:right w:val="single" w:color="000000" w:sz="4"/>
            </w:tcBorders>
            <w:vAlign w:val="top"/>
          </w:tcPr>
          <w:p>
            <w:pPr>
              <w:jc w:val="center"/>
            </w:pPr>
            <w:r>
              <w:rPr>
                <w:b/>
                <w:color w:val="000000"/>
                <w:sz w:val="21"/>
              </w:rPr>
              <w:t>服务名称</w:t>
            </w:r>
          </w:p>
        </w:tc>
        <w:tc>
          <w:tcPr>
            <w:tcW w:type="dxa" w:w="2029"/>
            <w:tcBorders>
              <w:top w:val="single" w:color="000000" w:sz="4"/>
              <w:left w:val="single" w:color="000000" w:sz="4"/>
              <w:bottom w:val="single" w:color="000000" w:sz="4"/>
              <w:right w:val="single" w:color="000000" w:sz="4"/>
            </w:tcBorders>
            <w:vAlign w:val="top"/>
          </w:tcPr>
          <w:p>
            <w:pPr>
              <w:jc w:val="center"/>
            </w:pPr>
            <w:r>
              <w:rPr>
                <w:b/>
                <w:color w:val="000000"/>
                <w:sz w:val="21"/>
              </w:rPr>
              <w:t>服务</w:t>
            </w:r>
            <w:r>
              <w:rPr>
                <w:b/>
                <w:color w:val="000000"/>
                <w:sz w:val="21"/>
              </w:rPr>
              <w:t>/技术要求</w:t>
            </w:r>
          </w:p>
        </w:tc>
        <w:tc>
          <w:tcPr>
            <w:tcW w:type="dxa" w:w="882"/>
            <w:tcBorders>
              <w:top w:val="single" w:color="000000" w:sz="4"/>
              <w:left w:val="single" w:color="000000" w:sz="4"/>
              <w:bottom w:val="single" w:color="000000" w:sz="4"/>
              <w:right w:val="single" w:color="000000" w:sz="4"/>
            </w:tcBorders>
            <w:vAlign w:val="top"/>
          </w:tcPr>
          <w:p>
            <w:pPr>
              <w:jc w:val="center"/>
            </w:pPr>
            <w:r>
              <w:rPr>
                <w:b/>
                <w:color w:val="000000"/>
                <w:sz w:val="21"/>
              </w:rPr>
              <w:t>数量</w:t>
            </w:r>
          </w:p>
        </w:tc>
        <w:tc>
          <w:tcPr>
            <w:tcW w:type="dxa" w:w="1191"/>
            <w:tcBorders>
              <w:top w:val="single" w:color="000000" w:sz="4"/>
              <w:left w:val="single" w:color="000000" w:sz="4"/>
              <w:bottom w:val="single" w:color="000000" w:sz="4"/>
              <w:right w:val="single" w:color="000000" w:sz="4"/>
            </w:tcBorders>
            <w:vAlign w:val="top"/>
          </w:tcPr>
          <w:p>
            <w:pPr>
              <w:jc w:val="center"/>
            </w:pPr>
            <w:r>
              <w:rPr>
                <w:b/>
                <w:color w:val="000000"/>
                <w:sz w:val="21"/>
              </w:rPr>
              <w:t>单价（元）</w:t>
            </w:r>
          </w:p>
        </w:tc>
        <w:tc>
          <w:tcPr>
            <w:tcW w:type="dxa" w:w="1308"/>
            <w:tcBorders>
              <w:top w:val="single" w:color="000000" w:sz="4"/>
              <w:left w:val="single" w:color="000000" w:sz="4"/>
              <w:bottom w:val="single" w:color="000000" w:sz="4"/>
              <w:right w:val="single" w:color="000000" w:sz="4"/>
            </w:tcBorders>
            <w:vAlign w:val="top"/>
          </w:tcPr>
          <w:p>
            <w:pPr>
              <w:jc w:val="center"/>
            </w:pPr>
            <w:r>
              <w:rPr>
                <w:b/>
                <w:color w:val="000000"/>
                <w:sz w:val="21"/>
              </w:rPr>
              <w:t>金额（元）</w:t>
            </w:r>
          </w:p>
        </w:tc>
        <w:tc>
          <w:tcPr>
            <w:tcW w:type="dxa" w:w="1308"/>
            <w:tcBorders>
              <w:top w:val="single" w:color="000000" w:sz="4"/>
              <w:left w:val="single" w:color="000000" w:sz="4"/>
              <w:bottom w:val="single" w:color="000000" w:sz="4"/>
              <w:right w:val="single" w:color="000000" w:sz="4"/>
            </w:tcBorders>
            <w:vAlign w:val="top"/>
          </w:tcPr>
          <w:p>
            <w:pPr>
              <w:jc w:val="center"/>
            </w:pPr>
            <w:r>
              <w:rPr>
                <w:b/>
                <w:color w:val="000000"/>
                <w:sz w:val="21"/>
              </w:rPr>
              <w:t>备注</w:t>
            </w:r>
          </w:p>
        </w:tc>
      </w:tr>
      <w:tr>
        <w:tc>
          <w:tcPr>
            <w:tcW w:type="dxa" w:w="1588"/>
            <w:tcBorders>
              <w:top w:val="none" w:color="000000" w:sz="4"/>
              <w:left w:val="single" w:color="000000" w:sz="4"/>
              <w:bottom w:val="single" w:color="000000" w:sz="4"/>
              <w:right w:val="single" w:color="000000" w:sz="4"/>
            </w:tcBorders>
            <w:vAlign w:val="top"/>
          </w:tcPr>
          <w:p>
            <w:pPr>
              <w:jc w:val="left"/>
            </w:pPr>
            <w:r>
              <w:rPr>
                <w:b/>
                <w:color w:val="000000"/>
                <w:sz w:val="21"/>
              </w:rPr>
              <w:t>${服务名称1}</w:t>
            </w:r>
          </w:p>
        </w:tc>
        <w:tc>
          <w:tcPr>
            <w:tcW w:type="dxa" w:w="2029"/>
            <w:tcBorders>
              <w:top w:val="none" w:color="000000" w:sz="4"/>
              <w:left w:val="single" w:color="000000" w:sz="4"/>
              <w:bottom w:val="single" w:color="000000" w:sz="4"/>
              <w:right w:val="single" w:color="000000" w:sz="4"/>
            </w:tcBorders>
            <w:vAlign w:val="top"/>
          </w:tcPr>
          <w:p>
            <w:pPr>
              <w:jc w:val="left"/>
            </w:pPr>
            <w:r>
              <w:rPr>
                <w:b/>
                <w:color w:val="000000"/>
                <w:sz w:val="21"/>
              </w:rPr>
              <w:t>${服务/技术要求1}</w:t>
            </w:r>
          </w:p>
        </w:tc>
        <w:tc>
          <w:tcPr>
            <w:tcW w:type="dxa" w:w="882"/>
            <w:tcBorders>
              <w:top w:val="none" w:color="000000" w:sz="4"/>
              <w:left w:val="single" w:color="000000" w:sz="4"/>
              <w:bottom w:val="single" w:color="000000" w:sz="4"/>
              <w:right w:val="single" w:color="000000" w:sz="4"/>
            </w:tcBorders>
            <w:vAlign w:val="top"/>
          </w:tcPr>
          <w:p>
            <w:pPr>
              <w:jc w:val="left"/>
            </w:pPr>
            <w:r>
              <w:rPr>
                <w:b/>
                <w:color w:val="000000"/>
                <w:sz w:val="21"/>
              </w:rPr>
              <w:t>${数1}</w:t>
            </w:r>
          </w:p>
        </w:tc>
        <w:tc>
          <w:tcPr>
            <w:tcW w:type="dxa" w:w="1191"/>
            <w:tcBorders>
              <w:top w:val="none" w:color="000000" w:sz="4"/>
              <w:left w:val="single" w:color="000000" w:sz="4"/>
              <w:bottom w:val="single" w:color="000000" w:sz="4"/>
              <w:right w:val="single" w:color="000000" w:sz="4"/>
            </w:tcBorders>
            <w:vAlign w:val="top"/>
          </w:tcPr>
          <w:p>
            <w:pPr>
              <w:jc w:val="left"/>
            </w:pPr>
            <w:r>
              <w:rPr>
                <w:b/>
                <w:color w:val="000000"/>
                <w:sz w:val="21"/>
              </w:rPr>
              <w:t>${单价1}</w:t>
            </w:r>
          </w:p>
        </w:tc>
        <w:tc>
          <w:tcPr>
            <w:tcW w:type="dxa" w:w="1308"/>
            <w:tcBorders>
              <w:top w:val="none" w:color="000000" w:sz="4"/>
              <w:left w:val="single" w:color="000000" w:sz="4"/>
              <w:bottom w:val="single" w:color="000000" w:sz="4"/>
              <w:right w:val="single" w:color="000000" w:sz="4"/>
            </w:tcBorders>
            <w:vAlign w:val="top"/>
          </w:tcPr>
          <w:p>
            <w:pPr>
              <w:jc w:val="left"/>
            </w:pPr>
            <w:r>
              <w:rPr>
                <w:b/>
                <w:color w:val="000000"/>
                <w:sz w:val="21"/>
              </w:rPr>
              <w:t>${金额1}</w:t>
            </w:r>
          </w:p>
        </w:tc>
        <w:tc>
          <w:tcPr>
            <w:tcW w:type="dxa" w:w="1308"/>
            <w:tcBorders>
              <w:top w:val="none" w:color="000000" w:sz="4"/>
              <w:left w:val="single" w:color="000000" w:sz="4"/>
              <w:bottom w:val="single" w:color="000000" w:sz="4"/>
              <w:right w:val="single" w:color="000000" w:sz="4"/>
            </w:tcBorders>
            <w:vAlign w:val="top"/>
          </w:tcPr>
          <w:p>
            <w:pPr>
              <w:jc w:val="left"/>
            </w:pPr>
            <w:r>
              <w:rPr>
                <w:b/>
                <w:color w:val="000000"/>
                <w:sz w:val="21"/>
              </w:rPr>
              <w:t>${备注1}</w:t>
            </w:r>
          </w:p>
        </w:tc>
      </w:tr>
      <w:tr>
        <w:tc>
          <w:tcPr>
            <w:tcW w:type="dxa" w:w="1588"/>
            <w:tcBorders>
              <w:top w:val="none" w:color="000000" w:sz="4"/>
              <w:left w:val="single" w:color="000000" w:sz="4"/>
              <w:bottom w:val="single" w:color="000000" w:sz="4"/>
              <w:right w:val="single" w:color="000000" w:sz="4"/>
            </w:tcBorders>
            <w:vAlign w:val="top"/>
          </w:tcPr>
          <w:p>
            <w:pPr>
              <w:jc w:val="center"/>
            </w:pPr>
            <w:r>
              <w:rPr>
                <w:b/>
                <w:color w:val="000000"/>
                <w:sz w:val="21"/>
              </w:rPr>
              <w:t>合计（含税）</w:t>
            </w:r>
          </w:p>
        </w:tc>
        <w:tc>
          <w:tcPr>
            <w:tcW w:type="dxa" w:w="6718"/>
            <w:gridSpan w:val="5"/>
            <w:tcBorders>
              <w:top w:val="none" w:color="000000" w:sz="4"/>
              <w:left w:val="single" w:color="000000" w:sz="4"/>
              <w:bottom w:val="single" w:color="000000" w:sz="4"/>
              <w:right w:val="single" w:color="000000" w:sz="4"/>
            </w:tcBorders>
            <w:vAlign w:val="top"/>
          </w:tcPr>
          <w:p>
            <w:pPr>
              <w:jc w:val="left"/>
            </w:pPr>
            <w:r>
              <w:rPr>
                <w:b/>
                <w:color w:val="000000"/>
                <w:sz w:val="21"/>
              </w:rPr>
              <w:t>￥</w:t>
            </w:r>
            <w:r>
              <w:rPr>
                <w:b/>
                <w:color w:val="000000"/>
                <w:sz w:val="21"/>
                <w:u w:val="single"/>
              </w:rPr>
              <w:t>${合计小写}</w:t>
            </w:r>
            <w:r>
              <w:rPr>
                <w:b/>
                <w:color w:val="000000"/>
                <w:sz w:val="21"/>
              </w:rPr>
              <w:t xml:space="preserve"> </w:t>
            </w:r>
            <w:r>
              <w:rPr>
                <w:b/>
                <w:color w:val="000000"/>
                <w:sz w:val="21"/>
              </w:rPr>
              <w:t>（大写）：人民币</w:t>
            </w:r>
            <w:r>
              <w:rPr>
                <w:b/>
                <w:color w:val="000000"/>
                <w:sz w:val="21"/>
                <w:u w:val="single"/>
              </w:rPr>
              <w:t>${合计大写}</w:t>
            </w:r>
          </w:p>
        </w:tc>
      </w:tr>
    </w:tbl>
    <w:p>
      <w:pPr>
        <w:jc w:val="both"/>
      </w:pPr>
      <w:r>
        <w:rPr>
          <w:sz w:val="21"/>
        </w:rPr>
        <w:t>详细清单内容见附件</w:t>
      </w:r>
    </w:p>
    <w:p>
      <w:pPr>
        <w:ind w:firstLine="480"/>
        <w:jc w:val="left"/>
      </w:pPr>
      <w:r>
        <w:rPr>
          <w:sz w:val="24"/>
        </w:rPr>
        <w:t>2.合同服务实施地点：</w:t>
      </w:r>
      <w:r>
        <w:rPr>
          <w:sz w:val="24"/>
          <w:u w:val="single"/>
        </w:rPr>
        <w:t>${实施地点}</w:t>
      </w:r>
      <w:r>
        <w:rPr>
          <w:sz w:val="24"/>
        </w:rPr>
        <w:t>。</w:t>
      </w:r>
    </w:p>
    <w:p>
      <w:pPr>
        <w:ind w:firstLine="480"/>
        <w:jc w:val="right"/>
      </w:pPr>
    </w:p>
    <w:p>
      <w:pPr>
        <w:ind w:firstLine="482"/>
        <w:jc w:val="left"/>
      </w:pPr>
      <w:r>
        <w:rPr>
          <w:b/>
          <w:color w:val="000000"/>
          <w:sz w:val="24"/>
        </w:rPr>
        <w:t>第二条</w:t>
      </w:r>
      <w:r>
        <w:rPr>
          <w:b/>
          <w:color w:val="000000"/>
          <w:sz w:val="24"/>
        </w:rPr>
        <w:t>甲方的权利和义务</w:t>
      </w:r>
    </w:p>
    <w:p>
      <w:pPr>
        <w:ind w:firstLine="480"/>
        <w:jc w:val="left"/>
      </w:pPr>
      <w:r>
        <w:rPr>
          <w:color w:val="000000"/>
          <w:sz w:val="24"/>
        </w:rPr>
        <w:t>1.甲方的权利</w:t>
      </w:r>
    </w:p>
    <w:p>
      <w:pPr>
        <w:ind w:firstLine="480"/>
        <w:jc w:val="left"/>
      </w:pPr>
      <w:r>
        <w:rPr>
          <w:color w:val="000000"/>
          <w:sz w:val="24"/>
        </w:rPr>
        <w:t>（</w:t>
      </w:r>
      <w:r>
        <w:rPr>
          <w:color w:val="000000"/>
          <w:sz w:val="24"/>
        </w:rPr>
        <w:t>1）要求乙方按质按量按期提供合同约定的服务。</w:t>
      </w:r>
    </w:p>
    <w:p>
      <w:pPr>
        <w:ind w:firstLine="480"/>
        <w:jc w:val="left"/>
      </w:pPr>
      <w:r>
        <w:rPr>
          <w:color w:val="000000"/>
          <w:sz w:val="24"/>
        </w:rPr>
        <w:t>（</w:t>
      </w:r>
      <w:r>
        <w:rPr>
          <w:color w:val="000000"/>
          <w:sz w:val="24"/>
        </w:rPr>
        <w:t>2）对乙方提供的服务进行（满意度评价/服务质量评价）。</w:t>
      </w:r>
    </w:p>
    <w:p>
      <w:pPr>
        <w:ind w:firstLine="480"/>
        <w:jc w:val="left"/>
      </w:pPr>
      <w:r>
        <w:rPr>
          <w:color w:val="000000"/>
          <w:sz w:val="24"/>
        </w:rPr>
        <w:t>（</w:t>
      </w:r>
      <w:r>
        <w:rPr>
          <w:color w:val="000000"/>
          <w:sz w:val="24"/>
        </w:rPr>
        <w:t>3）因乙方单方面原因造成的违法、违约等不良行为，甲方不负连带责任。</w:t>
      </w:r>
    </w:p>
    <w:p>
      <w:pPr>
        <w:ind w:firstLine="480"/>
        <w:jc w:val="left"/>
      </w:pPr>
      <w:r>
        <w:rPr>
          <w:color w:val="000000"/>
          <w:sz w:val="24"/>
        </w:rPr>
        <w:t>（</w:t>
      </w:r>
      <w:r>
        <w:rPr>
          <w:color w:val="000000"/>
          <w:sz w:val="24"/>
        </w:rPr>
        <w:t>4）要求乙方提供完全符合甲方要求的具体服务计划。</w:t>
      </w:r>
    </w:p>
    <w:p>
      <w:pPr>
        <w:ind w:firstLine="480"/>
        <w:jc w:val="left"/>
      </w:pPr>
      <w:r>
        <w:rPr>
          <w:color w:val="000000"/>
          <w:sz w:val="24"/>
        </w:rPr>
        <w:t>2.甲方的义务</w:t>
      </w:r>
    </w:p>
    <w:p>
      <w:pPr>
        <w:ind w:firstLine="480"/>
        <w:jc w:val="left"/>
      </w:pPr>
      <w:r>
        <w:rPr>
          <w:color w:val="000000"/>
          <w:sz w:val="24"/>
        </w:rPr>
        <w:t>（</w:t>
      </w:r>
      <w:r>
        <w:rPr>
          <w:color w:val="000000"/>
          <w:sz w:val="24"/>
        </w:rPr>
        <w:t>1）为乙方提供必要的工作合作。</w:t>
      </w:r>
    </w:p>
    <w:p>
      <w:pPr>
        <w:ind w:firstLine="480"/>
        <w:jc w:val="left"/>
      </w:pPr>
      <w:r>
        <w:rPr>
          <w:color w:val="000000"/>
          <w:sz w:val="24"/>
        </w:rPr>
        <w:t>（</w:t>
      </w:r>
      <w:r>
        <w:rPr>
          <w:color w:val="000000"/>
          <w:sz w:val="24"/>
        </w:rPr>
        <w:t>2）协调解决项目开展中出现的问题。</w:t>
      </w:r>
    </w:p>
    <w:p>
      <w:pPr>
        <w:ind w:firstLine="480"/>
        <w:jc w:val="left"/>
      </w:pPr>
      <w:r>
        <w:rPr>
          <w:color w:val="000000"/>
          <w:sz w:val="24"/>
        </w:rPr>
        <w:t>（</w:t>
      </w:r>
      <w:r>
        <w:rPr>
          <w:color w:val="000000"/>
          <w:sz w:val="24"/>
        </w:rPr>
        <w:t>3）按规定的方式进行付款。</w:t>
      </w:r>
    </w:p>
    <w:p>
      <w:pPr>
        <w:ind w:firstLine="480"/>
        <w:jc w:val="left"/>
      </w:pPr>
      <w:r>
        <w:rPr>
          <w:color w:val="000000"/>
          <w:sz w:val="24"/>
        </w:rPr>
        <w:t>（</w:t>
      </w:r>
      <w:r>
        <w:rPr>
          <w:color w:val="000000"/>
          <w:sz w:val="24"/>
        </w:rPr>
        <w:t>4）甲方应当有针对乙方服务的（满意度评价/服务质量评价）。</w:t>
      </w:r>
    </w:p>
    <w:p>
      <w:pPr>
        <w:ind w:firstLine="482"/>
        <w:jc w:val="left"/>
      </w:pPr>
    </w:p>
    <w:p>
      <w:pPr>
        <w:ind w:firstLine="482"/>
        <w:jc w:val="left"/>
      </w:pPr>
      <w:r>
        <w:rPr>
          <w:b/>
          <w:color w:val="000000"/>
          <w:sz w:val="24"/>
        </w:rPr>
        <w:t>第三条</w:t>
      </w:r>
      <w:r>
        <w:rPr>
          <w:b/>
          <w:color w:val="000000"/>
          <w:sz w:val="24"/>
        </w:rPr>
        <w:t>乙方的权利和义务</w:t>
      </w:r>
    </w:p>
    <w:p>
      <w:pPr>
        <w:ind w:firstLine="480"/>
        <w:jc w:val="left"/>
      </w:pPr>
      <w:r>
        <w:rPr>
          <w:color w:val="000000"/>
          <w:sz w:val="24"/>
        </w:rPr>
        <w:t>1.乙方的权利</w:t>
      </w:r>
    </w:p>
    <w:p>
      <w:pPr>
        <w:ind w:firstLine="480"/>
        <w:jc w:val="left"/>
      </w:pPr>
      <w:r>
        <w:rPr>
          <w:color w:val="000000"/>
          <w:sz w:val="24"/>
        </w:rPr>
        <w:t>（</w:t>
      </w:r>
      <w:r>
        <w:rPr>
          <w:color w:val="000000"/>
          <w:sz w:val="24"/>
        </w:rPr>
        <w:t>1）要求甲方为本合同项目工作的开展提供必要的资料和协助。</w:t>
      </w:r>
    </w:p>
    <w:p>
      <w:pPr>
        <w:ind w:firstLine="480"/>
        <w:jc w:val="left"/>
      </w:pPr>
      <w:r>
        <w:rPr>
          <w:color w:val="000000"/>
          <w:sz w:val="24"/>
        </w:rPr>
        <w:t>（</w:t>
      </w:r>
      <w:r>
        <w:rPr>
          <w:color w:val="000000"/>
          <w:sz w:val="24"/>
        </w:rPr>
        <w:t>2）要求甲方按本合同约定及时支付合同款项。</w:t>
      </w:r>
    </w:p>
    <w:p>
      <w:pPr>
        <w:ind w:firstLine="480"/>
        <w:jc w:val="left"/>
      </w:pPr>
      <w:r>
        <w:rPr>
          <w:color w:val="000000"/>
          <w:sz w:val="24"/>
        </w:rPr>
        <w:t>2.乙方的义务</w:t>
      </w:r>
    </w:p>
    <w:p>
      <w:pPr>
        <w:ind w:firstLine="480"/>
        <w:jc w:val="left"/>
      </w:pPr>
      <w:r>
        <w:rPr>
          <w:color w:val="000000"/>
          <w:sz w:val="24"/>
        </w:rPr>
        <w:t>（</w:t>
      </w:r>
      <w:r>
        <w:rPr>
          <w:color w:val="000000"/>
          <w:sz w:val="24"/>
        </w:rPr>
        <w:t>1）保证合同项目人员各项证件齐全 ，具备完全胜任合同项目的工作能力。</w:t>
      </w:r>
    </w:p>
    <w:p>
      <w:pPr>
        <w:ind w:firstLine="480"/>
        <w:jc w:val="left"/>
      </w:pPr>
      <w:r>
        <w:rPr>
          <w:color w:val="000000"/>
          <w:sz w:val="24"/>
        </w:rPr>
        <w:t>（</w:t>
      </w:r>
      <w:r>
        <w:rPr>
          <w:color w:val="000000"/>
          <w:sz w:val="24"/>
        </w:rPr>
        <w:t>2）提供完全符合甲方要求的具体服务计划，且实施计划前应先征得甲方同意。</w:t>
      </w:r>
    </w:p>
    <w:p>
      <w:pPr>
        <w:ind w:firstLine="480"/>
        <w:jc w:val="left"/>
      </w:pPr>
      <w:r>
        <w:rPr>
          <w:color w:val="000000"/>
          <w:sz w:val="24"/>
        </w:rPr>
        <w:t>（</w:t>
      </w:r>
      <w:r>
        <w:rPr>
          <w:color w:val="000000"/>
          <w:sz w:val="24"/>
        </w:rPr>
        <w:t>3）向甲方提供满足合同要求的服务，承担与合同服务相关的一切费用。</w:t>
      </w:r>
    </w:p>
    <w:p>
      <w:pPr>
        <w:ind w:firstLine="480"/>
        <w:jc w:val="left"/>
      </w:pPr>
      <w:r>
        <w:rPr>
          <w:color w:val="000000"/>
          <w:sz w:val="24"/>
        </w:rPr>
        <w:t>（</w:t>
      </w:r>
      <w:r>
        <w:rPr>
          <w:color w:val="000000"/>
          <w:sz w:val="24"/>
        </w:rPr>
        <w:t>4）未经甲方同意，不得将本合同的全部或部分事项转委托第三方。</w:t>
      </w:r>
    </w:p>
    <w:p>
      <w:pPr>
        <w:ind w:firstLine="482"/>
        <w:jc w:val="left"/>
      </w:pPr>
    </w:p>
    <w:p>
      <w:pPr>
        <w:ind w:firstLine="482"/>
        <w:jc w:val="left"/>
      </w:pPr>
      <w:r>
        <w:rPr>
          <w:b/>
          <w:color w:val="000000"/>
          <w:sz w:val="24"/>
        </w:rPr>
        <w:t>第四条</w:t>
      </w:r>
      <w:r>
        <w:rPr>
          <w:b/>
          <w:color w:val="000000"/>
          <w:sz w:val="24"/>
        </w:rPr>
        <w:t>服务期限</w:t>
      </w:r>
    </w:p>
    <w:p>
      <w:pPr>
        <w:ind w:firstLine="480"/>
        <w:jc w:val="left"/>
      </w:pPr>
      <w:r>
        <w:rPr>
          <w:color w:val="000000"/>
          <w:sz w:val="24"/>
        </w:rPr>
        <w:t>1.服务期限为</w:t>
      </w:r>
      <w:r>
        <w:rPr>
          <w:color w:val="000000"/>
          <w:sz w:val="24"/>
          <w:u w:val="single"/>
        </w:rPr>
        <w:t>${服务期限}</w:t>
      </w:r>
      <w:r>
        <w:rPr>
          <w:color w:val="000000"/>
          <w:sz w:val="24"/>
        </w:rPr>
        <w:t>年，从</w:t>
      </w:r>
      <w:r>
        <w:rPr>
          <w:color w:val="000000"/>
          <w:sz w:val="24"/>
          <w:u w:val="single"/>
        </w:rPr>
        <w:t>${服务期年}</w:t>
      </w:r>
      <w:r>
        <w:rPr>
          <w:color w:val="000000"/>
          <w:sz w:val="24"/>
        </w:rPr>
        <w:t>年</w:t>
      </w:r>
      <w:r>
        <w:rPr>
          <w:color w:val="000000"/>
          <w:sz w:val="24"/>
          <w:u w:val="single"/>
        </w:rPr>
        <w:t>${服务期月}</w:t>
      </w:r>
      <w:r>
        <w:rPr>
          <w:color w:val="000000"/>
          <w:sz w:val="24"/>
        </w:rPr>
        <w:t>月</w:t>
      </w:r>
      <w:r>
        <w:rPr>
          <w:color w:val="000000"/>
          <w:sz w:val="24"/>
          <w:u w:val="single"/>
        </w:rPr>
        <w:t>${服务期日}</w:t>
      </w:r>
      <w:r>
        <w:rPr>
          <w:color w:val="000000"/>
          <w:sz w:val="24"/>
        </w:rPr>
        <w:t>日至</w:t>
      </w:r>
      <w:r>
        <w:rPr>
          <w:color w:val="000000"/>
          <w:sz w:val="24"/>
          <w:u w:val="single"/>
        </w:rPr>
        <w:t>${服务期止年}</w:t>
      </w:r>
      <w:r>
        <w:rPr>
          <w:color w:val="000000"/>
          <w:sz w:val="24"/>
        </w:rPr>
        <w:t>年</w:t>
      </w:r>
      <w:r>
        <w:rPr>
          <w:color w:val="000000"/>
          <w:sz w:val="24"/>
          <w:u w:val="single"/>
        </w:rPr>
        <w:t>${服务期止月}</w:t>
      </w:r>
      <w:r>
        <w:rPr>
          <w:color w:val="000000"/>
          <w:sz w:val="24"/>
        </w:rPr>
        <w:t>月</w:t>
      </w:r>
      <w:r>
        <w:rPr>
          <w:color w:val="000000"/>
          <w:sz w:val="24"/>
          <w:u w:val="single"/>
        </w:rPr>
        <w:t>${服务期止日}</w:t>
      </w:r>
      <w:r>
        <w:rPr>
          <w:color w:val="000000"/>
          <w:sz w:val="24"/>
        </w:rPr>
        <w:t>日止。</w:t>
      </w:r>
    </w:p>
    <w:p>
      <w:pPr>
        <w:ind w:firstLine="482"/>
        <w:jc w:val="left"/>
      </w:pPr>
    </w:p>
    <w:p>
      <w:pPr>
        <w:ind w:firstLine="482"/>
        <w:jc w:val="left"/>
      </w:pPr>
      <w:r>
        <w:rPr>
          <w:b/>
          <w:color w:val="000000"/>
          <w:sz w:val="24"/>
        </w:rPr>
        <w:t>第五条</w:t>
      </w:r>
      <w:r>
        <w:rPr>
          <w:b/>
          <w:color w:val="000000"/>
          <w:sz w:val="24"/>
        </w:rPr>
        <w:t>满意度（服务质量）评价</w:t>
      </w:r>
    </w:p>
    <w:p>
      <w:pPr>
        <w:ind w:firstLine="480"/>
        <w:jc w:val="left"/>
      </w:pPr>
      <w:r>
        <w:rPr>
          <w:color w:val="000000"/>
          <w:sz w:val="24"/>
        </w:rPr>
        <w:t>1.服务期间及服务结束后，甲方都有权就乙方服务情况进行满意度（服务质量）评价。若评价结果未达到甲方要求，甲方有权扣罚乙方合同费用。</w:t>
      </w:r>
    </w:p>
    <w:p>
      <w:pPr>
        <w:ind w:firstLine="480"/>
        <w:jc w:val="left"/>
      </w:pPr>
      <w:r>
        <w:rPr>
          <w:color w:val="000000"/>
          <w:sz w:val="24"/>
        </w:rPr>
        <w:t>2.如甲方有新的服务需求，乙方应全面配合。若涉及费用变动，由双方协商。</w:t>
      </w:r>
    </w:p>
    <w:p>
      <w:pPr>
        <w:jc w:val="left"/>
      </w:pPr>
    </w:p>
    <w:p>
      <w:pPr>
        <w:ind w:firstLine="482"/>
        <w:jc w:val="left"/>
      </w:pPr>
      <w:r>
        <w:rPr>
          <w:b/>
          <w:color w:val="000000"/>
          <w:sz w:val="24"/>
        </w:rPr>
        <w:t>第六条</w:t>
      </w:r>
      <w:r>
        <w:rPr>
          <w:b/>
          <w:color w:val="000000"/>
          <w:sz w:val="24"/>
        </w:rPr>
        <w:t>服务保证期</w:t>
      </w:r>
    </w:p>
    <w:p>
      <w:pPr>
        <w:ind w:firstLine="480"/>
        <w:jc w:val="left"/>
      </w:pPr>
      <w:r>
        <w:rPr>
          <w:color w:val="000000"/>
          <w:sz w:val="24"/>
        </w:rPr>
        <w:t>1.合同服务期结束后，乙方须提供</w:t>
      </w:r>
      <w:r>
        <w:rPr>
          <w:color w:val="000000"/>
          <w:sz w:val="24"/>
          <w:u w:val="single"/>
        </w:rPr>
        <w:t>${乙方服务年}</w:t>
      </w:r>
      <w:r>
        <w:rPr>
          <w:color w:val="000000"/>
          <w:sz w:val="24"/>
        </w:rPr>
        <w:t>年服务保证期（服务保证期的计算自合同服务完成并通过满意度评价合格后开始）。</w:t>
      </w:r>
    </w:p>
    <w:p>
      <w:pPr>
        <w:ind w:firstLine="480"/>
        <w:jc w:val="left"/>
      </w:pPr>
      <w:r>
        <w:rPr>
          <w:color w:val="000000"/>
          <w:sz w:val="24"/>
        </w:rPr>
        <w:t>2.服务保证期内如发现乙方遗留问题或因此而引发的其它问题，乙方应当承担全部责任，并在</w:t>
      </w:r>
      <w:r>
        <w:rPr>
          <w:color w:val="000000"/>
          <w:sz w:val="24"/>
          <w:u w:val="single"/>
        </w:rPr>
        <w:t>${乙方处理日数}</w:t>
      </w:r>
      <w:r>
        <w:rPr>
          <w:color w:val="000000"/>
          <w:sz w:val="24"/>
        </w:rPr>
        <w:t>日内处理，且负责全部费用。</w:t>
      </w:r>
    </w:p>
    <w:p>
      <w:pPr>
        <w:ind w:firstLine="482"/>
        <w:jc w:val="left"/>
      </w:pPr>
    </w:p>
    <w:p>
      <w:pPr>
        <w:numPr>
          <w:ilvl w:val="0"/>
          <w:numId w:val="1"/>
        </w:numPr>
        <w:jc w:val="left"/>
      </w:pPr>
      <w:r>
        <w:rPr>
          <w:b/>
          <w:color w:val="000000"/>
          <w:sz w:val="24"/>
        </w:rPr>
        <w:t>支付方式</w:t>
      </w:r>
    </w:p>
    <w:p>
      <w:pPr>
        <w:jc w:val="left"/>
      </w:pPr>
      <w:r>
        <w:rPr>
          <w:sz w:val="24"/>
        </w:rPr>
        <w:t>${支付方式}</w:t>
      </w:r>
    </w:p>
    <w:p>
      <w:pPr>
        <w:jc w:val="left"/>
      </w:pPr>
    </w:p>
    <w:p>
      <w:pPr>
        <w:numPr>
          <w:ilvl w:val="0"/>
          <w:numId w:val="1"/>
        </w:numPr>
        <w:jc w:val="left"/>
      </w:pPr>
      <w:r>
        <w:rPr>
          <w:b/>
          <w:color w:val="000000"/>
          <w:sz w:val="24"/>
        </w:rPr>
        <w:t>违约责任</w:t>
      </w:r>
    </w:p>
    <w:p>
      <w:pPr>
        <w:numPr>
          <w:ilvl w:val="0"/>
          <w:numId w:val="1"/>
        </w:numPr>
        <w:jc w:val="left"/>
      </w:pPr>
      <w:r>
        <w:rPr>
          <w:color w:val="000000"/>
          <w:sz w:val="24"/>
        </w:rPr>
        <w:t>如乙方未按甲方确认的服务计划按时完成合同服务内容或甲方延期付款，每逾期一日，违约方应按合同金额</w:t>
      </w:r>
      <w:r>
        <w:rPr>
          <w:color w:val="000000"/>
          <w:sz w:val="24"/>
          <w:u w:val="single"/>
        </w:rPr>
        <w:t>${违约方金额比例}</w:t>
      </w:r>
      <w:r>
        <w:rPr>
          <w:color w:val="000000"/>
          <w:sz w:val="24"/>
        </w:rPr>
        <w:t>%向对方支付违约金，但该违约金累计不超过合同金额的</w:t>
      </w:r>
      <w:r>
        <w:rPr>
          <w:color w:val="000000"/>
          <w:sz w:val="24"/>
          <w:u w:val="single"/>
        </w:rPr>
        <w:t>${不超合同违约金额比例}</w:t>
      </w:r>
      <w:r>
        <w:rPr>
          <w:color w:val="000000"/>
          <w:sz w:val="24"/>
        </w:rPr>
        <w:t>%，逾期超过</w:t>
      </w:r>
      <w:r>
        <w:rPr>
          <w:color w:val="000000"/>
          <w:sz w:val="24"/>
          <w:u w:val="single"/>
        </w:rPr>
        <w:t>${逾期日数}</w:t>
      </w:r>
      <w:r>
        <w:rPr>
          <w:color w:val="000000"/>
          <w:sz w:val="24"/>
        </w:rPr>
        <w:t>日，守约方有权解除合同，并要求违约方赔偿由此造成的损失。</w:t>
      </w:r>
    </w:p>
    <w:p>
      <w:pPr>
        <w:numPr>
          <w:ilvl w:val="0"/>
          <w:numId w:val="1"/>
        </w:numPr>
        <w:jc w:val="left"/>
      </w:pPr>
      <w:r>
        <w:rPr>
          <w:color w:val="000000"/>
          <w:sz w:val="24"/>
        </w:rPr>
        <w:t>在服务期间，甲方提出合理的需求，乙方不给予积极配合，则视为乙方违约，应向甲方支付合同金额</w:t>
      </w:r>
      <w:r>
        <w:rPr>
          <w:color w:val="000000"/>
          <w:sz w:val="24"/>
          <w:u w:val="single"/>
        </w:rPr>
        <w:t>${乙方违约比例}</w:t>
      </w:r>
      <w:r>
        <w:rPr>
          <w:color w:val="000000"/>
          <w:sz w:val="24"/>
        </w:rPr>
        <w:t>%的违约金。</w:t>
      </w:r>
    </w:p>
    <w:p>
      <w:pPr>
        <w:ind w:firstLine="480"/>
        <w:jc w:val="left"/>
      </w:pPr>
      <w:r>
        <w:rPr>
          <w:color w:val="000000"/>
          <w:sz w:val="24"/>
        </w:rPr>
        <w:t>3.服务期间，若乙方履行合同不到位，经甲方书面通知</w:t>
      </w:r>
      <w:r>
        <w:rPr>
          <w:color w:val="000000"/>
          <w:sz w:val="24"/>
          <w:u w:val="single"/>
        </w:rPr>
        <w:t>${整改天数}</w:t>
      </w:r>
      <w:r>
        <w:rPr>
          <w:color w:val="000000"/>
          <w:sz w:val="24"/>
        </w:rPr>
        <w:t>天后乙方仍未整改到位的，甲方有权终止合同，并要求乙方支付合同金额</w:t>
      </w:r>
      <w:r>
        <w:rPr>
          <w:color w:val="000000"/>
          <w:sz w:val="24"/>
          <w:u w:val="single"/>
        </w:rPr>
        <w:t>${支付违约金额比例}</w:t>
      </w:r>
      <w:r>
        <w:rPr>
          <w:color w:val="000000"/>
          <w:sz w:val="24"/>
        </w:rPr>
        <w:t>%的违约金。</w:t>
      </w:r>
    </w:p>
    <w:p>
      <w:pPr>
        <w:ind w:firstLine="480"/>
        <w:jc w:val="left"/>
      </w:pPr>
      <w:r>
        <w:rPr>
          <w:color w:val="000000"/>
          <w:sz w:val="24"/>
        </w:rPr>
        <w:t>4.一方有违法行为，守约方有权终止合同，并要求违约方支付合同金额</w:t>
      </w:r>
      <w:r>
        <w:rPr>
          <w:color w:val="000000"/>
          <w:sz w:val="24"/>
          <w:u w:val="single"/>
        </w:rPr>
        <w:t>${违法行为金额比例}</w:t>
      </w:r>
      <w:r>
        <w:rPr>
          <w:color w:val="000000"/>
          <w:sz w:val="24"/>
        </w:rPr>
        <w:t>%的违约金。</w:t>
      </w:r>
    </w:p>
    <w:p>
      <w:pPr>
        <w:ind w:firstLine="480"/>
        <w:jc w:val="left"/>
      </w:pPr>
    </w:p>
    <w:p>
      <w:pPr>
        <w:ind w:firstLine="482"/>
        <w:jc w:val="both"/>
      </w:pPr>
      <w:r>
        <w:rPr>
          <w:b/>
          <w:color w:val="000000"/>
          <w:sz w:val="24"/>
        </w:rPr>
        <w:t>第九条</w:t>
      </w:r>
      <w:r>
        <w:rPr>
          <w:b/>
          <w:color w:val="000000"/>
          <w:sz w:val="24"/>
        </w:rPr>
        <w:t>不可抗力</w:t>
      </w:r>
    </w:p>
    <w:p>
      <w:pPr>
        <w:ind w:firstLine="480"/>
        <w:jc w:val="both"/>
      </w:pPr>
      <w:r>
        <w:rPr>
          <w:color w:val="000000"/>
          <w:sz w:val="24"/>
        </w:rPr>
        <w:t>任何一方由于不可抗力原因不能履行合同时，应在不可抗力事件发生后</w:t>
      </w:r>
      <w:r>
        <w:rPr>
          <w:color w:val="000000"/>
          <w:sz w:val="24"/>
        </w:rPr>
        <w:t>1</w:t>
      </w:r>
      <w:r>
        <w:rPr>
          <w:color w:val="000000"/>
          <w:sz w:val="24"/>
        </w:rPr>
        <w:t>日内向对方通报，以减轻可能给对方造成的损失，在取得有关机构的不可抗力证明或双方谅解确认后，允许延期履行或终止合同，并根据情况可部分或全部免于承担违约责任。</w:t>
      </w:r>
    </w:p>
    <w:p>
      <w:pPr>
        <w:ind w:firstLine="482"/>
        <w:jc w:val="left"/>
      </w:pPr>
    </w:p>
    <w:p>
      <w:pPr>
        <w:ind w:firstLine="482"/>
        <w:jc w:val="left"/>
      </w:pPr>
      <w:r>
        <w:rPr>
          <w:b/>
          <w:color w:val="000000"/>
          <w:sz w:val="24"/>
        </w:rPr>
        <w:t>第十条</w:t>
      </w:r>
      <w:r>
        <w:rPr>
          <w:b/>
          <w:color w:val="000000"/>
          <w:sz w:val="24"/>
        </w:rPr>
        <w:t>保密</w:t>
      </w:r>
    </w:p>
    <w:p>
      <w:pPr>
        <w:ind w:firstLine="480"/>
        <w:jc w:val="left"/>
      </w:pPr>
      <w:r>
        <w:rPr>
          <w:sz w:val="24"/>
        </w:rPr>
        <w:t>乙方对甲方的相关信息负有保密责任，未经甲方许可不得将甲方相关信息外泄。</w:t>
      </w:r>
    </w:p>
    <w:p>
      <w:pPr>
        <w:ind w:firstLine="482"/>
        <w:jc w:val="left"/>
      </w:pPr>
    </w:p>
    <w:p>
      <w:pPr>
        <w:ind w:firstLine="482"/>
        <w:jc w:val="left"/>
      </w:pPr>
      <w:r>
        <w:rPr>
          <w:b/>
          <w:color w:val="000000"/>
          <w:sz w:val="24"/>
        </w:rPr>
        <w:t>第十一条</w:t>
      </w:r>
      <w:r>
        <w:rPr>
          <w:b/>
          <w:color w:val="000000"/>
          <w:sz w:val="24"/>
        </w:rPr>
        <w:t>知识产权</w:t>
      </w:r>
    </w:p>
    <w:p>
      <w:pPr>
        <w:ind w:firstLine="480"/>
        <w:jc w:val="left"/>
      </w:pPr>
      <w:r>
        <w:rPr>
          <w:color w:val="000000"/>
          <w:sz w:val="24"/>
        </w:rPr>
        <w:t>乙方合同项下提供的服务内容不得侵犯任何第三方的知识产权。否则，乙方须承担对第三方的侵权责任并承担因此而发生的所有费用。</w:t>
      </w:r>
    </w:p>
    <w:p>
      <w:pPr>
        <w:ind w:firstLine="482"/>
        <w:jc w:val="left"/>
      </w:pPr>
    </w:p>
    <w:p>
      <w:pPr>
        <w:ind w:firstLine="482"/>
        <w:jc w:val="left"/>
      </w:pPr>
      <w:r>
        <w:rPr>
          <w:b/>
          <w:color w:val="000000"/>
          <w:sz w:val="24"/>
        </w:rPr>
        <w:t>第十二条</w:t>
      </w:r>
      <w:r>
        <w:rPr>
          <w:b/>
          <w:color w:val="000000"/>
          <w:sz w:val="24"/>
        </w:rPr>
        <w:t>争议处理</w:t>
      </w:r>
    </w:p>
    <w:p>
      <w:pPr>
        <w:ind w:firstLine="436"/>
        <w:jc w:val="both"/>
      </w:pPr>
      <w:r>
        <w:rPr>
          <w:color w:val="000000"/>
          <w:sz w:val="24"/>
        </w:rPr>
        <w:t>因本合同引起的争议，甲乙双方应首先通过友好协商解决。如协商或调解不能解决争议，则向甲方所在地有管辖权的人民法院提起诉讼。受理期间，双方应继续执行合同其余部分。</w:t>
      </w:r>
    </w:p>
    <w:p>
      <w:pPr>
        <w:ind w:firstLine="482"/>
        <w:jc w:val="left"/>
      </w:pPr>
    </w:p>
    <w:p>
      <w:pPr>
        <w:ind w:firstLine="482"/>
        <w:jc w:val="left"/>
      </w:pPr>
      <w:r>
        <w:rPr>
          <w:b/>
          <w:color w:val="000000"/>
          <w:sz w:val="24"/>
        </w:rPr>
        <w:t xml:space="preserve"> </w:t>
      </w:r>
      <w:r>
        <w:rPr>
          <w:b/>
          <w:color w:val="000000"/>
          <w:sz w:val="24"/>
        </w:rPr>
        <w:t>第十三条</w:t>
      </w:r>
      <w:r>
        <w:rPr>
          <w:b/>
          <w:color w:val="000000"/>
          <w:sz w:val="24"/>
        </w:rPr>
        <w:t>合同生效</w:t>
      </w:r>
    </w:p>
    <w:p>
      <w:pPr>
        <w:ind w:firstLine="480"/>
        <w:jc w:val="left"/>
      </w:pPr>
      <w:r>
        <w:rPr>
          <w:color w:val="000000"/>
          <w:sz w:val="24"/>
        </w:rPr>
        <w:t>1.合同履行期内甲乙双方均不得随意变更或解除合同。合同若有未尽事宜，需经双方共同协商，作出补充协议，补充协议与本合同有同等法律效力。</w:t>
      </w:r>
    </w:p>
    <w:p>
      <w:pPr>
        <w:jc w:val="both"/>
      </w:pPr>
      <w:r>
        <w:rPr>
          <w:b/>
          <w:color w:val="000000"/>
          <w:sz w:val="24"/>
        </w:rPr>
        <w:t>2. 在执行合同的过程中，</w:t>
      </w:r>
      <w:r>
        <w:rPr>
          <w:b/>
          <w:sz w:val="24"/>
        </w:rPr>
        <w:t>详细价格、说明及其它有关合同服务的特定信息由合同附件说明。所有附件及本项目的招投标文件、会议纪要、协议等均为本合同不可分割之一部分。</w:t>
      </w:r>
    </w:p>
    <w:p>
      <w:pPr>
        <w:ind w:firstLine="480"/>
        <w:jc w:val="both"/>
      </w:pPr>
      <w:r>
        <w:rPr>
          <w:sz w:val="24"/>
        </w:rPr>
        <w:t>3.本合同一式</w:t>
      </w:r>
      <w:r>
        <w:rPr>
          <w:sz w:val="24"/>
          <w:u w:val="single"/>
        </w:rPr>
        <w:t>${总合同份数}</w:t>
      </w:r>
      <w:r>
        <w:rPr>
          <w:sz w:val="24"/>
        </w:rPr>
        <w:t>份，甲方</w:t>
      </w:r>
      <w:r>
        <w:rPr>
          <w:sz w:val="24"/>
          <w:u w:val="single"/>
        </w:rPr>
        <w:t>${甲方合同份数}</w:t>
      </w:r>
      <w:r>
        <w:rPr>
          <w:sz w:val="24"/>
        </w:rPr>
        <w:t>份、乙方</w:t>
      </w:r>
      <w:r>
        <w:rPr>
          <w:sz w:val="24"/>
          <w:u w:val="single"/>
        </w:rPr>
        <w:t>${乙方合同份数}</w:t>
      </w:r>
      <w:r>
        <w:rPr>
          <w:sz w:val="24"/>
        </w:rPr>
        <w:t>份，</w:t>
      </w:r>
      <w:r>
        <w:rPr>
          <w:color w:val="000000"/>
          <w:sz w:val="24"/>
        </w:rPr>
        <w:t>由甲乙双方签字盖章后生效。</w:t>
      </w:r>
    </w:p>
    <w:p>
      <w:pPr>
        <w:jc w:val="both"/>
      </w:pPr>
    </w:p>
    <w:p>
      <w:pPr>
        <w:ind w:firstLine="472"/>
        <w:jc w:val="both"/>
      </w:pPr>
      <w:r>
        <w:rPr>
          <w:b/>
          <w:color w:val="000000"/>
          <w:sz w:val="24"/>
        </w:rPr>
        <w:t>第十四条</w:t>
      </w:r>
      <w:r>
        <w:rPr>
          <w:b/>
          <w:color w:val="000000"/>
          <w:sz w:val="24"/>
        </w:rPr>
        <w:t>双方需要另外补充说明的其他事项</w:t>
      </w:r>
    </w:p>
    <w:p>
      <w:pPr>
        <w:ind w:firstLine="480"/>
        <w:jc w:val="both"/>
      </w:pPr>
      <w:r>
        <w:rPr>
          <w:color w:val="000000"/>
          <w:sz w:val="24"/>
          <w:u w:val="single"/>
        </w:rPr>
        <w:t>${双方需要另外补充说明的其他事项}</w:t>
      </w:r>
      <w:r>
        <w:rPr>
          <w:color w:val="000000"/>
          <w:sz w:val="24"/>
        </w:rPr>
        <w:t>。</w:t>
      </w:r>
    </w:p>
    <w:p>
      <w:pPr>
        <w:ind w:firstLine="420"/>
        <w:jc w:val="both"/>
      </w:pPr>
    </w:p>
    <w:p>
      <w:pPr>
        <w:jc w:val="left"/>
      </w:pPr>
    </w:p>
    <w:p>
      <w:pPr>
        <w:ind w:firstLine="480"/>
        <w:jc w:val="left"/>
      </w:pPr>
      <w:r>
        <w:rPr>
          <w:sz w:val="24"/>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16"/>
        <w:gridCol w:w="4190"/>
      </w:tblGrid>
      <w:tr>
        <w:tc>
          <w:tcPr>
            <w:tcW w:type="dxa" w:w="4116"/>
            <w:tcBorders>
              <w:top w:val="none" w:color="000000" w:sz="4"/>
              <w:left w:val="none" w:color="000000" w:sz="4"/>
              <w:bottom w:val="none" w:color="000000" w:sz="4"/>
              <w:right w:val="none" w:color="000000" w:sz="4"/>
            </w:tcBorders>
            <w:vAlign w:val="top"/>
          </w:tcPr>
          <w:p>
            <w:pPr>
              <w:ind w:firstLine="200"/>
              <w:jc w:val="both"/>
            </w:pPr>
            <w:r>
              <w:rPr>
                <w:sz w:val="24"/>
              </w:rPr>
              <w:t>甲方</w:t>
            </w:r>
            <w:r>
              <w:rPr>
                <w:sz w:val="24"/>
              </w:rPr>
              <w:t>：中山市人民医院</w:t>
            </w:r>
          </w:p>
          <w:p>
            <w:pPr>
              <w:ind w:firstLine="200"/>
              <w:jc w:val="both"/>
            </w:pPr>
          </w:p>
        </w:tc>
        <w:tc>
          <w:tcPr>
            <w:tcW w:type="dxa" w:w="4190"/>
            <w:tcBorders>
              <w:top w:val="none" w:color="000000" w:sz="4"/>
              <w:left w:val="none" w:color="000000" w:sz="4"/>
              <w:bottom w:val="none" w:color="000000" w:sz="4"/>
              <w:right w:val="none" w:color="000000" w:sz="4"/>
            </w:tcBorders>
            <w:vAlign w:val="top"/>
          </w:tcPr>
          <w:p>
            <w:pPr>
              <w:ind w:firstLine="200"/>
              <w:jc w:val="both"/>
            </w:pPr>
            <w:r>
              <w:rPr>
                <w:sz w:val="24"/>
              </w:rPr>
              <w:t>乙方</w:t>
            </w:r>
            <w:r>
              <w:rPr>
                <w:sz w:val="24"/>
              </w:rPr>
              <w:t>：</w:t>
            </w:r>
            <w:r>
              <w:rPr>
                <w:sz w:val="24"/>
              </w:rPr>
              <w:t>${乙方全称}</w:t>
            </w:r>
          </w:p>
          <w:p>
            <w:pPr>
              <w:ind w:firstLine="200"/>
              <w:jc w:val="both"/>
            </w:pPr>
          </w:p>
        </w:tc>
      </w:tr>
      <w:tr>
        <w:tc>
          <w:tcPr>
            <w:tcW w:type="dxa" w:w="4116"/>
            <w:tcBorders>
              <w:top w:val="none" w:color="000000" w:sz="4"/>
              <w:left w:val="none" w:color="000000" w:sz="4"/>
              <w:bottom w:val="none" w:color="000000" w:sz="4"/>
              <w:right w:val="none" w:color="000000" w:sz="4"/>
            </w:tcBorders>
            <w:vAlign w:val="top"/>
          </w:tcPr>
          <w:p>
            <w:pPr>
              <w:ind w:firstLine="200"/>
              <w:jc w:val="both"/>
            </w:pPr>
            <w:r>
              <w:rPr>
                <w:sz w:val="24"/>
              </w:rPr>
              <w:t>法定代表人或授权委托人</w:t>
            </w:r>
            <w:r>
              <w:rPr>
                <w:sz w:val="24"/>
              </w:rPr>
              <w:t>：</w:t>
            </w:r>
          </w:p>
          <w:p>
            <w:pPr>
              <w:jc w:val="both"/>
            </w:pPr>
          </w:p>
        </w:tc>
        <w:tc>
          <w:tcPr>
            <w:tcW w:type="dxa" w:w="4190"/>
            <w:tcBorders>
              <w:top w:val="none" w:color="000000" w:sz="4"/>
              <w:left w:val="none" w:color="000000" w:sz="4"/>
              <w:bottom w:val="none" w:color="000000" w:sz="4"/>
              <w:right w:val="none" w:color="000000" w:sz="4"/>
            </w:tcBorders>
            <w:vAlign w:val="top"/>
          </w:tcPr>
          <w:p>
            <w:pPr>
              <w:ind w:firstLine="200"/>
              <w:jc w:val="both"/>
            </w:pPr>
            <w:r>
              <w:rPr>
                <w:sz w:val="24"/>
              </w:rPr>
              <w:t>法定代表人或授权委托人</w:t>
            </w:r>
            <w:r>
              <w:rPr>
                <w:sz w:val="24"/>
              </w:rPr>
              <w:t>：</w:t>
            </w:r>
          </w:p>
          <w:p>
            <w:pPr>
              <w:ind w:firstLine="200"/>
              <w:jc w:val="both"/>
            </w:pPr>
            <w:r>
              <w:rPr>
                <w:sz w:val="21"/>
              </w:rPr>
              <w:t xml:space="preserve"> </w:t>
            </w:r>
          </w:p>
        </w:tc>
      </w:tr>
      <w:tr>
        <w:tc>
          <w:tcPr>
            <w:tcW w:type="dxa" w:w="4116"/>
            <w:tcBorders>
              <w:top w:val="none" w:color="000000" w:sz="4"/>
              <w:left w:val="none" w:color="000000" w:sz="4"/>
              <w:bottom w:val="none" w:color="000000" w:sz="4"/>
              <w:right w:val="none" w:color="000000" w:sz="4"/>
            </w:tcBorders>
            <w:vAlign w:val="top"/>
          </w:tcPr>
          <w:p>
            <w:pPr>
              <w:ind w:firstLine="200"/>
              <w:jc w:val="both"/>
            </w:pPr>
            <w:r>
              <w:rPr>
                <w:sz w:val="24"/>
              </w:rPr>
              <w:t>地址</w:t>
            </w:r>
            <w:r>
              <w:rPr>
                <w:sz w:val="24"/>
              </w:rPr>
              <w:t>：广东省中山市孙文东路</w:t>
            </w:r>
            <w:r>
              <w:rPr>
                <w:sz w:val="24"/>
              </w:rPr>
              <w:t>2号</w:t>
            </w:r>
          </w:p>
          <w:p>
            <w:pPr>
              <w:ind w:firstLine="200"/>
              <w:jc w:val="both"/>
            </w:pPr>
          </w:p>
        </w:tc>
        <w:tc>
          <w:tcPr>
            <w:tcW w:type="dxa" w:w="4190"/>
            <w:tcBorders>
              <w:top w:val="none" w:color="000000" w:sz="4"/>
              <w:left w:val="none" w:color="000000" w:sz="4"/>
              <w:bottom w:val="none" w:color="000000" w:sz="4"/>
              <w:right w:val="none" w:color="000000" w:sz="4"/>
            </w:tcBorders>
            <w:vAlign w:val="top"/>
          </w:tcPr>
          <w:p>
            <w:pPr>
              <w:ind w:firstLine="200"/>
              <w:jc w:val="both"/>
            </w:pPr>
            <w:r>
              <w:rPr>
                <w:sz w:val="24"/>
              </w:rPr>
              <w:t>地址</w:t>
            </w:r>
            <w:r>
              <w:rPr>
                <w:sz w:val="24"/>
              </w:rPr>
              <w:t>：</w:t>
            </w:r>
            <w:r>
              <w:rPr>
                <w:sz w:val="24"/>
              </w:rPr>
              <w:t>${乙方地址}</w:t>
            </w:r>
          </w:p>
          <w:p>
            <w:pPr>
              <w:ind w:firstLine="200"/>
              <w:jc w:val="both"/>
            </w:pPr>
          </w:p>
        </w:tc>
      </w:tr>
      <w:tr>
        <w:tc>
          <w:tcPr>
            <w:tcW w:type="dxa" w:w="4116"/>
            <w:tcBorders>
              <w:top w:val="none" w:color="000000" w:sz="4"/>
              <w:left w:val="none" w:color="000000" w:sz="4"/>
              <w:bottom w:val="none" w:color="000000" w:sz="4"/>
              <w:right w:val="none" w:color="000000" w:sz="4"/>
            </w:tcBorders>
            <w:vAlign w:val="top"/>
          </w:tcPr>
          <w:p>
            <w:pPr>
              <w:ind w:firstLine="200"/>
              <w:jc w:val="both"/>
            </w:pPr>
            <w:r>
              <w:rPr>
                <w:sz w:val="24"/>
              </w:rPr>
              <w:t>电话</w:t>
            </w:r>
            <w:r>
              <w:rPr>
                <w:sz w:val="24"/>
              </w:rPr>
              <w:t>：</w:t>
            </w:r>
            <w:r>
              <w:rPr>
                <w:sz w:val="24"/>
              </w:rPr>
              <w:t>0760-88823566</w:t>
            </w:r>
          </w:p>
          <w:p>
            <w:pPr>
              <w:jc w:val="both"/>
            </w:pPr>
          </w:p>
          <w:p>
            <w:pPr>
              <w:ind w:firstLine="240"/>
              <w:jc w:val="both"/>
            </w:pPr>
            <w:r>
              <w:rPr>
                <w:sz w:val="24"/>
              </w:rPr>
              <w:t>开户名称：中山市人民医院</w:t>
            </w:r>
          </w:p>
          <w:p>
            <w:pPr>
              <w:jc w:val="both"/>
            </w:pPr>
          </w:p>
          <w:p>
            <w:pPr>
              <w:jc w:val="both"/>
            </w:pPr>
            <w:r>
              <w:rPr>
                <w:sz w:val="24"/>
              </w:rPr>
              <w:t>银行账户：</w:t>
            </w:r>
            <w:r>
              <w:rPr>
                <w:sz w:val="24"/>
              </w:rPr>
              <w:t>1380 2151 6010 0082 27</w:t>
            </w:r>
          </w:p>
          <w:p>
            <w:pPr>
              <w:jc w:val="both"/>
            </w:pPr>
          </w:p>
          <w:p>
            <w:pPr>
              <w:jc w:val="both"/>
            </w:pPr>
            <w:r>
              <w:rPr>
                <w:sz w:val="24"/>
              </w:rPr>
              <w:t>开户银行：广发银行股份有限公司中山分行</w:t>
            </w:r>
          </w:p>
          <w:p>
            <w:pPr>
              <w:jc w:val="both"/>
            </w:pPr>
          </w:p>
          <w:p>
            <w:pPr>
              <w:ind w:firstLine="200"/>
              <w:jc w:val="both"/>
            </w:pPr>
          </w:p>
        </w:tc>
        <w:tc>
          <w:tcPr>
            <w:tcW w:type="dxa" w:w="4190"/>
            <w:tcBorders>
              <w:top w:val="none" w:color="000000" w:sz="4"/>
              <w:left w:val="none" w:color="000000" w:sz="4"/>
              <w:bottom w:val="none" w:color="000000" w:sz="4"/>
              <w:right w:val="none" w:color="000000" w:sz="4"/>
            </w:tcBorders>
            <w:vAlign w:val="top"/>
          </w:tcPr>
          <w:p>
            <w:pPr>
              <w:ind w:firstLine="200"/>
              <w:jc w:val="both"/>
            </w:pPr>
            <w:r>
              <w:rPr>
                <w:sz w:val="24"/>
              </w:rPr>
              <w:t>电话</w:t>
            </w:r>
            <w:r>
              <w:rPr>
                <w:sz w:val="24"/>
              </w:rPr>
              <w:t>：</w:t>
            </w:r>
            <w:r>
              <w:rPr>
                <w:sz w:val="24"/>
              </w:rPr>
              <w:t>${乙方电话}</w:t>
            </w:r>
          </w:p>
          <w:p>
            <w:pPr>
              <w:jc w:val="both"/>
            </w:pPr>
          </w:p>
          <w:p>
            <w:pPr>
              <w:ind w:firstLine="240"/>
              <w:jc w:val="both"/>
            </w:pPr>
            <w:r>
              <w:rPr>
                <w:sz w:val="24"/>
              </w:rPr>
              <w:t>开户名称：</w:t>
            </w:r>
            <w:r>
              <w:rPr>
                <w:sz w:val="24"/>
              </w:rPr>
              <w:t>$</w:t>
            </w:r>
            <w:r>
              <w:rPr>
                <w:sz w:val="24"/>
              </w:rPr>
              <w:t>{</w:t>
            </w:r>
            <w:r>
              <w:rPr>
                <w:sz w:val="24"/>
              </w:rPr>
              <w:t>乙方开户名称</w:t>
            </w:r>
            <w:r>
              <w:rPr>
                <w:sz w:val="24"/>
              </w:rPr>
              <w:t>}</w:t>
            </w:r>
          </w:p>
          <w:p>
            <w:pPr>
              <w:jc w:val="both"/>
            </w:pPr>
          </w:p>
          <w:p>
            <w:pPr>
              <w:ind w:firstLine="240"/>
              <w:jc w:val="both"/>
            </w:pPr>
            <w:r>
              <w:rPr>
                <w:sz w:val="24"/>
              </w:rPr>
              <w:t>银行账户：</w:t>
            </w:r>
            <w:r>
              <w:rPr>
                <w:sz w:val="24"/>
              </w:rPr>
              <w:t>$</w:t>
            </w:r>
            <w:r>
              <w:rPr>
                <w:sz w:val="24"/>
              </w:rPr>
              <w:t>{</w:t>
            </w:r>
            <w:r>
              <w:rPr>
                <w:sz w:val="24"/>
              </w:rPr>
              <w:t>乙方银行账户</w:t>
            </w:r>
            <w:r>
              <w:rPr>
                <w:sz w:val="24"/>
              </w:rPr>
              <w:t>}</w:t>
            </w:r>
          </w:p>
          <w:p>
            <w:pPr>
              <w:jc w:val="both"/>
            </w:pPr>
          </w:p>
          <w:p>
            <w:pPr>
              <w:jc w:val="both"/>
            </w:pPr>
          </w:p>
          <w:p>
            <w:pPr>
              <w:ind w:firstLine="240"/>
              <w:jc w:val="both"/>
            </w:pPr>
            <w:r>
              <w:rPr>
                <w:sz w:val="24"/>
              </w:rPr>
              <w:t>开户银行：</w:t>
            </w:r>
            <w:r>
              <w:rPr>
                <w:sz w:val="24"/>
              </w:rPr>
              <w:t>${</w:t>
            </w:r>
            <w:r>
              <w:rPr>
                <w:sz w:val="24"/>
              </w:rPr>
              <w:t>乙方开户银行</w:t>
            </w:r>
            <w:r>
              <w:rPr>
                <w:sz w:val="24"/>
              </w:rPr>
              <w:t>}</w:t>
            </w:r>
          </w:p>
          <w:p>
            <w:pPr>
              <w:jc w:val="both"/>
            </w:pPr>
          </w:p>
          <w:p>
            <w:pPr>
              <w:jc w:val="both"/>
            </w:pPr>
          </w:p>
          <w:p>
            <w:pPr>
              <w:ind w:firstLine="240"/>
              <w:jc w:val="both"/>
            </w:pPr>
            <w:r>
              <w:rPr>
                <w:sz w:val="24"/>
              </w:rPr>
              <w:t>联行号：</w:t>
            </w:r>
            <w:r>
              <w:rPr>
                <w:sz w:val="24"/>
              </w:rPr>
              <w:t>$</w:t>
            </w:r>
            <w:r>
              <w:rPr>
                <w:sz w:val="24"/>
              </w:rPr>
              <w:t>{</w:t>
            </w:r>
            <w:r>
              <w:rPr>
                <w:sz w:val="24"/>
              </w:rPr>
              <w:t>乙方联行号</w:t>
            </w:r>
            <w:r>
              <w:rPr>
                <w:sz w:val="24"/>
              </w:rPr>
              <w:t>}</w:t>
            </w:r>
          </w:p>
          <w:p>
            <w:pPr>
              <w:jc w:val="both"/>
            </w:pPr>
          </w:p>
          <w:p>
            <w:pPr>
              <w:ind w:firstLine="200"/>
              <w:jc w:val="both"/>
            </w:pPr>
          </w:p>
        </w:tc>
      </w:tr>
      <w:tr>
        <w:tc>
          <w:tcPr>
            <w:tcW w:type="dxa" w:w="4116"/>
            <w:tcBorders>
              <w:top w:val="none" w:color="000000" w:sz="4"/>
              <w:left w:val="none" w:color="000000" w:sz="4"/>
              <w:bottom w:val="none" w:color="000000" w:sz="4"/>
              <w:right w:val="none" w:color="000000" w:sz="4"/>
            </w:tcBorders>
            <w:vAlign w:val="top"/>
          </w:tcPr>
          <w:p>
            <w:pPr>
              <w:ind w:firstLine="200"/>
              <w:jc w:val="both"/>
            </w:pPr>
            <w:r>
              <w:rPr>
                <w:sz w:val="24"/>
              </w:rPr>
              <w:t>签订日期：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190"/>
            <w:tcBorders>
              <w:top w:val="none" w:color="000000" w:sz="4"/>
              <w:left w:val="none" w:color="000000" w:sz="4"/>
              <w:bottom w:val="none" w:color="000000" w:sz="4"/>
              <w:right w:val="none" w:color="000000" w:sz="4"/>
            </w:tcBorders>
            <w:vAlign w:val="top"/>
          </w:tcPr>
          <w:p>
            <w:pPr>
              <w:ind w:firstLine="200"/>
              <w:jc w:val="both"/>
            </w:pPr>
            <w:r>
              <w:rPr>
                <w:sz w:val="24"/>
              </w:rPr>
              <w:t>签订日期：</w:t>
            </w:r>
            <w:r>
              <w:rPr>
                <w:sz w:val="24"/>
              </w:rPr>
              <w:t xml:space="preserve">   </w:t>
            </w:r>
            <w:r>
              <w:rPr>
                <w:sz w:val="24"/>
              </w:rPr>
              <w:t>年</w:t>
            </w:r>
            <w:r>
              <w:rPr>
                <w:sz w:val="24"/>
              </w:rPr>
              <w:t xml:space="preserve">  </w:t>
            </w:r>
            <w:r>
              <w:rPr>
                <w:sz w:val="24"/>
              </w:rPr>
              <w:t>月</w:t>
            </w:r>
            <w:r>
              <w:rPr>
                <w:sz w:val="24"/>
              </w:rPr>
              <w:t xml:space="preserve">  </w:t>
            </w:r>
            <w:r>
              <w:rPr>
                <w:sz w:val="24"/>
              </w:rPr>
              <w:t>日</w:t>
            </w:r>
          </w:p>
          <w:p>
            <w:pPr>
              <w:ind w:firstLine="200"/>
              <w:jc w:val="both"/>
            </w:pP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442000-2023-00294</w:t>
      </w:r>
    </w:p>
    <w:p>
      <w:pPr>
        <w:jc w:val="center"/>
      </w:pPr>
      <w:r>
        <w:rPr>
          <w:b/>
          <w:sz w:val="24"/>
        </w:rPr>
        <w:t>采购项目编号：</w:t>
      </w:r>
      <w:r>
        <w:rPr>
          <w:b/>
          <w:sz w:val="24"/>
        </w:rPr>
        <w:t>M4400000707017256001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广东省机电设备招标有限公司中山分公司</w:t>
      </w:r>
    </w:p>
    <w:p>
      <w:pPr>
        <w:ind w:firstLine="480"/>
      </w:pPr>
      <w:r>
        <w:rPr/>
        <w:t>你方组织的</w:t>
      </w:r>
      <w:r>
        <w:rPr>
          <w:u w:val="single"/>
        </w:rPr>
        <w:t>“</w:t>
      </w:r>
      <w:r>
        <w:rPr>
          <w:u w:val="single"/>
        </w:rPr>
        <w:t>中山市人民医院高水平国际客座教授远程医疗服务合作项目(二次)</w:t>
      </w:r>
      <w:r>
        <w:rPr>
          <w:u w:val="single"/>
        </w:rPr>
        <w:t>”</w:t>
      </w:r>
      <w:r>
        <w:rPr/>
        <w:t>项目的招标[采购项目编号为：</w:t>
      </w:r>
      <w:r>
        <w:rPr>
          <w:u w:val="single"/>
        </w:rPr>
        <w:t>M4400000707017256001</w:t>
      </w:r>
      <w:r>
        <w:rPr/>
        <w:t>]，我方愿参与投标。</w:t>
      </w:r>
    </w:p>
    <w:p>
      <w:pPr>
        <w:ind w:firstLine="480"/>
      </w:pPr>
      <w:r>
        <w:rPr/>
        <w:t>我方确认收到贵方提供的</w:t>
      </w:r>
      <w:r>
        <w:rPr>
          <w:u w:val="single"/>
        </w:rPr>
        <w:t>“</w:t>
      </w:r>
      <w:r>
        <w:rPr>
          <w:u w:val="single"/>
        </w:rPr>
        <w:t>中山市人民医院高水平国际客座教授远程医疗服务合作项目(二次)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广东省机电设备招标有限公司中山分公司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中山市人民医院高水平国际客座教授远程医疗服务合作项目(二次)</w:t>
      </w:r>
      <w:r>
        <w:rPr/>
        <w:t>”项目采购[采购项目编号为</w:t>
      </w:r>
      <w:r>
        <w:rPr/>
        <w:t>M4400000707017256001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广东省机电设备招标有限公司中山分公司</w:t>
      </w:r>
    </w:p>
    <w:p>
      <w:pPr>
        <w:ind w:firstLine="480"/>
      </w:pPr>
      <w:r>
        <w:rPr/>
        <w:t>如果我方在贵采购代理机构组织的</w:t>
      </w:r>
      <w:r>
        <w:rPr/>
        <w:t>中山市人民医院高水平国际客座教授远程医疗服务合作项目(二次)</w:t>
      </w:r>
      <w:r>
        <w:rPr/>
        <w:t>招标中获中标（采购项目编号：</w:t>
      </w:r>
      <w:r>
        <w:rPr/>
        <w:t>M4400000707017256001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广东省机电设备招标有限公司中山分公司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广东省机电设备招标有限公司中山分公司</w:t>
      </w:r>
    </w:p>
    <w:p>
      <w:pPr>
        <w:ind w:firstLine="480"/>
      </w:pPr>
      <w:r>
        <w:rPr/>
        <w:t>我单位已登记并准备参与“</w:t>
      </w:r>
      <w:r>
        <w:rPr/>
        <w:t>中山市人民医院高水平国际客座教授远程医疗服务合作项目(二次)</w:t>
      </w:r>
      <w:r>
        <w:rPr/>
        <w:t>”项目（采购项目编号：</w:t>
      </w:r>
      <w:r>
        <w:rPr/>
        <w:t>M4400000707017256001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