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440705-2023-00243</w:t>
      </w:r>
    </w:p>
    <w:p>
      <w:pPr>
        <w:jc w:val="center"/>
      </w:pPr>
      <w:r>
        <w:rPr>
          <w:b/>
          <w:sz w:val="24"/>
        </w:rPr>
        <w:t>采购项目编号：</w:t>
      </w:r>
      <w:r>
        <w:rPr>
          <w:b/>
          <w:sz w:val="24"/>
        </w:rPr>
        <w:t>440705-2023-00243</w:t>
      </w:r>
    </w:p>
    <w:p>
      <w:pPr>
        <w:jc w:val="center"/>
      </w:pPr>
      <w:r>
        <w:rPr>
          <w:b/>
          <w:sz w:val="24"/>
        </w:rPr>
        <w:t>项目名称：</w:t>
      </w:r>
      <w:r>
        <w:rPr>
          <w:b/>
          <w:sz w:val="24"/>
        </w:rPr>
        <w:t>江门市公安局新会分局2023-2024年度公务用车定点加油服务项目(二次)</w:t>
      </w:r>
    </w:p>
    <w:p>
      <w:pPr>
        <w:jc w:val="center"/>
      </w:pPr>
      <w:r>
        <w:rPr>
          <w:b/>
          <w:sz w:val="24"/>
        </w:rPr>
        <w:t>采购人：</w:t>
      </w:r>
      <w:r>
        <w:rPr>
          <w:b/>
          <w:sz w:val="24"/>
        </w:rPr>
        <w:t>江门市公安局新会分局</w:t>
      </w:r>
    </w:p>
    <w:p>
      <w:pPr>
        <w:jc w:val="center"/>
      </w:pPr>
      <w:r>
        <w:rPr>
          <w:b/>
          <w:sz w:val="24"/>
        </w:rPr>
        <w:t>采购代理机构：</w:t>
      </w:r>
      <w:r>
        <w:rPr>
          <w:b/>
          <w:sz w:val="24"/>
        </w:rPr>
        <w:t>广东省机电设备招标中心有限公司</w:t>
      </w:r>
    </w:p>
    <w:p>
      <w:pPr>
        <w:ind w:firstLine="480"/>
      </w:pPr>
    </w:p>
    <w:p>
      <w:r>
        <w:rPr/>
        <w:t xml:space="preserve"> </w:t>
      </w:r>
    </w:p>
    <w:p/>
    <w:p>
      <w:pPr>
        <w:jc w:val="center"/>
      </w:pPr>
      <w:r>
        <w:rPr>
          <w:b/>
          <w:sz w:val="36"/>
        </w:rPr>
        <w:t>第一章投标邀请</w:t>
      </w:r>
    </w:p>
    <w:p>
      <w:pPr>
        <w:ind w:firstLine="480"/>
      </w:pPr>
      <w:r>
        <w:rPr/>
        <w:t>广东省机电设备招标中心有限公司</w:t>
      </w:r>
      <w:r>
        <w:rPr/>
        <w:t>受</w:t>
      </w:r>
      <w:r>
        <w:rPr/>
        <w:t>江门市公安局新会分局</w:t>
      </w:r>
      <w:r>
        <w:rPr/>
        <w:t>的委托，采用</w:t>
      </w:r>
      <w:r>
        <w:rPr/>
        <w:t>公开招标</w:t>
      </w:r>
      <w:r>
        <w:rPr/>
        <w:t>方式组织采购</w:t>
      </w:r>
      <w:r>
        <w:rPr/>
        <w:t>江门市公安局新会分局2023-2024年度公务用车定点加油服务项目(二次)</w:t>
      </w:r>
      <w:r>
        <w:rPr/>
        <w:t>。欢迎符合资格条件的国内供应商参加投标。</w:t>
      </w:r>
    </w:p>
    <w:p>
      <w:r>
        <w:rPr>
          <w:b/>
          <w:sz w:val="28"/>
        </w:rPr>
        <w:t>一.项目概述</w:t>
      </w:r>
    </w:p>
    <w:p>
      <w:r>
        <w:rPr>
          <w:b/>
          <w:sz w:val="24"/>
        </w:rPr>
        <w:t>1.名称与编号</w:t>
      </w:r>
    </w:p>
    <w:p>
      <w:pPr>
        <w:ind w:firstLine="480"/>
      </w:pPr>
      <w:r>
        <w:rPr/>
        <w:t>项目名称：</w:t>
      </w:r>
      <w:r>
        <w:rPr/>
        <w:t>江门市公安局新会分局2023-2024年度公务用车定点加油服务项目(二次)</w:t>
      </w:r>
    </w:p>
    <w:p>
      <w:pPr>
        <w:ind w:firstLine="480"/>
      </w:pPr>
      <w:r>
        <w:rPr/>
        <w:t>采购计划编号：</w:t>
      </w:r>
      <w:r>
        <w:rPr/>
        <w:t>440705-2023-00243</w:t>
      </w:r>
    </w:p>
    <w:p>
      <w:pPr>
        <w:ind w:firstLine="480"/>
      </w:pPr>
      <w:r>
        <w:rPr/>
        <w:t>采购项目编号：</w:t>
      </w:r>
      <w:r>
        <w:rPr/>
        <w:t>440705-2023-00243</w:t>
      </w:r>
    </w:p>
    <w:p>
      <w:pPr>
        <w:ind w:firstLine="480"/>
      </w:pPr>
      <w:r>
        <w:rPr/>
        <w:t>采购方式：</w:t>
      </w:r>
      <w:r>
        <w:rPr/>
        <w:t>公开招标</w:t>
      </w:r>
    </w:p>
    <w:p>
      <w:pPr>
        <w:ind w:firstLine="480"/>
      </w:pPr>
      <w:r>
        <w:rPr/>
        <w:t>预算金额：</w:t>
      </w:r>
      <w:r>
        <w:rPr/>
        <w:t>3,890,000.00</w:t>
      </w:r>
      <w:r>
        <w:rPr/>
        <w:t>元</w:t>
      </w:r>
    </w:p>
    <w:p>
      <w:r>
        <w:rPr>
          <w:b/>
          <w:sz w:val="24"/>
        </w:rPr>
        <w:t>2.项目内容及需求情况（采购项目技术规格、参数及要求）</w:t>
      </w:r>
    </w:p>
    <w:p>
      <w:pPr>
        <w:ind w:firstLine="480"/>
      </w:pPr>
    </w:p>
    <w:p/>
    <w:p>
      <w:r>
        <w:rPr/>
        <w:t>采购包1(江门市公安局新会分局2023-2024年度公务用车定点加油服务项目):</w:t>
      </w:r>
    </w:p>
    <w:p>
      <w:r>
        <w:rPr/>
        <w:t>采购包预算金额：3,890,000.00元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车辆加油、添加燃料服务</w:t>
            </w:r>
          </w:p>
        </w:tc>
        <w:tc>
          <w:tcPr>
            <w:tcW w:type="dxa" w:w="2052"/>
          </w:tcPr>
          <w:p>
            <w:r>
              <w:rPr/>
              <w:t>江门市公安局新会分局2023-2024年度公务用车定点加油服务</w:t>
            </w:r>
          </w:p>
        </w:tc>
        <w:tc>
          <w:tcPr>
            <w:tcW w:type="dxa" w:w="977"/>
          </w:tcPr>
          <w:p>
            <w:r>
              <w:rPr/>
              <w:t>1.0000(项)</w:t>
            </w:r>
          </w:p>
        </w:tc>
        <w:tc>
          <w:tcPr>
            <w:tcW w:type="dxa" w:w="977"/>
          </w:tcPr>
          <w:p>
            <w:r>
              <w:rPr/>
              <w:t>详见第二章</w:t>
            </w:r>
          </w:p>
        </w:tc>
        <w:tc>
          <w:tcPr>
            <w:tcW w:type="dxa" w:w="977"/>
          </w:tcPr>
          <w:p>
            <w:r>
              <w:rPr/>
              <w:t>3,890,000.00</w:t>
            </w:r>
          </w:p>
        </w:tc>
        <w:tc>
          <w:tcPr>
            <w:tcW w:type="dxa" w:w="977"/>
          </w:tcPr>
          <w:p>
            <w:r>
              <w:rPr/>
              <w:t>否</w:t>
            </w:r>
          </w:p>
        </w:tc>
      </w:tr>
    </w:tbl>
    <w:p/>
    <w:p>
      <w:r>
        <w:rPr/>
        <w:t>本采购包不接受联合体投标</w:t>
      </w:r>
    </w:p>
    <w:p/>
    <w:p>
      <w:r>
        <w:rPr/>
        <w:t>合同履行期限：自合同生效之日起至合同所约定的全部义务履行完毕之日止。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3）具有良好的商业信誉和健全的财务会计制度：供应商必须具有良好的商业信誉和健全的财务会计制度（提供2021年度财务状况报告，或2022年至今任意一个月的财务报表，或基本开户行出具的资信证明）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采购包1（江门市公安局新会分局2023-2024年度公务用车定点加油服务项目）：</w:t>
      </w:r>
    </w:p>
    <w:p/>
    <w:p>
      <w:r>
        <w:rPr/>
        <w:t>1)供应商应当具有《成品油批发经营批准证书》或《成品油零售经营批准证书》（提供有效的《成品油批发经营批准证书》或《成品油零售经营批准证书》）。</w:t>
      </w:r>
    </w:p>
    <w:p/>
    <w:p>
      <w:r>
        <w:rPr/>
        <w:t>2)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江门市公安局新会分局</w:t>
      </w:r>
    </w:p>
    <w:p>
      <w:pPr>
        <w:ind w:firstLine="480"/>
      </w:pPr>
      <w:r>
        <w:rPr/>
        <w:t>地址：</w:t>
      </w:r>
      <w:r>
        <w:rPr/>
        <w:t>广东省江门市新会区会城三和大道北76号公安指挥大楼</w:t>
      </w:r>
    </w:p>
    <w:p>
      <w:pPr>
        <w:ind w:firstLine="480"/>
      </w:pPr>
      <w:r>
        <w:rPr/>
        <w:t>联系方式：</w:t>
      </w:r>
      <w:r>
        <w:rPr/>
        <w:t>0750-6622636</w:t>
      </w:r>
    </w:p>
    <w:p>
      <w:r>
        <w:rPr>
          <w:b/>
          <w:sz w:val="24"/>
        </w:rPr>
        <w:t>2.采购代理机构信息</w:t>
      </w:r>
    </w:p>
    <w:p>
      <w:pPr>
        <w:ind w:firstLine="480"/>
      </w:pPr>
      <w:r>
        <w:rPr/>
        <w:t>名称：</w:t>
      </w:r>
      <w:r>
        <w:rPr/>
        <w:t>广东省机电设备招标中心有限公司</w:t>
      </w:r>
    </w:p>
    <w:p>
      <w:pPr>
        <w:ind w:firstLine="480"/>
      </w:pPr>
      <w:r>
        <w:rPr/>
        <w:t>地址：</w:t>
      </w:r>
      <w:r>
        <w:rPr/>
        <w:t>广东省广州市越秀区东风中路515号东照大厦5楼</w:t>
      </w:r>
    </w:p>
    <w:p>
      <w:pPr>
        <w:ind w:firstLine="480"/>
      </w:pPr>
      <w:r>
        <w:rPr/>
        <w:t>联系方式：</w:t>
      </w:r>
      <w:r>
        <w:rPr/>
        <w:t>0750-3808281、6188780</w:t>
      </w:r>
    </w:p>
    <w:p>
      <w:r>
        <w:rPr>
          <w:b/>
          <w:sz w:val="24"/>
        </w:rPr>
        <w:t>3.项目联系方式</w:t>
      </w:r>
    </w:p>
    <w:p>
      <w:pPr>
        <w:ind w:firstLine="480"/>
      </w:pPr>
      <w:r>
        <w:rPr/>
        <w:t>项目联系人：</w:t>
      </w:r>
      <w:r>
        <w:rPr/>
        <w:t>张德荣、谭婉瑜、叶琨瑜</w:t>
      </w:r>
    </w:p>
    <w:p>
      <w:pPr>
        <w:ind w:firstLine="480"/>
      </w:pPr>
      <w:r>
        <w:rPr/>
        <w:t>电话：</w:t>
      </w:r>
      <w:r>
        <w:rPr/>
        <w:t>0750-3808281、6188780</w:t>
      </w:r>
    </w:p>
    <w:p>
      <w:r>
        <w:rPr>
          <w:b/>
          <w:sz w:val="24"/>
        </w:rPr>
        <w:t>4.技术支持联系方式</w:t>
      </w:r>
    </w:p>
    <w:p>
      <w:pPr>
        <w:ind w:firstLine="480"/>
      </w:pPr>
      <w:r>
        <w:rPr/>
        <w:t>云平台联系方式：020-88696588</w:t>
      </w:r>
    </w:p>
    <w:p>
      <w:r>
        <w:rPr/>
        <w:t>采购代理机构：</w:t>
      </w:r>
      <w:r>
        <w:rPr/>
        <w:t>广东省机电设备招标中心有限公司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1"/>
        </w:rPr>
        <w:t>1</w:t>
      </w:r>
      <w:r>
        <w:rPr>
          <w:sz w:val="21"/>
        </w:rPr>
        <w:t>、本次采购内容为</w:t>
      </w:r>
      <w:r>
        <w:rPr>
          <w:sz w:val="21"/>
        </w:rPr>
        <w:t>江门市公安局新会分局</w:t>
      </w:r>
      <w:r>
        <w:rPr>
          <w:sz w:val="21"/>
        </w:rPr>
        <w:t>2023-2024</w:t>
      </w:r>
      <w:r>
        <w:rPr>
          <w:sz w:val="21"/>
        </w:rPr>
        <w:t>年度公务用车定点加油服务项目</w:t>
      </w:r>
      <w:r>
        <w:rPr>
          <w:sz w:val="21"/>
        </w:rPr>
        <w:t>，本次采购的加油服务对象为</w:t>
      </w:r>
      <w:r>
        <w:rPr>
          <w:sz w:val="21"/>
        </w:rPr>
        <w:t>江门市公安局新会分局</w:t>
      </w:r>
      <w:r>
        <w:rPr>
          <w:sz w:val="21"/>
        </w:rPr>
        <w:t>公务用车。</w:t>
      </w:r>
      <w:r>
        <w:rPr>
          <w:sz w:val="21"/>
        </w:rPr>
        <w:t>本项目最终确定</w:t>
      </w:r>
      <w:r>
        <w:rPr>
          <w:sz w:val="21"/>
        </w:rPr>
        <w:t>1</w:t>
      </w:r>
      <w:r>
        <w:rPr>
          <w:sz w:val="21"/>
        </w:rPr>
        <w:t>家供应商为中标供应商。服务期限为</w:t>
      </w:r>
      <w:r>
        <w:rPr>
          <w:sz w:val="21"/>
        </w:rPr>
        <w:t>1</w:t>
      </w:r>
      <w:r>
        <w:rPr>
          <w:sz w:val="21"/>
        </w:rPr>
        <w:t>年，</w:t>
      </w:r>
      <w:r>
        <w:rPr>
          <w:sz w:val="21"/>
        </w:rPr>
        <w:t>从合同签订生效之日开始计算</w:t>
      </w:r>
      <w:r>
        <w:rPr>
          <w:sz w:val="21"/>
        </w:rPr>
        <w:t>。中标供应商取得了中标资格并不意味实际业务量已经产生，采购人无法预计也无法保证将来的业务数量，中标单位必须服从采购人的安排。</w:t>
      </w:r>
    </w:p>
    <w:p>
      <w:pPr>
        <w:ind w:firstLine="480"/>
        <w:jc w:val="both"/>
      </w:pPr>
      <w:r>
        <w:rPr>
          <w:sz w:val="21"/>
        </w:rPr>
        <w:t>2</w:t>
      </w:r>
      <w:r>
        <w:rPr>
          <w:sz w:val="21"/>
        </w:rPr>
        <w:t>、油品包括：</w:t>
      </w:r>
      <w:r>
        <w:rPr>
          <w:sz w:val="21"/>
        </w:rPr>
        <w:t>98</w:t>
      </w:r>
      <w:r>
        <w:rPr>
          <w:sz w:val="21"/>
        </w:rPr>
        <w:t>号汽油、</w:t>
      </w:r>
      <w:r>
        <w:rPr>
          <w:sz w:val="21"/>
        </w:rPr>
        <w:t>95</w:t>
      </w:r>
      <w:r>
        <w:rPr>
          <w:sz w:val="21"/>
        </w:rPr>
        <w:t>号汽油、</w:t>
      </w:r>
      <w:r>
        <w:rPr>
          <w:sz w:val="21"/>
        </w:rPr>
        <w:t>92</w:t>
      </w:r>
      <w:r>
        <w:rPr>
          <w:sz w:val="21"/>
        </w:rPr>
        <w:t>号汽油、</w:t>
      </w:r>
      <w:r>
        <w:rPr>
          <w:sz w:val="21"/>
        </w:rPr>
        <w:t>0</w:t>
      </w:r>
      <w:r>
        <w:rPr>
          <w:sz w:val="21"/>
        </w:rPr>
        <w:t>号柴油。</w:t>
      </w:r>
    </w:p>
    <w:p>
      <w:pPr>
        <w:ind w:firstLine="480"/>
        <w:jc w:val="both"/>
      </w:pPr>
      <w:r>
        <w:rPr>
          <w:sz w:val="21"/>
        </w:rPr>
        <w:t>3</w:t>
      </w:r>
      <w:r>
        <w:rPr>
          <w:sz w:val="21"/>
        </w:rPr>
        <w:t>、</w:t>
      </w:r>
      <w:r>
        <w:rPr>
          <w:sz w:val="21"/>
        </w:rPr>
        <w:t>使用部门</w:t>
      </w:r>
    </w:p>
    <w:tbl>
      <w:tblPr>
        <w:tblW w:w="0" w:type="auto"/>
        <w:tblBorders>
          <w:top w:val="none" w:color="000000" w:sz="4"/>
          <w:left w:val="none" w:color="000000" w:sz="4"/>
          <w:bottom w:val="none" w:color="000000" w:sz="4"/>
          <w:right w:val="none" w:color="000000" w:sz="4"/>
          <w:insideH w:val="none"/>
          <w:insideV w:val="none"/>
        </w:tblBorders>
      </w:tblPr>
      <w:tblGrid>
        <w:gridCol w:w="1038"/>
        <w:gridCol w:w="1038"/>
        <w:gridCol w:w="1038"/>
        <w:gridCol w:w="1038"/>
        <w:gridCol w:w="1038"/>
        <w:gridCol w:w="1038"/>
        <w:gridCol w:w="1038"/>
        <w:gridCol w:w="1038"/>
      </w:tblGrid>
      <w:tr>
        <w:tc>
          <w:tcPr>
            <w:tcW w:type="dxa" w:w="1038"/>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1038"/>
            <w:tcBorders>
              <w:top w:val="single" w:color="000000" w:sz="4"/>
              <w:left w:val="none" w:color="000000" w:sz="4"/>
              <w:bottom w:val="single" w:color="000000" w:sz="4"/>
              <w:right w:val="single" w:color="000000" w:sz="4"/>
            </w:tcBorders>
            <w:shd w:fill="FFFFFF"/>
            <w:vAlign w:val="top"/>
          </w:tcPr>
          <w:p>
            <w:pPr>
              <w:jc w:val="center"/>
            </w:pPr>
            <w:r>
              <w:rPr>
                <w:b/>
                <w:sz w:val="21"/>
              </w:rPr>
              <w:t>部门名称</w:t>
            </w:r>
          </w:p>
        </w:tc>
        <w:tc>
          <w:tcPr>
            <w:tcW w:type="dxa" w:w="1038"/>
            <w:tcBorders>
              <w:top w:val="single" w:color="000000" w:sz="4"/>
              <w:left w:val="none" w:color="000000" w:sz="4"/>
              <w:bottom w:val="single" w:color="000000" w:sz="4"/>
              <w:right w:val="single" w:color="000000" w:sz="4"/>
            </w:tcBorders>
            <w:shd w:fill="FFFFFF"/>
            <w:vAlign w:val="top"/>
          </w:tcPr>
          <w:p>
            <w:pPr>
              <w:jc w:val="center"/>
            </w:pPr>
            <w:r>
              <w:rPr>
                <w:b/>
                <w:sz w:val="21"/>
              </w:rPr>
              <w:t>序</w:t>
            </w:r>
          </w:p>
          <w:p>
            <w:pPr>
              <w:jc w:val="center"/>
            </w:pPr>
            <w:r>
              <w:rPr>
                <w:b/>
                <w:sz w:val="21"/>
              </w:rPr>
              <w:t>号</w:t>
            </w:r>
          </w:p>
        </w:tc>
        <w:tc>
          <w:tcPr>
            <w:tcW w:type="dxa" w:w="1038"/>
            <w:tcBorders>
              <w:top w:val="single" w:color="000000" w:sz="4"/>
              <w:left w:val="none" w:color="000000" w:sz="4"/>
              <w:bottom w:val="single" w:color="000000" w:sz="4"/>
              <w:right w:val="single" w:color="000000" w:sz="4"/>
            </w:tcBorders>
            <w:shd w:fill="FFFFFF"/>
            <w:vAlign w:val="top"/>
          </w:tcPr>
          <w:p>
            <w:pPr>
              <w:jc w:val="center"/>
            </w:pPr>
            <w:r>
              <w:rPr>
                <w:b/>
                <w:sz w:val="21"/>
              </w:rPr>
              <w:t>部门名称</w:t>
            </w:r>
          </w:p>
        </w:tc>
        <w:tc>
          <w:tcPr>
            <w:tcW w:type="dxa" w:w="1038"/>
            <w:tcBorders>
              <w:top w:val="single" w:color="000000" w:sz="4"/>
              <w:left w:val="none" w:color="000000" w:sz="4"/>
              <w:bottom w:val="single" w:color="000000" w:sz="4"/>
              <w:right w:val="single" w:color="000000" w:sz="4"/>
            </w:tcBorders>
            <w:shd w:fill="FFFFFF"/>
            <w:vAlign w:val="top"/>
          </w:tcPr>
          <w:p>
            <w:pPr>
              <w:jc w:val="center"/>
            </w:pPr>
            <w:r>
              <w:rPr>
                <w:b/>
                <w:sz w:val="21"/>
              </w:rPr>
              <w:t>序</w:t>
            </w:r>
          </w:p>
          <w:p>
            <w:pPr>
              <w:jc w:val="center"/>
            </w:pPr>
            <w:r>
              <w:rPr>
                <w:b/>
                <w:sz w:val="21"/>
              </w:rPr>
              <w:t>号</w:t>
            </w:r>
          </w:p>
        </w:tc>
        <w:tc>
          <w:tcPr>
            <w:tcW w:type="dxa" w:w="1038"/>
            <w:tcBorders>
              <w:top w:val="single" w:color="000000" w:sz="4"/>
              <w:left w:val="none" w:color="000000" w:sz="4"/>
              <w:bottom w:val="single" w:color="000000" w:sz="4"/>
              <w:right w:val="single" w:color="000000" w:sz="4"/>
            </w:tcBorders>
            <w:shd w:fill="FFFFFF"/>
            <w:vAlign w:val="top"/>
          </w:tcPr>
          <w:p>
            <w:pPr>
              <w:jc w:val="center"/>
            </w:pPr>
            <w:r>
              <w:rPr>
                <w:b/>
                <w:sz w:val="21"/>
              </w:rPr>
              <w:t>部门名称</w:t>
            </w:r>
          </w:p>
        </w:tc>
        <w:tc>
          <w:tcPr>
            <w:tcW w:type="dxa" w:w="1038"/>
            <w:tcBorders>
              <w:top w:val="single" w:color="000000" w:sz="4"/>
              <w:left w:val="none" w:color="000000" w:sz="4"/>
              <w:bottom w:val="single" w:color="000000" w:sz="4"/>
              <w:right w:val="single" w:color="000000" w:sz="4"/>
            </w:tcBorders>
            <w:shd w:fill="FFFFFF"/>
            <w:vAlign w:val="top"/>
          </w:tcPr>
          <w:p>
            <w:pPr>
              <w:jc w:val="center"/>
            </w:pPr>
            <w:r>
              <w:rPr>
                <w:b/>
                <w:sz w:val="21"/>
              </w:rPr>
              <w:t>序</w:t>
            </w:r>
          </w:p>
          <w:p>
            <w:pPr>
              <w:jc w:val="center"/>
            </w:pPr>
            <w:r>
              <w:rPr>
                <w:b/>
                <w:sz w:val="21"/>
              </w:rPr>
              <w:t>号</w:t>
            </w:r>
          </w:p>
        </w:tc>
        <w:tc>
          <w:tcPr>
            <w:tcW w:type="dxa" w:w="1038"/>
            <w:tcBorders>
              <w:top w:val="single" w:color="000000" w:sz="4"/>
              <w:left w:val="none" w:color="000000" w:sz="4"/>
              <w:bottom w:val="single" w:color="000000" w:sz="4"/>
              <w:right w:val="single" w:color="000000" w:sz="4"/>
            </w:tcBorders>
            <w:shd w:fill="FFFFFF"/>
            <w:vAlign w:val="top"/>
          </w:tcPr>
          <w:p>
            <w:pPr>
              <w:jc w:val="center"/>
            </w:pPr>
            <w:r>
              <w:rPr>
                <w:b/>
                <w:sz w:val="21"/>
              </w:rPr>
              <w:t>部门名称</w:t>
            </w:r>
          </w:p>
        </w:tc>
      </w:tr>
      <w:tr>
        <w:tc>
          <w:tcPr>
            <w:tcW w:type="dxa" w:w="1038"/>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分局机关</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8</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巡警大队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15</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食药环大队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22</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三和派出所</w:t>
            </w:r>
          </w:p>
        </w:tc>
      </w:tr>
      <w:tr>
        <w:tc>
          <w:tcPr>
            <w:tcW w:type="dxa" w:w="1038"/>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技侦大队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9</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治安大队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16</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中心派出所</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23</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今古州派出所</w:t>
            </w:r>
          </w:p>
        </w:tc>
      </w:tr>
      <w:tr>
        <w:tc>
          <w:tcPr>
            <w:tcW w:type="dxa" w:w="1038"/>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特警大队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国保大队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17</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河南派出所</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24</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七堡派出所</w:t>
            </w:r>
          </w:p>
        </w:tc>
      </w:tr>
      <w:tr>
        <w:tc>
          <w:tcPr>
            <w:tcW w:type="dxa" w:w="103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看守所</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11</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经侦大队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18</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北门派出所</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25</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银洲湖派出所</w:t>
            </w:r>
          </w:p>
        </w:tc>
      </w:tr>
      <w:tr>
        <w:tc>
          <w:tcPr>
            <w:tcW w:type="dxa" w:w="1038"/>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戒毒所</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12</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出入境大队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19</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环城派出所</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26</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新南派出所</w:t>
            </w:r>
          </w:p>
        </w:tc>
      </w:tr>
      <w:tr>
        <w:tc>
          <w:tcPr>
            <w:tcW w:type="dxa" w:w="1038"/>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刑侦大队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13</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网警大队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20</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浐湾派出所</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27</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新会水上派出所</w:t>
            </w:r>
          </w:p>
        </w:tc>
      </w:tr>
      <w:tr>
        <w:tc>
          <w:tcPr>
            <w:tcW w:type="dxa" w:w="1038"/>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交警大队及属下各中队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14</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缉毒大队</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21</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都会派出所</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28</w:t>
            </w:r>
          </w:p>
        </w:tc>
        <w:tc>
          <w:tcPr>
            <w:tcW w:type="dxa" w:w="1038"/>
            <w:tcBorders>
              <w:top w:val="none" w:color="000000" w:sz="4"/>
              <w:left w:val="none" w:color="000000" w:sz="4"/>
              <w:bottom w:val="single" w:color="000000" w:sz="4"/>
              <w:right w:val="single" w:color="000000" w:sz="4"/>
            </w:tcBorders>
            <w:shd w:fill="FFFFFF"/>
            <w:vAlign w:val="top"/>
          </w:tcPr>
          <w:p>
            <w:pPr>
              <w:jc w:val="center"/>
            </w:pPr>
            <w:r>
              <w:rPr>
                <w:sz w:val="21"/>
              </w:rPr>
              <w:t>新会派出所</w:t>
            </w:r>
          </w:p>
        </w:tc>
      </w:tr>
    </w:tbl>
    <w:p/>
    <w:p>
      <w:pPr>
        <w:ind w:firstLine="480"/>
      </w:pPr>
    </w:p>
    <w:p/>
    <w:p>
      <w:r>
        <w:rPr/>
        <w:t>采购包1（江门市公安局新会分局2023-2024年度公务用车定点加油服务项目）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项目的服务期为1年，从合同签订生效之日开始计算；若合同服务期限届满前，本项目实际结算费用总计已达项目预算总金额，则服务期限提前终止。在服务期限内，江门市公安局新会分局公务用车加油服务由本项目的中标供应商提供。</w:t>
            </w:r>
          </w:p>
        </w:tc>
      </w:tr>
      <w:tr>
        <w:tc>
          <w:tcPr>
            <w:tcW w:type="dxa" w:w="4153"/>
          </w:tcPr>
          <w:p>
            <w:r>
              <w:rPr/>
              <w:t>标的提供的地点</w:t>
            </w:r>
          </w:p>
        </w:tc>
        <w:tc>
          <w:tcPr>
            <w:tcW w:type="dxa" w:w="4153"/>
          </w:tcPr>
          <w:p/>
          <w:p>
            <w:r>
              <w:rPr/>
              <w:t>采购人指定地点（以合同为准）。</w:t>
            </w:r>
          </w:p>
        </w:tc>
      </w:tr>
      <w:tr>
        <w:tc>
          <w:tcPr>
            <w:tcW w:type="dxa" w:w="4153"/>
          </w:tcPr>
          <w:p>
            <w:r>
              <w:rPr/>
              <w:t>付款方式</w:t>
            </w:r>
          </w:p>
        </w:tc>
        <w:tc>
          <w:tcPr>
            <w:tcW w:type="dxa" w:w="4153"/>
          </w:tcPr>
          <w:p/>
          <w:p/>
          <w:p>
            <w:r>
              <w:rPr/>
              <w:t>1期：支付比例100%,按次结算。服务期内，公务用车加油结算价根据国家发改委发布的最新一轮成品油零售价格及中标供应商的中标折扣率进行结算，采购人将通过专用的加油卡对相应的公务用车用油价格进行结算支付。公务用车加油结算价=国家发改委发布的最新一轮各相应油品成品油零售价格×加油数量×中标折扣率。本项目公务用车加油结算总价格为服务期内所有公务用车加油结算价之和，按实结算。      注：以上结算方式仅供参考，如在项目实行中有其他结算方式将另外约定。因采购人使用的是财政资金，采购人在前款规定的付款时间仅为向政府采购支付部门提出办理财政支付申请手续的时间（不含政府财政支付部门审核的时间），在规定时间内提出支付申请手续后即视为采购人已经按期支付，实际付款到账时间及金额以支付单位支付时间及金额为准，采购人不承担任何逾期付款的违约责任</w:t>
            </w:r>
          </w:p>
        </w:tc>
      </w:tr>
      <w:tr>
        <w:tc>
          <w:tcPr>
            <w:tcW w:type="dxa" w:w="4153"/>
          </w:tcPr>
          <w:p>
            <w:r>
              <w:rPr/>
              <w:t>验收要求</w:t>
            </w:r>
          </w:p>
        </w:tc>
        <w:tc>
          <w:tcPr>
            <w:tcW w:type="dxa" w:w="4153"/>
          </w:tcPr>
          <w:p/>
          <w:p/>
          <w:p/>
          <w:p>
            <w:r>
              <w:rPr/>
              <w:t>1期：投标人提供的燃油必须符合国家质量认证标准和安全环保标准。如双方对燃油质量发生争议，可将货物送至具有资质的质量检测机构检测，若检测结果合格，检测费用由采购人支付；若检测不合格，则检测费由中标人支付</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本项目采用折扣率报价（单位：%）的方式，在折扣率报价允许范围（0.00%至100.00%）内进行投标报价，且投标折扣率必须为固定数值，精确到小数点后2位，不接受区间报价（如“80.00%至90.00%”），凡超过投标折扣率范围的投标报价均视为无效投标。 （2）投标人的投标折扣率在服务期内不能作出改变，投标人应充分考虑市场价格在供应服务资格有效期内浮动的风险。</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车辆加油、添加燃料服务</w:t>
            </w:r>
          </w:p>
        </w:tc>
        <w:tc>
          <w:tcPr>
            <w:tcW w:type="dxa" w:w="831"/>
          </w:tcPr>
          <w:p>
            <w:pPr>
              <w:jc w:val="left"/>
            </w:pPr>
            <w:r>
              <w:rPr/>
              <w:t>江门市公安局新会分局2023-2024年度公务用车定点加油服务</w:t>
            </w:r>
          </w:p>
        </w:tc>
        <w:tc>
          <w:tcPr>
            <w:tcW w:type="dxa" w:w="831"/>
          </w:tcPr>
          <w:p>
            <w:pPr>
              <w:jc w:val="left"/>
            </w:pPr>
            <w:r>
              <w:rPr/>
              <w:t>项</w:t>
            </w:r>
          </w:p>
        </w:tc>
        <w:tc>
          <w:tcPr>
            <w:tcW w:type="dxa" w:w="831"/>
          </w:tcPr>
          <w:p>
            <w:pPr>
              <w:jc w:val="right"/>
            </w:pPr>
            <w:r>
              <w:rPr/>
              <w:t>1.00</w:t>
            </w:r>
          </w:p>
        </w:tc>
        <w:tc>
          <w:tcPr>
            <w:tcW w:type="dxa" w:w="831"/>
          </w:tcPr>
          <w:p>
            <w:pPr>
              <w:jc w:val="right"/>
            </w:pPr>
            <w:r>
              <w:rPr/>
              <w:t>3,890,000.00</w:t>
            </w:r>
          </w:p>
        </w:tc>
        <w:tc>
          <w:tcPr>
            <w:tcW w:type="dxa" w:w="831"/>
          </w:tcPr>
          <w:p>
            <w:pPr>
              <w:jc w:val="right"/>
            </w:pPr>
            <w:r>
              <w:rPr/>
              <w:t>3,890,000.00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江门市公安局新会分局2023-2024年度公务用车定点加油服务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中标供应商必须在投标文件中提供公务用车加油服务的人员及业务开展管理办法（内容包括但不限于：开卡流程、加油流程、对账流程、挂失流程、监督流程及应急处理流程等）。在管理办法中详细说明公务用车加油的具体操作。</w:t>
            </w:r>
          </w:p>
        </w:tc>
      </w:tr>
      <w:tr>
        <w:tc>
          <w:tcPr>
            <w:tcW w:type="dxa" w:w="2076"/>
          </w:tcPr>
          <w:p/>
        </w:tc>
        <w:tc>
          <w:tcPr>
            <w:tcW w:type="dxa" w:w="415"/>
          </w:tcPr>
          <w:p>
            <w:r>
              <w:rPr/>
              <w:t>2</w:t>
            </w:r>
          </w:p>
        </w:tc>
        <w:tc>
          <w:tcPr>
            <w:tcW w:type="dxa" w:w="5814"/>
          </w:tcPr>
          <w:p>
            <w:pPr>
              <w:jc w:val="both"/>
            </w:pPr>
            <w:r>
              <w:rPr>
                <w:sz w:val="21"/>
              </w:rPr>
              <w:t>（二）中标供应商必须承诺若中标后将成立专门机构，并指定专人负责管理公务用车的加油工作，并向采购人提供</w:t>
            </w:r>
            <w:r>
              <w:rPr>
                <w:sz w:val="21"/>
              </w:rPr>
              <w:t>7</w:t>
            </w:r>
            <w:r>
              <w:rPr>
                <w:sz w:val="21"/>
              </w:rPr>
              <w:t>×</w:t>
            </w:r>
            <w:r>
              <w:rPr>
                <w:sz w:val="21"/>
              </w:rPr>
              <w:t>24</w:t>
            </w:r>
            <w:r>
              <w:rPr>
                <w:sz w:val="21"/>
              </w:rPr>
              <w:t>小时的加油服务。相关承诺应通过承诺函的形式在投标文件中提供，格式自拟。</w:t>
            </w:r>
          </w:p>
        </w:tc>
      </w:tr>
      <w:tr>
        <w:tc>
          <w:tcPr>
            <w:tcW w:type="dxa" w:w="2076"/>
          </w:tcPr>
          <w:p/>
        </w:tc>
        <w:tc>
          <w:tcPr>
            <w:tcW w:type="dxa" w:w="415"/>
          </w:tcPr>
          <w:p>
            <w:r>
              <w:rPr/>
              <w:t>3</w:t>
            </w:r>
          </w:p>
        </w:tc>
        <w:tc>
          <w:tcPr>
            <w:tcW w:type="dxa" w:w="5814"/>
          </w:tcPr>
          <w:p>
            <w:pPr>
              <w:jc w:val="both"/>
            </w:pPr>
            <w:r>
              <w:rPr>
                <w:sz w:val="21"/>
              </w:rPr>
              <w:t>（三）中标供应商承诺有稳定油源渠道，保证油品的质量，保证做到任何情况下不停供、不断油，不销售不合格产品，不掺杂使假，不短斤少两。相关承诺应通过承诺函的形式在投标文件中提供，格式自拟。</w:t>
            </w:r>
          </w:p>
        </w:tc>
      </w:tr>
      <w:tr>
        <w:tc>
          <w:tcPr>
            <w:tcW w:type="dxa" w:w="2076"/>
          </w:tcPr>
          <w:p/>
        </w:tc>
        <w:tc>
          <w:tcPr>
            <w:tcW w:type="dxa" w:w="415"/>
          </w:tcPr>
          <w:p>
            <w:r>
              <w:rPr/>
              <w:t>4</w:t>
            </w:r>
          </w:p>
        </w:tc>
        <w:tc>
          <w:tcPr>
            <w:tcW w:type="dxa" w:w="5814"/>
          </w:tcPr>
          <w:p>
            <w:pPr>
              <w:jc w:val="both"/>
            </w:pPr>
            <w:r>
              <w:rPr>
                <w:sz w:val="21"/>
              </w:rPr>
              <w:t>（四）中标供应商应认真做好安全生产，落实防火安全责任制，防雷设施管理，确保加油车辆的安全。</w:t>
            </w:r>
          </w:p>
        </w:tc>
      </w:tr>
      <w:tr>
        <w:tc>
          <w:tcPr>
            <w:tcW w:type="dxa" w:w="2076"/>
          </w:tcPr>
          <w:p/>
        </w:tc>
        <w:tc>
          <w:tcPr>
            <w:tcW w:type="dxa" w:w="415"/>
          </w:tcPr>
          <w:p>
            <w:r>
              <w:rPr/>
              <w:t>5</w:t>
            </w:r>
          </w:p>
        </w:tc>
        <w:tc>
          <w:tcPr>
            <w:tcW w:type="dxa" w:w="5814"/>
          </w:tcPr>
          <w:p>
            <w:pPr>
              <w:jc w:val="both"/>
            </w:pPr>
            <w:r>
              <w:rPr>
                <w:sz w:val="21"/>
              </w:rPr>
              <w:t>（五）中标供应商应根据由车属单位提供且经</w:t>
            </w:r>
            <w:r>
              <w:rPr>
                <w:sz w:val="21"/>
              </w:rPr>
              <w:t>采购人</w:t>
            </w:r>
            <w:r>
              <w:rPr>
                <w:sz w:val="21"/>
              </w:rPr>
              <w:t>复核的加油卡申办资料为公务用车开设加油专用卡。同一单位的每辆公务用车只能开设一张加油专用卡。</w:t>
            </w:r>
          </w:p>
        </w:tc>
      </w:tr>
      <w:tr>
        <w:tc>
          <w:tcPr>
            <w:tcW w:type="dxa" w:w="2076"/>
          </w:tcPr>
          <w:p/>
        </w:tc>
        <w:tc>
          <w:tcPr>
            <w:tcW w:type="dxa" w:w="415"/>
          </w:tcPr>
          <w:p>
            <w:r>
              <w:rPr/>
              <w:t>6</w:t>
            </w:r>
          </w:p>
        </w:tc>
        <w:tc>
          <w:tcPr>
            <w:tcW w:type="dxa" w:w="5814"/>
          </w:tcPr>
          <w:p>
            <w:pPr>
              <w:jc w:val="both"/>
            </w:pPr>
            <w:r>
              <w:rPr>
                <w:sz w:val="21"/>
              </w:rPr>
              <w:t>（六）加油专用卡应记录车牌号码、车属单位名称等内容，只能用于定点加油站加油，不得用于支付加油以外的其他任何消费。</w:t>
            </w:r>
          </w:p>
        </w:tc>
      </w:tr>
      <w:tr>
        <w:tc>
          <w:tcPr>
            <w:tcW w:type="dxa" w:w="2076"/>
          </w:tcPr>
          <w:p/>
        </w:tc>
        <w:tc>
          <w:tcPr>
            <w:tcW w:type="dxa" w:w="415"/>
          </w:tcPr>
          <w:p>
            <w:r>
              <w:rPr/>
              <w:t>7</w:t>
            </w:r>
          </w:p>
        </w:tc>
        <w:tc>
          <w:tcPr>
            <w:tcW w:type="dxa" w:w="5814"/>
          </w:tcPr>
          <w:p>
            <w:pPr>
              <w:jc w:val="both"/>
            </w:pPr>
            <w:r>
              <w:rPr>
                <w:sz w:val="21"/>
              </w:rPr>
              <w:t>（七）定点加油站在受理专用卡加油时，必须核对车牌号码与加油专用卡所记载的车牌号码是否一致。</w:t>
            </w:r>
          </w:p>
        </w:tc>
      </w:tr>
      <w:tr>
        <w:tc>
          <w:tcPr>
            <w:tcW w:type="dxa" w:w="2076"/>
          </w:tcPr>
          <w:p/>
        </w:tc>
        <w:tc>
          <w:tcPr>
            <w:tcW w:type="dxa" w:w="415"/>
          </w:tcPr>
          <w:p>
            <w:r>
              <w:rPr/>
              <w:t>8</w:t>
            </w:r>
          </w:p>
        </w:tc>
        <w:tc>
          <w:tcPr>
            <w:tcW w:type="dxa" w:w="5814"/>
          </w:tcPr>
          <w:p>
            <w:pPr>
              <w:jc w:val="both"/>
            </w:pPr>
            <w:r>
              <w:rPr>
                <w:sz w:val="21"/>
              </w:rPr>
              <w:t>（八）公务用车的加油费用必须使用加油专用卡进行结算，中标供应商不得通过现金方式与采购人结算。</w:t>
            </w:r>
          </w:p>
        </w:tc>
      </w:tr>
      <w:tr>
        <w:tc>
          <w:tcPr>
            <w:tcW w:type="dxa" w:w="2076"/>
          </w:tcPr>
          <w:p>
            <w:r>
              <w:rPr/>
              <w:t>★</w:t>
            </w:r>
          </w:p>
        </w:tc>
        <w:tc>
          <w:tcPr>
            <w:tcW w:type="dxa" w:w="415"/>
          </w:tcPr>
          <w:p>
            <w:r>
              <w:rPr/>
              <w:t>9</w:t>
            </w:r>
          </w:p>
        </w:tc>
        <w:tc>
          <w:tcPr>
            <w:tcW w:type="dxa" w:w="5814"/>
          </w:tcPr>
          <w:p>
            <w:r>
              <w:rPr/>
              <w:t>（九）为满足采购人出警、执行紧急任务等实际需求，投标人加油站点的辐射范围满足15分钟内可到达采购人及每一下属使用部门（部门名单详见项目概况中使用部门内容）（提供承诺函，格式自拟，并提供相应各加油站点详细地址、百度或高德地图、油品油枪数目情况、对应使用部门区域等佐证材料）。</w:t>
            </w:r>
          </w:p>
        </w:tc>
      </w:tr>
      <w:tr>
        <w:tc>
          <w:tcPr>
            <w:tcW w:type="dxa" w:w="2076"/>
          </w:tcPr>
          <w:p/>
        </w:tc>
        <w:tc>
          <w:tcPr>
            <w:tcW w:type="dxa" w:w="415"/>
          </w:tcPr>
          <w:p>
            <w:r>
              <w:rPr/>
              <w:t>10</w:t>
            </w:r>
          </w:p>
        </w:tc>
        <w:tc>
          <w:tcPr>
            <w:tcW w:type="dxa" w:w="5814"/>
          </w:tcPr>
          <w:p>
            <w:pPr>
              <w:jc w:val="both"/>
            </w:pPr>
            <w:r>
              <w:rPr>
                <w:sz w:val="21"/>
              </w:rPr>
              <w:t>（</w:t>
            </w:r>
            <w:r>
              <w:rPr>
                <w:sz w:val="21"/>
              </w:rPr>
              <w:t>十</w:t>
            </w:r>
            <w:r>
              <w:rPr>
                <w:sz w:val="21"/>
              </w:rPr>
              <w:t>）服务要求</w:t>
            </w:r>
          </w:p>
          <w:p>
            <w:pPr>
              <w:ind w:firstLine="480"/>
              <w:jc w:val="both"/>
            </w:pPr>
            <w:r>
              <w:rPr>
                <w:sz w:val="21"/>
              </w:rPr>
              <w:t>（</w:t>
            </w:r>
            <w:r>
              <w:rPr>
                <w:sz w:val="21"/>
              </w:rPr>
              <w:t>1</w:t>
            </w:r>
            <w:r>
              <w:rPr>
                <w:sz w:val="21"/>
              </w:rPr>
              <w:t>）</w:t>
            </w:r>
            <w:r>
              <w:rPr>
                <w:sz w:val="21"/>
              </w:rPr>
              <w:t>投标人所提供的燃油油品质量必须达到国家相关标准及要求，须提供有效的油品来源证明文件，严禁提供假冒伪劣、过期变质物资，如因油质问题，致使采购人车辆部件损坏，中标人应无条件赔偿采购人所受到的损失，同时采购人有权单方终止采购合同。</w:t>
            </w:r>
          </w:p>
          <w:p>
            <w:pPr>
              <w:ind w:firstLine="480"/>
              <w:jc w:val="both"/>
            </w:pPr>
            <w:r>
              <w:rPr>
                <w:sz w:val="21"/>
              </w:rPr>
              <w:t>（</w:t>
            </w:r>
            <w:r>
              <w:rPr>
                <w:sz w:val="21"/>
              </w:rPr>
              <w:t>2</w:t>
            </w:r>
            <w:r>
              <w:rPr>
                <w:sz w:val="21"/>
              </w:rPr>
              <w:t>）</w:t>
            </w:r>
            <w:r>
              <w:rPr>
                <w:sz w:val="21"/>
              </w:rPr>
              <w:t>投标人加油设备必须通过质量技术监督局计量部门监测，保证加油机油量符合国家计量标准。若出现短斤少两或其他数据造假的，中标人应支付当月所供应油量总价款的</w:t>
            </w:r>
            <w:r>
              <w:rPr>
                <w:sz w:val="21"/>
              </w:rPr>
              <w:t>200%</w:t>
            </w:r>
            <w:r>
              <w:rPr>
                <w:sz w:val="21"/>
              </w:rPr>
              <w:t>作为违约金赔偿，同时采购人有权单方终止采购合同。</w:t>
            </w:r>
          </w:p>
          <w:p>
            <w:pPr>
              <w:ind w:firstLine="480"/>
              <w:jc w:val="both"/>
            </w:pPr>
            <w:r>
              <w:rPr>
                <w:sz w:val="21"/>
              </w:rPr>
              <w:t>（</w:t>
            </w:r>
            <w:r>
              <w:rPr>
                <w:sz w:val="21"/>
              </w:rPr>
              <w:t>3</w:t>
            </w:r>
            <w:r>
              <w:rPr>
                <w:sz w:val="21"/>
              </w:rPr>
              <w:t>）</w:t>
            </w:r>
            <w:r>
              <w:rPr>
                <w:sz w:val="21"/>
              </w:rPr>
              <w:t>投标人须标明加油站详细地址、地图、经营面积、油枪数目、投标对应区域、距离</w:t>
            </w:r>
            <w:r>
              <w:rPr>
                <w:sz w:val="21"/>
              </w:rPr>
              <w:t>江门市公安局新会分局</w:t>
            </w:r>
            <w:r>
              <w:rPr>
                <w:sz w:val="21"/>
              </w:rPr>
              <w:t>实际驾车里程。</w:t>
            </w:r>
          </w:p>
          <w:p>
            <w:pPr>
              <w:ind w:firstLine="480"/>
              <w:jc w:val="both"/>
            </w:pPr>
            <w:r>
              <w:rPr>
                <w:sz w:val="21"/>
              </w:rPr>
              <w:t>（</w:t>
            </w:r>
            <w:r>
              <w:rPr>
                <w:sz w:val="21"/>
              </w:rPr>
              <w:t>4</w:t>
            </w:r>
            <w:r>
              <w:rPr>
                <w:sz w:val="21"/>
              </w:rPr>
              <w:t>）</w:t>
            </w:r>
            <w:r>
              <w:rPr>
                <w:sz w:val="21"/>
              </w:rPr>
              <w:t>投标人须列明可供油品种类、标号，并按照</w:t>
            </w:r>
            <w:r>
              <w:rPr>
                <w:sz w:val="21"/>
              </w:rPr>
              <w:t>采购文件要求</w:t>
            </w:r>
            <w:r>
              <w:rPr>
                <w:sz w:val="21"/>
              </w:rPr>
              <w:t>报价，报价包含单位货物价款、运输费、保险费用、税费以及售后服务等一切费用。</w:t>
            </w:r>
          </w:p>
          <w:p>
            <w:pPr>
              <w:ind w:firstLine="480"/>
              <w:jc w:val="both"/>
            </w:pPr>
            <w:r>
              <w:rPr>
                <w:sz w:val="21"/>
              </w:rPr>
              <w:t>（</w:t>
            </w:r>
            <w:r>
              <w:rPr>
                <w:sz w:val="21"/>
              </w:rPr>
              <w:t>5</w:t>
            </w:r>
            <w:r>
              <w:rPr>
                <w:sz w:val="21"/>
              </w:rPr>
              <w:t>）</w:t>
            </w:r>
            <w:r>
              <w:rPr>
                <w:sz w:val="21"/>
              </w:rPr>
              <w:t>每次加油终了后向采购人报送车辆加油情况数据，统计填报的数据资料准确、完整、无隐瞒。建立加油车辆档案，认真做好各项记录，保管好原始记录，做好跟踪服务。</w:t>
            </w:r>
          </w:p>
          <w:p>
            <w:pPr>
              <w:ind w:firstLine="480"/>
              <w:jc w:val="both"/>
            </w:pPr>
            <w:r>
              <w:rPr>
                <w:sz w:val="21"/>
              </w:rPr>
              <w:t>（</w:t>
            </w:r>
            <w:r>
              <w:rPr>
                <w:sz w:val="21"/>
              </w:rPr>
              <w:t>6</w:t>
            </w:r>
            <w:r>
              <w:rPr>
                <w:sz w:val="21"/>
              </w:rPr>
              <w:t>）</w:t>
            </w:r>
            <w:r>
              <w:rPr>
                <w:sz w:val="21"/>
              </w:rPr>
              <w:t>定点加油站必须严格执行投标时的优惠条件，保证供油质量，准确计量，提供优质、方便、快捷的服务。当油品供应紧张时，必须优先满足车辆单位公务用车加油需求。</w:t>
            </w:r>
          </w:p>
          <w:p>
            <w:pPr>
              <w:ind w:firstLine="480"/>
              <w:jc w:val="both"/>
            </w:pPr>
            <w:r>
              <w:rPr>
                <w:sz w:val="21"/>
              </w:rPr>
              <w:t>（</w:t>
            </w:r>
            <w:r>
              <w:rPr>
                <w:sz w:val="21"/>
              </w:rPr>
              <w:t>7</w:t>
            </w:r>
            <w:r>
              <w:rPr>
                <w:sz w:val="21"/>
              </w:rPr>
              <w:t>）</w:t>
            </w:r>
            <w:r>
              <w:rPr>
                <w:sz w:val="21"/>
              </w:rPr>
              <w:t>协议有效期内，采购人同时享有中标人推出的类似积分、促销等优惠。检验与验收，投标人提供的燃油必须符合国家质量认证标准和安全环保标准，如双方对燃油质量发生争议，可将货物送至具有资质的质量检测机构检测，若检测结果合格，检测费用由采购人支付；若检测不合格，则检测费由中标人支付。</w:t>
            </w:r>
          </w:p>
          <w:p>
            <w:pPr>
              <w:ind w:firstLine="480"/>
              <w:jc w:val="both"/>
            </w:pPr>
            <w:r>
              <w:rPr>
                <w:sz w:val="21"/>
              </w:rPr>
              <w:t>（</w:t>
            </w:r>
            <w:r>
              <w:rPr>
                <w:sz w:val="21"/>
              </w:rPr>
              <w:t>8</w:t>
            </w:r>
            <w:r>
              <w:rPr>
                <w:sz w:val="21"/>
              </w:rPr>
              <w:t>）</w:t>
            </w:r>
            <w:r>
              <w:rPr>
                <w:sz w:val="21"/>
              </w:rPr>
              <w:t>中标供应商应按以下要求提供加油及服务：</w:t>
            </w:r>
            <w:r>
              <w:rPr>
                <w:sz w:val="21"/>
              </w:rPr>
              <w:t>1</w:t>
            </w:r>
            <w:r>
              <w:rPr>
                <w:sz w:val="21"/>
              </w:rPr>
              <w:t xml:space="preserve">）中标供应商应履行对号加油的义务，受理加油时，要核对车辆号牌、备案登记情况是否一致；若发现不一致的情况，应及时与采购人负责人核实，在未确认时不予加油。  </w:t>
            </w:r>
            <w:r>
              <w:rPr>
                <w:sz w:val="21"/>
              </w:rPr>
              <w:t>2</w:t>
            </w:r>
            <w:r>
              <w:rPr>
                <w:sz w:val="21"/>
              </w:rPr>
              <w:t>）中标供应商应拒绝正常加油以外的其他要求，不得套换其它物品或换取现金。</w:t>
            </w:r>
            <w:r>
              <w:rPr>
                <w:sz w:val="21"/>
              </w:rPr>
              <w:t>3</w:t>
            </w:r>
            <w:r>
              <w:rPr>
                <w:sz w:val="21"/>
              </w:rPr>
              <w:t xml:space="preserve">）中标供应商应按月向采购人提供加油有关数据、出具发票和移交结账部分的加油登记簿记录页。  </w:t>
            </w:r>
          </w:p>
          <w:p>
            <w:pPr>
              <w:ind w:firstLine="480"/>
              <w:jc w:val="both"/>
            </w:pPr>
            <w:r>
              <w:rPr>
                <w:sz w:val="21"/>
              </w:rPr>
              <w:t>（</w:t>
            </w:r>
            <w:r>
              <w:rPr>
                <w:sz w:val="21"/>
              </w:rPr>
              <w:t>9</w:t>
            </w:r>
            <w:r>
              <w:rPr>
                <w:sz w:val="21"/>
              </w:rPr>
              <w:t>）</w:t>
            </w:r>
            <w:r>
              <w:rPr>
                <w:sz w:val="21"/>
              </w:rPr>
              <w:t>中标供应商必须严格履行以下服务承诺：</w:t>
            </w:r>
            <w:r>
              <w:rPr>
                <w:sz w:val="21"/>
              </w:rPr>
              <w:t>1</w:t>
            </w:r>
            <w:r>
              <w:rPr>
                <w:sz w:val="21"/>
              </w:rPr>
              <w:t xml:space="preserve">）稳定油源渠道，保证油品的质量，正常情况下不断油、不停供，不销售不合格产品；在台风救灾等异常情况下优先给采购人供油。  </w:t>
            </w:r>
            <w:r>
              <w:rPr>
                <w:sz w:val="21"/>
              </w:rPr>
              <w:t>2</w:t>
            </w:r>
            <w:r>
              <w:rPr>
                <w:sz w:val="21"/>
              </w:rPr>
              <w:t>）计量用具符合国家有关标准，不短斤少两。</w:t>
            </w:r>
            <w:r>
              <w:rPr>
                <w:sz w:val="21"/>
              </w:rPr>
              <w:t>3</w:t>
            </w:r>
            <w:r>
              <w:rPr>
                <w:sz w:val="21"/>
              </w:rPr>
              <w:t>）认真落实防火安全责任制，确保加油车辆的安全，因安全生产措施不力，造成生产安全事故的均由中标供应商负责。相关承诺应通过承诺函的形式在投标文件中提供，格式自拟。</w:t>
            </w:r>
          </w:p>
        </w:tc>
      </w:tr>
      <w:tr>
        <w:tc>
          <w:tcPr>
            <w:tcW w:type="dxa" w:w="2076"/>
          </w:tcPr>
          <w:p/>
        </w:tc>
        <w:tc>
          <w:tcPr>
            <w:tcW w:type="dxa" w:w="415"/>
          </w:tcPr>
          <w:p>
            <w:r>
              <w:rPr/>
              <w:t>11</w:t>
            </w:r>
          </w:p>
        </w:tc>
        <w:tc>
          <w:tcPr>
            <w:tcW w:type="dxa" w:w="5814"/>
          </w:tcPr>
          <w:p>
            <w:pPr>
              <w:jc w:val="both"/>
            </w:pPr>
            <w:r>
              <w:rPr>
                <w:sz w:val="21"/>
              </w:rPr>
              <w:t>（</w:t>
            </w:r>
            <w:r>
              <w:rPr>
                <w:sz w:val="21"/>
              </w:rPr>
              <w:t>十一</w:t>
            </w:r>
            <w:r>
              <w:rPr>
                <w:sz w:val="21"/>
              </w:rPr>
              <w:t>）公务车加油车辆数量分布</w:t>
            </w:r>
            <w:r>
              <w:rPr>
                <w:sz w:val="21"/>
              </w:rPr>
              <w:t>现</w:t>
            </w:r>
            <w:r>
              <w:rPr>
                <w:sz w:val="21"/>
              </w:rPr>
              <w:t>况：</w:t>
            </w:r>
          </w:p>
          <w:tbl>
            <w:tblPr>
              <w:tblInd w:type="dxa" w:w="90"/>
              <w:tblBorders>
                <w:top w:val="none" w:color="000000" w:sz="4"/>
                <w:left w:val="none" w:color="000000" w:sz="4"/>
                <w:bottom w:val="none" w:color="000000" w:sz="4"/>
                <w:right w:val="none" w:color="000000" w:sz="4"/>
                <w:insideH w:val="none"/>
                <w:insideV w:val="none"/>
              </w:tblBorders>
            </w:tblPr>
            <w:tblGrid>
              <w:gridCol w:w="1052"/>
              <w:gridCol w:w="2266"/>
              <w:gridCol w:w="1647"/>
              <w:gridCol w:w="2006"/>
            </w:tblGrid>
            <w:tr>
              <w:tc>
                <w:tcPr>
                  <w:tcW w:type="dxa" w:w="1052"/>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2266"/>
                  <w:tcBorders>
                    <w:top w:val="single" w:color="000000" w:sz="4"/>
                    <w:left w:val="none" w:color="000000" w:sz="4"/>
                    <w:bottom w:val="single" w:color="000000" w:sz="4"/>
                    <w:right w:val="single" w:color="000000" w:sz="4"/>
                  </w:tcBorders>
                  <w:shd w:fill="FFFFFF"/>
                  <w:vAlign w:val="top"/>
                </w:tcPr>
                <w:p>
                  <w:pPr>
                    <w:jc w:val="center"/>
                  </w:pPr>
                  <w:r>
                    <w:rPr>
                      <w:sz w:val="21"/>
                    </w:rPr>
                    <w:t>部门名称</w:t>
                  </w:r>
                </w:p>
              </w:tc>
              <w:tc>
                <w:tcPr>
                  <w:tcW w:type="dxa" w:w="1647"/>
                  <w:tcBorders>
                    <w:top w:val="single" w:color="000000" w:sz="4"/>
                    <w:left w:val="none" w:color="000000" w:sz="4"/>
                    <w:bottom w:val="single" w:color="000000" w:sz="4"/>
                    <w:right w:val="single" w:color="000000" w:sz="4"/>
                  </w:tcBorders>
                  <w:shd w:fill="FFFFFF"/>
                  <w:vAlign w:val="top"/>
                </w:tcPr>
                <w:p>
                  <w:pPr>
                    <w:jc w:val="center"/>
                  </w:pPr>
                  <w:r>
                    <w:rPr>
                      <w:sz w:val="21"/>
                    </w:rPr>
                    <w:t>公车数</w:t>
                  </w:r>
                </w:p>
              </w:tc>
              <w:tc>
                <w:tcPr>
                  <w:tcW w:type="dxa" w:w="2006"/>
                  <w:tcBorders>
                    <w:top w:val="single" w:color="000000" w:sz="4"/>
                    <w:left w:val="none" w:color="000000" w:sz="4"/>
                    <w:bottom w:val="single" w:color="000000" w:sz="4"/>
                    <w:right w:val="single" w:color="000000" w:sz="4"/>
                  </w:tcBorders>
                  <w:shd w:fill="FFFFFF"/>
                  <w:vAlign w:val="top"/>
                </w:tcPr>
                <w:p>
                  <w:pPr>
                    <w:jc w:val="center"/>
                  </w:pPr>
                  <w:r>
                    <w:rPr>
                      <w:sz w:val="21"/>
                    </w:rPr>
                    <w:t>摩托车</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分局机关</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29</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技侦大队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0</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特警大队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7</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15</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看守所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戒毒所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刑侦大队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7</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交警大队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44</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138</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巡警大队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26</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54</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治安大队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国保大队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经侦大队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出入境大队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网警大队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缉毒大队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食药环大队</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中心派出所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河南派出所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13</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环城派出所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7</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浐湾派出所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都会派出所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三和派出所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11</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今古州派出所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5</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七堡</w:t>
                  </w:r>
                  <w:r>
                    <w:rPr>
                      <w:sz w:val="21"/>
                    </w:rPr>
                    <w:t>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5</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银</w:t>
                  </w:r>
                  <w:r>
                    <w:rPr>
                      <w:sz w:val="21"/>
                    </w:rPr>
                    <w:t>洲</w:t>
                  </w:r>
                  <w:r>
                    <w:rPr>
                      <w:sz w:val="21"/>
                    </w:rPr>
                    <w:t>湾派出所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0</w:t>
                  </w:r>
                </w:p>
              </w:tc>
              <w:tc>
                <w:tcPr>
                  <w:tcW w:type="dxa" w:w="2006"/>
                  <w:tcBorders>
                    <w:top w:val="none" w:color="000000" w:sz="4"/>
                    <w:left w:val="none" w:color="000000" w:sz="4"/>
                    <w:bottom w:val="single" w:color="000000" w:sz="4"/>
                    <w:right w:val="single" w:color="000000" w:sz="4"/>
                  </w:tcBorders>
                  <w:shd w:fill="FFFFFF"/>
                  <w:vAlign w:val="top"/>
                </w:tcPr>
                <w:p>
                  <w:pPr>
                    <w:jc w:val="center"/>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新南派出所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9</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新会水上派出所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北门派出所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1052"/>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新会派出所</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2006"/>
                  <w:tcBorders>
                    <w:top w:val="none" w:color="000000" w:sz="4"/>
                    <w:left w:val="none" w:color="000000" w:sz="4"/>
                    <w:bottom w:val="single" w:color="000000" w:sz="4"/>
                    <w:right w:val="single" w:color="000000" w:sz="4"/>
                  </w:tcBorders>
                  <w:shd w:fill="FFFFFF"/>
                  <w:vAlign w:val="top"/>
                </w:tcPr>
                <w:p>
                  <w:pPr>
                    <w:jc w:val="both"/>
                  </w:pPr>
                </w:p>
              </w:tc>
            </w:tr>
            <w:tr>
              <w:tc>
                <w:tcPr>
                  <w:tcW w:type="dxa" w:w="1052"/>
                  <w:tcBorders>
                    <w:top w:val="none" w:color="000000" w:sz="4"/>
                    <w:left w:val="single" w:color="000000" w:sz="4"/>
                    <w:bottom w:val="single" w:color="000000" w:sz="4"/>
                    <w:right w:val="single" w:color="000000" w:sz="4"/>
                  </w:tcBorders>
                  <w:shd w:fill="FFFFFF"/>
                  <w:vAlign w:val="top"/>
                </w:tcPr>
                <w:p>
                  <w:pPr>
                    <w:jc w:val="center"/>
                  </w:pPr>
                </w:p>
              </w:tc>
              <w:tc>
                <w:tcPr>
                  <w:tcW w:type="dxa" w:w="2266"/>
                  <w:tcBorders>
                    <w:top w:val="none" w:color="000000" w:sz="4"/>
                    <w:left w:val="none" w:color="000000" w:sz="4"/>
                    <w:bottom w:val="single" w:color="000000" w:sz="4"/>
                    <w:right w:val="single" w:color="000000" w:sz="4"/>
                  </w:tcBorders>
                  <w:shd w:fill="FFFFFF"/>
                  <w:vAlign w:val="top"/>
                </w:tcPr>
                <w:p>
                  <w:pPr>
                    <w:jc w:val="center"/>
                  </w:pPr>
                  <w:r>
                    <w:rPr>
                      <w:sz w:val="21"/>
                    </w:rPr>
                    <w:t>汇总</w:t>
                  </w:r>
                </w:p>
              </w:tc>
              <w:tc>
                <w:tcPr>
                  <w:tcW w:type="dxa" w:w="1647"/>
                  <w:tcBorders>
                    <w:top w:val="none" w:color="000000" w:sz="4"/>
                    <w:left w:val="none" w:color="000000" w:sz="4"/>
                    <w:bottom w:val="single" w:color="000000" w:sz="4"/>
                    <w:right w:val="single" w:color="000000" w:sz="4"/>
                  </w:tcBorders>
                  <w:shd w:fill="FFFFFF"/>
                  <w:vAlign w:val="top"/>
                </w:tcPr>
                <w:p>
                  <w:pPr>
                    <w:jc w:val="center"/>
                  </w:pPr>
                  <w:r>
                    <w:rPr>
                      <w:sz w:val="21"/>
                    </w:rPr>
                    <w:t>163</w:t>
                  </w:r>
                </w:p>
              </w:tc>
              <w:tc>
                <w:tcPr>
                  <w:tcW w:type="dxa" w:w="2006"/>
                  <w:tcBorders>
                    <w:top w:val="none" w:color="000000" w:sz="4"/>
                    <w:left w:val="none" w:color="000000" w:sz="4"/>
                    <w:bottom w:val="single" w:color="000000" w:sz="4"/>
                    <w:right w:val="single" w:color="000000" w:sz="4"/>
                  </w:tcBorders>
                  <w:shd w:fill="FFFFFF"/>
                  <w:vAlign w:val="top"/>
                </w:tcPr>
                <w:p>
                  <w:pPr>
                    <w:jc w:val="center"/>
                  </w:pPr>
                  <w:r>
                    <w:rPr>
                      <w:sz w:val="21"/>
                    </w:rPr>
                    <w:t>283</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1.采购代理机构：本项目是指广东省机电设备招标中心有限公司，负责整个采购活动的组织，依法负责编制和发布招标文件，对招标文件拥有最终的解释权，不以任何身份出任评标委员会成员。</w:t>
      </w:r>
    </w:p>
    <w:p>
      <w:pPr>
        <w:ind w:firstLine="480"/>
      </w:pPr>
      <w:r>
        <w:rPr/>
        <w:t>2.采购人：本项目是指</w:t>
      </w:r>
      <w:r>
        <w:rPr/>
        <w:t>江门市公安局新会分局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次采购代理服务费按固定价格￥30000.00元收取。注：采购代理服务费由中标供应商于本项目中标结果公告发布后10天内一次性向广东省机电设备招标中心有限公司交付，采购代理服务费递交账户：收款人：广东省机电设备招标中心有限公司；开户行：建设银行广东省分行；帐号：44001863201053034613；开户行地址：广州市东风中路509号。</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广东省机电设备招标中心有限公司</w:t>
      </w:r>
      <w:r>
        <w:rPr/>
        <w:t>代收。具体操作要求详见</w:t>
      </w:r>
      <w:r>
        <w:rPr/>
        <w:t>广东省机电设备招标中心有限公司</w:t>
      </w:r>
      <w:r>
        <w:rPr/>
        <w:t>有关指引，递交事宜请自行咨询</w:t>
      </w:r>
      <w:r>
        <w:rPr/>
        <w:t>广东省机电设备招标中心有限公司</w:t>
      </w:r>
      <w:r>
        <w:rPr/>
        <w:t>；请各投标人在投标文件递交截止时间前按须知前附表规定的金额递交至</w:t>
      </w:r>
      <w:r>
        <w:rPr/>
        <w:t>广东省机电设备招标中心有限公司</w:t>
      </w:r>
      <w:r>
        <w:rPr/>
        <w:t>，到账情况以开标时</w:t>
      </w:r>
      <w:r>
        <w:rPr/>
        <w:t>广东省机电设备招标中心有限公司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文小姐</w:t>
      </w:r>
    </w:p>
    <w:p>
      <w:pPr>
        <w:ind w:firstLine="480"/>
      </w:pPr>
      <w:r>
        <w:rPr/>
        <w:t>电话：</w:t>
      </w:r>
      <w:r>
        <w:rPr/>
        <w:t>020-66341917</w:t>
      </w:r>
    </w:p>
    <w:p>
      <w:pPr>
        <w:ind w:firstLine="480"/>
      </w:pPr>
      <w:r>
        <w:rPr/>
        <w:t>传真：</w:t>
      </w:r>
      <w:r>
        <w:rPr/>
        <w:t>/</w:t>
      </w:r>
    </w:p>
    <w:p>
      <w:pPr>
        <w:ind w:firstLine="480"/>
      </w:pPr>
      <w:r>
        <w:rPr/>
        <w:t>邮箱：</w:t>
      </w:r>
      <w:r>
        <w:rPr/>
        <w:t>/</w:t>
      </w:r>
    </w:p>
    <w:p>
      <w:pPr>
        <w:ind w:firstLine="480"/>
      </w:pPr>
      <w:r>
        <w:rPr/>
        <w:t>地址：</w:t>
      </w:r>
      <w:r>
        <w:rPr/>
        <w:t>广州市越秀区东风中路东照大厦5楼</w:t>
      </w:r>
    </w:p>
    <w:p>
      <w:pPr>
        <w:ind w:firstLine="480"/>
      </w:pPr>
      <w:r>
        <w:rPr/>
        <w:t>邮编：</w:t>
      </w:r>
      <w:r>
        <w:rPr/>
        <w:t>510045</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政府采购监督管理机构名称：江门市新会区财政局监督检查股（政府采购股）</w:t>
      </w:r>
    </w:p>
    <w:p>
      <w:r>
        <w:rPr/>
        <w:t>地  址：江门市新会区会城街道尚志街4号</w:t>
      </w:r>
    </w:p>
    <w:p>
      <w:r>
        <w:rPr/>
        <w:t>电  话：0750-6668041</w:t>
      </w:r>
    </w:p>
    <w:p>
      <w:r>
        <w:rPr/>
        <w:t>邮  编：529100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门市公安局新会分局2023-2024年度公务用车定点加油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广东省机电设备招标中心有限公司</w:t>
      </w:r>
      <w:r>
        <w:rPr/>
        <w:t>统一对外发布。</w:t>
      </w:r>
    </w:p>
    <w:p>
      <w:pPr>
        <w:ind w:firstLine="480"/>
      </w:pPr>
      <w:r>
        <w:rPr/>
        <w:t>（2）对</w:t>
      </w:r>
      <w:r>
        <w:rPr/>
        <w:t>广东省机电设备招标中心有限公司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采购包1（江门市公安局新会分局2023-2024年度公务用车定点加油服务项目）：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采购包1（江门市公安局新会分局2023-2024年度公务用车定点加油服务项目）：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供应商必须具有良好的商业信誉和健全的财务会计制度（提供2021年度财务状况报告，或2022年至今任意一个月的财务报表，或基本开户行出具的资信证明）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经营批准</w:t>
            </w:r>
          </w:p>
        </w:tc>
        <w:tc>
          <w:tcPr>
            <w:tcW w:type="dxa" w:w="4238"/>
          </w:tcPr>
          <w:p>
            <w:r>
              <w:rPr/>
              <w:t>供应商应当具有《成品油批发经营批准证书》或《成品油零售经营批准证书》（提供有效的《成品油批发经营批准证书》或《成品油零售经营批准证书》）。</w:t>
            </w:r>
          </w:p>
        </w:tc>
      </w:tr>
      <w:tr>
        <w:tc>
          <w:tcPr>
            <w:tcW w:type="dxa" w:w="890"/>
          </w:tcPr>
          <w:p>
            <w:r>
              <w:rPr/>
              <w:t>7</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采购包1（江门市公安局新会分局2023-2024年度公务用车定点加油服务项目）：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投标函及投标有效期符合采购文件要求</w:t>
            </w:r>
          </w:p>
        </w:tc>
        <w:tc>
          <w:tcPr>
            <w:tcW w:type="dxa" w:w="4238"/>
          </w:tcPr>
          <w:p>
            <w:r>
              <w:rPr/>
              <w:t>投标函及投标有效期符合采购文件要求</w:t>
            </w:r>
          </w:p>
        </w:tc>
      </w:tr>
      <w:tr>
        <w:tc>
          <w:tcPr>
            <w:tcW w:type="dxa" w:w="890"/>
          </w:tcPr>
          <w:p>
            <w:r>
              <w:rPr/>
              <w:t>2</w:t>
            </w:r>
          </w:p>
        </w:tc>
        <w:tc>
          <w:tcPr>
            <w:tcW w:type="dxa" w:w="3178"/>
          </w:tcPr>
          <w:p>
            <w:r>
              <w:rPr/>
              <w:t>已提交有效的法定代表人/负责人证明书和法定代表人授权书（如非法定代表人/负责人投标）</w:t>
            </w:r>
          </w:p>
        </w:tc>
        <w:tc>
          <w:tcPr>
            <w:tcW w:type="dxa" w:w="4238"/>
          </w:tcPr>
          <w:p>
            <w:r>
              <w:rPr/>
              <w:t>已提交有效的法定代表人/负责人证明书和法定代表人授权书（如非法定代表人/负责人投标）</w:t>
            </w:r>
          </w:p>
        </w:tc>
      </w:tr>
      <w:tr>
        <w:tc>
          <w:tcPr>
            <w:tcW w:type="dxa" w:w="890"/>
          </w:tcPr>
          <w:p>
            <w:r>
              <w:rPr/>
              <w:t>3</w:t>
            </w:r>
          </w:p>
        </w:tc>
        <w:tc>
          <w:tcPr>
            <w:tcW w:type="dxa" w:w="3178"/>
          </w:tcPr>
          <w:p>
            <w:r>
              <w:rPr/>
              <w:t>按采购文件规定加盖公章和签署</w:t>
            </w:r>
          </w:p>
        </w:tc>
        <w:tc>
          <w:tcPr>
            <w:tcW w:type="dxa" w:w="4238"/>
          </w:tcPr>
          <w:p>
            <w:r>
              <w:rPr/>
              <w:t>按采购文件规定加盖公章和签署</w:t>
            </w:r>
          </w:p>
        </w:tc>
      </w:tr>
      <w:tr>
        <w:tc>
          <w:tcPr>
            <w:tcW w:type="dxa" w:w="890"/>
          </w:tcPr>
          <w:p>
            <w:r>
              <w:rPr/>
              <w:t>4</w:t>
            </w:r>
          </w:p>
        </w:tc>
        <w:tc>
          <w:tcPr>
            <w:tcW w:type="dxa" w:w="3178"/>
          </w:tcPr>
          <w:p>
            <w:r>
              <w:rPr/>
              <w:t>投标价格（折扣率）是固定唯一价且在允许报价范围内</w:t>
            </w:r>
          </w:p>
        </w:tc>
        <w:tc>
          <w:tcPr>
            <w:tcW w:type="dxa" w:w="4238"/>
          </w:tcPr>
          <w:p>
            <w:r>
              <w:rPr/>
              <w:t>投标价格（折扣率）是固定唯一价且在允许报价范围内</w:t>
            </w:r>
          </w:p>
        </w:tc>
      </w:tr>
      <w:tr>
        <w:tc>
          <w:tcPr>
            <w:tcW w:type="dxa" w:w="890"/>
          </w:tcPr>
          <w:p>
            <w:r>
              <w:rPr/>
              <w:t>5</w:t>
            </w:r>
          </w:p>
        </w:tc>
        <w:tc>
          <w:tcPr>
            <w:tcW w:type="dxa" w:w="3178"/>
          </w:tcPr>
          <w:p>
            <w:r>
              <w:rPr/>
              <w:t>满足采购文件用户需求书的★条款要求</w:t>
            </w:r>
          </w:p>
        </w:tc>
        <w:tc>
          <w:tcPr>
            <w:tcW w:type="dxa" w:w="4238"/>
          </w:tcPr>
          <w:p>
            <w:r>
              <w:rPr/>
              <w:t>满足采购文件用户需求书的★条款要求</w:t>
            </w:r>
          </w:p>
        </w:tc>
      </w:tr>
      <w:tr>
        <w:tc>
          <w:tcPr>
            <w:tcW w:type="dxa" w:w="890"/>
          </w:tcPr>
          <w:p>
            <w:r>
              <w:rPr/>
              <w:t>6</w:t>
            </w:r>
          </w:p>
        </w:tc>
        <w:tc>
          <w:tcPr>
            <w:tcW w:type="dxa" w:w="3178"/>
          </w:tcPr>
          <w:p>
            <w:r>
              <w:rPr/>
              <w:t>无采购文件或法规明确规定的其他无效投标的情形</w:t>
            </w:r>
          </w:p>
        </w:tc>
        <w:tc>
          <w:tcPr>
            <w:tcW w:type="dxa" w:w="4238"/>
          </w:tcPr>
          <w:p>
            <w:r>
              <w:rPr/>
              <w:t>无采购文件或法规明确规定的其他无效投标的情形</w:t>
            </w:r>
          </w:p>
        </w:tc>
      </w:tr>
      <w:tr>
        <w:tc>
          <w:tcPr>
            <w:tcW w:type="dxa" w:w="890"/>
          </w:tcPr>
          <w:p>
            <w:r>
              <w:rPr/>
              <w:t>7</w:t>
            </w:r>
          </w:p>
        </w:tc>
        <w:tc>
          <w:tcPr>
            <w:tcW w:type="dxa" w:w="3178"/>
          </w:tcPr>
          <w:p>
            <w:r>
              <w:rPr/>
              <w:t>投标文件没有采购人不能接受的附加条件</w:t>
            </w:r>
          </w:p>
        </w:tc>
        <w:tc>
          <w:tcPr>
            <w:tcW w:type="dxa" w:w="4238"/>
          </w:tcPr>
          <w:p>
            <w:r>
              <w:rPr/>
              <w:t>投标文件没有采购人不能接受的附加条件</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采购包1(江门市公安局新会分局2023-2024年度公务用车定点加油服务项目):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总体服务方案 (15.0分)</w:t>
            </w:r>
            <w:r>
              <w:rPr/>
              <w:t>，（等次分值选择：</w:t>
            </w:r>
            <w:r>
              <w:rPr/>
              <w:t>0.0;</w:t>
            </w:r>
            <w:r>
              <w:rPr/>
              <w:t>5.0;</w:t>
            </w:r>
            <w:r>
              <w:rPr/>
              <w:t>10.0;</w:t>
            </w:r>
            <w:r>
              <w:rPr/>
              <w:t>15.0;</w:t>
            </w:r>
            <w:r>
              <w:rPr/>
              <w:t>）</w:t>
            </w:r>
          </w:p>
        </w:tc>
        <w:tc>
          <w:tcPr>
            <w:tcW w:type="dxa" w:w="5076"/>
          </w:tcPr>
          <w:p>
            <w:pPr>
              <w:jc w:val="left"/>
            </w:pPr>
            <w:r>
              <w:rPr/>
              <w:t>根据投标人提供的总体服务方案进行评审，包括服务方案是否详细、可行、合理等。  优：方案详细、可行、合理，符合项目实际情况，有利于项目组织实施的，得15分；  中：方案较详细、较可行、较合理，较符合项目实际情况，较有利于项目组织实施的，得10分；  差：方案不详细、不可行、不合理，不符合项目实际情况，不利于项目组织实施的，得5分； 注：未提供相关方案的不得分。</w:t>
            </w:r>
          </w:p>
        </w:tc>
      </w:tr>
      <w:tr>
        <w:tc>
          <w:tcPr>
            <w:tcW w:type="dxa" w:w="922"/>
            <w:gridSpan w:val="2"/>
            <w:vMerge/>
          </w:tcPr>
          <w:p/>
        </w:tc>
        <w:tc>
          <w:tcPr>
            <w:tcW w:type="dxa" w:w="2307"/>
          </w:tcPr>
          <w:p>
            <w:pPr>
              <w:jc w:val="left"/>
            </w:pPr>
            <w:r>
              <w:rPr/>
              <w:t>加油站分布推荐方案 (15.0分)</w:t>
            </w:r>
            <w:r>
              <w:rPr/>
              <w:t>，（等次分值选择：</w:t>
            </w:r>
            <w:r>
              <w:rPr/>
              <w:t>0.0;</w:t>
            </w:r>
            <w:r>
              <w:rPr/>
              <w:t>5.0;</w:t>
            </w:r>
            <w:r>
              <w:rPr/>
              <w:t>10.0;</w:t>
            </w:r>
            <w:r>
              <w:rPr/>
              <w:t>15.0;</w:t>
            </w:r>
            <w:r>
              <w:rPr/>
              <w:t>）</w:t>
            </w:r>
          </w:p>
        </w:tc>
        <w:tc>
          <w:tcPr>
            <w:tcW w:type="dxa" w:w="5076"/>
          </w:tcPr>
          <w:p>
            <w:pPr>
              <w:jc w:val="left"/>
            </w:pPr>
            <w:r>
              <w:rPr/>
              <w:t>根据投标人提供的加油站分布推荐方案进行评审，包括加油站分布推荐方案是否详细、可行，加油点数量、地理位置分布合理及服务便捷度等。  优：方案详细、可行，满足项目需要，有利于项目组织实施的，得15分；  中：方案较详细、较可行，较满足项目需要，较有利于项目组织实施的，得10分；  差：方案不详细、不可行，不满足项目需要，不利于项目组织实施的，得5分；  注：未提供相关方案的不得分。</w:t>
            </w:r>
          </w:p>
        </w:tc>
      </w:tr>
      <w:tr>
        <w:tc>
          <w:tcPr>
            <w:tcW w:type="dxa" w:w="922"/>
            <w:gridSpan w:val="2"/>
            <w:vMerge/>
          </w:tcPr>
          <w:p/>
        </w:tc>
        <w:tc>
          <w:tcPr>
            <w:tcW w:type="dxa" w:w="2307"/>
          </w:tcPr>
          <w:p>
            <w:pPr>
              <w:jc w:val="left"/>
            </w:pPr>
            <w:r>
              <w:rPr/>
              <w:t>加油卡管理措施 (10.0分)</w:t>
            </w:r>
            <w:r>
              <w:rPr/>
              <w:t>，（等次分值选择：</w:t>
            </w:r>
            <w:r>
              <w:rPr/>
              <w:t>0.0;</w:t>
            </w:r>
            <w:r>
              <w:rPr/>
              <w:t>3.0;</w:t>
            </w:r>
            <w:r>
              <w:rPr/>
              <w:t>6.0;</w:t>
            </w:r>
            <w:r>
              <w:rPr/>
              <w:t>10.0;</w:t>
            </w:r>
            <w:r>
              <w:rPr/>
              <w:t>）</w:t>
            </w:r>
          </w:p>
        </w:tc>
        <w:tc>
          <w:tcPr>
            <w:tcW w:type="dxa" w:w="5076"/>
          </w:tcPr>
          <w:p>
            <w:pPr>
              <w:jc w:val="left"/>
            </w:pPr>
            <w:r>
              <w:rPr/>
              <w:t>根据投标人提供的加油卡管理措施进行评审，包括管理措施是否详细、可行、合理等。  优：措施详细、可行、合理，满足项目需要，有利于项目组织实施的，得10分；  中：措施较详细、较可行、较合理，较满足项目需要，较有利于项目组织实施的，得6分；  差：措施不详细、不可行、不合理，不满足项目需要，不利于项目组织实施的，得3分； 注：未提供相关措施的不得分。</w:t>
            </w:r>
          </w:p>
        </w:tc>
      </w:tr>
      <w:tr>
        <w:tc>
          <w:tcPr>
            <w:tcW w:type="dxa" w:w="922"/>
            <w:gridSpan w:val="2"/>
            <w:vMerge/>
          </w:tcPr>
          <w:p/>
        </w:tc>
        <w:tc>
          <w:tcPr>
            <w:tcW w:type="dxa" w:w="2307"/>
          </w:tcPr>
          <w:p>
            <w:pPr>
              <w:jc w:val="left"/>
            </w:pPr>
            <w:r>
              <w:rPr/>
              <w:t>安全保障措施 (10.0分)</w:t>
            </w:r>
            <w:r>
              <w:rPr/>
              <w:t>，（等次分值选择：</w:t>
            </w:r>
            <w:r>
              <w:rPr/>
              <w:t>0.0;</w:t>
            </w:r>
            <w:r>
              <w:rPr/>
              <w:t>3.0;</w:t>
            </w:r>
            <w:r>
              <w:rPr/>
              <w:t>6.0;</w:t>
            </w:r>
            <w:r>
              <w:rPr/>
              <w:t>10.0;</w:t>
            </w:r>
            <w:r>
              <w:rPr/>
              <w:t>）</w:t>
            </w:r>
          </w:p>
        </w:tc>
        <w:tc>
          <w:tcPr>
            <w:tcW w:type="dxa" w:w="5076"/>
          </w:tcPr>
          <w:p>
            <w:pPr>
              <w:jc w:val="left"/>
            </w:pPr>
            <w:r>
              <w:rPr/>
              <w:t>根据投标人提供的安全保障措施是否详细、具体、可行，配套设施符合国家有关要求的证明文件，属于委托营运的，能否提供双方的合作协议等进行评审。   优：安全保障措施详细、具体、可行，配套设施符合国家有关要求的证明文件的，得10分；   中：安全保障措施较详细、较具体、较可行，配套设施符合国家有关要求的证明文件的，得6分；   差：安全保障措施较差，配套设施未能符合国家有关要求的证明文件的，得3分；  注：未提供安全保障措施的不得分。</w:t>
            </w:r>
          </w:p>
        </w:tc>
      </w:tr>
      <w:tr>
        <w:tc>
          <w:tcPr>
            <w:tcW w:type="dxa" w:w="922"/>
            <w:gridSpan w:val="2"/>
            <w:vMerge/>
          </w:tcPr>
          <w:p/>
        </w:tc>
        <w:tc>
          <w:tcPr>
            <w:tcW w:type="dxa" w:w="2307"/>
          </w:tcPr>
          <w:p>
            <w:pPr>
              <w:jc w:val="left"/>
            </w:pPr>
            <w:r>
              <w:rPr/>
              <w:t>应急方案 (10.0分)</w:t>
            </w:r>
            <w:r>
              <w:rPr/>
              <w:t>，（等次分值选择：</w:t>
            </w:r>
            <w:r>
              <w:rPr/>
              <w:t>0.0;</w:t>
            </w:r>
            <w:r>
              <w:rPr/>
              <w:t>3.0;</w:t>
            </w:r>
            <w:r>
              <w:rPr/>
              <w:t>6.0;</w:t>
            </w:r>
            <w:r>
              <w:rPr/>
              <w:t>10.0;</w:t>
            </w:r>
            <w:r>
              <w:rPr/>
              <w:t>）</w:t>
            </w:r>
          </w:p>
        </w:tc>
        <w:tc>
          <w:tcPr>
            <w:tcW w:type="dxa" w:w="5076"/>
          </w:tcPr>
          <w:p>
            <w:pPr>
              <w:jc w:val="left"/>
            </w:pPr>
            <w:r>
              <w:rPr/>
              <w:t>根据投标人提供的应急方案内容（采购人紧急任务、不可抗力事件、加油故障或其他可能预测事件的处理等）是否全面，应对措施是否安全可行进行评审。  优：应急方案考虑周全，贴合实际，应对措施合理，得10分；   中：应急方案考虑欠缺，较贴合实际，应对措施一般，得6分；  差：应急方案考虑欠缺，无法贴合实际，应对措施不合理，得3分；   注：未提供应急方案的不得分。</w:t>
            </w:r>
          </w:p>
        </w:tc>
      </w:tr>
      <w:tr>
        <w:tc>
          <w:tcPr>
            <w:tcW w:type="dxa" w:w="922"/>
            <w:gridSpan w:val="2"/>
            <w:vMerge w:val="restart"/>
          </w:tcPr>
          <w:p>
            <w:pPr>
              <w:jc w:val="center"/>
            </w:pPr>
            <w:r>
              <w:rPr/>
              <w:t>商务部分</w:t>
            </w:r>
          </w:p>
        </w:tc>
        <w:tc>
          <w:tcPr>
            <w:tcW w:type="dxa" w:w="2307"/>
          </w:tcPr>
          <w:p>
            <w:pPr>
              <w:jc w:val="left"/>
            </w:pPr>
            <w:r>
              <w:rPr/>
              <w:t>项目业绩 (10.0分)</w:t>
            </w:r>
          </w:p>
        </w:tc>
        <w:tc>
          <w:tcPr>
            <w:tcW w:type="dxa" w:w="5076"/>
          </w:tcPr>
          <w:p>
            <w:pPr>
              <w:jc w:val="left"/>
            </w:pPr>
            <w:r>
              <w:rPr/>
              <w:t>考查投标人自2019年1月1日以来（以合同签订日期为准）至今承担或完成同类项目业绩情况，每提供一个业绩得1分，同一项目不得重复计分，本项最高得10分。需提供项目合同关键页复印件并加盖投标人单位公章，未提供相应评分项不得分。</w:t>
            </w:r>
          </w:p>
        </w:tc>
      </w:tr>
      <w:tr>
        <w:tc>
          <w:tcPr>
            <w:tcW w:type="dxa" w:w="922"/>
            <w:gridSpan w:val="2"/>
            <w:vMerge/>
          </w:tcPr>
          <w:p/>
        </w:tc>
        <w:tc>
          <w:tcPr>
            <w:tcW w:type="dxa" w:w="2307"/>
          </w:tcPr>
          <w:p>
            <w:pPr>
              <w:jc w:val="left"/>
            </w:pPr>
            <w:r>
              <w:rPr/>
              <w:t>规章管理制度 (10.0分)</w:t>
            </w:r>
            <w:r>
              <w:rPr/>
              <w:t>，（等次分值选择：</w:t>
            </w:r>
            <w:r>
              <w:rPr/>
              <w:t>0.0;</w:t>
            </w:r>
            <w:r>
              <w:rPr/>
              <w:t>3.0;</w:t>
            </w:r>
            <w:r>
              <w:rPr/>
              <w:t>6.0;</w:t>
            </w:r>
            <w:r>
              <w:rPr/>
              <w:t>10.0;</w:t>
            </w:r>
            <w:r>
              <w:rPr/>
              <w:t>）</w:t>
            </w:r>
          </w:p>
        </w:tc>
        <w:tc>
          <w:tcPr>
            <w:tcW w:type="dxa" w:w="5076"/>
          </w:tcPr>
          <w:p>
            <w:pPr>
              <w:jc w:val="left"/>
            </w:pPr>
            <w:r>
              <w:rPr/>
              <w:t>根据投标人提供的规章管理制度进行评审，包括管理制度是否健全、人员分工是否明细、岗位职责是否明确进行评审。  优：管理制度健全，人员分工明细，岗位职责明确的，得10分；  中：管理制度较健全，人员分工较明细，岗位职责较明确的，得6分；  差：管理制度不健全，人员分工不明细，岗位职责不明确的，得3分； 注：未提供相关制度的不得分。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t xml:space="preserve"> </w:t>
      </w:r>
    </w:p>
    <w:p>
      <w:pPr>
        <w:jc w:val="center"/>
      </w:pPr>
      <w:r>
        <w:rPr>
          <w:color w:val="222222"/>
          <w:sz w:val="27"/>
        </w:rPr>
        <w:t xml:space="preserve"> （注：本合同仅为合同的参考文本，合同签订双方可根据项目的具体要求进行修订。）</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b/>
        </w:rPr>
        <w:t>一、合同金额（中标折扣率）</w:t>
      </w:r>
    </w:p>
    <w:p>
      <w:pPr>
        <w:jc w:val="both"/>
      </w:pPr>
      <w:r>
        <w:rPr>
          <w:color w:val="222222"/>
          <w:sz w:val="27"/>
        </w:rPr>
        <w:t>　　合同金额（中标折扣率）为_____________%</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rPr>
        <w:t>四、服务期间（项目完成期限）</w:t>
      </w:r>
    </w:p>
    <w:p>
      <w:pPr>
        <w:jc w:val="both"/>
      </w:pPr>
      <w:r>
        <w:rPr>
          <w:color w:val="222222"/>
          <w:sz w:val="27"/>
        </w:rPr>
        <w:t>　　1.委托服务期间自______年______月至______年______月止。</w:t>
      </w:r>
    </w:p>
    <w:p>
      <w:pPr>
        <w:jc w:val="both"/>
      </w:pPr>
      <w:r>
        <w:rPr>
          <w:b/>
        </w:rPr>
        <w:t>五、付款方式</w:t>
      </w:r>
    </w:p>
    <w:p>
      <w:pPr>
        <w:jc w:val="both"/>
      </w:pPr>
      <w:r>
        <w:rPr>
          <w:color w:val="222222"/>
          <w:sz w:val="27"/>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color w:val="222222"/>
          <w:sz w:val="27"/>
        </w:rPr>
        <w:t xml:space="preserve"> </w:t>
      </w:r>
      <w:r>
        <w:rPr>
          <w:color w:val="222222"/>
          <w:sz w:val="27"/>
        </w:rPr>
        <w:t>内付款：</w:t>
      </w:r>
      <w:r>
        <w:rPr>
          <w:color w:val="222222"/>
          <w:sz w:val="27"/>
        </w:rPr>
        <w:t>按次结算。服务期内，公务用车加油结算价根据国家发改委发布的最新一轮成品油零售价格及中标供应商的中标折扣率进行结算，采购人将通过专用的加油卡对相应的公务用车用油价格进行结算支付。公务用车加油结算价=国家发改委发布的最新一轮各相应油品成品油零售价格×加油数量×中标折扣率。本项目公务用车加油结算总价格为服务期内所有公务用车加油结算价之和，按实结算。 注：以上结算方式仅供参考，如在项目实行中有其他结算方式将另外约定。因采购人使用的是财政资金，采购人在前款规定的付款时间仅为向政府采购支付部门提出办理财政支付申请手续的时间（不含政府财政支付部门审核的时间），在规定时间内提出支付申请手续后即视为采购人已经按期支付，实际付款到账时间及金额以支付单位支付时间及金额为准，采购人不承担任何逾期付款的违约责任。</w:t>
      </w:r>
    </w:p>
    <w:p>
      <w:pPr>
        <w:jc w:val="both"/>
      </w:pPr>
      <w:r>
        <w:rPr>
          <w:b/>
        </w:rPr>
        <w:t>六、知识产权归属</w:t>
      </w:r>
    </w:p>
    <w:p>
      <w:pPr>
        <w:jc w:val="both"/>
      </w:pPr>
      <w:r>
        <w:rPr>
          <w:b/>
        </w:rPr>
        <w:t>七、保密</w:t>
      </w:r>
    </w:p>
    <w:p>
      <w:pPr>
        <w:jc w:val="both"/>
      </w:pPr>
      <w:r>
        <w:rPr>
          <w:b/>
        </w:rPr>
        <w:t>八、违约责任与赔偿损失</w:t>
      </w:r>
    </w:p>
    <w:p>
      <w:pPr>
        <w:jc w:val="both"/>
      </w:pPr>
      <w:r>
        <w:rPr>
          <w:color w:val="222222"/>
          <w:sz w:val="27"/>
        </w:rPr>
        <w:t>　　1.乙方提供的服务不符合本合同规定的，甲方有权拒收，并且乙方须向甲方方支付本合同总价5%的违约金。</w:t>
      </w:r>
    </w:p>
    <w:p>
      <w:pPr>
        <w:jc w:val="both"/>
      </w:pPr>
      <w:r>
        <w:rPr>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222222"/>
          <w:sz w:val="27"/>
        </w:rPr>
        <w:t>　　3.甲方无正当理由拒收接受服务，到期拒付服务款项的，甲方向乙方偿付本合同总的5%的违约金。甲方人逾期付款，则每日按本合同总价的3‰向乙方偿付违约金。</w:t>
      </w:r>
    </w:p>
    <w:p>
      <w:pPr>
        <w:jc w:val="both"/>
      </w:pPr>
      <w:r>
        <w:rPr>
          <w:color w:val="222222"/>
          <w:sz w:val="27"/>
        </w:rPr>
        <w:t>　　4.对于因甲方原因导致变更、中止或者终止政府采购合同的，甲方应当依照以下合同约定对供应商受到的损失予以赔偿或者补偿：</w:t>
      </w:r>
    </w:p>
    <w:p>
      <w:pPr>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5.其它违约责任按《</w:t>
      </w:r>
      <w:r>
        <w:rPr>
          <w:color w:val="222222"/>
          <w:sz w:val="27"/>
        </w:rPr>
        <w:t>中华人民共和国民法典(合同编)</w:t>
      </w:r>
      <w:r>
        <w:rPr>
          <w:color w:val="222222"/>
          <w:sz w:val="27"/>
        </w:rPr>
        <w:t>》处理。</w:t>
      </w:r>
    </w:p>
    <w:p>
      <w:pPr>
        <w:jc w:val="both"/>
      </w:pPr>
      <w:r>
        <w:rPr>
          <w:b/>
        </w:rPr>
        <w:t>九、争议的解决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r>
        <w:rPr>
          <w:color w:val="222222"/>
          <w:sz w:val="27"/>
        </w:rPr>
        <w:t xml:space="preserve"> </w:t>
      </w:r>
      <w:r>
        <w:rPr>
          <w:color w:val="222222"/>
          <w:sz w:val="27"/>
        </w:rPr>
        <w:t xml:space="preserve"> </w:t>
      </w:r>
      <w:r>
        <w:rPr>
          <w:color w:val="222222"/>
          <w:sz w:val="27"/>
        </w:rPr>
        <w:t xml:space="preserve"> </w:t>
      </w:r>
    </w:p>
    <w:p>
      <w:pPr>
        <w:jc w:val="both"/>
      </w:pPr>
      <w:r>
        <w:rPr>
          <w:b/>
        </w:rPr>
        <w:t>十、不可抗力</w:t>
      </w:r>
    </w:p>
    <w:p>
      <w:pPr>
        <w:jc w:val="both"/>
      </w:pPr>
      <w:r>
        <w:rPr>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rPr>
        <w:t>十一、税费</w:t>
      </w:r>
    </w:p>
    <w:p>
      <w:pPr>
        <w:jc w:val="both"/>
      </w:pPr>
      <w:r>
        <w:rPr>
          <w:color w:val="222222"/>
          <w:sz w:val="27"/>
        </w:rPr>
        <w:t>　　在中国境内、外发生的与本合同执行有关的一切税费均由乙方负担。</w:t>
      </w:r>
    </w:p>
    <w:p>
      <w:pPr>
        <w:jc w:val="both"/>
      </w:pPr>
      <w:r>
        <w:rPr>
          <w:b/>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rPr>
        <w:t>十三、合同生效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440705-2023-00243</w:t>
      </w:r>
    </w:p>
    <w:p>
      <w:pPr>
        <w:jc w:val="center"/>
      </w:pPr>
      <w:r>
        <w:rPr>
          <w:b/>
          <w:sz w:val="24"/>
        </w:rPr>
        <w:t>采购项目编号：</w:t>
      </w:r>
      <w:r>
        <w:rPr>
          <w:b/>
          <w:sz w:val="24"/>
        </w:rPr>
        <w:t>440705-2023-00243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广东省机电设备招标中心有限公司</w:t>
      </w:r>
    </w:p>
    <w:p>
      <w:pPr>
        <w:ind w:firstLine="480"/>
      </w:pPr>
      <w:r>
        <w:rPr/>
        <w:t>你方组织的</w:t>
      </w:r>
      <w:r>
        <w:rPr>
          <w:u w:val="single"/>
        </w:rPr>
        <w:t>“</w:t>
      </w:r>
      <w:r>
        <w:rPr>
          <w:u w:val="single"/>
        </w:rPr>
        <w:t>江门市公安局新会分局2023-2024年度公务用车定点加油服务项目(二次)</w:t>
      </w:r>
      <w:r>
        <w:rPr>
          <w:u w:val="single"/>
        </w:rPr>
        <w:t>”</w:t>
      </w:r>
      <w:r>
        <w:rPr/>
        <w:t>项目的招标[采购项目编号为：</w:t>
      </w:r>
      <w:r>
        <w:rPr>
          <w:u w:val="single"/>
        </w:rPr>
        <w:t>440705-2023-00243</w:t>
      </w:r>
      <w:r>
        <w:rPr/>
        <w:t>]，我方愿参与投标。</w:t>
      </w:r>
    </w:p>
    <w:p>
      <w:pPr>
        <w:ind w:firstLine="480"/>
      </w:pPr>
      <w:r>
        <w:rPr/>
        <w:t>我方确认收到贵方提供的</w:t>
      </w:r>
      <w:r>
        <w:rPr>
          <w:u w:val="single"/>
        </w:rPr>
        <w:t>“</w:t>
      </w:r>
      <w:r>
        <w:rPr>
          <w:u w:val="single"/>
        </w:rPr>
        <w:t>江门市公安局新会分局2023-2024年度公务用车定点加油服务项目(二次)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广东省机电设备招标中心有限公司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江门市公安局新会分局2023-2024年度公务用车定点加油服务项目(二次)</w:t>
      </w:r>
      <w:r>
        <w:rPr/>
        <w:t>”项目采购[采购项目编号为</w:t>
      </w:r>
      <w:r>
        <w:rPr/>
        <w:t>440705-2023-00243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江门市公安局新会分局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广东省机电设备招标中心有限公司</w:t>
      </w:r>
    </w:p>
    <w:p>
      <w:pPr>
        <w:ind w:firstLine="480"/>
      </w:pPr>
      <w:r>
        <w:rPr/>
        <w:t>如果我方在贵采购代理机构组织的</w:t>
      </w:r>
      <w:r>
        <w:rPr/>
        <w:t>江门市公安局新会分局2023-2024年度公务用车定点加油服务项目(二次)</w:t>
      </w:r>
      <w:r>
        <w:rPr/>
        <w:t>招标中获中标（采购项目编号：</w:t>
      </w:r>
      <w:r>
        <w:rPr/>
        <w:t>440705-2023-00243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广东省机电设备招标中心有限公司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广东省机电设备招标中心有限公司</w:t>
      </w:r>
    </w:p>
    <w:p>
      <w:pPr>
        <w:ind w:firstLine="480"/>
      </w:pPr>
      <w:r>
        <w:rPr/>
        <w:t>我单位已登记并准备参与“</w:t>
      </w:r>
      <w:r>
        <w:rPr/>
        <w:t>江门市公安局新会分局2023-2024年度公务用车定点加油服务项目(二次)</w:t>
      </w:r>
      <w:r>
        <w:rPr/>
        <w:t>”项目（采购项目编号：</w:t>
      </w:r>
      <w:r>
        <w:rPr/>
        <w:t>440705-2023-00243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