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440001-2023-07940</w:t>
      </w:r>
    </w:p>
    <w:p>
      <w:pPr>
        <w:jc w:val="center"/>
      </w:pPr>
      <w:r>
        <w:rPr>
          <w:b/>
          <w:sz w:val="24"/>
        </w:rPr>
        <w:t>采购项目编号：</w:t>
      </w:r>
      <w:r>
        <w:rPr>
          <w:b/>
          <w:sz w:val="24"/>
        </w:rPr>
        <w:t>0809--2341GDG31009</w:t>
      </w:r>
    </w:p>
    <w:p>
      <w:pPr>
        <w:jc w:val="center"/>
      </w:pPr>
      <w:r>
        <w:rPr>
          <w:b/>
          <w:sz w:val="24"/>
        </w:rPr>
        <w:t>项目名称：</w:t>
      </w:r>
      <w:r>
        <w:rPr>
          <w:b/>
          <w:sz w:val="24"/>
        </w:rPr>
        <w:t>中山大学附属第六医院医疗设备维保服务招标项目</w:t>
      </w:r>
    </w:p>
    <w:p>
      <w:pPr>
        <w:jc w:val="center"/>
      </w:pPr>
      <w:r>
        <w:rPr>
          <w:b/>
          <w:sz w:val="24"/>
        </w:rPr>
        <w:t>采购人：</w:t>
      </w:r>
      <w:r>
        <w:rPr>
          <w:b/>
          <w:sz w:val="24"/>
        </w:rPr>
        <w:t>中山大学附属第六医院</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中山大学附属第六医院</w:t>
      </w:r>
      <w:r>
        <w:rPr/>
        <w:t>的委托，采用</w:t>
      </w:r>
      <w:r>
        <w:rPr/>
        <w:t>公开招标</w:t>
      </w:r>
      <w:r>
        <w:rPr/>
        <w:t>方式组织采购</w:t>
      </w:r>
      <w:r>
        <w:rPr/>
        <w:t>中山大学附属第六医院医疗设备维保服务招标项目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中山大学附属第六医院医疗设备维保服务招标项目</w:t>
      </w:r>
    </w:p>
    <w:p>
      <w:pPr>
        <w:ind w:firstLine="480"/>
      </w:pPr>
      <w:r>
        <w:rPr/>
        <w:t>采购计划编号：</w:t>
      </w:r>
      <w:r>
        <w:rPr/>
        <w:t>440001-2023-07940</w:t>
      </w:r>
    </w:p>
    <w:p>
      <w:pPr>
        <w:ind w:firstLine="480"/>
      </w:pPr>
      <w:r>
        <w:rPr/>
        <w:t>采购项目编号：</w:t>
      </w:r>
      <w:r>
        <w:rPr/>
        <w:t>0809--2341GDG31009</w:t>
      </w:r>
    </w:p>
    <w:p>
      <w:pPr>
        <w:ind w:firstLine="480"/>
      </w:pPr>
      <w:r>
        <w:rPr/>
        <w:t>采购方式：</w:t>
      </w:r>
      <w:r>
        <w:rPr/>
        <w:t>公开招标</w:t>
      </w:r>
    </w:p>
    <w:p>
      <w:pPr>
        <w:ind w:firstLine="480"/>
      </w:pPr>
      <w:r>
        <w:rPr/>
        <w:t>预算金额：</w:t>
      </w:r>
      <w:r>
        <w:rPr/>
        <w:t>2,988,000.00</w:t>
      </w:r>
      <w:r>
        <w:rPr/>
        <w:t>元</w:t>
      </w:r>
    </w:p>
    <w:p>
      <w:r>
        <w:rPr>
          <w:b/>
          <w:sz w:val="24"/>
        </w:rPr>
        <w:t>2.项目内容及需求情况（采购项目技术规格、参数及要求）</w:t>
      </w:r>
    </w:p>
    <w:p>
      <w:pPr>
        <w:ind w:firstLine="480"/>
      </w:pPr>
    </w:p>
    <w:p/>
    <w:p>
      <w:r>
        <w:rPr/>
        <w:t>采购包1(大孔径CT维保服务项目):</w:t>
      </w:r>
    </w:p>
    <w:p>
      <w:r>
        <w:rPr/>
        <w:t>采购包预算金额：1,890,000.00元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医疗设备维修和保养服务</w:t>
            </w:r>
          </w:p>
        </w:tc>
        <w:tc>
          <w:tcPr>
            <w:tcW w:type="dxa" w:w="2136"/>
          </w:tcPr>
          <w:p>
            <w:r>
              <w:rPr/>
              <w:t>大孔径CT维保服务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合同履行期限：自合同签订之日起至双方合同义务履行完毕日止</w:t>
      </w:r>
    </w:p>
    <w:p/>
    <w:p>
      <w:r>
        <w:rPr/>
        <w:t>采购包2(富士内镜维保服务项目):</w:t>
      </w:r>
    </w:p>
    <w:p>
      <w:r>
        <w:rPr/>
        <w:t>采购包预算金额：1,098,000.00元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医疗设备维修和保养服务</w:t>
            </w:r>
          </w:p>
        </w:tc>
        <w:tc>
          <w:tcPr>
            <w:tcW w:type="dxa" w:w="2136"/>
          </w:tcPr>
          <w:p>
            <w:r>
              <w:rPr/>
              <w:t>富士内镜维保服务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合同履行期限：自合同签订之日起至双方合同义务履行完毕日止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提供2021年度财务状况报告或基本开户行（或基本存款账户行）出具的资信证明，或最近一期财务报表（适用在上一年度或本财务年度成立的法人或其他组织），或人民银行出具的个人信用报告（适用于自然人）。</w:t>
      </w:r>
    </w:p>
    <w:p/>
    <w:p>
      <w:r>
        <w:rPr/>
        <w:t>4）履行合同所必需的设备和专业技术能力：提供承诺函原件或填报设备和专业技术能力情况。</w:t>
      </w:r>
    </w:p>
    <w:p/>
    <w:p>
      <w:r>
        <w:rPr/>
        <w:t>5）参加采购活动前3年内，在经营活动中没有重大违法记录：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采购包1（大孔径CT维保服务项目）：</w:t>
      </w:r>
      <w:r>
        <w:rPr/>
        <w:t>本项目不属于专门面向中小企业采购的项目（采购包）。本项目的企业划分标准所属行业为：其他未列明行业。</w:t>
      </w:r>
    </w:p>
    <w:p>
      <w:pPr>
        <w:jc w:val="left"/>
      </w:pPr>
    </w:p>
    <w:p>
      <w:r>
        <w:rPr/>
        <w:t>采购包2（富士内镜维保服务项目）：</w:t>
      </w:r>
      <w:r>
        <w:rPr/>
        <w:t>本项目属于整体专门面向中小企业采购的项目（采购包）,供应商应为符合本项目采购标的对应行业（本项目行业为：其他未列明行业）划分标准的中小企业（监狱企业、残疾人福利性单位视同小微企业）。中小企业以供应商填写的《中小企业声明函（服务）》（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采购包1（大孔径CT维保服务项目）：</w:t>
      </w:r>
    </w:p>
    <w:p/>
    <w:p>
      <w:r>
        <w:rPr/>
        <w:t>1)供应商未被列入“信用中国”网站(www.creditchina.gov.cn)“失信被执行人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3)本合同包不接受联合体投标；不允许分包、转包。</w:t>
      </w:r>
    </w:p>
    <w:p/>
    <w:p>
      <w:r>
        <w:rPr/>
        <w:t>4)已登录广东政府采购智慧云平台申领并获取本项目采购文件。</w:t>
      </w:r>
    </w:p>
    <w:p/>
    <w:p>
      <w:r>
        <w:rPr/>
        <w:t>采购包2（富士内镜维保服务项目）：</w:t>
      </w:r>
    </w:p>
    <w:p/>
    <w:p>
      <w:r>
        <w:rPr/>
        <w:t>1)供应商未被列入“信用中国”网站(www.creditchina.gov.cn)“失信被执行人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3)本合同包不接受联合体投标；不允许分包、转包。</w:t>
      </w:r>
    </w:p>
    <w:p/>
    <w:p>
      <w:r>
        <w:rPr/>
        <w:t>4)已登录广东政府采购智慧云平台申领并获取本项目采购文件。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020-38254155</w:t>
      </w:r>
    </w:p>
    <w:p>
      <w:r>
        <w:rPr>
          <w:b/>
          <w:sz w:val="24"/>
        </w:rPr>
        <w:t>2.采购代理机构信息</w:t>
      </w:r>
    </w:p>
    <w:p>
      <w:pPr>
        <w:ind w:firstLine="480"/>
      </w:pPr>
      <w:r>
        <w:rPr/>
        <w:t>名称：</w:t>
      </w:r>
      <w:r>
        <w:rPr/>
        <w:t>广东华伦招标有限公司</w:t>
      </w:r>
    </w:p>
    <w:p>
      <w:pPr>
        <w:ind w:firstLine="480"/>
      </w:pPr>
      <w:r>
        <w:rPr/>
        <w:t>地址：</w:t>
      </w:r>
      <w:r>
        <w:rPr/>
        <w:t>广东省广州市越秀区广仁路1号广仁大厦7楼</w:t>
      </w:r>
    </w:p>
    <w:p>
      <w:pPr>
        <w:ind w:firstLine="480"/>
      </w:pPr>
      <w:r>
        <w:rPr/>
        <w:t>联系方式：</w:t>
      </w:r>
      <w:r>
        <w:rPr/>
        <w:t>020-83172166-818</w:t>
      </w:r>
    </w:p>
    <w:p>
      <w:r>
        <w:rPr>
          <w:b/>
          <w:sz w:val="24"/>
        </w:rPr>
        <w:t>3.项目联系方式</w:t>
      </w:r>
    </w:p>
    <w:p>
      <w:pPr>
        <w:ind w:firstLine="480"/>
      </w:pPr>
      <w:r>
        <w:rPr/>
        <w:t>项目联系人：</w:t>
      </w:r>
      <w:r>
        <w:rPr/>
        <w:t>蔡工</w:t>
      </w:r>
    </w:p>
    <w:p>
      <w:pPr>
        <w:ind w:firstLine="480"/>
      </w:pPr>
      <w:r>
        <w:rPr/>
        <w:t>电话：</w:t>
      </w:r>
      <w:r>
        <w:rPr/>
        <w:t>020-83172166-818</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w:t>
      </w:r>
      <w:r>
        <w:rPr>
          <w:sz w:val="21"/>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835"/>
        <w:gridCol w:w="3278"/>
        <w:gridCol w:w="1340"/>
        <w:gridCol w:w="2853"/>
      </w:tblGrid>
      <w:tr>
        <w:tc>
          <w:tcPr>
            <w:tcW w:type="dxa" w:w="835"/>
            <w:tcBorders>
              <w:top w:val="single" w:color="000000" w:sz="4"/>
              <w:left w:val="single" w:color="000000" w:sz="4"/>
              <w:bottom w:val="single" w:color="000000" w:sz="4"/>
              <w:right w:val="single" w:color="000000" w:sz="4"/>
            </w:tcBorders>
            <w:vAlign w:val="top"/>
          </w:tcPr>
          <w:p>
            <w:pPr>
              <w:jc w:val="center"/>
            </w:pPr>
            <w:r>
              <w:rPr>
                <w:sz w:val="21"/>
              </w:rPr>
              <w:t>包号</w:t>
            </w:r>
          </w:p>
        </w:tc>
        <w:tc>
          <w:tcPr>
            <w:tcW w:type="dxa" w:w="3278"/>
            <w:tcBorders>
              <w:top w:val="single" w:color="000000" w:sz="4"/>
              <w:left w:val="none" w:color="000000" w:sz="4"/>
              <w:bottom w:val="single" w:color="000000" w:sz="4"/>
              <w:right w:val="single" w:color="000000" w:sz="4"/>
            </w:tcBorders>
            <w:vAlign w:val="top"/>
          </w:tcPr>
          <w:p>
            <w:pPr>
              <w:jc w:val="center"/>
            </w:pPr>
            <w:r>
              <w:rPr>
                <w:sz w:val="21"/>
              </w:rPr>
              <w:t>标的名称</w:t>
            </w:r>
          </w:p>
        </w:tc>
        <w:tc>
          <w:tcPr>
            <w:tcW w:type="dxa" w:w="1340"/>
            <w:tcBorders>
              <w:top w:val="single" w:color="000000" w:sz="4"/>
              <w:left w:val="none" w:color="000000" w:sz="4"/>
              <w:bottom w:val="single" w:color="000000" w:sz="4"/>
              <w:right w:val="single" w:color="000000" w:sz="4"/>
            </w:tcBorders>
            <w:vAlign w:val="top"/>
          </w:tcPr>
          <w:p>
            <w:pPr>
              <w:jc w:val="center"/>
            </w:pPr>
            <w:r>
              <w:rPr>
                <w:sz w:val="21"/>
              </w:rPr>
              <w:t>服务期</w:t>
            </w:r>
          </w:p>
        </w:tc>
        <w:tc>
          <w:tcPr>
            <w:tcW w:type="dxa" w:w="2853"/>
            <w:tcBorders>
              <w:top w:val="single" w:color="000000" w:sz="4"/>
              <w:left w:val="none" w:color="000000" w:sz="4"/>
              <w:bottom w:val="single" w:color="000000" w:sz="4"/>
              <w:right w:val="single" w:color="000000" w:sz="4"/>
            </w:tcBorders>
            <w:vAlign w:val="top"/>
          </w:tcPr>
          <w:p>
            <w:pPr>
              <w:jc w:val="center"/>
            </w:pPr>
            <w:r>
              <w:rPr>
                <w:sz w:val="21"/>
              </w:rPr>
              <w:t>最高限价</w:t>
            </w:r>
          </w:p>
        </w:tc>
      </w:tr>
      <w:tr>
        <w:tc>
          <w:tcPr>
            <w:tcW w:type="dxa" w:w="8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78"/>
            <w:tcBorders>
              <w:top w:val="none" w:color="000000" w:sz="4"/>
              <w:left w:val="none" w:color="000000" w:sz="4"/>
              <w:bottom w:val="single" w:color="000000" w:sz="4"/>
              <w:right w:val="single" w:color="000000" w:sz="4"/>
            </w:tcBorders>
            <w:vAlign w:val="top"/>
          </w:tcPr>
          <w:p>
            <w:pPr>
              <w:jc w:val="center"/>
            </w:pPr>
            <w:r>
              <w:rPr>
                <w:sz w:val="21"/>
              </w:rPr>
              <w:t>大孔径</w:t>
            </w:r>
            <w:r>
              <w:rPr>
                <w:sz w:val="21"/>
              </w:rPr>
              <w:t>CT</w:t>
            </w:r>
            <w:r>
              <w:rPr>
                <w:sz w:val="21"/>
              </w:rPr>
              <w:t>维保服务</w:t>
            </w:r>
          </w:p>
        </w:tc>
        <w:tc>
          <w:tcPr>
            <w:tcW w:type="dxa" w:w="1340"/>
            <w:tcBorders>
              <w:top w:val="none" w:color="000000" w:sz="4"/>
              <w:left w:val="none" w:color="000000" w:sz="4"/>
              <w:bottom w:val="single" w:color="000000" w:sz="4"/>
              <w:right w:val="single" w:color="000000" w:sz="4"/>
            </w:tcBorders>
            <w:vAlign w:val="top"/>
          </w:tcPr>
          <w:p>
            <w:pPr>
              <w:jc w:val="center"/>
            </w:pPr>
            <w:r>
              <w:rPr>
                <w:sz w:val="21"/>
              </w:rPr>
              <w:t>3</w:t>
            </w:r>
            <w:r>
              <w:rPr>
                <w:sz w:val="21"/>
              </w:rPr>
              <w:t>年</w:t>
            </w:r>
          </w:p>
        </w:tc>
        <w:tc>
          <w:tcPr>
            <w:tcW w:type="dxa" w:w="2853"/>
            <w:tcBorders>
              <w:top w:val="none" w:color="000000" w:sz="4"/>
              <w:left w:val="none" w:color="000000" w:sz="4"/>
              <w:bottom w:val="single" w:color="000000" w:sz="4"/>
              <w:right w:val="single" w:color="000000" w:sz="4"/>
            </w:tcBorders>
            <w:vAlign w:val="top"/>
          </w:tcPr>
          <w:p>
            <w:pPr>
              <w:jc w:val="center"/>
            </w:pPr>
            <w:r>
              <w:rPr>
                <w:sz w:val="21"/>
              </w:rPr>
              <w:t>人民币</w:t>
            </w:r>
            <w:r>
              <w:rPr>
                <w:sz w:val="21"/>
              </w:rPr>
              <w:t>189</w:t>
            </w:r>
            <w:r>
              <w:rPr>
                <w:sz w:val="21"/>
              </w:rPr>
              <w:t>万元</w:t>
            </w:r>
          </w:p>
        </w:tc>
      </w:tr>
      <w:tr>
        <w:tc>
          <w:tcPr>
            <w:tcW w:type="dxa" w:w="83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78"/>
            <w:tcBorders>
              <w:top w:val="none" w:color="000000" w:sz="4"/>
              <w:left w:val="none" w:color="000000" w:sz="4"/>
              <w:bottom w:val="single" w:color="000000" w:sz="4"/>
              <w:right w:val="single" w:color="000000" w:sz="4"/>
            </w:tcBorders>
            <w:vAlign w:val="top"/>
          </w:tcPr>
          <w:p>
            <w:pPr>
              <w:jc w:val="center"/>
            </w:pPr>
            <w:r>
              <w:rPr>
                <w:sz w:val="21"/>
              </w:rPr>
              <w:t>富士内镜维保服务</w:t>
            </w:r>
          </w:p>
        </w:tc>
        <w:tc>
          <w:tcPr>
            <w:tcW w:type="dxa" w:w="1340"/>
            <w:tcBorders>
              <w:top w:val="none" w:color="000000" w:sz="4"/>
              <w:left w:val="none" w:color="000000" w:sz="4"/>
              <w:bottom w:val="single" w:color="000000" w:sz="4"/>
              <w:right w:val="single" w:color="000000" w:sz="4"/>
            </w:tcBorders>
            <w:vAlign w:val="top"/>
          </w:tcPr>
          <w:p>
            <w:pPr>
              <w:jc w:val="center"/>
            </w:pPr>
            <w:r>
              <w:rPr>
                <w:sz w:val="21"/>
              </w:rPr>
              <w:t>3</w:t>
            </w:r>
            <w:r>
              <w:rPr>
                <w:sz w:val="21"/>
              </w:rPr>
              <w:t>年</w:t>
            </w:r>
          </w:p>
        </w:tc>
        <w:tc>
          <w:tcPr>
            <w:tcW w:type="dxa" w:w="2853"/>
            <w:tcBorders>
              <w:top w:val="none" w:color="000000" w:sz="4"/>
              <w:left w:val="none" w:color="000000" w:sz="4"/>
              <w:bottom w:val="single" w:color="000000" w:sz="4"/>
              <w:right w:val="single" w:color="000000" w:sz="4"/>
            </w:tcBorders>
            <w:vAlign w:val="top"/>
          </w:tcPr>
          <w:p>
            <w:pPr>
              <w:jc w:val="center"/>
            </w:pPr>
            <w:r>
              <w:rPr>
                <w:sz w:val="21"/>
              </w:rPr>
              <w:t>人民币</w:t>
            </w:r>
            <w:r>
              <w:rPr>
                <w:sz w:val="21"/>
              </w:rPr>
              <w:t>109.8</w:t>
            </w:r>
            <w:r>
              <w:rPr>
                <w:sz w:val="21"/>
              </w:rPr>
              <w:t>万元</w:t>
            </w:r>
          </w:p>
        </w:tc>
      </w:tr>
    </w:tbl>
    <w:p>
      <w:pPr>
        <w:ind w:firstLine="420"/>
        <w:jc w:val="both"/>
      </w:pPr>
      <w:r>
        <w:rPr>
          <w:sz w:val="21"/>
        </w:rPr>
        <w:t>2</w:t>
      </w:r>
      <w:r>
        <w:rPr>
          <w:sz w:val="21"/>
        </w:rPr>
        <w:t>项目属性：本项目为服务类政府采购项目</w:t>
      </w:r>
      <w:r>
        <w:rPr>
          <w:sz w:val="21"/>
        </w:rPr>
        <w:t>。</w:t>
      </w:r>
    </w:p>
    <w:p>
      <w:pPr>
        <w:ind w:firstLine="420"/>
        <w:jc w:val="both"/>
      </w:pPr>
      <w:r>
        <w:rPr>
          <w:sz w:val="21"/>
        </w:rPr>
        <w:t>3</w:t>
      </w:r>
      <w:r>
        <w:rPr>
          <w:sz w:val="21"/>
        </w:rPr>
        <w:t>服务时间：自合同签订生效之日起</w:t>
      </w:r>
      <w:r>
        <w:rPr>
          <w:sz w:val="21"/>
        </w:rPr>
        <w:t>3</w:t>
      </w:r>
      <w:r>
        <w:rPr>
          <w:sz w:val="21"/>
        </w:rPr>
        <w:t>年。</w:t>
      </w:r>
    </w:p>
    <w:p>
      <w:pPr>
        <w:ind w:firstLine="420"/>
        <w:jc w:val="both"/>
      </w:pPr>
      <w:r>
        <w:rPr>
          <w:sz w:val="21"/>
        </w:rPr>
        <w:t>4</w:t>
      </w:r>
      <w:r>
        <w:rPr>
          <w:sz w:val="21"/>
        </w:rPr>
        <w:t>交货地点：采购人指定地点。</w:t>
      </w:r>
    </w:p>
    <w:p>
      <w:pPr>
        <w:ind w:firstLine="420"/>
        <w:jc w:val="both"/>
      </w:pPr>
      <w:r>
        <w:rPr>
          <w:sz w:val="21"/>
        </w:rPr>
        <w:t>5</w:t>
      </w:r>
      <w:r>
        <w:rPr>
          <w:sz w:val="21"/>
        </w:rPr>
        <w:t>.</w:t>
      </w:r>
      <w:r>
        <w:rPr>
          <w:sz w:val="21"/>
        </w:rPr>
        <w:t>本采购项目需要落实的政府采购政策：《政府采购促进中小企业发展管理办法》（财库〔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号）、《关于环境标志产品政府采购实施的意见》（财库</w:t>
      </w:r>
      <w:r>
        <w:rPr>
          <w:sz w:val="21"/>
        </w:rPr>
        <w:t>[2006]90</w:t>
      </w:r>
      <w:r>
        <w:rPr>
          <w:sz w:val="21"/>
        </w:rPr>
        <w:t>号）、《节能产品政府采购实施意见》的通知》（财库［</w:t>
      </w:r>
      <w:r>
        <w:rPr>
          <w:sz w:val="21"/>
        </w:rPr>
        <w:t>2004</w:t>
      </w:r>
      <w:r>
        <w:rPr>
          <w:sz w:val="21"/>
        </w:rPr>
        <w:t>］</w:t>
      </w:r>
      <w:r>
        <w:rPr>
          <w:sz w:val="21"/>
        </w:rPr>
        <w:t>185</w:t>
      </w:r>
      <w:r>
        <w:rPr>
          <w:sz w:val="21"/>
        </w:rPr>
        <w:t>号）、《关于调整优化节能产品、环境标志产品政府采购执行机制的通知》（财库〔</w:t>
      </w:r>
      <w:r>
        <w:rPr>
          <w:sz w:val="21"/>
        </w:rPr>
        <w:t>2019</w:t>
      </w:r>
      <w:r>
        <w:rPr>
          <w:sz w:val="21"/>
        </w:rPr>
        <w:t>〕</w:t>
      </w:r>
      <w:r>
        <w:rPr>
          <w:sz w:val="21"/>
        </w:rPr>
        <w:t>9</w:t>
      </w:r>
      <w:r>
        <w:rPr>
          <w:sz w:val="21"/>
        </w:rPr>
        <w:t>号）</w:t>
      </w:r>
      <w:r>
        <w:rPr>
          <w:sz w:val="21"/>
        </w:rPr>
        <w:t>、《政府采购需求管理办法》（（财库</w:t>
      </w:r>
      <w:r>
        <w:rPr>
          <w:sz w:val="21"/>
        </w:rPr>
        <w:t>[2021]22</w:t>
      </w:r>
      <w:r>
        <w:rPr>
          <w:sz w:val="21"/>
        </w:rPr>
        <w:t>号）、《广东省政府采购促进中小企业发展实施细则（试行）》的通知（粤财采购〔</w:t>
      </w:r>
      <w:r>
        <w:rPr>
          <w:sz w:val="21"/>
        </w:rPr>
        <w:t>2022</w:t>
      </w:r>
      <w:r>
        <w:rPr>
          <w:sz w:val="21"/>
        </w:rPr>
        <w:t>〕</w:t>
      </w:r>
      <w:r>
        <w:rPr>
          <w:sz w:val="21"/>
        </w:rPr>
        <w:t>10</w:t>
      </w:r>
      <w:r>
        <w:rPr>
          <w:sz w:val="21"/>
        </w:rPr>
        <w:t>号）、《商品包装政府采购需求标准（试行）》及《快递包装政府采购需求标准（试行）》（财办库〔</w:t>
      </w:r>
      <w:r>
        <w:rPr>
          <w:sz w:val="21"/>
        </w:rPr>
        <w:t>2020</w:t>
      </w:r>
      <w:r>
        <w:rPr>
          <w:sz w:val="21"/>
        </w:rPr>
        <w:t>〕</w:t>
      </w:r>
      <w:r>
        <w:rPr>
          <w:sz w:val="21"/>
        </w:rPr>
        <w:t>123</w:t>
      </w:r>
      <w:r>
        <w:rPr>
          <w:sz w:val="21"/>
        </w:rPr>
        <w:t>）</w:t>
      </w:r>
      <w:r>
        <w:rPr>
          <w:sz w:val="21"/>
        </w:rPr>
        <w:t>等。</w:t>
      </w:r>
    </w:p>
    <w:p>
      <w:pPr>
        <w:ind w:firstLine="420"/>
        <w:jc w:val="both"/>
      </w:pPr>
      <w:r>
        <w:rPr>
          <w:sz w:val="21"/>
        </w:rPr>
        <w:t>6</w:t>
      </w:r>
      <w:r>
        <w:rPr>
          <w:sz w:val="21"/>
        </w:rPr>
        <w:t>.</w:t>
      </w:r>
      <w:r>
        <w:rPr>
          <w:sz w:val="21"/>
        </w:rPr>
        <w:t>投标人须对本项目以采购包为单位的货物及服务进行整体投标，任何只对采购包内其中一部分内容进行的投标都被视为无效投标。</w:t>
      </w:r>
    </w:p>
    <w:p>
      <w:pPr>
        <w:ind w:firstLine="420"/>
        <w:jc w:val="both"/>
      </w:pPr>
      <w:r>
        <w:rPr>
          <w:sz w:val="21"/>
        </w:rPr>
        <w:t>7</w:t>
      </w:r>
      <w:r>
        <w:rPr>
          <w:sz w:val="21"/>
        </w:rPr>
        <w:t>.</w:t>
      </w:r>
      <w:r>
        <w:rPr>
          <w:sz w:val="21"/>
        </w:rPr>
        <w:t>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ind w:firstLine="420"/>
        <w:jc w:val="both"/>
      </w:pPr>
      <w:r>
        <w:rPr>
          <w:sz w:val="21"/>
        </w:rPr>
        <w:t>8</w:t>
      </w:r>
      <w:r>
        <w:rPr>
          <w:sz w:val="21"/>
        </w:rPr>
        <w:t>.</w:t>
      </w:r>
      <w:r>
        <w:rPr>
          <w:sz w:val="21"/>
        </w:rPr>
        <w:t>投标人可选择个别采购包或全部采购包进行投标，但必须对采购包内所有内容进行投标，不允许只对采购包内其中部分内容进行投标。</w:t>
      </w:r>
    </w:p>
    <w:p>
      <w:pPr>
        <w:ind w:firstLine="420"/>
        <w:jc w:val="both"/>
      </w:pPr>
      <w:r>
        <w:rPr>
          <w:sz w:val="21"/>
        </w:rPr>
        <w:t>9</w:t>
      </w:r>
      <w:r>
        <w:rPr>
          <w:sz w:val="21"/>
        </w:rPr>
        <w:t>.</w:t>
      </w:r>
      <w:r>
        <w:rPr>
          <w:sz w:val="21"/>
        </w:rPr>
        <w:t>打</w:t>
      </w:r>
      <w:r>
        <w:rPr>
          <w:sz w:val="21"/>
        </w:rPr>
        <w:t>“★”号条款为实质性条款，若有任何一条负偏离或不满足则导致投标（响应）无效。</w:t>
      </w:r>
    </w:p>
    <w:p>
      <w:pPr>
        <w:ind w:firstLine="420"/>
        <w:jc w:val="both"/>
      </w:pPr>
      <w:r>
        <w:rPr>
          <w:sz w:val="21"/>
        </w:rPr>
        <w:t>10</w:t>
      </w:r>
      <w:r>
        <w:rPr>
          <w:sz w:val="21"/>
        </w:rPr>
        <w:t>.</w:t>
      </w:r>
      <w:r>
        <w:rPr>
          <w:sz w:val="21"/>
        </w:rPr>
        <w:t>打</w:t>
      </w:r>
      <w:r>
        <w:rPr>
          <w:sz w:val="21"/>
        </w:rPr>
        <w:t>“▲”号条款为重要参数（如有），若有部分“▲”条款未响应或不满足，将根据评审要求影响其得分，但不作为无效投标（响应）条款。</w:t>
      </w:r>
    </w:p>
    <w:p>
      <w:pPr>
        <w:ind w:firstLine="420"/>
        <w:jc w:val="both"/>
      </w:pPr>
      <w:r>
        <w:rPr>
          <w:sz w:val="21"/>
        </w:rPr>
        <w:t>11</w:t>
      </w:r>
      <w:r>
        <w:rPr>
          <w:sz w:val="21"/>
        </w:rPr>
        <w:t>.</w:t>
      </w:r>
      <w:r>
        <w:rPr>
          <w:sz w:val="21"/>
        </w:rPr>
        <w:t>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但不限于：报价成本分析报告、各项进货成本、开发设计成本明细、项目实施成本、税费、利润、安装成本等的详细说明。）</w:t>
      </w:r>
    </w:p>
    <w:p>
      <w:pPr>
        <w:ind w:firstLine="420"/>
        <w:jc w:val="both"/>
      </w:pPr>
      <w:r>
        <w:rPr>
          <w:sz w:val="21"/>
        </w:rPr>
        <w:t>12.</w:t>
      </w:r>
      <w:r>
        <w:rPr>
          <w:sz w:val="21"/>
        </w:rPr>
        <w:t>投标人可选择是否递交纸质投标文件，本项目纸质版投标文件必须是通过智慧云平台投标客户端软件生成的投标文件打印的纸质版，否则视为无效纸质投标文件。纸质投标文件须在投标截止前递交至开标地点，逾期递交的，代理机构将不再接收；逾期递交或者未递交纸质文件，均不造成投标无效。</w:t>
      </w:r>
    </w:p>
    <w:p/>
    <w:p>
      <w:pPr>
        <w:ind w:firstLine="480"/>
      </w:pPr>
    </w:p>
    <w:p/>
    <w:p>
      <w:r>
        <w:rPr/>
        <w:t>采购包1（大孔径CT维保服务项目）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1期：支付比例100%,（1）在第一年度维保服务期开始且中标人提供相关请款资料15日内由采购人向中标人支付第一年度服务费的50%； （2）在第一年度维保服务期结束且中标人提供相关请款资料15日内由采购人向中标人支付第一年度剩余服务费的50%； （3）在第二年度维保服务期结束且中标人提供相关请款资料15日内由采购人向中标人支付第二年度服务费的100%； （4）在第三年度服务期结束且中标人提供相关请款资料15日内由采购人向中标人支付，支付第三年度服务费100%。 （5）如中标人为中小企业的：签订合同之日起5个工作日内向中标人支付合同总价的30%作为预付款。预付款可在实际付款中进行抵扣，直至抵扣完毕。</w:t>
            </w:r>
          </w:p>
        </w:tc>
      </w:tr>
      <w:tr>
        <w:tc>
          <w:tcPr>
            <w:tcW w:type="dxa" w:w="4153"/>
          </w:tcPr>
          <w:p>
            <w:r>
              <w:rPr/>
              <w:t>验收要求</w:t>
            </w:r>
          </w:p>
        </w:tc>
        <w:tc>
          <w:tcPr>
            <w:tcW w:type="dxa" w:w="4153"/>
          </w:tcPr>
          <w:p/>
          <w:p/>
          <w:p/>
          <w:p>
            <w:r>
              <w:rPr/>
              <w:t>1期：完成全部合同约定的服务内容且采购人收到供应商项目验收建议之日起7日内按照合同的约定对履约情况进行验收，对每一项技术、服务、安全标准的履约情况进行确认。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其他，一、报价要求 （一）报名报价包括： 1、设备的定期检查保养费； 2、维修人员的工时费、差旅费； 3、保修设备维修及保养中需更换的部分配件、易耗品费用； 4、通讯费用、网络等手段向招标人提供的技术支持及利润、税金等。 （二）供应商报价中漏报、少报的费用，视为此项费用已隐含在报名报价中（招标文件约定由招标人支付的费用除外），供应商中标后不得再向采购人收取任何费用。</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大孔径CT维保服务</w:t>
            </w:r>
          </w:p>
        </w:tc>
        <w:tc>
          <w:tcPr>
            <w:tcW w:type="dxa" w:w="933"/>
          </w:tcPr>
          <w:p>
            <w:pPr>
              <w:jc w:val="left"/>
            </w:pPr>
            <w:r>
              <w:rPr/>
              <w:t>项</w:t>
            </w:r>
          </w:p>
        </w:tc>
        <w:tc>
          <w:tcPr>
            <w:tcW w:type="dxa" w:w="933"/>
          </w:tcPr>
          <w:p>
            <w:pPr>
              <w:jc w:val="right"/>
            </w:pPr>
            <w:r>
              <w:rPr/>
              <w:t>1.00</w:t>
            </w:r>
          </w:p>
        </w:tc>
        <w:tc>
          <w:tcPr>
            <w:tcW w:type="dxa" w:w="933"/>
          </w:tcPr>
          <w:p>
            <w:pPr>
              <w:jc w:val="right"/>
            </w:pPr>
            <w:r>
              <w:rPr/>
              <w:t>1,890,000.00</w:t>
            </w:r>
          </w:p>
        </w:tc>
        <w:tc>
          <w:tcPr>
            <w:tcW w:type="dxa" w:w="933"/>
          </w:tcPr>
          <w:p>
            <w:pPr>
              <w:jc w:val="right"/>
            </w:pPr>
            <w:r>
              <w:rPr/>
              <w:t>1,890,000.00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大孔径CT维保服务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w:t>
            </w:r>
            <w:r>
              <w:rPr>
                <w:sz w:val="21"/>
              </w:rPr>
              <w:t>设备维保清单</w:t>
            </w:r>
          </w:p>
          <w:tbl>
            <w:tblPr>
              <w:tblInd w:type="dxa" w:w="120"/>
              <w:tblBorders>
                <w:top w:val="none" w:color="000000" w:sz="4"/>
                <w:left w:val="none" w:color="000000" w:sz="4"/>
                <w:bottom w:val="none" w:color="000000" w:sz="4"/>
                <w:right w:val="none" w:color="000000" w:sz="4"/>
                <w:insideH w:val="none"/>
                <w:insideV w:val="none"/>
              </w:tblBorders>
            </w:tblPr>
            <w:tblGrid>
              <w:gridCol w:w="330"/>
              <w:gridCol w:w="948"/>
              <w:gridCol w:w="638"/>
              <w:gridCol w:w="2103"/>
              <w:gridCol w:w="172"/>
              <w:gridCol w:w="172"/>
              <w:gridCol w:w="1230"/>
            </w:tblGrid>
            <w:tr>
              <w:tc>
                <w:tcPr>
                  <w:tcW w:type="dxa" w:w="330"/>
                  <w:tcBorders>
                    <w:top w:val="single" w:color="000000" w:sz="8"/>
                    <w:left w:val="single" w:color="000000" w:sz="8"/>
                    <w:bottom w:val="single" w:color="000000" w:sz="4"/>
                    <w:right w:val="single" w:color="000000" w:sz="4"/>
                  </w:tcBorders>
                  <w:vAlign w:val="top"/>
                </w:tcPr>
                <w:p>
                  <w:pPr>
                    <w:jc w:val="both"/>
                  </w:pPr>
                  <w:r>
                    <w:rPr>
                      <w:sz w:val="21"/>
                    </w:rPr>
                    <w:t>序号</w:t>
                  </w:r>
                </w:p>
              </w:tc>
              <w:tc>
                <w:tcPr>
                  <w:tcW w:type="dxa" w:w="948"/>
                  <w:tcBorders>
                    <w:top w:val="single" w:color="000000" w:sz="8"/>
                    <w:left w:val="single" w:color="000000" w:sz="4"/>
                    <w:bottom w:val="single" w:color="000000" w:sz="4"/>
                    <w:right w:val="single" w:color="000000" w:sz="4"/>
                  </w:tcBorders>
                  <w:vAlign w:val="top"/>
                </w:tcPr>
                <w:p>
                  <w:pPr>
                    <w:jc w:val="both"/>
                  </w:pPr>
                  <w:r>
                    <w:rPr>
                      <w:sz w:val="21"/>
                    </w:rPr>
                    <w:t>维保设备名称</w:t>
                  </w:r>
                </w:p>
              </w:tc>
              <w:tc>
                <w:tcPr>
                  <w:tcW w:type="dxa" w:w="638"/>
                  <w:tcBorders>
                    <w:top w:val="single" w:color="000000" w:sz="8"/>
                    <w:left w:val="single" w:color="000000" w:sz="4"/>
                    <w:bottom w:val="single" w:color="000000" w:sz="4"/>
                    <w:right w:val="single" w:color="000000" w:sz="4"/>
                  </w:tcBorders>
                  <w:vAlign w:val="top"/>
                </w:tcPr>
                <w:p>
                  <w:pPr>
                    <w:jc w:val="both"/>
                  </w:pPr>
                  <w:r>
                    <w:rPr>
                      <w:sz w:val="21"/>
                    </w:rPr>
                    <w:t>设备品牌</w:t>
                  </w:r>
                </w:p>
              </w:tc>
              <w:tc>
                <w:tcPr>
                  <w:tcW w:type="dxa" w:w="2103"/>
                  <w:tcBorders>
                    <w:top w:val="single" w:color="000000" w:sz="8"/>
                    <w:left w:val="single" w:color="000000" w:sz="4"/>
                    <w:bottom w:val="single" w:color="000000" w:sz="4"/>
                    <w:right w:val="single" w:color="000000" w:sz="4"/>
                  </w:tcBorders>
                  <w:vAlign w:val="top"/>
                </w:tcPr>
                <w:p>
                  <w:pPr>
                    <w:jc w:val="both"/>
                  </w:pPr>
                  <w:r>
                    <w:rPr>
                      <w:sz w:val="21"/>
                    </w:rPr>
                    <w:t>设备型号</w:t>
                  </w:r>
                </w:p>
              </w:tc>
              <w:tc>
                <w:tcPr>
                  <w:tcW w:type="dxa" w:w="172"/>
                  <w:tcBorders>
                    <w:top w:val="single" w:color="000000" w:sz="8"/>
                    <w:left w:val="single" w:color="000000" w:sz="4"/>
                    <w:bottom w:val="single" w:color="000000" w:sz="4"/>
                    <w:right w:val="single" w:color="000000" w:sz="4"/>
                  </w:tcBorders>
                  <w:vAlign w:val="top"/>
                </w:tcPr>
                <w:p>
                  <w:pPr>
                    <w:jc w:val="both"/>
                  </w:pPr>
                  <w:r>
                    <w:rPr>
                      <w:sz w:val="21"/>
                    </w:rPr>
                    <w:t>数量</w:t>
                  </w:r>
                </w:p>
              </w:tc>
              <w:tc>
                <w:tcPr>
                  <w:tcW w:type="dxa" w:w="172"/>
                  <w:tcBorders>
                    <w:top w:val="single" w:color="000000" w:sz="8"/>
                    <w:left w:val="single" w:color="000000" w:sz="4"/>
                    <w:bottom w:val="single" w:color="000000" w:sz="4"/>
                    <w:right w:val="single" w:color="000000" w:sz="4"/>
                  </w:tcBorders>
                  <w:vAlign w:val="top"/>
                </w:tcPr>
                <w:p>
                  <w:pPr>
                    <w:jc w:val="both"/>
                  </w:pPr>
                  <w:r>
                    <w:rPr>
                      <w:sz w:val="21"/>
                    </w:rPr>
                    <w:t>单位</w:t>
                  </w:r>
                </w:p>
              </w:tc>
              <w:tc>
                <w:tcPr>
                  <w:tcW w:type="dxa" w:w="1230"/>
                  <w:tcBorders>
                    <w:top w:val="single" w:color="000000" w:sz="8"/>
                    <w:left w:val="single" w:color="000000" w:sz="4"/>
                    <w:bottom w:val="single" w:color="000000" w:sz="4"/>
                    <w:right w:val="single" w:color="000000" w:sz="8"/>
                  </w:tcBorders>
                  <w:vAlign w:val="top"/>
                </w:tcPr>
                <w:p>
                  <w:pPr>
                    <w:jc w:val="both"/>
                  </w:pPr>
                  <w:r>
                    <w:rPr>
                      <w:sz w:val="21"/>
                    </w:rPr>
                    <w:t>启用时间</w:t>
                  </w:r>
                </w:p>
              </w:tc>
            </w:tr>
            <w:tr>
              <w:tc>
                <w:tcPr>
                  <w:tcW w:type="dxa" w:w="330"/>
                  <w:tcBorders>
                    <w:top w:val="single" w:color="000000" w:sz="4"/>
                    <w:left w:val="single" w:color="000000" w:sz="8"/>
                    <w:bottom w:val="single" w:color="000000" w:sz="8"/>
                    <w:right w:val="single" w:color="000000" w:sz="4"/>
                  </w:tcBorders>
                  <w:vAlign w:val="top"/>
                </w:tcPr>
                <w:p>
                  <w:pPr>
                    <w:jc w:val="both"/>
                  </w:pPr>
                  <w:r>
                    <w:rPr>
                      <w:sz w:val="21"/>
                    </w:rPr>
                    <w:t>1</w:t>
                  </w:r>
                </w:p>
              </w:tc>
              <w:tc>
                <w:tcPr>
                  <w:tcW w:type="dxa" w:w="948"/>
                  <w:tcBorders>
                    <w:top w:val="single" w:color="000000" w:sz="4"/>
                    <w:left w:val="single" w:color="000000" w:sz="4"/>
                    <w:bottom w:val="single" w:color="000000" w:sz="8"/>
                    <w:right w:val="single" w:color="000000" w:sz="4"/>
                  </w:tcBorders>
                  <w:vAlign w:val="top"/>
                </w:tcPr>
                <w:p>
                  <w:pPr>
                    <w:jc w:val="both"/>
                  </w:pPr>
                  <w:r>
                    <w:rPr>
                      <w:sz w:val="21"/>
                    </w:rPr>
                    <w:t>大孔径</w:t>
                  </w:r>
                  <w:r>
                    <w:rPr>
                      <w:sz w:val="21"/>
                    </w:rPr>
                    <w:t>CT</w:t>
                  </w:r>
                </w:p>
              </w:tc>
              <w:tc>
                <w:tcPr>
                  <w:tcW w:type="dxa" w:w="638"/>
                  <w:tcBorders>
                    <w:top w:val="single" w:color="000000" w:sz="4"/>
                    <w:left w:val="single" w:color="000000" w:sz="4"/>
                    <w:bottom w:val="single" w:color="000000" w:sz="8"/>
                    <w:right w:val="single" w:color="000000" w:sz="4"/>
                  </w:tcBorders>
                  <w:vAlign w:val="top"/>
                </w:tcPr>
                <w:p>
                  <w:pPr>
                    <w:jc w:val="both"/>
                  </w:pPr>
                  <w:r>
                    <w:rPr>
                      <w:sz w:val="21"/>
                    </w:rPr>
                    <w:t>飞利浦</w:t>
                  </w:r>
                </w:p>
              </w:tc>
              <w:tc>
                <w:tcPr>
                  <w:tcW w:type="dxa" w:w="2103"/>
                  <w:tcBorders>
                    <w:top w:val="single" w:color="000000" w:sz="4"/>
                    <w:left w:val="single" w:color="000000" w:sz="4"/>
                    <w:bottom w:val="single" w:color="000000" w:sz="8"/>
                    <w:right w:val="single" w:color="000000" w:sz="4"/>
                  </w:tcBorders>
                  <w:vAlign w:val="top"/>
                </w:tcPr>
                <w:p>
                  <w:pPr>
                    <w:jc w:val="both"/>
                  </w:pPr>
                  <w:r>
                    <w:rPr>
                      <w:sz w:val="21"/>
                    </w:rPr>
                    <w:t>Brilliance CT BigBore</w:t>
                  </w:r>
                </w:p>
              </w:tc>
              <w:tc>
                <w:tcPr>
                  <w:tcW w:type="dxa" w:w="172"/>
                  <w:tcBorders>
                    <w:top w:val="single" w:color="000000" w:sz="4"/>
                    <w:left w:val="single" w:color="000000" w:sz="4"/>
                    <w:bottom w:val="single" w:color="000000" w:sz="8"/>
                    <w:right w:val="single" w:color="000000" w:sz="4"/>
                  </w:tcBorders>
                  <w:vAlign w:val="top"/>
                </w:tcPr>
                <w:p>
                  <w:pPr>
                    <w:jc w:val="both"/>
                  </w:pPr>
                  <w:r>
                    <w:rPr>
                      <w:sz w:val="21"/>
                    </w:rPr>
                    <w:t>1</w:t>
                  </w:r>
                </w:p>
              </w:tc>
              <w:tc>
                <w:tcPr>
                  <w:tcW w:type="dxa" w:w="172"/>
                  <w:tcBorders>
                    <w:top w:val="single" w:color="000000" w:sz="4"/>
                    <w:left w:val="single" w:color="000000" w:sz="4"/>
                    <w:bottom w:val="single" w:color="000000" w:sz="8"/>
                    <w:right w:val="single" w:color="000000" w:sz="4"/>
                  </w:tcBorders>
                  <w:vAlign w:val="top"/>
                </w:tcPr>
                <w:p>
                  <w:pPr>
                    <w:jc w:val="both"/>
                  </w:pPr>
                  <w:r>
                    <w:rPr>
                      <w:sz w:val="21"/>
                    </w:rPr>
                    <w:t>台</w:t>
                  </w:r>
                </w:p>
              </w:tc>
              <w:tc>
                <w:tcPr>
                  <w:tcW w:type="dxa" w:w="1230"/>
                  <w:tcBorders>
                    <w:top w:val="single" w:color="000000" w:sz="4"/>
                    <w:left w:val="single" w:color="000000" w:sz="4"/>
                    <w:bottom w:val="single" w:color="000000" w:sz="8"/>
                    <w:right w:val="single" w:color="000000" w:sz="8"/>
                  </w:tcBorders>
                  <w:vAlign w:val="top"/>
                </w:tcPr>
                <w:p>
                  <w:pPr>
                    <w:jc w:val="both"/>
                  </w:pPr>
                  <w:r>
                    <w:rPr>
                      <w:sz w:val="21"/>
                    </w:rPr>
                    <w:t>2016</w:t>
                  </w:r>
                  <w:r>
                    <w:rPr>
                      <w:sz w:val="21"/>
                    </w:rPr>
                    <w:t>年</w:t>
                  </w:r>
                  <w:r>
                    <w:rPr>
                      <w:sz w:val="21"/>
                    </w:rPr>
                    <w:t>11</w:t>
                  </w:r>
                  <w:r>
                    <w:rPr>
                      <w:sz w:val="21"/>
                    </w:rPr>
                    <w:t>月</w:t>
                  </w:r>
                  <w:r>
                    <w:rPr>
                      <w:sz w:val="21"/>
                    </w:rPr>
                    <w:t>1</w:t>
                  </w:r>
                  <w:r>
                    <w:rPr>
                      <w:sz w:val="21"/>
                    </w:rPr>
                    <w:t>日</w:t>
                  </w:r>
                </w:p>
              </w:tc>
            </w:tr>
          </w:tbl>
        </w:tc>
      </w:tr>
      <w:tr>
        <w:tc>
          <w:tcPr>
            <w:tcW w:type="dxa" w:w="2076"/>
          </w:tcPr>
          <w:p>
            <w:r>
              <w:rPr/>
              <w:t>▲</w:t>
            </w:r>
          </w:p>
        </w:tc>
        <w:tc>
          <w:tcPr>
            <w:tcW w:type="dxa" w:w="415"/>
          </w:tcPr>
          <w:p>
            <w:r>
              <w:rPr/>
              <w:t>2</w:t>
            </w:r>
          </w:p>
        </w:tc>
        <w:tc>
          <w:tcPr>
            <w:tcW w:type="dxa" w:w="5814"/>
          </w:tcPr>
          <w:p>
            <w:pPr>
              <w:jc w:val="both"/>
            </w:pPr>
            <w:r>
              <w:rPr>
                <w:sz w:val="21"/>
              </w:rPr>
              <w:t>供应商团队拥有至少</w:t>
            </w:r>
            <w:r>
              <w:rPr>
                <w:sz w:val="21"/>
              </w:rPr>
              <w:t>5</w:t>
            </w:r>
            <w:r>
              <w:rPr>
                <w:sz w:val="21"/>
              </w:rPr>
              <w:t>名以上</w:t>
            </w:r>
            <w:r>
              <w:rPr>
                <w:sz w:val="21"/>
              </w:rPr>
              <w:t>C</w:t>
            </w:r>
            <w:r>
              <w:rPr>
                <w:sz w:val="21"/>
              </w:rPr>
              <w:t>T</w:t>
            </w:r>
            <w:r>
              <w:rPr>
                <w:sz w:val="21"/>
              </w:rPr>
              <w:t>资深工程师</w:t>
            </w:r>
            <w:r>
              <w:rPr>
                <w:sz w:val="21"/>
              </w:rPr>
              <w:t>,</w:t>
            </w:r>
            <w:r>
              <w:rPr>
                <w:sz w:val="21"/>
              </w:rPr>
              <w:t>以保证工程师的及时到达现场并提供有效的维修服务。（需提供有效期内的经本标的设备生产商培训机构针对与本标的设备同类的培训证书作为工程师培训资质证明，并提供社保缴纳证明或有效期内的工牌作为工程师在职证明，否则响应无效）。</w:t>
            </w:r>
          </w:p>
        </w:tc>
      </w:tr>
      <w:tr>
        <w:tc>
          <w:tcPr>
            <w:tcW w:type="dxa" w:w="2076"/>
          </w:tcPr>
          <w:p/>
        </w:tc>
        <w:tc>
          <w:tcPr>
            <w:tcW w:type="dxa" w:w="415"/>
          </w:tcPr>
          <w:p>
            <w:r>
              <w:rPr/>
              <w:t>3</w:t>
            </w:r>
          </w:p>
        </w:tc>
        <w:tc>
          <w:tcPr>
            <w:tcW w:type="dxa" w:w="5814"/>
          </w:tcPr>
          <w:p>
            <w:pPr>
              <w:jc w:val="both"/>
            </w:pPr>
            <w:r>
              <w:rPr>
                <w:sz w:val="21"/>
              </w:rPr>
              <w:t>响应时间要求：供应商应接获报修电话后提供突发性问题的解决措施及特殊紧急的合理化处理措施。</w:t>
            </w:r>
          </w:p>
          <w:p>
            <w:pPr>
              <w:jc w:val="both"/>
            </w:pPr>
            <w:r>
              <w:rPr>
                <w:sz w:val="21"/>
              </w:rPr>
              <w:t>（</w:t>
            </w:r>
            <w:r>
              <w:rPr>
                <w:sz w:val="21"/>
              </w:rPr>
              <w:t>1</w:t>
            </w:r>
            <w:r>
              <w:rPr>
                <w:sz w:val="21"/>
              </w:rPr>
              <w:t>）设备发生故障时，初次响应时间：</w:t>
            </w:r>
            <w:r>
              <w:rPr>
                <w:sz w:val="21"/>
              </w:rPr>
              <w:t>2</w:t>
            </w:r>
            <w:r>
              <w:rPr>
                <w:sz w:val="21"/>
              </w:rPr>
              <w:t>小时内，并提供电话技术支持。</w:t>
            </w:r>
          </w:p>
          <w:p>
            <w:pPr>
              <w:jc w:val="both"/>
            </w:pPr>
            <w:r>
              <w:rPr>
                <w:sz w:val="21"/>
              </w:rPr>
              <w:t>（</w:t>
            </w:r>
            <w:r>
              <w:rPr>
                <w:sz w:val="21"/>
              </w:rPr>
              <w:t>2</w:t>
            </w:r>
            <w:r>
              <w:rPr>
                <w:sz w:val="21"/>
              </w:rPr>
              <w:t>）现场响应时间：</w:t>
            </w:r>
            <w:r>
              <w:rPr>
                <w:sz w:val="21"/>
              </w:rPr>
              <w:t>24</w:t>
            </w:r>
            <w:r>
              <w:rPr>
                <w:sz w:val="21"/>
              </w:rPr>
              <w:t>小时内到达设备使用现场进行维修，排除故障。零配件到现场时间（节假日照常服务）在</w:t>
            </w:r>
            <w:r>
              <w:rPr>
                <w:sz w:val="21"/>
              </w:rPr>
              <w:t>48</w:t>
            </w:r>
            <w:r>
              <w:rPr>
                <w:sz w:val="21"/>
              </w:rPr>
              <w:t>小时内。</w:t>
            </w:r>
          </w:p>
        </w:tc>
      </w:tr>
      <w:tr>
        <w:tc>
          <w:tcPr>
            <w:tcW w:type="dxa" w:w="2076"/>
          </w:tcPr>
          <w:p/>
        </w:tc>
        <w:tc>
          <w:tcPr>
            <w:tcW w:type="dxa" w:w="415"/>
          </w:tcPr>
          <w:p>
            <w:r>
              <w:rPr/>
              <w:t>4</w:t>
            </w:r>
          </w:p>
        </w:tc>
        <w:tc>
          <w:tcPr>
            <w:tcW w:type="dxa" w:w="5814"/>
          </w:tcPr>
          <w:p>
            <w:pPr>
              <w:jc w:val="both"/>
            </w:pPr>
            <w:r>
              <w:rPr>
                <w:sz w:val="21"/>
              </w:rPr>
              <w:t>供应商提供服务期间保证设备开机率</w:t>
            </w:r>
            <w:r>
              <w:rPr>
                <w:sz w:val="21"/>
              </w:rPr>
              <w:t>≥</w:t>
            </w:r>
            <w:r>
              <w:rPr>
                <w:sz w:val="21"/>
              </w:rPr>
              <w:t>95%</w:t>
            </w:r>
            <w:r>
              <w:rPr>
                <w:sz w:val="21"/>
              </w:rPr>
              <w:t>（每年以</w:t>
            </w:r>
            <w:r>
              <w:rPr>
                <w:sz w:val="21"/>
              </w:rPr>
              <w:t>365</w:t>
            </w:r>
            <w:r>
              <w:rPr>
                <w:sz w:val="21"/>
              </w:rPr>
              <w:t>天计算），若达不到开机率，每超出</w:t>
            </w:r>
            <w:r>
              <w:rPr>
                <w:sz w:val="21"/>
              </w:rPr>
              <w:t>1</w:t>
            </w:r>
            <w:r>
              <w:rPr>
                <w:sz w:val="21"/>
              </w:rPr>
              <w:t>天保修免费顺延</w:t>
            </w:r>
            <w:r>
              <w:rPr>
                <w:sz w:val="21"/>
              </w:rPr>
              <w:t>7</w:t>
            </w:r>
            <w:r>
              <w:rPr>
                <w:sz w:val="21"/>
              </w:rPr>
              <w:t>天。</w:t>
            </w:r>
          </w:p>
        </w:tc>
      </w:tr>
      <w:tr>
        <w:tc>
          <w:tcPr>
            <w:tcW w:type="dxa" w:w="2076"/>
          </w:tcPr>
          <w:p/>
        </w:tc>
        <w:tc>
          <w:tcPr>
            <w:tcW w:type="dxa" w:w="415"/>
          </w:tcPr>
          <w:p>
            <w:r>
              <w:rPr/>
              <w:t>5</w:t>
            </w:r>
          </w:p>
        </w:tc>
        <w:tc>
          <w:tcPr>
            <w:tcW w:type="dxa" w:w="5814"/>
          </w:tcPr>
          <w:p>
            <w:pPr>
              <w:jc w:val="both"/>
            </w:pPr>
            <w:r>
              <w:rPr>
                <w:sz w:val="21"/>
              </w:rPr>
              <w:t>服务期内供应商可提供设备全保服务（含球管，配套工作站软硬件），不限次数维修，包含设备维修、配件、人工及相关费用。</w:t>
            </w:r>
          </w:p>
        </w:tc>
      </w:tr>
      <w:tr>
        <w:tc>
          <w:tcPr>
            <w:tcW w:type="dxa" w:w="2076"/>
          </w:tcPr>
          <w:p/>
        </w:tc>
        <w:tc>
          <w:tcPr>
            <w:tcW w:type="dxa" w:w="415"/>
          </w:tcPr>
          <w:p>
            <w:r>
              <w:rPr/>
              <w:t>6</w:t>
            </w:r>
          </w:p>
        </w:tc>
        <w:tc>
          <w:tcPr>
            <w:tcW w:type="dxa" w:w="5814"/>
          </w:tcPr>
          <w:p>
            <w:pPr>
              <w:jc w:val="both"/>
            </w:pPr>
            <w:r>
              <w:rPr>
                <w:sz w:val="21"/>
              </w:rPr>
              <w:t>供应商提供设备使用和日常保养培训。</w:t>
            </w:r>
          </w:p>
        </w:tc>
      </w:tr>
      <w:tr>
        <w:tc>
          <w:tcPr>
            <w:tcW w:type="dxa" w:w="2076"/>
          </w:tcPr>
          <w:p/>
        </w:tc>
        <w:tc>
          <w:tcPr>
            <w:tcW w:type="dxa" w:w="415"/>
          </w:tcPr>
          <w:p>
            <w:r>
              <w:rPr/>
              <w:t>7</w:t>
            </w:r>
          </w:p>
        </w:tc>
        <w:tc>
          <w:tcPr>
            <w:tcW w:type="dxa" w:w="5814"/>
          </w:tcPr>
          <w:p>
            <w:pPr>
              <w:jc w:val="both"/>
            </w:pPr>
            <w:r>
              <w:rPr>
                <w:sz w:val="21"/>
              </w:rPr>
              <w:t>供应商配合第三方公司或国家部门完成设备检测服务。</w:t>
            </w:r>
          </w:p>
        </w:tc>
      </w:tr>
      <w:tr>
        <w:tc>
          <w:tcPr>
            <w:tcW w:type="dxa" w:w="2076"/>
          </w:tcPr>
          <w:p/>
        </w:tc>
        <w:tc>
          <w:tcPr>
            <w:tcW w:type="dxa" w:w="415"/>
          </w:tcPr>
          <w:p>
            <w:r>
              <w:rPr/>
              <w:t>8</w:t>
            </w:r>
          </w:p>
        </w:tc>
        <w:tc>
          <w:tcPr>
            <w:tcW w:type="dxa" w:w="5814"/>
          </w:tcPr>
          <w:p>
            <w:pPr>
              <w:jc w:val="both"/>
            </w:pPr>
            <w:r>
              <w:rPr>
                <w:sz w:val="21"/>
              </w:rPr>
              <w:t>供应商可提供预防性维护保养：一年不少于</w:t>
            </w:r>
            <w:r>
              <w:rPr>
                <w:sz w:val="21"/>
              </w:rPr>
              <w:t>4</w:t>
            </w:r>
            <w:r>
              <w:rPr>
                <w:sz w:val="21"/>
              </w:rPr>
              <w:t>次，预防性维护保养内容包括但不限于如下项目：</w:t>
            </w:r>
          </w:p>
          <w:p>
            <w:pPr>
              <w:jc w:val="both"/>
            </w:pPr>
            <w:r>
              <w:rPr>
                <w:sz w:val="21"/>
              </w:rPr>
              <w:t>（</w:t>
            </w:r>
            <w:r>
              <w:rPr>
                <w:sz w:val="21"/>
              </w:rPr>
              <w:t>1</w:t>
            </w:r>
            <w:r>
              <w:rPr>
                <w:sz w:val="21"/>
              </w:rPr>
              <w:t>）机器清洁；</w:t>
            </w:r>
          </w:p>
          <w:p>
            <w:pPr>
              <w:jc w:val="both"/>
            </w:pPr>
            <w:r>
              <w:rPr>
                <w:sz w:val="21"/>
              </w:rPr>
              <w:t>（</w:t>
            </w:r>
            <w:r>
              <w:rPr>
                <w:sz w:val="21"/>
              </w:rPr>
              <w:t>2</w:t>
            </w:r>
            <w:r>
              <w:rPr>
                <w:sz w:val="21"/>
              </w:rPr>
              <w:t>）性能测试及校准（包含校准时间）；</w:t>
            </w:r>
          </w:p>
          <w:p>
            <w:pPr>
              <w:jc w:val="both"/>
            </w:pPr>
            <w:r>
              <w:rPr>
                <w:sz w:val="21"/>
              </w:rPr>
              <w:t>（</w:t>
            </w:r>
            <w:r>
              <w:rPr>
                <w:sz w:val="21"/>
              </w:rPr>
              <w:t>3</w:t>
            </w:r>
            <w:r>
              <w:rPr>
                <w:sz w:val="21"/>
              </w:rPr>
              <w:t>）必要的机械或电气环境的检查。</w:t>
            </w:r>
          </w:p>
        </w:tc>
      </w:tr>
      <w:tr>
        <w:tc>
          <w:tcPr>
            <w:tcW w:type="dxa" w:w="2076"/>
          </w:tcPr>
          <w:p/>
        </w:tc>
        <w:tc>
          <w:tcPr>
            <w:tcW w:type="dxa" w:w="415"/>
          </w:tcPr>
          <w:p>
            <w:r>
              <w:rPr/>
              <w:t>9</w:t>
            </w:r>
          </w:p>
        </w:tc>
        <w:tc>
          <w:tcPr>
            <w:tcW w:type="dxa" w:w="5814"/>
          </w:tcPr>
          <w:p>
            <w:pPr>
              <w:jc w:val="both"/>
            </w:pPr>
            <w:r>
              <w:rPr>
                <w:sz w:val="21"/>
              </w:rPr>
              <w:t>维保期内，设备性能应不低于原厂</w:t>
            </w:r>
            <w:r>
              <w:rPr>
                <w:sz w:val="21"/>
              </w:rPr>
              <w:t>QC</w:t>
            </w:r>
            <w:r>
              <w:rPr>
                <w:sz w:val="21"/>
              </w:rPr>
              <w:t>标准或国家相关行业技术标准中较高者。</w:t>
            </w:r>
          </w:p>
        </w:tc>
      </w:tr>
      <w:tr>
        <w:tc>
          <w:tcPr>
            <w:tcW w:type="dxa" w:w="2076"/>
          </w:tcPr>
          <w:p/>
        </w:tc>
        <w:tc>
          <w:tcPr>
            <w:tcW w:type="dxa" w:w="415"/>
          </w:tcPr>
          <w:p>
            <w:r>
              <w:rPr/>
              <w:t>10</w:t>
            </w:r>
          </w:p>
        </w:tc>
        <w:tc>
          <w:tcPr>
            <w:tcW w:type="dxa" w:w="5814"/>
          </w:tcPr>
          <w:p>
            <w:pPr>
              <w:jc w:val="both"/>
            </w:pPr>
            <w:r>
              <w:rPr>
                <w:sz w:val="21"/>
              </w:rPr>
              <w:t>故障诊断：供应商必须能合法获得在有效期内的原厂高级故障诊断软件的诊断维修钥匙</w:t>
            </w:r>
            <w:r>
              <w:rPr>
                <w:sz w:val="21"/>
              </w:rPr>
              <w:t>,</w:t>
            </w:r>
            <w:r>
              <w:rPr>
                <w:sz w:val="21"/>
              </w:rPr>
              <w:t>并保证不违反国家有关知识产权的法律规定，并提供书面承诺。</w:t>
            </w:r>
          </w:p>
        </w:tc>
      </w:tr>
      <w:tr>
        <w:tc>
          <w:tcPr>
            <w:tcW w:type="dxa" w:w="2076"/>
          </w:tcPr>
          <w:p/>
        </w:tc>
        <w:tc>
          <w:tcPr>
            <w:tcW w:type="dxa" w:w="415"/>
          </w:tcPr>
          <w:p>
            <w:r>
              <w:rPr/>
              <w:t>11</w:t>
            </w:r>
          </w:p>
        </w:tc>
        <w:tc>
          <w:tcPr>
            <w:tcW w:type="dxa" w:w="5814"/>
          </w:tcPr>
          <w:p>
            <w:pPr>
              <w:jc w:val="both"/>
            </w:pPr>
            <w:r>
              <w:rPr>
                <w:sz w:val="21"/>
              </w:rPr>
              <w:t>安全升级（</w:t>
            </w:r>
            <w:r>
              <w:rPr>
                <w:sz w:val="21"/>
              </w:rPr>
              <w:t>FCO</w:t>
            </w:r>
            <w:r>
              <w:rPr>
                <w:sz w:val="21"/>
              </w:rPr>
              <w:t>）：安全升级必须在设备原厂规定的升级文件规定时间内完成，并在升级完成后提供原厂升级文件及工作记录。安全升级涉及备件的更换及添加的，必须提供原厂原包装备件，以保证设备的完整性与可靠性</w:t>
            </w:r>
            <w:r>
              <w:rPr>
                <w:sz w:val="21"/>
              </w:rPr>
              <w:t>。</w:t>
            </w:r>
          </w:p>
        </w:tc>
      </w:tr>
      <w:tr>
        <w:tc>
          <w:tcPr>
            <w:tcW w:type="dxa" w:w="2076"/>
          </w:tcPr>
          <w:p>
            <w:r>
              <w:rPr/>
              <w:t>▲</w:t>
            </w:r>
          </w:p>
        </w:tc>
        <w:tc>
          <w:tcPr>
            <w:tcW w:type="dxa" w:w="415"/>
          </w:tcPr>
          <w:p>
            <w:r>
              <w:rPr/>
              <w:t>12</w:t>
            </w:r>
          </w:p>
        </w:tc>
        <w:tc>
          <w:tcPr>
            <w:tcW w:type="dxa" w:w="5814"/>
          </w:tcPr>
          <w:p>
            <w:pPr>
              <w:jc w:val="both"/>
            </w:pPr>
            <w:r>
              <w:rPr>
                <w:sz w:val="21"/>
              </w:rPr>
              <w:t>提供本标的设备的系统平台升级以及至少一台</w:t>
            </w:r>
            <w:r>
              <w:rPr>
                <w:sz w:val="21"/>
              </w:rPr>
              <w:t>LAMP</w:t>
            </w:r>
            <w:r>
              <w:rPr>
                <w:sz w:val="21"/>
              </w:rPr>
              <w:t>激光（型号：</w:t>
            </w:r>
            <w:r>
              <w:rPr>
                <w:sz w:val="21"/>
              </w:rPr>
              <w:t>DORADO RED POST 1F</w:t>
            </w:r>
            <w:r>
              <w:rPr>
                <w:sz w:val="21"/>
              </w:rPr>
              <w:t>）的维保服务，服务时间与设备的服务时间一致。</w:t>
            </w:r>
          </w:p>
        </w:tc>
      </w:tr>
      <w:tr>
        <w:tc>
          <w:tcPr>
            <w:tcW w:type="dxa" w:w="2076"/>
          </w:tcPr>
          <w:p/>
        </w:tc>
        <w:tc>
          <w:tcPr>
            <w:tcW w:type="dxa" w:w="415"/>
          </w:tcPr>
          <w:p>
            <w:r>
              <w:rPr/>
              <w:t>13</w:t>
            </w:r>
          </w:p>
        </w:tc>
        <w:tc>
          <w:tcPr>
            <w:tcW w:type="dxa" w:w="5814"/>
          </w:tcPr>
          <w:p>
            <w:pPr>
              <w:jc w:val="both"/>
            </w:pPr>
            <w:r>
              <w:rPr>
                <w:sz w:val="21"/>
              </w:rPr>
              <w:t>CT</w:t>
            </w:r>
            <w:r>
              <w:rPr>
                <w:sz w:val="21"/>
              </w:rPr>
              <w:t>常规保养清单（现场需要视乎设备的情况有部分调整）：</w:t>
            </w:r>
          </w:p>
          <w:p>
            <w:pPr>
              <w:jc w:val="both"/>
            </w:pPr>
            <w:r>
              <w:rPr>
                <w:sz w:val="21"/>
              </w:rPr>
              <w:t>（</w:t>
            </w:r>
            <w:r>
              <w:rPr>
                <w:sz w:val="21"/>
              </w:rPr>
              <w:t>1</w:t>
            </w:r>
            <w:r>
              <w:rPr>
                <w:sz w:val="21"/>
              </w:rPr>
              <w:t>）清洁主控台计算机系统</w:t>
            </w:r>
          </w:p>
          <w:p>
            <w:pPr>
              <w:jc w:val="both"/>
            </w:pPr>
            <w:r>
              <w:rPr>
                <w:sz w:val="21"/>
              </w:rPr>
              <w:t>（</w:t>
            </w:r>
            <w:r>
              <w:rPr>
                <w:sz w:val="21"/>
              </w:rPr>
              <w:t>2</w:t>
            </w:r>
            <w:r>
              <w:rPr>
                <w:sz w:val="21"/>
              </w:rPr>
              <w:t>）分析系统日志</w:t>
            </w:r>
          </w:p>
          <w:p>
            <w:pPr>
              <w:jc w:val="both"/>
            </w:pPr>
            <w:r>
              <w:rPr>
                <w:sz w:val="21"/>
              </w:rPr>
              <w:t>（</w:t>
            </w:r>
            <w:r>
              <w:rPr>
                <w:sz w:val="21"/>
              </w:rPr>
              <w:t>3</w:t>
            </w:r>
            <w:r>
              <w:rPr>
                <w:sz w:val="21"/>
              </w:rPr>
              <w:t>）检测机架及主控台的各控制面板功能是否正常</w:t>
            </w:r>
          </w:p>
          <w:p>
            <w:pPr>
              <w:jc w:val="both"/>
            </w:pPr>
            <w:r>
              <w:rPr>
                <w:sz w:val="21"/>
              </w:rPr>
              <w:t>（</w:t>
            </w:r>
            <w:r>
              <w:rPr>
                <w:sz w:val="21"/>
              </w:rPr>
              <w:t>4</w:t>
            </w:r>
            <w:r>
              <w:rPr>
                <w:sz w:val="21"/>
              </w:rPr>
              <w:t>）清洁机架各滤网，清洁机架内部</w:t>
            </w:r>
          </w:p>
          <w:p>
            <w:pPr>
              <w:jc w:val="both"/>
            </w:pPr>
            <w:r>
              <w:rPr>
                <w:sz w:val="21"/>
              </w:rPr>
              <w:t>（</w:t>
            </w:r>
            <w:r>
              <w:rPr>
                <w:sz w:val="21"/>
              </w:rPr>
              <w:t>5</w:t>
            </w:r>
            <w:r>
              <w:rPr>
                <w:sz w:val="21"/>
              </w:rPr>
              <w:t>）检查激光灯是否标准</w:t>
            </w:r>
          </w:p>
          <w:p>
            <w:pPr>
              <w:jc w:val="both"/>
            </w:pPr>
            <w:r>
              <w:rPr>
                <w:sz w:val="21"/>
              </w:rPr>
              <w:t>（</w:t>
            </w:r>
            <w:r>
              <w:rPr>
                <w:sz w:val="21"/>
              </w:rPr>
              <w:t>6</w:t>
            </w:r>
            <w:r>
              <w:rPr>
                <w:sz w:val="21"/>
              </w:rPr>
              <w:t>）检查机架内部各连接线</w:t>
            </w:r>
          </w:p>
          <w:p>
            <w:pPr>
              <w:jc w:val="both"/>
            </w:pPr>
            <w:r>
              <w:rPr>
                <w:sz w:val="21"/>
              </w:rPr>
              <w:t>（</w:t>
            </w:r>
            <w:r>
              <w:rPr>
                <w:sz w:val="21"/>
              </w:rPr>
              <w:t>7</w:t>
            </w:r>
            <w:r>
              <w:rPr>
                <w:sz w:val="21"/>
              </w:rPr>
              <w:t>）检测电刷及滑环系统是否正常</w:t>
            </w:r>
          </w:p>
          <w:p>
            <w:pPr>
              <w:jc w:val="both"/>
            </w:pPr>
            <w:r>
              <w:rPr>
                <w:sz w:val="21"/>
              </w:rPr>
              <w:t>（</w:t>
            </w:r>
            <w:r>
              <w:rPr>
                <w:sz w:val="21"/>
              </w:rPr>
              <w:t>8</w:t>
            </w:r>
            <w:r>
              <w:rPr>
                <w:sz w:val="21"/>
              </w:rPr>
              <w:t>）检查高压电缆</w:t>
            </w:r>
          </w:p>
          <w:p>
            <w:pPr>
              <w:jc w:val="both"/>
            </w:pPr>
            <w:r>
              <w:rPr>
                <w:sz w:val="21"/>
              </w:rPr>
              <w:t>（</w:t>
            </w:r>
            <w:r>
              <w:rPr>
                <w:sz w:val="21"/>
              </w:rPr>
              <w:t>9</w:t>
            </w:r>
            <w:r>
              <w:rPr>
                <w:sz w:val="21"/>
              </w:rPr>
              <w:t>）检查扫描床的机械运动功能是否正常</w:t>
            </w:r>
          </w:p>
          <w:p>
            <w:pPr>
              <w:jc w:val="both"/>
            </w:pPr>
            <w:r>
              <w:rPr>
                <w:sz w:val="21"/>
              </w:rPr>
              <w:t>（</w:t>
            </w:r>
            <w:r>
              <w:rPr>
                <w:sz w:val="21"/>
              </w:rPr>
              <w:t>10</w:t>
            </w:r>
            <w:r>
              <w:rPr>
                <w:sz w:val="21"/>
              </w:rPr>
              <w:t>）清洁扫描床的内外部</w:t>
            </w:r>
          </w:p>
          <w:p>
            <w:pPr>
              <w:jc w:val="both"/>
            </w:pPr>
            <w:r>
              <w:rPr>
                <w:sz w:val="21"/>
              </w:rPr>
              <w:t>（</w:t>
            </w:r>
            <w:r>
              <w:rPr>
                <w:sz w:val="21"/>
              </w:rPr>
              <w:t>11</w:t>
            </w:r>
            <w:r>
              <w:rPr>
                <w:sz w:val="21"/>
              </w:rPr>
              <w:t>）检查扫描床内部线缆</w:t>
            </w:r>
          </w:p>
          <w:p>
            <w:pPr>
              <w:jc w:val="both"/>
            </w:pPr>
            <w:r>
              <w:rPr>
                <w:sz w:val="21"/>
              </w:rPr>
              <w:t>（</w:t>
            </w:r>
            <w:r>
              <w:rPr>
                <w:sz w:val="21"/>
              </w:rPr>
              <w:t>12</w:t>
            </w:r>
            <w:r>
              <w:rPr>
                <w:sz w:val="21"/>
              </w:rPr>
              <w:t>）检测空气压缩机的状态</w:t>
            </w:r>
          </w:p>
          <w:p>
            <w:pPr>
              <w:jc w:val="both"/>
            </w:pPr>
            <w:r>
              <w:rPr>
                <w:sz w:val="21"/>
              </w:rPr>
              <w:t>（</w:t>
            </w:r>
            <w:r>
              <w:rPr>
                <w:sz w:val="21"/>
              </w:rPr>
              <w:t>13</w:t>
            </w:r>
            <w:r>
              <w:rPr>
                <w:sz w:val="21"/>
              </w:rPr>
              <w:t>）系统校正</w:t>
            </w:r>
          </w:p>
          <w:p>
            <w:pPr>
              <w:jc w:val="both"/>
            </w:pPr>
            <w:r>
              <w:rPr>
                <w:sz w:val="21"/>
              </w:rPr>
              <w:t>（</w:t>
            </w:r>
            <w:r>
              <w:rPr>
                <w:sz w:val="21"/>
              </w:rPr>
              <w:t>14</w:t>
            </w:r>
            <w:r>
              <w:rPr>
                <w:sz w:val="21"/>
              </w:rPr>
              <w:t>）系统性能检测</w:t>
            </w:r>
          </w:p>
          <w:p>
            <w:pPr>
              <w:jc w:val="both"/>
            </w:pPr>
            <w:r>
              <w:rPr>
                <w:sz w:val="21"/>
              </w:rPr>
              <w:t>（</w:t>
            </w:r>
            <w:r>
              <w:rPr>
                <w:sz w:val="21"/>
              </w:rPr>
              <w:t>15</w:t>
            </w:r>
            <w:r>
              <w:rPr>
                <w:sz w:val="21"/>
              </w:rPr>
              <w:t>）系统备份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采购包2（富士内镜维保服务项目）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1期：支付比例100%,（1）签订合同之日起5个工作日内向中标人支付合同总价的30%作为预付款。预付款可在实际付款中进行抵扣，直至抵扣完毕。 （2）在第一年度维保服务期开始且中标人提供相关请款资料15日内由采购人向中标人支付第一年度服务费的50%； （3）在第一年度维保服务期结束且中标人提供相关请款资料15日内由采购人向中标人支付第一年度剩余服务费的50%； （4）在第二年度维保服务期结束且中标人提供相关请款资料15日内由采购人向中标人支付第二年度服务费的100%； （5）在第三年度服务期结束且中标人提供相关请款资料15日内由采购人向中标人支付，支付第三年度服务费100%。</w:t>
            </w:r>
          </w:p>
        </w:tc>
      </w:tr>
      <w:tr>
        <w:tc>
          <w:tcPr>
            <w:tcW w:type="dxa" w:w="4153"/>
          </w:tcPr>
          <w:p>
            <w:r>
              <w:rPr/>
              <w:t>验收要求</w:t>
            </w:r>
          </w:p>
        </w:tc>
        <w:tc>
          <w:tcPr>
            <w:tcW w:type="dxa" w:w="4153"/>
          </w:tcPr>
          <w:p/>
          <w:p/>
          <w:p/>
          <w:p>
            <w:r>
              <w:rPr/>
              <w:t>1期：完成全部合同约定的服务内容且采购人收到供应商项目验收建议之日起7日内按照合同的约定对履约情况进行验收，对每一项技术、服务、安全标准的履约情况进行确认。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其他，一、报价要求 （一）报名报价包括： 1、设备的定期检查保养费； 2、维修人员的工时费、差旅费； 3、保修设备维修及保养中需更换的部分配件、易耗品费用； 4、通讯费用、网络等手段向招标人提供的技术支持及利润、税金等。 （二）供应商报价中漏报、少报的费用，视为此项费用已隐含在报名报价中（招标文件约定由招标人支付的费用除外），供应商中标后不得再向采购人收取任何费用。</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富士内镜维保服务</w:t>
            </w:r>
          </w:p>
        </w:tc>
        <w:tc>
          <w:tcPr>
            <w:tcW w:type="dxa" w:w="933"/>
          </w:tcPr>
          <w:p>
            <w:pPr>
              <w:jc w:val="left"/>
            </w:pPr>
            <w:r>
              <w:rPr/>
              <w:t>项</w:t>
            </w:r>
          </w:p>
        </w:tc>
        <w:tc>
          <w:tcPr>
            <w:tcW w:type="dxa" w:w="933"/>
          </w:tcPr>
          <w:p>
            <w:pPr>
              <w:jc w:val="right"/>
            </w:pPr>
            <w:r>
              <w:rPr/>
              <w:t>1.00</w:t>
            </w:r>
          </w:p>
        </w:tc>
        <w:tc>
          <w:tcPr>
            <w:tcW w:type="dxa" w:w="933"/>
          </w:tcPr>
          <w:p>
            <w:pPr>
              <w:jc w:val="right"/>
            </w:pPr>
            <w:r>
              <w:rPr/>
              <w:t>1,098,000.00</w:t>
            </w:r>
          </w:p>
        </w:tc>
        <w:tc>
          <w:tcPr>
            <w:tcW w:type="dxa" w:w="933"/>
          </w:tcPr>
          <w:p>
            <w:pPr>
              <w:jc w:val="right"/>
            </w:pPr>
            <w:r>
              <w:rPr/>
              <w:t>1,098,000.00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富士内镜维保服务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设备维保清单</w:t>
            </w:r>
          </w:p>
          <w:tbl>
            <w:tblPr>
              <w:tblInd w:type="dxa" w:w="120"/>
              <w:tblBorders>
                <w:top w:val="none" w:color="000000" w:sz="4"/>
                <w:left w:val="none" w:color="000000" w:sz="4"/>
                <w:bottom w:val="none" w:color="000000" w:sz="4"/>
                <w:right w:val="none" w:color="000000" w:sz="4"/>
                <w:insideH w:val="none"/>
                <w:insideV w:val="none"/>
              </w:tblBorders>
            </w:tblPr>
            <w:tblGrid>
              <w:gridCol w:w="365"/>
              <w:gridCol w:w="1051"/>
              <w:gridCol w:w="768"/>
              <w:gridCol w:w="954"/>
              <w:gridCol w:w="855"/>
              <w:gridCol w:w="332"/>
              <w:gridCol w:w="419"/>
              <w:gridCol w:w="851"/>
            </w:tblGrid>
            <w:tr>
              <w:tc>
                <w:tcPr>
                  <w:tcW w:type="dxa" w:w="365"/>
                  <w:tcBorders>
                    <w:top w:val="single" w:color="000000" w:sz="8"/>
                    <w:left w:val="single" w:color="000000" w:sz="8"/>
                    <w:bottom w:val="single" w:color="000000" w:sz="4"/>
                    <w:right w:val="single" w:color="000000" w:sz="4"/>
                  </w:tcBorders>
                  <w:vAlign w:val="top"/>
                </w:tcPr>
                <w:p>
                  <w:pPr>
                    <w:jc w:val="both"/>
                  </w:pPr>
                  <w:r>
                    <w:rPr>
                      <w:sz w:val="21"/>
                    </w:rPr>
                    <w:t>序号</w:t>
                  </w:r>
                </w:p>
              </w:tc>
              <w:tc>
                <w:tcPr>
                  <w:tcW w:type="dxa" w:w="1051"/>
                  <w:tcBorders>
                    <w:top w:val="single" w:color="000000" w:sz="8"/>
                    <w:left w:val="single" w:color="000000" w:sz="4"/>
                    <w:bottom w:val="single" w:color="000000" w:sz="4"/>
                    <w:right w:val="single" w:color="000000" w:sz="4"/>
                  </w:tcBorders>
                  <w:vAlign w:val="top"/>
                </w:tcPr>
                <w:p>
                  <w:pPr>
                    <w:jc w:val="both"/>
                  </w:pPr>
                  <w:r>
                    <w:rPr>
                      <w:sz w:val="21"/>
                    </w:rPr>
                    <w:t>维保设备名称</w:t>
                  </w:r>
                </w:p>
              </w:tc>
              <w:tc>
                <w:tcPr>
                  <w:tcW w:type="dxa" w:w="768"/>
                  <w:tcBorders>
                    <w:top w:val="single" w:color="000000" w:sz="8"/>
                    <w:left w:val="single" w:color="000000" w:sz="4"/>
                    <w:bottom w:val="single" w:color="000000" w:sz="4"/>
                    <w:right w:val="single" w:color="000000" w:sz="4"/>
                  </w:tcBorders>
                  <w:vAlign w:val="top"/>
                </w:tcPr>
                <w:p>
                  <w:pPr>
                    <w:jc w:val="both"/>
                  </w:pPr>
                  <w:r>
                    <w:rPr>
                      <w:sz w:val="21"/>
                    </w:rPr>
                    <w:t>设备品牌</w:t>
                  </w:r>
                </w:p>
              </w:tc>
              <w:tc>
                <w:tcPr>
                  <w:tcW w:type="dxa" w:w="954"/>
                  <w:tcBorders>
                    <w:top w:val="single" w:color="000000" w:sz="8"/>
                    <w:left w:val="single" w:color="000000" w:sz="4"/>
                    <w:bottom w:val="single" w:color="000000" w:sz="4"/>
                    <w:right w:val="single" w:color="000000" w:sz="4"/>
                  </w:tcBorders>
                  <w:vAlign w:val="top"/>
                </w:tcPr>
                <w:p>
                  <w:pPr>
                    <w:jc w:val="both"/>
                  </w:pPr>
                  <w:r>
                    <w:rPr>
                      <w:sz w:val="21"/>
                    </w:rPr>
                    <w:t>设备型号</w:t>
                  </w:r>
                </w:p>
              </w:tc>
              <w:tc>
                <w:tcPr>
                  <w:tcW w:type="dxa" w:w="855"/>
                  <w:tcBorders>
                    <w:top w:val="single" w:color="000000" w:sz="8"/>
                    <w:left w:val="single" w:color="000000" w:sz="4"/>
                    <w:bottom w:val="single" w:color="000000" w:sz="4"/>
                    <w:right w:val="single" w:color="000000" w:sz="4"/>
                  </w:tcBorders>
                  <w:vAlign w:val="top"/>
                </w:tcPr>
                <w:p>
                  <w:pPr>
                    <w:jc w:val="both"/>
                  </w:pPr>
                  <w:r>
                    <w:rPr>
                      <w:sz w:val="21"/>
                    </w:rPr>
                    <w:t>序列号</w:t>
                  </w:r>
                </w:p>
              </w:tc>
              <w:tc>
                <w:tcPr>
                  <w:tcW w:type="dxa" w:w="332"/>
                  <w:tcBorders>
                    <w:top w:val="single" w:color="000000" w:sz="8"/>
                    <w:left w:val="single" w:color="000000" w:sz="4"/>
                    <w:bottom w:val="single" w:color="000000" w:sz="4"/>
                    <w:right w:val="single" w:color="000000" w:sz="4"/>
                  </w:tcBorders>
                  <w:vAlign w:val="top"/>
                </w:tcPr>
                <w:p>
                  <w:pPr>
                    <w:jc w:val="both"/>
                  </w:pPr>
                  <w:r>
                    <w:rPr>
                      <w:sz w:val="21"/>
                    </w:rPr>
                    <w:t>数量</w:t>
                  </w:r>
                </w:p>
              </w:tc>
              <w:tc>
                <w:tcPr>
                  <w:tcW w:type="dxa" w:w="419"/>
                  <w:tcBorders>
                    <w:top w:val="single" w:color="000000" w:sz="8"/>
                    <w:left w:val="single" w:color="000000" w:sz="4"/>
                    <w:bottom w:val="single" w:color="000000" w:sz="4"/>
                    <w:right w:val="single" w:color="000000" w:sz="4"/>
                  </w:tcBorders>
                  <w:vAlign w:val="top"/>
                </w:tcPr>
                <w:p>
                  <w:pPr>
                    <w:jc w:val="both"/>
                  </w:pPr>
                  <w:r>
                    <w:rPr>
                      <w:sz w:val="21"/>
                    </w:rPr>
                    <w:t>单位</w:t>
                  </w:r>
                </w:p>
              </w:tc>
              <w:tc>
                <w:tcPr>
                  <w:tcW w:type="dxa" w:w="851"/>
                  <w:tcBorders>
                    <w:top w:val="single" w:color="000000" w:sz="8"/>
                    <w:left w:val="single" w:color="000000" w:sz="4"/>
                    <w:bottom w:val="single" w:color="000000" w:sz="4"/>
                    <w:right w:val="single" w:color="000000" w:sz="8"/>
                  </w:tcBorders>
                  <w:vAlign w:val="top"/>
                </w:tcPr>
                <w:p>
                  <w:pPr>
                    <w:jc w:val="both"/>
                  </w:pPr>
                  <w:r>
                    <w:rPr>
                      <w:sz w:val="21"/>
                    </w:rPr>
                    <w:t>启用时间</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1</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电子胃镜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EG-601WR</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2G400G254</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2</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电子胃镜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EG-601WR</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2G400G255</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3</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电子肠镜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EC-601WM</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2C719G184</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4</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电子肠镜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EC-601WM</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2C719G186</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5</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电子放大胃镜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EG-760Z</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1G403G155</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6</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电子放大肠镜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EC-760R-V/M</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1C727G103</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4"/>
                    <w:right w:val="single" w:color="000000" w:sz="4"/>
                  </w:tcBorders>
                  <w:vAlign w:val="top"/>
                </w:tcPr>
                <w:p>
                  <w:pPr>
                    <w:jc w:val="both"/>
                  </w:pPr>
                  <w:r>
                    <w:rPr>
                      <w:sz w:val="21"/>
                    </w:rPr>
                    <w:t>7</w:t>
                  </w:r>
                </w:p>
              </w:tc>
              <w:tc>
                <w:tcPr>
                  <w:tcW w:type="dxa" w:w="1051"/>
                  <w:tcBorders>
                    <w:top w:val="single" w:color="000000" w:sz="4"/>
                    <w:left w:val="single" w:color="000000" w:sz="4"/>
                    <w:bottom w:val="single" w:color="000000" w:sz="4"/>
                    <w:right w:val="single" w:color="000000" w:sz="4"/>
                  </w:tcBorders>
                  <w:vAlign w:val="top"/>
                </w:tcPr>
                <w:p>
                  <w:pPr>
                    <w:jc w:val="both"/>
                  </w:pPr>
                  <w:r>
                    <w:rPr>
                      <w:sz w:val="21"/>
                    </w:rPr>
                    <w:t>电子超声镜</w:t>
                  </w:r>
                </w:p>
              </w:tc>
              <w:tc>
                <w:tcPr>
                  <w:tcW w:type="dxa" w:w="768"/>
                  <w:tcBorders>
                    <w:top w:val="single" w:color="000000" w:sz="4"/>
                    <w:left w:val="single" w:color="000000" w:sz="4"/>
                    <w:bottom w:val="single" w:color="000000" w:sz="4"/>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4"/>
                    <w:right w:val="single" w:color="000000" w:sz="4"/>
                  </w:tcBorders>
                  <w:vAlign w:val="top"/>
                </w:tcPr>
                <w:p>
                  <w:pPr>
                    <w:jc w:val="both"/>
                  </w:pPr>
                  <w:r>
                    <w:rPr>
                      <w:sz w:val="21"/>
                    </w:rPr>
                    <w:t>EG-580UR</w:t>
                  </w:r>
                </w:p>
              </w:tc>
              <w:tc>
                <w:tcPr>
                  <w:tcW w:type="dxa" w:w="855"/>
                  <w:tcBorders>
                    <w:top w:val="single" w:color="000000" w:sz="4"/>
                    <w:left w:val="single" w:color="000000" w:sz="4"/>
                    <w:bottom w:val="single" w:color="000000" w:sz="4"/>
                    <w:right w:val="single" w:color="000000" w:sz="4"/>
                  </w:tcBorders>
                  <w:vAlign w:val="top"/>
                </w:tcPr>
                <w:p>
                  <w:pPr>
                    <w:jc w:val="both"/>
                  </w:pPr>
                  <w:r>
                    <w:rPr>
                      <w:sz w:val="21"/>
                    </w:rPr>
                    <w:t>2U048G012</w:t>
                  </w:r>
                </w:p>
              </w:tc>
              <w:tc>
                <w:tcPr>
                  <w:tcW w:type="dxa" w:w="332"/>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4"/>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4"/>
                    <w:right w:val="single" w:color="000000" w:sz="8"/>
                  </w:tcBorders>
                  <w:vAlign w:val="top"/>
                </w:tcPr>
                <w:p>
                  <w:pPr>
                    <w:jc w:val="both"/>
                  </w:pPr>
                  <w:r>
                    <w:rPr>
                      <w:sz w:val="21"/>
                    </w:rPr>
                    <w:t>2019/11/15</w:t>
                  </w:r>
                </w:p>
              </w:tc>
            </w:tr>
            <w:tr>
              <w:tc>
                <w:tcPr>
                  <w:tcW w:type="dxa" w:w="365"/>
                  <w:tcBorders>
                    <w:top w:val="single" w:color="000000" w:sz="4"/>
                    <w:left w:val="single" w:color="000000" w:sz="8"/>
                    <w:bottom w:val="single" w:color="000000" w:sz="8"/>
                    <w:right w:val="single" w:color="000000" w:sz="4"/>
                  </w:tcBorders>
                  <w:vAlign w:val="top"/>
                </w:tcPr>
                <w:p>
                  <w:pPr>
                    <w:jc w:val="both"/>
                  </w:pPr>
                  <w:r>
                    <w:rPr>
                      <w:sz w:val="21"/>
                    </w:rPr>
                    <w:t>8</w:t>
                  </w:r>
                </w:p>
              </w:tc>
              <w:tc>
                <w:tcPr>
                  <w:tcW w:type="dxa" w:w="1051"/>
                  <w:tcBorders>
                    <w:top w:val="single" w:color="000000" w:sz="4"/>
                    <w:left w:val="single" w:color="000000" w:sz="4"/>
                    <w:bottom w:val="single" w:color="000000" w:sz="8"/>
                    <w:right w:val="single" w:color="000000" w:sz="4"/>
                  </w:tcBorders>
                  <w:vAlign w:val="top"/>
                </w:tcPr>
                <w:p>
                  <w:pPr>
                    <w:jc w:val="both"/>
                  </w:pPr>
                  <w:r>
                    <w:rPr>
                      <w:sz w:val="21"/>
                    </w:rPr>
                    <w:t>电子超声镜</w:t>
                  </w:r>
                </w:p>
              </w:tc>
              <w:tc>
                <w:tcPr>
                  <w:tcW w:type="dxa" w:w="768"/>
                  <w:tcBorders>
                    <w:top w:val="single" w:color="000000" w:sz="4"/>
                    <w:left w:val="single" w:color="000000" w:sz="4"/>
                    <w:bottom w:val="single" w:color="000000" w:sz="8"/>
                    <w:right w:val="single" w:color="000000" w:sz="4"/>
                  </w:tcBorders>
                  <w:vAlign w:val="top"/>
                </w:tcPr>
                <w:p>
                  <w:pPr>
                    <w:jc w:val="both"/>
                  </w:pPr>
                  <w:r>
                    <w:rPr>
                      <w:sz w:val="21"/>
                    </w:rPr>
                    <w:t>富士胶片</w:t>
                  </w:r>
                </w:p>
              </w:tc>
              <w:tc>
                <w:tcPr>
                  <w:tcW w:type="dxa" w:w="954"/>
                  <w:tcBorders>
                    <w:top w:val="single" w:color="000000" w:sz="4"/>
                    <w:left w:val="single" w:color="000000" w:sz="4"/>
                    <w:bottom w:val="single" w:color="000000" w:sz="8"/>
                    <w:right w:val="single" w:color="000000" w:sz="4"/>
                  </w:tcBorders>
                  <w:vAlign w:val="top"/>
                </w:tcPr>
                <w:p>
                  <w:pPr>
                    <w:jc w:val="both"/>
                  </w:pPr>
                  <w:r>
                    <w:rPr>
                      <w:sz w:val="21"/>
                    </w:rPr>
                    <w:t>EG-580UT</w:t>
                  </w:r>
                </w:p>
              </w:tc>
              <w:tc>
                <w:tcPr>
                  <w:tcW w:type="dxa" w:w="855"/>
                  <w:tcBorders>
                    <w:top w:val="single" w:color="000000" w:sz="4"/>
                    <w:left w:val="single" w:color="000000" w:sz="4"/>
                    <w:bottom w:val="single" w:color="000000" w:sz="8"/>
                    <w:right w:val="single" w:color="000000" w:sz="4"/>
                  </w:tcBorders>
                  <w:vAlign w:val="top"/>
                </w:tcPr>
                <w:p>
                  <w:pPr>
                    <w:jc w:val="both"/>
                  </w:pPr>
                  <w:r>
                    <w:rPr>
                      <w:sz w:val="21"/>
                    </w:rPr>
                    <w:t>2U047G021</w:t>
                  </w:r>
                </w:p>
              </w:tc>
              <w:tc>
                <w:tcPr>
                  <w:tcW w:type="dxa" w:w="332"/>
                  <w:tcBorders>
                    <w:top w:val="single" w:color="000000" w:sz="4"/>
                    <w:left w:val="single" w:color="000000" w:sz="4"/>
                    <w:bottom w:val="single" w:color="000000" w:sz="8"/>
                    <w:right w:val="single" w:color="000000" w:sz="4"/>
                  </w:tcBorders>
                  <w:vAlign w:val="top"/>
                </w:tcPr>
                <w:p>
                  <w:pPr>
                    <w:jc w:val="both"/>
                  </w:pPr>
                  <w:r>
                    <w:rPr>
                      <w:sz w:val="21"/>
                    </w:rPr>
                    <w:t>1</w:t>
                  </w:r>
                </w:p>
              </w:tc>
              <w:tc>
                <w:tcPr>
                  <w:tcW w:type="dxa" w:w="419"/>
                  <w:tcBorders>
                    <w:top w:val="single" w:color="000000" w:sz="4"/>
                    <w:left w:val="single" w:color="000000" w:sz="4"/>
                    <w:bottom w:val="single" w:color="000000" w:sz="8"/>
                    <w:right w:val="single" w:color="000000" w:sz="4"/>
                  </w:tcBorders>
                  <w:vAlign w:val="top"/>
                </w:tcPr>
                <w:p>
                  <w:pPr>
                    <w:jc w:val="both"/>
                  </w:pPr>
                  <w:r>
                    <w:rPr>
                      <w:sz w:val="21"/>
                    </w:rPr>
                    <w:t>根</w:t>
                  </w:r>
                </w:p>
              </w:tc>
              <w:tc>
                <w:tcPr>
                  <w:tcW w:type="dxa" w:w="851"/>
                  <w:tcBorders>
                    <w:top w:val="single" w:color="000000" w:sz="4"/>
                    <w:left w:val="single" w:color="000000" w:sz="4"/>
                    <w:bottom w:val="single" w:color="000000" w:sz="8"/>
                    <w:right w:val="single" w:color="000000" w:sz="8"/>
                  </w:tcBorders>
                  <w:vAlign w:val="top"/>
                </w:tcPr>
                <w:p>
                  <w:pPr>
                    <w:jc w:val="both"/>
                  </w:pPr>
                  <w:r>
                    <w:rPr>
                      <w:sz w:val="21"/>
                    </w:rPr>
                    <w:t>2019/11/15</w:t>
                  </w:r>
                </w:p>
              </w:tc>
            </w:tr>
          </w:tbl>
        </w:tc>
      </w:tr>
      <w:tr>
        <w:tc>
          <w:tcPr>
            <w:tcW w:type="dxa" w:w="2076"/>
          </w:tcPr>
          <w:p/>
        </w:tc>
        <w:tc>
          <w:tcPr>
            <w:tcW w:type="dxa" w:w="415"/>
          </w:tcPr>
          <w:p>
            <w:r>
              <w:rPr/>
              <w:t>2</w:t>
            </w:r>
          </w:p>
        </w:tc>
        <w:tc>
          <w:tcPr>
            <w:tcW w:type="dxa" w:w="5814"/>
          </w:tcPr>
          <w:p>
            <w:pPr>
              <w:jc w:val="both"/>
            </w:pPr>
            <w:r>
              <w:rPr>
                <w:sz w:val="21"/>
              </w:rPr>
              <w:t>响应时间要求：供应商应接获报修电话后提供突发性问题的解决措施及特殊紧急的合理化处理措施。</w:t>
            </w:r>
          </w:p>
          <w:p>
            <w:pPr>
              <w:jc w:val="both"/>
            </w:pPr>
            <w:r>
              <w:rPr>
                <w:sz w:val="21"/>
              </w:rPr>
              <w:t>（</w:t>
            </w:r>
            <w:r>
              <w:rPr>
                <w:sz w:val="21"/>
              </w:rPr>
              <w:t>1</w:t>
            </w:r>
            <w:r>
              <w:rPr>
                <w:sz w:val="21"/>
              </w:rPr>
              <w:t>）设备发生故障时，初次响应时间：</w:t>
            </w:r>
            <w:r>
              <w:rPr>
                <w:sz w:val="21"/>
              </w:rPr>
              <w:t>2</w:t>
            </w:r>
            <w:r>
              <w:rPr>
                <w:sz w:val="21"/>
              </w:rPr>
              <w:t>小时内，并提供电话技术支持。</w:t>
            </w:r>
          </w:p>
          <w:p>
            <w:pPr>
              <w:jc w:val="both"/>
            </w:pPr>
            <w:r>
              <w:rPr>
                <w:sz w:val="21"/>
              </w:rPr>
              <w:t>现场响应时间：</w:t>
            </w:r>
            <w:r>
              <w:rPr>
                <w:sz w:val="21"/>
              </w:rPr>
              <w:t>24</w:t>
            </w:r>
            <w:r>
              <w:rPr>
                <w:sz w:val="21"/>
              </w:rPr>
              <w:t>小时内到达设备使用现场进行维修，排除故障。零配件到现场时间（节假日照常服务）在</w:t>
            </w:r>
            <w:r>
              <w:rPr>
                <w:sz w:val="21"/>
              </w:rPr>
              <w:t>48</w:t>
            </w:r>
            <w:r>
              <w:rPr>
                <w:sz w:val="21"/>
              </w:rPr>
              <w:t>小时内。</w:t>
            </w:r>
          </w:p>
        </w:tc>
      </w:tr>
      <w:tr>
        <w:tc>
          <w:tcPr>
            <w:tcW w:type="dxa" w:w="2076"/>
          </w:tcPr>
          <w:p/>
        </w:tc>
        <w:tc>
          <w:tcPr>
            <w:tcW w:type="dxa" w:w="415"/>
          </w:tcPr>
          <w:p>
            <w:r>
              <w:rPr/>
              <w:t>3</w:t>
            </w:r>
          </w:p>
        </w:tc>
        <w:tc>
          <w:tcPr>
            <w:tcW w:type="dxa" w:w="5814"/>
          </w:tcPr>
          <w:p>
            <w:pPr>
              <w:jc w:val="both"/>
            </w:pPr>
            <w:r>
              <w:rPr>
                <w:sz w:val="21"/>
              </w:rPr>
              <w:t>供应商提供服务期间保证设备开机率</w:t>
            </w:r>
            <w:r>
              <w:rPr>
                <w:sz w:val="21"/>
              </w:rPr>
              <w:t>≥</w:t>
            </w:r>
            <w:r>
              <w:rPr>
                <w:sz w:val="21"/>
              </w:rPr>
              <w:t>95%</w:t>
            </w:r>
            <w:r>
              <w:rPr>
                <w:sz w:val="21"/>
              </w:rPr>
              <w:t>（每年以</w:t>
            </w:r>
            <w:r>
              <w:rPr>
                <w:sz w:val="21"/>
              </w:rPr>
              <w:t>365</w:t>
            </w:r>
            <w:r>
              <w:rPr>
                <w:sz w:val="21"/>
              </w:rPr>
              <w:t>天计算），若达不到开机率，每超出</w:t>
            </w:r>
            <w:r>
              <w:rPr>
                <w:sz w:val="21"/>
              </w:rPr>
              <w:t>1</w:t>
            </w:r>
            <w:r>
              <w:rPr>
                <w:sz w:val="21"/>
              </w:rPr>
              <w:t>天保修免费顺延</w:t>
            </w:r>
            <w:r>
              <w:rPr>
                <w:sz w:val="21"/>
              </w:rPr>
              <w:t>7</w:t>
            </w:r>
            <w:r>
              <w:rPr>
                <w:sz w:val="21"/>
              </w:rPr>
              <w:t>天。</w:t>
            </w:r>
          </w:p>
        </w:tc>
      </w:tr>
      <w:tr>
        <w:tc>
          <w:tcPr>
            <w:tcW w:type="dxa" w:w="2076"/>
          </w:tcPr>
          <w:p/>
        </w:tc>
        <w:tc>
          <w:tcPr>
            <w:tcW w:type="dxa" w:w="415"/>
          </w:tcPr>
          <w:p>
            <w:r>
              <w:rPr/>
              <w:t>4</w:t>
            </w:r>
          </w:p>
        </w:tc>
        <w:tc>
          <w:tcPr>
            <w:tcW w:type="dxa" w:w="5814"/>
          </w:tcPr>
          <w:p>
            <w:pPr>
              <w:jc w:val="both"/>
            </w:pPr>
            <w:r>
              <w:rPr>
                <w:sz w:val="21"/>
              </w:rPr>
              <w:t>服务期内供应商可提供设备全保服务，不限次数维修，包含设备维修、配件、人工及相关费用。</w:t>
            </w:r>
          </w:p>
        </w:tc>
      </w:tr>
      <w:tr>
        <w:tc>
          <w:tcPr>
            <w:tcW w:type="dxa" w:w="2076"/>
          </w:tcPr>
          <w:p/>
        </w:tc>
        <w:tc>
          <w:tcPr>
            <w:tcW w:type="dxa" w:w="415"/>
          </w:tcPr>
          <w:p>
            <w:r>
              <w:rPr/>
              <w:t>5</w:t>
            </w:r>
          </w:p>
        </w:tc>
        <w:tc>
          <w:tcPr>
            <w:tcW w:type="dxa" w:w="5814"/>
          </w:tcPr>
          <w:p>
            <w:pPr>
              <w:jc w:val="both"/>
            </w:pPr>
            <w:r>
              <w:rPr>
                <w:sz w:val="21"/>
              </w:rPr>
              <w:t>供应商提供设备使用和日常保养培训。</w:t>
            </w:r>
          </w:p>
        </w:tc>
      </w:tr>
      <w:tr>
        <w:tc>
          <w:tcPr>
            <w:tcW w:type="dxa" w:w="2076"/>
          </w:tcPr>
          <w:p/>
        </w:tc>
        <w:tc>
          <w:tcPr>
            <w:tcW w:type="dxa" w:w="415"/>
          </w:tcPr>
          <w:p>
            <w:r>
              <w:rPr/>
              <w:t>6</w:t>
            </w:r>
          </w:p>
        </w:tc>
        <w:tc>
          <w:tcPr>
            <w:tcW w:type="dxa" w:w="5814"/>
          </w:tcPr>
          <w:p>
            <w:pPr>
              <w:jc w:val="both"/>
            </w:pPr>
            <w:r>
              <w:rPr>
                <w:sz w:val="21"/>
              </w:rPr>
              <w:t>供应商配合第三方公司或国家部门完成设备检测服务。</w:t>
            </w:r>
          </w:p>
        </w:tc>
      </w:tr>
      <w:tr>
        <w:tc>
          <w:tcPr>
            <w:tcW w:type="dxa" w:w="2076"/>
          </w:tcPr>
          <w:p/>
        </w:tc>
        <w:tc>
          <w:tcPr>
            <w:tcW w:type="dxa" w:w="415"/>
          </w:tcPr>
          <w:p>
            <w:r>
              <w:rPr/>
              <w:t>7</w:t>
            </w:r>
          </w:p>
        </w:tc>
        <w:tc>
          <w:tcPr>
            <w:tcW w:type="dxa" w:w="5814"/>
          </w:tcPr>
          <w:p>
            <w:pPr>
              <w:jc w:val="both"/>
            </w:pPr>
            <w:r>
              <w:rPr>
                <w:sz w:val="21"/>
              </w:rPr>
              <w:t>供应商可提供预防性维护保养：一年不少于</w:t>
            </w:r>
            <w:r>
              <w:rPr>
                <w:sz w:val="21"/>
              </w:rPr>
              <w:t>4</w:t>
            </w:r>
            <w:r>
              <w:rPr>
                <w:sz w:val="21"/>
              </w:rPr>
              <w:t>次，预防性维护保养内容包括但不限于如下项目：</w:t>
            </w:r>
          </w:p>
          <w:p>
            <w:pPr>
              <w:jc w:val="both"/>
            </w:pPr>
            <w:r>
              <w:rPr>
                <w:sz w:val="21"/>
              </w:rPr>
              <w:t>（</w:t>
            </w:r>
            <w:r>
              <w:rPr>
                <w:sz w:val="21"/>
              </w:rPr>
              <w:t>1</w:t>
            </w:r>
            <w:r>
              <w:rPr>
                <w:sz w:val="21"/>
              </w:rPr>
              <w:t>）机器清洁；</w:t>
            </w:r>
          </w:p>
          <w:p>
            <w:pPr>
              <w:jc w:val="both"/>
            </w:pPr>
            <w:r>
              <w:rPr>
                <w:sz w:val="21"/>
              </w:rPr>
              <w:t>（</w:t>
            </w:r>
            <w:r>
              <w:rPr>
                <w:sz w:val="21"/>
              </w:rPr>
              <w:t>2</w:t>
            </w:r>
            <w:r>
              <w:rPr>
                <w:sz w:val="21"/>
              </w:rPr>
              <w:t>）性能测试及校准（包含校准时间）；</w:t>
            </w:r>
          </w:p>
          <w:p>
            <w:pPr>
              <w:jc w:val="both"/>
            </w:pPr>
            <w:r>
              <w:rPr>
                <w:sz w:val="21"/>
              </w:rPr>
              <w:t>（</w:t>
            </w:r>
            <w:r>
              <w:rPr>
                <w:sz w:val="21"/>
              </w:rPr>
              <w:t>3</w:t>
            </w:r>
            <w:r>
              <w:rPr>
                <w:sz w:val="21"/>
              </w:rPr>
              <w:t>）必要的机械或电气环境的检查。</w:t>
            </w:r>
          </w:p>
        </w:tc>
      </w:tr>
      <w:tr>
        <w:tc>
          <w:tcPr>
            <w:tcW w:type="dxa" w:w="2076"/>
          </w:tcPr>
          <w:p/>
        </w:tc>
        <w:tc>
          <w:tcPr>
            <w:tcW w:type="dxa" w:w="415"/>
          </w:tcPr>
          <w:p>
            <w:r>
              <w:rPr/>
              <w:t>8</w:t>
            </w:r>
          </w:p>
        </w:tc>
        <w:tc>
          <w:tcPr>
            <w:tcW w:type="dxa" w:w="5814"/>
          </w:tcPr>
          <w:p>
            <w:pPr>
              <w:jc w:val="both"/>
            </w:pPr>
            <w:r>
              <w:rPr>
                <w:sz w:val="21"/>
              </w:rPr>
              <w:t>维保期内，设备性能应不低于原厂</w:t>
            </w:r>
            <w:r>
              <w:rPr>
                <w:sz w:val="21"/>
              </w:rPr>
              <w:t>QC</w:t>
            </w:r>
            <w:r>
              <w:rPr>
                <w:sz w:val="21"/>
              </w:rPr>
              <w:t>标准或国家相关行业技术标准中较高者。</w:t>
            </w:r>
          </w:p>
        </w:tc>
      </w:tr>
      <w:tr>
        <w:tc>
          <w:tcPr>
            <w:tcW w:type="dxa" w:w="2076"/>
          </w:tcPr>
          <w:p/>
        </w:tc>
        <w:tc>
          <w:tcPr>
            <w:tcW w:type="dxa" w:w="415"/>
          </w:tcPr>
          <w:p>
            <w:r>
              <w:rPr/>
              <w:t>9</w:t>
            </w:r>
          </w:p>
        </w:tc>
        <w:tc>
          <w:tcPr>
            <w:tcW w:type="dxa" w:w="5814"/>
          </w:tcPr>
          <w:p>
            <w:pPr>
              <w:jc w:val="both"/>
            </w:pPr>
            <w:r>
              <w:rPr>
                <w:sz w:val="21"/>
              </w:rPr>
              <w:t>维修所更换的零配件均保证原装零配件，提供有效的承诺函并加盖公章。</w:t>
            </w:r>
          </w:p>
        </w:tc>
      </w:tr>
      <w:tr>
        <w:tc>
          <w:tcPr>
            <w:tcW w:type="dxa" w:w="2076"/>
          </w:tcPr>
          <w:p/>
        </w:tc>
        <w:tc>
          <w:tcPr>
            <w:tcW w:type="dxa" w:w="415"/>
          </w:tcPr>
          <w:p>
            <w:r>
              <w:rPr/>
              <w:t>10</w:t>
            </w:r>
          </w:p>
        </w:tc>
        <w:tc>
          <w:tcPr>
            <w:tcW w:type="dxa" w:w="5814"/>
          </w:tcPr>
          <w:p>
            <w:pPr>
              <w:jc w:val="both"/>
            </w:pPr>
            <w:r>
              <w:rPr>
                <w:sz w:val="21"/>
              </w:rPr>
              <w:t>设备故障时，需提供备用设备使用。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采购包1：保证金人民币：36,000.00元整。</w:t>
            </w:r>
            <w:r>
              <w:rPr/>
              <w:t>采购包2：保证金人民币：20,000.00元整。</w:t>
            </w:r>
          </w:p>
          <w:p>
            <w:r>
              <w:rPr/>
              <w:t>开户单位：</w:t>
            </w:r>
            <w:r>
              <w:rPr/>
              <w:t>广东华伦招标有限公司</w:t>
            </w:r>
          </w:p>
          <w:p>
            <w:r>
              <w:rPr/>
              <w:t>开户账号：</w:t>
            </w:r>
            <w:r>
              <w:rPr/>
              <w:t>15000103073565</w:t>
            </w:r>
          </w:p>
          <w:p>
            <w:r>
              <w:rPr/>
              <w:t>开户银行：</w:t>
            </w:r>
            <w:r>
              <w:rPr/>
              <w:t>平安银行广州珠江新城支行</w:t>
            </w:r>
          </w:p>
          <w:p>
            <w:r>
              <w:rPr/>
              <w:t>支票提交方式：</w:t>
            </w:r>
            <w:r>
              <w:rPr/>
              <w:t>须在递交投标文件截止时间前完成缴纳</w:t>
            </w:r>
          </w:p>
          <w:p>
            <w:r>
              <w:rPr/>
              <w:t>汇票、本票提交方式：</w:t>
            </w:r>
            <w:r>
              <w:rPr/>
              <w:t>须在递交投标文件截止时间前完成缴纳投标保证金有效期：与投标有效期一致。</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4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中标金额为计算基数，参照国家计委《招标代理服务收费管理暂行办法》（计价格[2002]1980号）、国家发改委[2003]857号及发改价格[2011]534号文件中规定的计算方法和计费标准进行下浮26.50%后，向中标人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 2，本项目纸质版投标文件必须是通过智慧云平台投标客户端软件生成的加了系统水印的投标文件打印的纸质版，否则可能被视为无效纸质投标文件。纸质投标文件须在投标截止时间前递交至开标地点，逾期递交的，代理机构将不再接收，但不造成投标无效。如允许同一个供应商参加多个采购包的投标时，其纸质投标文件应按每个采购包分别独立编制、装订和封装。同一个采购包的纸质投标文件统一封装在一个封包，外包装封面标注：采购项目（采购包）编号、名称+供应商名称。递交投标资料的法定代表人或授权代表须携带CA证书参加开标，并到达开标现场递交投标资料，否则由此产生的后果由投标人自行承担。 3，本项目（采购包2）属于专门面向中小企业采购的项目（采购包），不再执行价格评审优惠的扶持政策。</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w:t>
      </w:r>
    </w:p>
    <w:p>
      <w:pPr>
        <w:ind w:firstLine="480"/>
      </w:pPr>
      <w:r>
        <w:rPr/>
        <w:t>邮箱：</w:t>
      </w:r>
      <w:r>
        <w:rPr/>
        <w:t>hualunyibu@163.com</w:t>
      </w:r>
    </w:p>
    <w:p>
      <w:pPr>
        <w:ind w:firstLine="480"/>
      </w:pPr>
      <w:r>
        <w:rPr/>
        <w:t>地址：</w:t>
      </w:r>
      <w:r>
        <w:rPr/>
        <w:t>广东省广州市越秀区广仁路1号广仁大厦7楼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采购包1(大孔径CT维保服务项目)：综合评分法,是指投标文件满足招标文件全部实质性要求，且按照评审因素的量化指标评审得分最高的投标人为中标候选人的评标方法。（最低报价不是中标的唯一依据。）</w:t>
      </w:r>
    </w:p>
    <w:p/>
    <w:p>
      <w:r>
        <w:rPr/>
        <w:t>采购包2(富士内镜维保服务项目)：综合评分法,是指投标文件满足招标文件全部实质性要求，且按照评审因素的量化指标评审得分最高的投标人为中标候选人的评标方法。（最低报价不是中标的唯一依据。）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采购包1（大孔径CT维保服务项目）：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采购包2（富士内镜维保服务项目）：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采购包1（大孔径CT维保服务项目）：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提供承诺函原件或填报设备和专业技术能力情况。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本合同包不接受联合体投标；不允许分包、转包。</w:t>
            </w:r>
          </w:p>
        </w:tc>
      </w:tr>
      <w:tr>
        <w:tc>
          <w:tcPr>
            <w:tcW w:type="dxa" w:w="890"/>
          </w:tcPr>
          <w:p>
            <w:r>
              <w:rPr/>
              <w:t>9</w:t>
            </w:r>
          </w:p>
        </w:tc>
        <w:tc>
          <w:tcPr>
            <w:tcW w:type="dxa" w:w="3178"/>
          </w:tcPr>
          <w:p>
            <w:r>
              <w:rPr/>
              <w:t>特定资格要求</w:t>
            </w:r>
          </w:p>
        </w:tc>
        <w:tc>
          <w:tcPr>
            <w:tcW w:type="dxa" w:w="4238"/>
          </w:tcPr>
          <w:p>
            <w:r>
              <w:rPr/>
              <w:t>已登录广东政府采购智慧云平台申领并获取本项目采购文件。</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本项目不属于专门面向中小企业采购的项目（采购包）。本项目的企业划分标准所属行业为：其他未列明行业。</w:t>
            </w:r>
          </w:p>
        </w:tc>
      </w:tr>
    </w:tbl>
    <w:p/>
    <w:p>
      <w:r>
        <w:rPr/>
        <w:t>采购包2（富士内镜维保服务项目）：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提供承诺函原件或填报设备和专业技术能力情况。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本合同包不接受联合体投标；不允许分包、转包。</w:t>
            </w:r>
          </w:p>
        </w:tc>
      </w:tr>
      <w:tr>
        <w:tc>
          <w:tcPr>
            <w:tcW w:type="dxa" w:w="890"/>
          </w:tcPr>
          <w:p>
            <w:r>
              <w:rPr/>
              <w:t>9</w:t>
            </w:r>
          </w:p>
        </w:tc>
        <w:tc>
          <w:tcPr>
            <w:tcW w:type="dxa" w:w="3178"/>
          </w:tcPr>
          <w:p>
            <w:r>
              <w:rPr/>
              <w:t>特定资格要求</w:t>
            </w:r>
          </w:p>
        </w:tc>
        <w:tc>
          <w:tcPr>
            <w:tcW w:type="dxa" w:w="4238"/>
          </w:tcPr>
          <w:p>
            <w:r>
              <w:rPr/>
              <w:t>已登录广东政府采购智慧云平台申领并获取本项目采购文件。</w:t>
            </w:r>
          </w:p>
        </w:tc>
      </w:tr>
      <w:tr>
        <w:tc>
          <w:tcPr>
            <w:tcW w:type="dxa" w:w="890"/>
          </w:tcPr>
          <w:p>
            <w:r>
              <w:rPr/>
              <w:t>10</w:t>
            </w:r>
          </w:p>
        </w:tc>
        <w:tc>
          <w:tcPr>
            <w:tcW w:type="dxa" w:w="3178"/>
          </w:tcPr>
          <w:p>
            <w:r>
              <w:rPr/>
              <w:t>本采购包专门面向中小企业采购</w:t>
            </w:r>
          </w:p>
        </w:tc>
        <w:tc>
          <w:tcPr>
            <w:tcW w:type="dxa" w:w="4238"/>
          </w:tcPr>
          <w:p>
            <w:r>
              <w:rPr/>
              <w:t>本项目属于整体专门面向中小企业采购的项目（采购包）,供应商应为符合本项目采购标的对应行业（本项目行业为：其他未列明行业）划分标准的中小企业（监狱企业、残疾人福利性单位视同小微企业）。中小企业以供应商填写的《中小企业声明函（服务）》（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采购包1（大孔径CT维保服务项目）：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t>采购包2（富士内镜维保服务项目）：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采购包1(大孔径CT维保服务项目):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重要参数（标注“▲”的技术参数）符合性 (6.0分)</w:t>
            </w:r>
          </w:p>
        </w:tc>
        <w:tc>
          <w:tcPr>
            <w:tcW w:type="dxa" w:w="5076"/>
          </w:tcPr>
          <w:p>
            <w:pPr>
              <w:jc w:val="left"/>
            </w:pPr>
            <w:r>
              <w:rPr/>
              <w:t>根据各投标人对《第二章 采购需求》“技术标准与要求”中标注“▲”的重要技术参数的响应情况进行评审（共2项，最高得6分）：全部标注“▲”的重要技术参数响应情况为“正偏离”或“符合”或“无偏离”的，得6分；每有一项标注“▲”的重要技术参数响应情况为“负偏离”的，扣3分，扣完为止。 注：如采购需求中有明确要求提供证明材料的，则以采购需求要求的为准；如采购需求中无明确要求证明材料的，则投标人投标文件中的《技术和服务要求响应表》中的响应情况填写内容为准，未填写的或不响应的视为负偏离。</w:t>
            </w:r>
          </w:p>
        </w:tc>
      </w:tr>
      <w:tr>
        <w:tc>
          <w:tcPr>
            <w:tcW w:type="dxa" w:w="922"/>
            <w:gridSpan w:val="2"/>
            <w:vMerge/>
          </w:tcPr>
          <w:p/>
        </w:tc>
        <w:tc>
          <w:tcPr>
            <w:tcW w:type="dxa" w:w="2307"/>
          </w:tcPr>
          <w:p>
            <w:pPr>
              <w:jc w:val="left"/>
            </w:pPr>
            <w:r>
              <w:rPr/>
              <w:t>一般参数的符合性（ 除标注“▲”及“★”的技术参数外） (18.0分)</w:t>
            </w:r>
          </w:p>
        </w:tc>
        <w:tc>
          <w:tcPr>
            <w:tcW w:type="dxa" w:w="5076"/>
          </w:tcPr>
          <w:p>
            <w:pPr>
              <w:jc w:val="left"/>
            </w:pPr>
            <w:r>
              <w:rPr/>
              <w:t>根据各投标人对《第二章 采购需求》“技术标准与要求”中一般条款对应响应情况进行评审（注：凡是标有序号的一般条款均以一项单独的条款计算，无论是否隶属于上一级编号）：  （1）全部满足或优于，得18分；  （2）一般条款响应得分=（满足要求的一般条款数量÷一般条款总数量）×18分（得分保留小数点后两位数，小数点后第三位四舍五入）。 注：如采购需求中有明确要求提供证明材料的，则以采购需求要求的为准；如采购需求中无明确要求证明材料的，则投标人投标文件中的《技术和服务要求响应表》中的响应情况填写内容为准，未填写的或不响应的视为负偏离。</w:t>
            </w:r>
          </w:p>
        </w:tc>
      </w:tr>
      <w:tr>
        <w:tc>
          <w:tcPr>
            <w:tcW w:type="dxa" w:w="922"/>
            <w:gridSpan w:val="2"/>
            <w:vMerge/>
          </w:tcPr>
          <w:p/>
        </w:tc>
        <w:tc>
          <w:tcPr>
            <w:tcW w:type="dxa" w:w="2307"/>
          </w:tcPr>
          <w:p>
            <w:pPr>
              <w:jc w:val="left"/>
            </w:pPr>
            <w:r>
              <w:rPr/>
              <w:t>服务实施方案 (10.0分)</w:t>
            </w:r>
            <w:r>
              <w:rPr/>
              <w:t>，（等次分值选择：</w:t>
            </w:r>
            <w:r>
              <w:rPr/>
              <w:t>0.0;</w:t>
            </w:r>
            <w:r>
              <w:rPr/>
              <w:t>1.0;</w:t>
            </w:r>
            <w:r>
              <w:rPr/>
              <w:t>4.0;</w:t>
            </w:r>
            <w:r>
              <w:rPr/>
              <w:t>7.0;</w:t>
            </w:r>
            <w:r>
              <w:rPr/>
              <w:t>10.0;</w:t>
            </w:r>
            <w:r>
              <w:rPr/>
              <w:t>）</w:t>
            </w:r>
          </w:p>
        </w:tc>
        <w:tc>
          <w:tcPr>
            <w:tcW w:type="dxa" w:w="5076"/>
          </w:tcPr>
          <w:p>
            <w:pPr>
              <w:jc w:val="left"/>
            </w:pPr>
            <w:r>
              <w:rPr/>
              <w:t>对投标人提供的服务实施方案进行评审，包含但不限于保养时间计划安排、保养服务具体内容。 1.保养时间计划安排内容详细完整，保养服务具体内容科学合理，可行性高的，得10分；  2.保养时间计划安排内容较详细完整，保养服务具体内容较科学合理，可行性较高的，得7分；  3.保养时间计划安排基本完整，保养服务具体内容基本科学合理，具有一定的可行性的，得4分；  4.保养时间计划安排不够完整，保养服务具体内容不够合理，可行性较差的，得1分；  5.无或其他不得分。</w:t>
            </w:r>
          </w:p>
        </w:tc>
      </w:tr>
      <w:tr>
        <w:tc>
          <w:tcPr>
            <w:tcW w:type="dxa" w:w="922"/>
            <w:gridSpan w:val="2"/>
            <w:vMerge/>
          </w:tcPr>
          <w:p/>
        </w:tc>
        <w:tc>
          <w:tcPr>
            <w:tcW w:type="dxa" w:w="2307"/>
          </w:tcPr>
          <w:p>
            <w:pPr>
              <w:jc w:val="left"/>
            </w:pPr>
            <w:r>
              <w:rPr/>
              <w:t>服务质量保障方案 (10.0分)</w:t>
            </w:r>
            <w:r>
              <w:rPr/>
              <w:t>，（等次分值选择：</w:t>
            </w:r>
            <w:r>
              <w:rPr/>
              <w:t>0.0;</w:t>
            </w:r>
            <w:r>
              <w:rPr/>
              <w:t>1.0;</w:t>
            </w:r>
            <w:r>
              <w:rPr/>
              <w:t>4.0;</w:t>
            </w:r>
            <w:r>
              <w:rPr/>
              <w:t>7.0;</w:t>
            </w:r>
            <w:r>
              <w:rPr/>
              <w:t>10.0;</w:t>
            </w:r>
            <w:r>
              <w:rPr/>
              <w:t>）</w:t>
            </w:r>
          </w:p>
        </w:tc>
        <w:tc>
          <w:tcPr>
            <w:tcW w:type="dxa" w:w="5076"/>
          </w:tcPr>
          <w:p>
            <w:pPr>
              <w:jc w:val="left"/>
            </w:pPr>
            <w:r>
              <w:rPr/>
              <w:t>对投标人提供的服务质量保障方案进行评审，包含但不限于质量目标、质量管理制度、质量保障措施及相关承诺和合理化建议。  1.质量目标、质量管理制度内容详细完整，质量保障措施及相关承诺和合理化建议科学合理，可行性高的，得10分；  2.质量目标、质量管理制度内容较详细完整，质量保障措施及相关承诺和合理化建议较科学合理，可行性较高的，得7分；  3.质量目标、质量管理制度内容基本完整，质量保障措施及相关承诺和合理化建议基本科学合理，具有一定的可行性的，得4分；  4.质量目标、质量管理制度内容不够完整，质量保障措施及相关承诺和合理化建议不够合理，可行性较差的，得1分；  5.无或其他不得分。</w:t>
            </w:r>
          </w:p>
        </w:tc>
      </w:tr>
      <w:tr>
        <w:tc>
          <w:tcPr>
            <w:tcW w:type="dxa" w:w="922"/>
            <w:gridSpan w:val="2"/>
            <w:vMerge/>
          </w:tcPr>
          <w:p/>
        </w:tc>
        <w:tc>
          <w:tcPr>
            <w:tcW w:type="dxa" w:w="2307"/>
          </w:tcPr>
          <w:p>
            <w:pPr>
              <w:jc w:val="left"/>
            </w:pPr>
            <w:r>
              <w:rPr/>
              <w:t>服务人员管理方案 (10.0分)</w:t>
            </w:r>
            <w:r>
              <w:rPr/>
              <w:t>，（等次分值选择：</w:t>
            </w:r>
            <w:r>
              <w:rPr/>
              <w:t>0.0;</w:t>
            </w:r>
            <w:r>
              <w:rPr/>
              <w:t>1.0;</w:t>
            </w:r>
            <w:r>
              <w:rPr/>
              <w:t>4.0;</w:t>
            </w:r>
            <w:r>
              <w:rPr/>
              <w:t>7.0;</w:t>
            </w:r>
            <w:r>
              <w:rPr/>
              <w:t>10.0;</w:t>
            </w:r>
            <w:r>
              <w:rPr/>
              <w:t>）</w:t>
            </w:r>
          </w:p>
        </w:tc>
        <w:tc>
          <w:tcPr>
            <w:tcW w:type="dxa" w:w="5076"/>
          </w:tcPr>
          <w:p>
            <w:pPr>
              <w:jc w:val="left"/>
            </w:pPr>
            <w:r>
              <w:rPr/>
              <w:t>对投标人提供的服务人员管理方案进行评审，包含但不限于人员职责分工说明、人员管理方案、人员工作时间安排。  1.人员职责分工说明、人员管理方案详细完整，人员工作时间安排科学合理，可行性高的，得10分；  2.人员职责分工说明、人员管理方案较详细完整，人员工作时间安排较科学合理，可行性较高的，得7分；  3.人员职责分工说明、人员管理方案基本完整，人员工作时间安排基本科学合理，具有一定的可行性的，得4分；  4.人员职责分工说明、人员管理方案不够完整，人员工作时间安排不够合理，可行性较差的，得1分；  5.无或其他不得分。</w:t>
            </w:r>
          </w:p>
        </w:tc>
      </w:tr>
      <w:tr>
        <w:tc>
          <w:tcPr>
            <w:tcW w:type="dxa" w:w="922"/>
            <w:gridSpan w:val="2"/>
            <w:vMerge/>
          </w:tcPr>
          <w:p/>
        </w:tc>
        <w:tc>
          <w:tcPr>
            <w:tcW w:type="dxa" w:w="2307"/>
          </w:tcPr>
          <w:p>
            <w:pPr>
              <w:jc w:val="left"/>
            </w:pPr>
            <w:r>
              <w:rPr/>
              <w:t>培训方案 (6.0分)</w:t>
            </w:r>
            <w:r>
              <w:rPr/>
              <w:t>，（等次分值选择：</w:t>
            </w:r>
            <w:r>
              <w:rPr/>
              <w:t>0.0;</w:t>
            </w:r>
            <w:r>
              <w:rPr/>
              <w:t>2.0;</w:t>
            </w:r>
            <w:r>
              <w:rPr/>
              <w:t>4.0;</w:t>
            </w:r>
            <w:r>
              <w:rPr/>
              <w:t>6.0;</w:t>
            </w:r>
            <w:r>
              <w:rPr/>
              <w:t>）</w:t>
            </w:r>
          </w:p>
        </w:tc>
        <w:tc>
          <w:tcPr>
            <w:tcW w:type="dxa" w:w="5076"/>
          </w:tcPr>
          <w:p>
            <w:pPr>
              <w:jc w:val="left"/>
            </w:pPr>
            <w:r>
              <w:rPr/>
              <w:t>根据投标人提供的培训方案（包括但不限于培训人员安排、培训次数、培训内容、培训目标）进行评审：  1.培训方案详细、具体，可行性高，得6分；  2.培训方案基本详细、基本具体，具有一定的可行性高，得4分；  3.培训方案不够详细、不够具体，可行性较低，得2分； 4.无或其他不得分。</w:t>
            </w:r>
          </w:p>
        </w:tc>
      </w:tr>
      <w:tr>
        <w:tc>
          <w:tcPr>
            <w:tcW w:type="dxa" w:w="922"/>
            <w:gridSpan w:val="2"/>
            <w:vMerge w:val="restart"/>
          </w:tcPr>
          <w:p>
            <w:pPr>
              <w:jc w:val="center"/>
            </w:pPr>
            <w:r>
              <w:rPr/>
              <w:t>商务部分</w:t>
            </w:r>
          </w:p>
        </w:tc>
        <w:tc>
          <w:tcPr>
            <w:tcW w:type="dxa" w:w="2307"/>
          </w:tcPr>
          <w:p>
            <w:pPr>
              <w:jc w:val="left"/>
            </w:pPr>
            <w:r>
              <w:rPr/>
              <w:t>同类业绩 (6.0分)</w:t>
            </w:r>
          </w:p>
        </w:tc>
        <w:tc>
          <w:tcPr>
            <w:tcW w:type="dxa" w:w="5076"/>
          </w:tcPr>
          <w:p>
            <w:pPr>
              <w:jc w:val="left"/>
            </w:pPr>
            <w:r>
              <w:rPr/>
              <w:t>投标人2020年1月1日至今（以合同签订时间为准）同类项目业绩经验：每提供一项同类CT设备维保服务项目业绩得1分，本项最高得6分。 注：与同一用户单位签订的多份同类项目业绩不累计计分。投标时须附上合同关键页（含签订合同双方的单位名称、合同项目名称、合同清单/合同概况、签订合同双方的落款盖章、签订日期的关键页）复印件并加盖投标人公章作为同类业绩评价证明资料。</w:t>
            </w:r>
          </w:p>
        </w:tc>
      </w:tr>
      <w:tr>
        <w:tc>
          <w:tcPr>
            <w:tcW w:type="dxa" w:w="922"/>
            <w:gridSpan w:val="2"/>
            <w:vMerge/>
          </w:tcPr>
          <w:p/>
        </w:tc>
        <w:tc>
          <w:tcPr>
            <w:tcW w:type="dxa" w:w="2307"/>
          </w:tcPr>
          <w:p>
            <w:pPr>
              <w:jc w:val="left"/>
            </w:pPr>
            <w:r>
              <w:rPr/>
              <w:t>用户评价 (6.0分)</w:t>
            </w:r>
          </w:p>
        </w:tc>
        <w:tc>
          <w:tcPr>
            <w:tcW w:type="dxa" w:w="5076"/>
          </w:tcPr>
          <w:p>
            <w:pPr>
              <w:jc w:val="left"/>
            </w:pPr>
            <w:r>
              <w:rPr/>
              <w:t>投标人提供符合上述要求的2020年1月1日至今的同类项目经验的用户单位出具的满意度评价，评价情况至少须为“满意”或类似好评的方可计分：每提供一项得1分，本项最高6分。  注： ①同一客户或同一项目提供多项用户满意度评价的，按一项计算； ②须与投标人上述提供的2020年1月1日至今的同类项目经验的用户单位一致； ③用户满意度评价须经用户单位盖章，评价情况至少须为满意或类似好评的方可计分。</w:t>
            </w:r>
          </w:p>
        </w:tc>
      </w:tr>
      <w:tr>
        <w:tc>
          <w:tcPr>
            <w:tcW w:type="dxa" w:w="922"/>
            <w:gridSpan w:val="2"/>
            <w:vMerge/>
          </w:tcPr>
          <w:p/>
        </w:tc>
        <w:tc>
          <w:tcPr>
            <w:tcW w:type="dxa" w:w="2307"/>
          </w:tcPr>
          <w:p>
            <w:pPr>
              <w:jc w:val="left"/>
            </w:pPr>
            <w:r>
              <w:rPr/>
              <w:t>投标人的管理体系认证情况 (8.0分)</w:t>
            </w:r>
          </w:p>
        </w:tc>
        <w:tc>
          <w:tcPr>
            <w:tcW w:type="dxa" w:w="5076"/>
          </w:tcPr>
          <w:p>
            <w:pPr>
              <w:jc w:val="left"/>
            </w:pPr>
            <w:r>
              <w:rPr/>
              <w:t>具有有效期内的质量管理体系认证证书，得2分；  具有有效期内的环境管理体系认证证书，得2分；  具有有效期内的职业健康安全管理体系认证证书，得2分；  具有有效期内的医疗器械质量管理体系认证证书，得2分。 本项最高得8分。  注：投标人需提供证书复印件，无提供不得分。除提供证书扫描件外，还需提供网站公布的信息资料截图作为佐证【网址以http://www.cnca.gov.cn/网站或者http://cx.cnca.cn/网站公布为准】，已失效或撤销或暂停的不得分。公开信息中无法查询或与公开信息不一致的，供应商必须提供发证机构出具的证明函。</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采购包2(富士内镜维保服务项目):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一般参数的符合性（ 除标注“▲”及“★”的技术参数外） (20.0分)</w:t>
            </w:r>
          </w:p>
        </w:tc>
        <w:tc>
          <w:tcPr>
            <w:tcW w:type="dxa" w:w="5076"/>
          </w:tcPr>
          <w:p>
            <w:pPr>
              <w:jc w:val="left"/>
            </w:pPr>
            <w:r>
              <w:rPr/>
              <w:t>根据各投标人对《第二章 采购需求》“技术标准与要求”中一般条款对应响应情况进行评审（注：凡是标有序号的一般条款均以一项单独的条款计算，无论是否隶属于上一级编号）：  （1）全部满足或优于，得20分；  （2）一般条款响应得分=（满足要求的一般条款数量÷一般条款总数量）×20分（得分保留小数点后两位数，小数点后第三位四舍五入）。 注：如采购需求中有明确要求提供证明材料的，则以采购需求要求的为准；如采购需求中无明确要求证明材料的，则投标人投标文件中的《技术和服务要求响应表》中的响应情况填写内容为准，未填写的或不响应的视为负偏离。</w:t>
            </w:r>
          </w:p>
        </w:tc>
      </w:tr>
      <w:tr>
        <w:tc>
          <w:tcPr>
            <w:tcW w:type="dxa" w:w="922"/>
            <w:gridSpan w:val="2"/>
            <w:vMerge/>
          </w:tcPr>
          <w:p/>
        </w:tc>
        <w:tc>
          <w:tcPr>
            <w:tcW w:type="dxa" w:w="2307"/>
          </w:tcPr>
          <w:p>
            <w:pPr>
              <w:jc w:val="left"/>
            </w:pPr>
            <w:r>
              <w:rPr/>
              <w:t>服务实施方案 (10.0分)</w:t>
            </w:r>
            <w:r>
              <w:rPr/>
              <w:t>，（等次分值选择：</w:t>
            </w:r>
            <w:r>
              <w:rPr/>
              <w:t>0.0;</w:t>
            </w:r>
            <w:r>
              <w:rPr/>
              <w:t>1.0;</w:t>
            </w:r>
            <w:r>
              <w:rPr/>
              <w:t>4.0;</w:t>
            </w:r>
            <w:r>
              <w:rPr/>
              <w:t>7.0;</w:t>
            </w:r>
            <w:r>
              <w:rPr/>
              <w:t>10.0;</w:t>
            </w:r>
            <w:r>
              <w:rPr/>
              <w:t>）</w:t>
            </w:r>
          </w:p>
        </w:tc>
        <w:tc>
          <w:tcPr>
            <w:tcW w:type="dxa" w:w="5076"/>
          </w:tcPr>
          <w:p>
            <w:pPr>
              <w:jc w:val="left"/>
            </w:pPr>
            <w:r>
              <w:rPr/>
              <w:t>对投标人提供的服务实施方案进行评审，包含但不限于保养时间计划安排、保养服务具体内容。 1.保养时间计划安排内容详细完整，保养服务具体内容科学合理，可行性高的，得10分；  2.保养时间计划安排内容较详细完整，保养服务具体内容较科学合理，可行性较高的，得7分；  3.保养时间计划安排基本完整，保养服务具体内容基本科学合理，具有一定的可行性的，得4分；  4.保养时间计划安排不够完整，保养服务具体内容不够合理，可行性较差的，得1分；  5.无或其他不得分。</w:t>
            </w:r>
          </w:p>
        </w:tc>
      </w:tr>
      <w:tr>
        <w:tc>
          <w:tcPr>
            <w:tcW w:type="dxa" w:w="922"/>
            <w:gridSpan w:val="2"/>
            <w:vMerge/>
          </w:tcPr>
          <w:p/>
        </w:tc>
        <w:tc>
          <w:tcPr>
            <w:tcW w:type="dxa" w:w="2307"/>
          </w:tcPr>
          <w:p>
            <w:pPr>
              <w:jc w:val="left"/>
            </w:pPr>
            <w:r>
              <w:rPr/>
              <w:t>服务质量保障方案 (10.0分)</w:t>
            </w:r>
            <w:r>
              <w:rPr/>
              <w:t>，（等次分值选择：</w:t>
            </w:r>
            <w:r>
              <w:rPr/>
              <w:t>0.0;</w:t>
            </w:r>
            <w:r>
              <w:rPr/>
              <w:t>1.0;</w:t>
            </w:r>
            <w:r>
              <w:rPr/>
              <w:t>4.0;</w:t>
            </w:r>
            <w:r>
              <w:rPr/>
              <w:t>7.0;</w:t>
            </w:r>
            <w:r>
              <w:rPr/>
              <w:t>10.0;</w:t>
            </w:r>
            <w:r>
              <w:rPr/>
              <w:t>）</w:t>
            </w:r>
          </w:p>
        </w:tc>
        <w:tc>
          <w:tcPr>
            <w:tcW w:type="dxa" w:w="5076"/>
          </w:tcPr>
          <w:p>
            <w:pPr>
              <w:jc w:val="left"/>
            </w:pPr>
            <w:r>
              <w:rPr/>
              <w:t>对投标人提供的服务质量保障方案进行评审，包含但不限于质量目标、质量管理制度、质量保障措施及相关承诺和合理化建议。  1.质量目标、质量管理制度内容详细完整，质量保障措施及相关承诺和合理化建议科学合理，可行性高的，得10分；  2.质量目标、质量管理制度内容较详细完整，质量保障措施及相关承诺和合理化建议较科学合理，可行性较高的，得7分；  3.质量目标、质量管理制度内容基本完整，质量保障措施及相关承诺和合理化建议基本科学合理，具有一定的可行性的，得4分；  4.质量目标、质量管理制度内容不够完整，质量保障措施及相关承诺和合理化建议不够合理，可行性较差的，得1分；  5.无或其他不得分。</w:t>
            </w:r>
          </w:p>
        </w:tc>
      </w:tr>
      <w:tr>
        <w:tc>
          <w:tcPr>
            <w:tcW w:type="dxa" w:w="922"/>
            <w:gridSpan w:val="2"/>
            <w:vMerge/>
          </w:tcPr>
          <w:p/>
        </w:tc>
        <w:tc>
          <w:tcPr>
            <w:tcW w:type="dxa" w:w="2307"/>
          </w:tcPr>
          <w:p>
            <w:pPr>
              <w:jc w:val="left"/>
            </w:pPr>
            <w:r>
              <w:rPr/>
              <w:t>服务人员管理方案 (10.0分)</w:t>
            </w:r>
            <w:r>
              <w:rPr/>
              <w:t>，（等次分值选择：</w:t>
            </w:r>
            <w:r>
              <w:rPr/>
              <w:t>0.0;</w:t>
            </w:r>
            <w:r>
              <w:rPr/>
              <w:t>1.0;</w:t>
            </w:r>
            <w:r>
              <w:rPr/>
              <w:t>4.0;</w:t>
            </w:r>
            <w:r>
              <w:rPr/>
              <w:t>7.0;</w:t>
            </w:r>
            <w:r>
              <w:rPr/>
              <w:t>10.0;</w:t>
            </w:r>
            <w:r>
              <w:rPr/>
              <w:t>）</w:t>
            </w:r>
          </w:p>
        </w:tc>
        <w:tc>
          <w:tcPr>
            <w:tcW w:type="dxa" w:w="5076"/>
          </w:tcPr>
          <w:p>
            <w:pPr>
              <w:jc w:val="left"/>
            </w:pPr>
            <w:r>
              <w:rPr/>
              <w:t>对投标人提供的服务人员管理方案进行评审，包含但不限于人员职责分工说明、人员管理方案、人员工作时间安排。  1.人员职责分工说明、人员管理方案详细完整，人员工作时间安排科学合理，可行性高的，得10分；  2.人员职责分工说明、人员管理方案较详细完整，人员工作时间安排较科学合理，可行性较高的，得7分；  3.人员职责分工说明、人员管理方案基本完整，人员工作时间安排基本科学合理，具有一定的可行性的，得4分；  4.人员职责分工说明、人员管理方案不够完整，人员工作时间安排不够合理，可行性较差的，得1分；  5.无或其他不得分。</w:t>
            </w:r>
          </w:p>
        </w:tc>
      </w:tr>
      <w:tr>
        <w:tc>
          <w:tcPr>
            <w:tcW w:type="dxa" w:w="922"/>
            <w:gridSpan w:val="2"/>
            <w:vMerge/>
          </w:tcPr>
          <w:p/>
        </w:tc>
        <w:tc>
          <w:tcPr>
            <w:tcW w:type="dxa" w:w="2307"/>
          </w:tcPr>
          <w:p>
            <w:pPr>
              <w:jc w:val="left"/>
            </w:pPr>
            <w:r>
              <w:rPr/>
              <w:t>培训方案 (10.0分)</w:t>
            </w:r>
            <w:r>
              <w:rPr/>
              <w:t>，（等次分值选择：</w:t>
            </w:r>
            <w:r>
              <w:rPr/>
              <w:t>0.0;</w:t>
            </w:r>
            <w:r>
              <w:rPr/>
              <w:t>3.0;</w:t>
            </w:r>
            <w:r>
              <w:rPr/>
              <w:t>6.0;</w:t>
            </w:r>
            <w:r>
              <w:rPr/>
              <w:t>10.0;</w:t>
            </w:r>
            <w:r>
              <w:rPr/>
              <w:t>）</w:t>
            </w:r>
          </w:p>
        </w:tc>
        <w:tc>
          <w:tcPr>
            <w:tcW w:type="dxa" w:w="5076"/>
          </w:tcPr>
          <w:p>
            <w:pPr>
              <w:jc w:val="left"/>
            </w:pPr>
            <w:r>
              <w:rPr/>
              <w:t>根据投标人提供的培训方案（包括但不限于培训人员安排、培训次数、培训内容、培训目标）进行评审：  1.培训方案详细、具体，可行性高，得10分；  2.培训方案基本详细、基本具体，具有一定的可行性高，得6分；  3.培训方案不够详细、不够具体，可行性较低，得3分； 4.无或其他不得分。</w:t>
            </w:r>
          </w:p>
        </w:tc>
      </w:tr>
      <w:tr>
        <w:tc>
          <w:tcPr>
            <w:tcW w:type="dxa" w:w="922"/>
            <w:gridSpan w:val="2"/>
            <w:vMerge w:val="restart"/>
          </w:tcPr>
          <w:p>
            <w:pPr>
              <w:jc w:val="center"/>
            </w:pPr>
            <w:r>
              <w:rPr/>
              <w:t>商务部分</w:t>
            </w:r>
          </w:p>
        </w:tc>
        <w:tc>
          <w:tcPr>
            <w:tcW w:type="dxa" w:w="2307"/>
          </w:tcPr>
          <w:p>
            <w:pPr>
              <w:jc w:val="left"/>
            </w:pPr>
            <w:r>
              <w:rPr/>
              <w:t>同类业绩 (6.0分)</w:t>
            </w:r>
          </w:p>
        </w:tc>
        <w:tc>
          <w:tcPr>
            <w:tcW w:type="dxa" w:w="5076"/>
          </w:tcPr>
          <w:p>
            <w:pPr>
              <w:jc w:val="left"/>
            </w:pPr>
            <w:r>
              <w:rPr/>
              <w:t>投标人2020年1月1日至今（以合同签订时间为准）同类项目业绩经验：每提供一项同类内镜设备维保服务项目业绩得1分，本项最高得6分。 注：与同一用户单位签订的多份同类项目业绩不累计计分。投标时须附上合同关键页（含签订合同双方的单位名称、合同项目名称、合同清单/合同概况、签订合同双方的落款盖章、签订日期的关键页）复印件并加盖投标人公章作为同类业绩评价证明资料。</w:t>
            </w:r>
          </w:p>
        </w:tc>
      </w:tr>
      <w:tr>
        <w:tc>
          <w:tcPr>
            <w:tcW w:type="dxa" w:w="922"/>
            <w:gridSpan w:val="2"/>
            <w:vMerge/>
          </w:tcPr>
          <w:p/>
        </w:tc>
        <w:tc>
          <w:tcPr>
            <w:tcW w:type="dxa" w:w="2307"/>
          </w:tcPr>
          <w:p>
            <w:pPr>
              <w:jc w:val="left"/>
            </w:pPr>
            <w:r>
              <w:rPr/>
              <w:t>用户评价 (6.0分)</w:t>
            </w:r>
          </w:p>
        </w:tc>
        <w:tc>
          <w:tcPr>
            <w:tcW w:type="dxa" w:w="5076"/>
          </w:tcPr>
          <w:p>
            <w:pPr>
              <w:jc w:val="left"/>
            </w:pPr>
            <w:r>
              <w:rPr/>
              <w:t>投标人提供符合上述要求的2020年1月1日至今的同类项目经验的用户单位出具的满意度评价，评价情况至少须为“满意”或类似好评的方可计分：每提供一项得1分，本项最高6分。  注： ①同一客户或同一项目提供多项用户满意度评价的，按一项计算； ②须与投标人上述提供的2020年1月1日至今的同类项目经验的用户单位一致； ③用户满意度评价须经用户单位盖章，评价情况至少须为满意或类似好评的方可计分。</w:t>
            </w:r>
          </w:p>
        </w:tc>
      </w:tr>
      <w:tr>
        <w:tc>
          <w:tcPr>
            <w:tcW w:type="dxa" w:w="922"/>
            <w:gridSpan w:val="2"/>
            <w:vMerge/>
          </w:tcPr>
          <w:p/>
        </w:tc>
        <w:tc>
          <w:tcPr>
            <w:tcW w:type="dxa" w:w="2307"/>
          </w:tcPr>
          <w:p>
            <w:pPr>
              <w:jc w:val="left"/>
            </w:pPr>
            <w:r>
              <w:rPr/>
              <w:t>投标人的管理体系认证情况 (8.0分)</w:t>
            </w:r>
          </w:p>
        </w:tc>
        <w:tc>
          <w:tcPr>
            <w:tcW w:type="dxa" w:w="5076"/>
          </w:tcPr>
          <w:p>
            <w:pPr>
              <w:jc w:val="left"/>
            </w:pPr>
            <w:r>
              <w:rPr/>
              <w:t>具有有效期内的质量管理体系认证证书，得2分；  具有有效期内的环境管理体系认证证书，得2分；  具有有效期内的职业健康安全管理体系认证证书，得2分；  具有有效期内的医疗器械质量管理体系认证证书，得2分。 本项最高得8分。  注：投标人需提供证书复印件，无提供不得分。除提供证书扫描件外，还需提供网站公布的信息资料截图作为佐证【网址以http://www.cnca.gov.cn/网站或者http://cx.cnca.cn/网站公布为准】，已失效或撤销或暂停的不得分。公开信息中无法查询或与公开信息不一致的，供应商必须提供发证机构出具的证明函。</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center"/>
      </w:pPr>
      <w:r>
        <w:rPr>
          <w:b/>
          <w:sz w:val="24"/>
        </w:rPr>
        <w:t>维</w:t>
      </w:r>
      <w:r>
        <w:rPr>
          <w:b/>
          <w:sz w:val="24"/>
        </w:rPr>
        <w:t>保</w:t>
      </w:r>
      <w:r>
        <w:rPr>
          <w:b/>
          <w:sz w:val="24"/>
        </w:rPr>
        <w:t>合</w:t>
      </w:r>
      <w:r>
        <w:rPr>
          <w:b/>
          <w:sz w:val="24"/>
        </w:rPr>
        <w:t>同</w:t>
      </w:r>
    </w:p>
    <w:p>
      <w:pPr>
        <w:ind w:firstLine="480"/>
        <w:jc w:val="both"/>
      </w:pPr>
      <w:r>
        <w:rPr>
          <w:sz w:val="24"/>
        </w:rPr>
        <w:t xml:space="preserve">                                       </w:t>
      </w:r>
      <w:r>
        <w:rPr>
          <w:sz w:val="24"/>
        </w:rPr>
        <w:t>合同编号：</w:t>
      </w:r>
    </w:p>
    <w:p>
      <w:pPr>
        <w:ind w:firstLine="480"/>
        <w:jc w:val="both"/>
      </w:pPr>
      <w:r>
        <w:rPr>
          <w:b/>
          <w:sz w:val="24"/>
        </w:rPr>
        <w:t>甲</w:t>
      </w:r>
      <w:r>
        <w:rPr>
          <w:b/>
          <w:sz w:val="24"/>
        </w:rPr>
        <w:t xml:space="preserve"> </w:t>
      </w:r>
      <w:r>
        <w:rPr>
          <w:b/>
          <w:sz w:val="24"/>
        </w:rPr>
        <w:t>方：中山大学附属第六医院</w:t>
      </w:r>
    </w:p>
    <w:p>
      <w:pPr>
        <w:ind w:firstLine="480"/>
        <w:jc w:val="both"/>
      </w:pPr>
      <w:r>
        <w:rPr>
          <w:b/>
          <w:sz w:val="24"/>
        </w:rPr>
        <w:t>乙</w:t>
      </w:r>
      <w:r>
        <w:rPr>
          <w:b/>
          <w:sz w:val="24"/>
        </w:rPr>
        <w:t xml:space="preserve"> </w:t>
      </w:r>
      <w:r>
        <w:rPr>
          <w:b/>
          <w:sz w:val="24"/>
        </w:rPr>
        <w:t>方：</w:t>
      </w:r>
      <w:r>
        <w:rPr>
          <w:b/>
          <w:sz w:val="24"/>
        </w:rPr>
        <w:t xml:space="preserve">                  </w:t>
      </w:r>
      <w:r>
        <w:rPr>
          <w:sz w:val="21"/>
        </w:rPr>
        <w:t xml:space="preserve"> </w:t>
      </w:r>
    </w:p>
    <w:p>
      <w:pPr>
        <w:ind w:firstLine="480"/>
        <w:jc w:val="both"/>
      </w:pPr>
    </w:p>
    <w:p>
      <w:pPr>
        <w:ind w:firstLine="480"/>
        <w:jc w:val="both"/>
      </w:pPr>
      <w:r>
        <w:rPr>
          <w:sz w:val="24"/>
        </w:rPr>
        <w:t>根据《中华人民共和国民法典</w:t>
      </w:r>
      <w:r>
        <w:rPr>
          <w:sz w:val="24"/>
        </w:rPr>
        <w:t>-合同编》，及委托</w:t>
      </w:r>
      <w:r>
        <w:rPr>
          <w:sz w:val="21"/>
          <w:u w:val="single"/>
        </w:rPr>
        <w:t xml:space="preserve">                 </w:t>
      </w:r>
      <w:r>
        <w:rPr>
          <w:sz w:val="24"/>
        </w:rPr>
        <w:t>采购</w:t>
      </w:r>
      <w:r>
        <w:rPr>
          <w:sz w:val="21"/>
          <w:u w:val="single"/>
        </w:rPr>
        <w:t xml:space="preserve">      </w:t>
      </w:r>
      <w:r>
        <w:rPr>
          <w:sz w:val="24"/>
        </w:rPr>
        <w:t>招标项目（采购文件编号：</w:t>
      </w:r>
      <w:r>
        <w:rPr>
          <w:sz w:val="21"/>
          <w:u w:val="single"/>
        </w:rPr>
        <w:t xml:space="preserve">             </w:t>
      </w:r>
      <w:r>
        <w:rPr>
          <w:sz w:val="24"/>
        </w:rPr>
        <w:t>）的招标结果和招标文件要求，</w:t>
      </w:r>
      <w:r>
        <w:rPr>
          <w:sz w:val="24"/>
        </w:rPr>
        <w:t>甲、乙双方经协商确定，甲方向乙方采购</w:t>
      </w:r>
      <w:r>
        <w:rPr>
          <w:sz w:val="21"/>
          <w:u w:val="single"/>
        </w:rPr>
        <w:t xml:space="preserve"> </w:t>
      </w:r>
      <w:r>
        <w:rPr>
          <w:b/>
          <w:sz w:val="21"/>
          <w:u w:val="single"/>
        </w:rPr>
        <w:t xml:space="preserve">            </w:t>
      </w:r>
      <w:r>
        <w:rPr>
          <w:sz w:val="24"/>
        </w:rPr>
        <w:t>设备维保服务，为明确双方责任和权利，特签订本合同，共同遵守。具体条款如下：</w:t>
      </w:r>
    </w:p>
    <w:p>
      <w:pPr>
        <w:ind w:firstLine="480"/>
        <w:jc w:val="both"/>
      </w:pPr>
    </w:p>
    <w:p>
      <w:pPr>
        <w:numPr>
          <w:ilvl w:val="0"/>
          <w:numId w:val="1"/>
        </w:numPr>
        <w:jc w:val="both"/>
      </w:pPr>
      <w:r>
        <w:rPr>
          <w:b/>
          <w:sz w:val="24"/>
        </w:rPr>
        <w:t>维保设备信息表：</w:t>
      </w:r>
    </w:p>
    <w:p>
      <w:pPr>
        <w:jc w:val="both"/>
      </w:pPr>
      <w:r>
        <w:rPr>
          <w:sz w:val="24"/>
        </w:rPr>
        <w:t>乙方负责向甲方供应下表中所列设备的维保服务。</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850"/>
        <w:gridCol w:w="2505"/>
        <w:gridCol w:w="2580"/>
      </w:tblGrid>
      <w:tr>
        <w:tc>
          <w:tcPr>
            <w:tcW w:type="dxa" w:w="2850"/>
            <w:tcBorders>
              <w:top w:val="single" w:color="000000" w:sz="4"/>
              <w:left w:val="single" w:color="000000" w:sz="4"/>
              <w:bottom w:val="single" w:color="000000" w:sz="4"/>
              <w:right w:val="single" w:color="000000" w:sz="4"/>
            </w:tcBorders>
            <w:vAlign w:val="top"/>
          </w:tcPr>
          <w:p>
            <w:pPr>
              <w:jc w:val="both"/>
            </w:pPr>
            <w:r>
              <w:rPr>
                <w:sz w:val="24"/>
              </w:rPr>
              <w:t>设备名称</w:t>
            </w:r>
          </w:p>
        </w:tc>
        <w:tc>
          <w:tcPr>
            <w:tcW w:type="dxa" w:w="2505"/>
            <w:tcBorders>
              <w:top w:val="single" w:color="000000" w:sz="4"/>
              <w:left w:val="single" w:color="000000" w:sz="4"/>
              <w:bottom w:val="single" w:color="000000" w:sz="4"/>
              <w:right w:val="single" w:color="000000" w:sz="4"/>
            </w:tcBorders>
            <w:vAlign w:val="top"/>
          </w:tcPr>
          <w:p>
            <w:pPr>
              <w:jc w:val="both"/>
            </w:pPr>
            <w:r>
              <w:rPr>
                <w:sz w:val="24"/>
              </w:rPr>
              <w:t>品牌型号</w:t>
            </w:r>
          </w:p>
        </w:tc>
        <w:tc>
          <w:tcPr>
            <w:tcW w:type="dxa" w:w="2580"/>
            <w:tcBorders>
              <w:top w:val="single" w:color="000000" w:sz="4"/>
              <w:left w:val="single" w:color="000000" w:sz="4"/>
              <w:bottom w:val="single" w:color="000000" w:sz="4"/>
              <w:right w:val="single" w:color="000000" w:sz="4"/>
            </w:tcBorders>
            <w:vAlign w:val="top"/>
          </w:tcPr>
          <w:p>
            <w:pPr>
              <w:jc w:val="both"/>
            </w:pPr>
            <w:r>
              <w:rPr>
                <w:sz w:val="24"/>
              </w:rPr>
              <w:t>序列号</w:t>
            </w:r>
          </w:p>
        </w:tc>
      </w:tr>
      <w:tr>
        <w:tc>
          <w:tcPr>
            <w:tcW w:type="dxa" w:w="2850"/>
            <w:tcBorders>
              <w:top w:val="none" w:color="000000" w:sz="4"/>
              <w:left w:val="single" w:color="000000" w:sz="4"/>
              <w:bottom w:val="single" w:color="000000" w:sz="4"/>
              <w:right w:val="single" w:color="000000" w:sz="4"/>
            </w:tcBorders>
            <w:vAlign w:val="top"/>
          </w:tcPr>
          <w:p>
            <w:pPr>
              <w:jc w:val="both"/>
            </w:pPr>
            <w:r>
              <w:rPr>
                <w:sz w:val="21"/>
              </w:rPr>
              <w:t xml:space="preserve">    </w:t>
            </w:r>
          </w:p>
        </w:tc>
        <w:tc>
          <w:tcPr>
            <w:tcW w:type="dxa" w:w="2505"/>
            <w:tcBorders>
              <w:top w:val="none" w:color="000000" w:sz="4"/>
              <w:left w:val="single" w:color="000000" w:sz="4"/>
              <w:bottom w:val="single" w:color="000000" w:sz="4"/>
              <w:right w:val="single" w:color="000000" w:sz="4"/>
            </w:tcBorders>
            <w:vAlign w:val="top"/>
          </w:tcPr>
          <w:p>
            <w:pPr>
              <w:jc w:val="both"/>
            </w:pPr>
            <w:r>
              <w:rPr>
                <w:sz w:val="21"/>
              </w:rPr>
              <w:t xml:space="preserve">    </w:t>
            </w:r>
          </w:p>
        </w:tc>
        <w:tc>
          <w:tcPr>
            <w:tcW w:type="dxa" w:w="2580"/>
            <w:tcBorders>
              <w:top w:val="none" w:color="000000" w:sz="4"/>
              <w:left w:val="single" w:color="000000" w:sz="4"/>
              <w:bottom w:val="single" w:color="000000" w:sz="4"/>
              <w:right w:val="single" w:color="000000" w:sz="4"/>
            </w:tcBorders>
            <w:vAlign w:val="top"/>
          </w:tcPr>
          <w:p>
            <w:pPr>
              <w:jc w:val="both"/>
            </w:pPr>
            <w:r>
              <w:rPr>
                <w:sz w:val="21"/>
              </w:rPr>
              <w:t xml:space="preserve">     </w:t>
            </w:r>
          </w:p>
        </w:tc>
      </w:tr>
      <w:tr>
        <w:tc>
          <w:tcPr>
            <w:tcW w:type="dxa" w:w="7935"/>
            <w:gridSpan w:val="3"/>
            <w:tcBorders>
              <w:top w:val="none" w:color="000000" w:sz="4"/>
              <w:left w:val="single" w:color="000000" w:sz="4"/>
              <w:bottom w:val="single" w:color="000000" w:sz="4"/>
              <w:right w:val="single" w:color="000000" w:sz="4"/>
            </w:tcBorders>
            <w:vAlign w:val="top"/>
          </w:tcPr>
          <w:p>
            <w:pPr>
              <w:jc w:val="both"/>
            </w:pPr>
            <w:r>
              <w:rPr>
                <w:sz w:val="24"/>
              </w:rPr>
              <w:t>乙方联系人：</w:t>
            </w:r>
            <w:r>
              <w:rPr>
                <w:sz w:val="24"/>
              </w:rPr>
              <w:t xml:space="preserve">                    </w:t>
            </w:r>
            <w:r>
              <w:rPr>
                <w:sz w:val="24"/>
              </w:rPr>
              <w:t>联系方式：</w:t>
            </w:r>
            <w:r>
              <w:rPr>
                <w:sz w:val="24"/>
              </w:rPr>
              <w:t xml:space="preserve">    </w:t>
            </w:r>
          </w:p>
          <w:p>
            <w:pPr>
              <w:jc w:val="both"/>
            </w:pPr>
            <w:r>
              <w:rPr>
                <w:sz w:val="24"/>
              </w:rPr>
              <w:t>服务热线：</w:t>
            </w:r>
            <w:r>
              <w:rPr>
                <w:sz w:val="24"/>
              </w:rPr>
              <w:t xml:space="preserve">             </w:t>
            </w:r>
          </w:p>
        </w:tc>
      </w:tr>
    </w:tbl>
    <w:p>
      <w:pPr>
        <w:jc w:val="both"/>
      </w:pPr>
      <w:r>
        <w:rPr>
          <w:b/>
          <w:sz w:val="24"/>
        </w:rPr>
        <w:t>2、维保具体内容，详见附件一。</w:t>
      </w:r>
    </w:p>
    <w:p>
      <w:pPr>
        <w:jc w:val="both"/>
      </w:pPr>
      <w:r>
        <w:rPr>
          <w:b/>
          <w:sz w:val="24"/>
        </w:rPr>
        <w:t>3、合同总价为：</w:t>
      </w:r>
    </w:p>
    <w:p>
      <w:pPr>
        <w:jc w:val="both"/>
      </w:pPr>
      <w:r>
        <w:rPr>
          <w:sz w:val="24"/>
        </w:rPr>
        <w:t>人民币</w:t>
      </w:r>
      <w:r>
        <w:rPr>
          <w:sz w:val="24"/>
        </w:rPr>
        <w:t>XXX.00元整（大写），即¥XXX.00元。</w:t>
      </w:r>
    </w:p>
    <w:p>
      <w:pPr>
        <w:jc w:val="both"/>
      </w:pPr>
      <w:r>
        <w:rPr>
          <w:sz w:val="24"/>
        </w:rPr>
        <w:t>不含税金额：</w:t>
      </w:r>
      <w:r>
        <w:rPr>
          <w:sz w:val="24"/>
        </w:rPr>
        <w:t>¥XXX.00</w:t>
      </w:r>
      <w:r>
        <w:rPr>
          <w:sz w:val="24"/>
        </w:rPr>
        <w:t>元</w:t>
      </w:r>
      <w:r>
        <w:rPr>
          <w:sz w:val="24"/>
        </w:rPr>
        <w:t xml:space="preserve">       </w:t>
      </w:r>
      <w:r>
        <w:rPr>
          <w:sz w:val="24"/>
        </w:rPr>
        <w:t>税率：</w:t>
      </w:r>
      <w:r>
        <w:rPr>
          <w:sz w:val="24"/>
        </w:rPr>
        <w:t>XX %     税额：¥XXX.00元</w:t>
      </w:r>
    </w:p>
    <w:p>
      <w:pPr>
        <w:jc w:val="both"/>
      </w:pPr>
      <w:r>
        <w:rPr>
          <w:sz w:val="24"/>
        </w:rPr>
        <w:t>价税合计：</w:t>
      </w:r>
      <w:r>
        <w:rPr>
          <w:sz w:val="24"/>
        </w:rPr>
        <w:t>¥XXX.00</w:t>
      </w:r>
      <w:r>
        <w:rPr>
          <w:sz w:val="24"/>
        </w:rPr>
        <w:t>元</w:t>
      </w:r>
      <w:r>
        <w:rPr>
          <w:sz w:val="24"/>
        </w:rPr>
        <w:t>。</w:t>
      </w:r>
    </w:p>
    <w:p>
      <w:pPr>
        <w:jc w:val="both"/>
      </w:pPr>
      <w:r>
        <w:rPr>
          <w:b/>
          <w:sz w:val="24"/>
        </w:rPr>
        <w:t>维保期限</w:t>
      </w:r>
      <w:r>
        <w:rPr>
          <w:sz w:val="24"/>
        </w:rPr>
        <w:t>：自合同生效之日起，至</w:t>
      </w:r>
      <w:r>
        <w:rPr>
          <w:sz w:val="24"/>
        </w:rPr>
        <w:t>X年期满日止。</w:t>
      </w:r>
    </w:p>
    <w:p>
      <w:pPr>
        <w:jc w:val="both"/>
      </w:pPr>
      <w:r>
        <w:rPr>
          <w:sz w:val="24"/>
        </w:rPr>
        <w:t>乙方指定银行转账方式结算，且指定以下账户为收款账户</w:t>
      </w:r>
      <w:r>
        <w:rPr>
          <w:sz w:val="24"/>
        </w:rPr>
        <w:t>：</w:t>
      </w:r>
      <w:r>
        <w:rPr>
          <w:b/>
          <w:sz w:val="24"/>
        </w:rPr>
        <w:t>（备注：银行账号信息必须与结算时的发票一致，请注意填写，填写完后请删除备注）</w:t>
      </w:r>
    </w:p>
    <w:p>
      <w:pPr>
        <w:jc w:val="both"/>
      </w:pPr>
      <w:r>
        <w:rPr>
          <w:sz w:val="24"/>
        </w:rPr>
        <w:t>账户名称：</w:t>
      </w:r>
      <w:r>
        <w:rPr>
          <w:sz w:val="24"/>
        </w:rPr>
        <w:t xml:space="preserve">                       </w:t>
      </w:r>
    </w:p>
    <w:p>
      <w:pPr>
        <w:jc w:val="both"/>
      </w:pPr>
      <w:r>
        <w:rPr>
          <w:sz w:val="24"/>
        </w:rPr>
        <w:t>开户银行：</w:t>
      </w:r>
      <w:r>
        <w:rPr>
          <w:sz w:val="24"/>
        </w:rPr>
        <w:t xml:space="preserve">                       </w:t>
      </w:r>
    </w:p>
    <w:p>
      <w:pPr>
        <w:jc w:val="both"/>
      </w:pPr>
      <w:r>
        <w:rPr>
          <w:sz w:val="24"/>
        </w:rPr>
        <w:t>银行账号：</w:t>
      </w:r>
      <w:r>
        <w:rPr>
          <w:sz w:val="24"/>
        </w:rPr>
        <w:t xml:space="preserve">                       </w:t>
      </w:r>
    </w:p>
    <w:p>
      <w:pPr>
        <w:jc w:val="both"/>
      </w:pPr>
      <w:r>
        <w:rPr>
          <w:b/>
          <w:sz w:val="24"/>
        </w:rPr>
        <w:t>4、付款方式</w:t>
      </w:r>
    </w:p>
    <w:p>
      <w:pPr>
        <w:jc w:val="both"/>
      </w:pPr>
      <w:r>
        <w:rPr>
          <w:sz w:val="24"/>
        </w:rPr>
        <w:t>第一期：在第一年度维保服务期开始且乙方提供相关请款资料</w:t>
      </w:r>
      <w:r>
        <w:rPr>
          <w:sz w:val="24"/>
        </w:rPr>
        <w:t>15日内由甲方向乙方支付第一年度服务费的50%，即：人民币XXX元整元整(大写）（¥XXX.00元）。</w:t>
      </w:r>
    </w:p>
    <w:p>
      <w:pPr>
        <w:jc w:val="both"/>
      </w:pPr>
      <w:r>
        <w:rPr>
          <w:sz w:val="24"/>
        </w:rPr>
        <w:t>第二期：在第一年度维保服务期结束且乙方提供相关请款资料</w:t>
      </w:r>
      <w:r>
        <w:rPr>
          <w:sz w:val="24"/>
        </w:rPr>
        <w:t>15日内由甲方向乙方支付第一年度剩余服务费的50%，即：人民币XXX元整元整(大写）（¥XXX.00元）。</w:t>
      </w:r>
    </w:p>
    <w:p>
      <w:pPr>
        <w:jc w:val="both"/>
      </w:pPr>
      <w:r>
        <w:rPr>
          <w:sz w:val="24"/>
        </w:rPr>
        <w:t>第三期：在第二年度维保服务期结束且乙方提供相关请款资料</w:t>
      </w:r>
      <w:r>
        <w:rPr>
          <w:sz w:val="24"/>
        </w:rPr>
        <w:t>15日内由甲方向乙方支付第二年度服务费的100%，即：人民币XXX元整(大写）（¥XXX.00元）。</w:t>
      </w:r>
    </w:p>
    <w:p>
      <w:pPr>
        <w:jc w:val="both"/>
      </w:pPr>
      <w:r>
        <w:rPr>
          <w:sz w:val="24"/>
        </w:rPr>
        <w:t>第四期：在第三年度服务期结束且乙方提供相关请款资料</w:t>
      </w:r>
      <w:r>
        <w:rPr>
          <w:sz w:val="24"/>
        </w:rPr>
        <w:t>15日内由甲方向乙方支付，支付第三年度服务费100%，即：人民币XXX元整(大写）（¥XXX.00元）。</w:t>
      </w:r>
    </w:p>
    <w:p>
      <w:pPr>
        <w:jc w:val="both"/>
      </w:pPr>
    </w:p>
    <w:p>
      <w:pPr>
        <w:jc w:val="both"/>
      </w:pPr>
      <w:r>
        <w:rPr>
          <w:b/>
          <w:sz w:val="24"/>
        </w:rPr>
        <w:t>5、甲方责任和义务</w:t>
      </w:r>
    </w:p>
    <w:p>
      <w:pPr>
        <w:ind w:firstLine="480"/>
        <w:jc w:val="both"/>
      </w:pPr>
      <w:r>
        <w:rPr>
          <w:sz w:val="24"/>
        </w:rPr>
        <w:t>5.1负责设备的日常管理工作，及时向乙方报告设备故障，描述故障状况。</w:t>
      </w:r>
    </w:p>
    <w:p>
      <w:pPr>
        <w:ind w:firstLine="480"/>
        <w:jc w:val="both"/>
      </w:pPr>
      <w:r>
        <w:rPr>
          <w:sz w:val="24"/>
        </w:rPr>
        <w:t>5.2 给予乙方合理的维保时间以及场地等，以确保设备整体性能的正常和安全。</w:t>
      </w:r>
    </w:p>
    <w:p>
      <w:pPr>
        <w:ind w:firstLine="480"/>
        <w:jc w:val="both"/>
      </w:pPr>
      <w:r>
        <w:rPr>
          <w:sz w:val="24"/>
        </w:rPr>
        <w:t>5.3审批乙方针对设备提交的维保服务计划和标准，对于不合格的计划和标准有权提出整改意见。</w:t>
      </w:r>
    </w:p>
    <w:p>
      <w:pPr>
        <w:ind w:firstLine="480"/>
        <w:jc w:val="both"/>
      </w:pPr>
      <w:r>
        <w:rPr>
          <w:sz w:val="24"/>
        </w:rPr>
        <w:t>5.4 对乙方维保工作进行监督检查，促进乙方改进维保工作，监督设备（系统）的维保质量，解决乙方无法解决的维保与正常工作冲突的矛盾。</w:t>
      </w:r>
    </w:p>
    <w:p>
      <w:pPr>
        <w:jc w:val="both"/>
      </w:pPr>
      <w:r>
        <w:rPr>
          <w:b/>
          <w:sz w:val="24"/>
        </w:rPr>
        <w:t>6、乙方责任和义务</w:t>
      </w:r>
    </w:p>
    <w:p>
      <w:pPr>
        <w:ind w:firstLine="480"/>
        <w:jc w:val="both"/>
      </w:pPr>
      <w:r>
        <w:rPr>
          <w:sz w:val="24"/>
        </w:rPr>
        <w:t>6.1负责保证本合同内的设备处于优良运行状态。</w:t>
      </w:r>
    </w:p>
    <w:p>
      <w:pPr>
        <w:ind w:firstLine="480"/>
        <w:jc w:val="both"/>
      </w:pPr>
      <w:r>
        <w:rPr>
          <w:sz w:val="24"/>
        </w:rPr>
        <w:t>6.2根据项目服务内容制定维保服务计划和标准并及时报请甲方审批。</w:t>
      </w:r>
    </w:p>
    <w:p>
      <w:pPr>
        <w:ind w:firstLine="480"/>
        <w:jc w:val="both"/>
      </w:pPr>
      <w:r>
        <w:rPr>
          <w:sz w:val="24"/>
        </w:rPr>
        <w:t>6.3接受甲方的检查监督工作，积极采纳甲方提出的建议和意见，并及时调整工作方法。</w:t>
      </w:r>
    </w:p>
    <w:p>
      <w:pPr>
        <w:ind w:firstLine="480"/>
        <w:jc w:val="both"/>
      </w:pPr>
      <w:r>
        <w:rPr>
          <w:sz w:val="24"/>
        </w:rPr>
        <w:t>6.4针对设备的使用和日常保养给甲方提供必要的培训。</w:t>
      </w:r>
    </w:p>
    <w:p>
      <w:pPr>
        <w:ind w:firstLine="480"/>
        <w:jc w:val="both"/>
      </w:pPr>
      <w:r>
        <w:rPr>
          <w:sz w:val="24"/>
        </w:rPr>
        <w:t>6.5自行组织维保服务所需的技术人员、零配件、维修工具及检测校准工具等。</w:t>
      </w:r>
    </w:p>
    <w:p>
      <w:pPr>
        <w:ind w:firstLine="480"/>
        <w:jc w:val="both"/>
      </w:pPr>
      <w:r>
        <w:rPr>
          <w:sz w:val="24"/>
        </w:rPr>
        <w:t>6.6服务响应，接到用户报修通知或技术支持要求后在2小时内提供解决方案，技术服务工程师在12小时内到达现场，零配件到现场时间（节假日照常服务，不包括海关延迟时间）在48小时内。</w:t>
      </w:r>
    </w:p>
    <w:p>
      <w:pPr>
        <w:ind w:firstLine="480"/>
        <w:jc w:val="both"/>
      </w:pPr>
      <w:r>
        <w:rPr>
          <w:sz w:val="24"/>
        </w:rPr>
        <w:t>6.7年开机率≥95%（每年以365天计算），若达不到开机率，每超出1天保修顺延7天,年开机率低于90%的，甲方有权终止合同。</w:t>
      </w:r>
    </w:p>
    <w:p>
      <w:pPr>
        <w:ind w:firstLine="480"/>
        <w:jc w:val="both"/>
      </w:pPr>
      <w:r>
        <w:rPr>
          <w:sz w:val="24"/>
        </w:rPr>
        <w:t xml:space="preserve"> </w:t>
      </w:r>
      <w:r>
        <w:rPr>
          <w:sz w:val="24"/>
        </w:rPr>
        <w:t>6.8维保期内，设备性能应不低于原厂QC标准或国家相关行业技术标准中较高者。</w:t>
      </w:r>
    </w:p>
    <w:p>
      <w:pPr>
        <w:jc w:val="both"/>
      </w:pPr>
      <w:r>
        <w:rPr>
          <w:b/>
          <w:sz w:val="24"/>
        </w:rPr>
        <w:t>7、知识产权产权归属</w:t>
      </w:r>
    </w:p>
    <w:p>
      <w:pPr>
        <w:ind w:firstLine="480"/>
        <w:jc w:val="both"/>
      </w:pPr>
      <w:r>
        <w:rPr>
          <w:sz w:val="24"/>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sz w:val="24"/>
        </w:rPr>
        <w:t>8、保密要求</w:t>
      </w:r>
    </w:p>
    <w:p>
      <w:pPr>
        <w:ind w:firstLine="480"/>
        <w:jc w:val="both"/>
      </w:pPr>
      <w:r>
        <w:rPr>
          <w:sz w:val="24"/>
        </w:rPr>
        <w:t>在向甲方提供服务的过程中，乙方可能需要从设备上存取、查看和</w:t>
      </w:r>
      <w:r>
        <w:rPr>
          <w:sz w:val="24"/>
        </w:rPr>
        <w:t>/或下载包含个人数据的计算机文档。个人数据包括可用来直接或间接地识别出个人的个人相关信息。个人数据可能包括个人健康信息（例如影像数据、生理信号数据、环境监测数据等）和非健康信息（例如患者姓名、出生日期、性别等）。乙方对个人数据的使用仅限于履行本服务合同规定的义务所必需的限度内。乙方对本合同的签订、履行及解除等事项保密。</w:t>
      </w:r>
    </w:p>
    <w:p>
      <w:pPr>
        <w:jc w:val="both"/>
      </w:pPr>
      <w:r>
        <w:rPr>
          <w:b/>
          <w:sz w:val="24"/>
        </w:rPr>
        <w:t>9、违约责任与赔偿损失</w:t>
      </w:r>
    </w:p>
    <w:p>
      <w:pPr>
        <w:ind w:firstLine="480"/>
        <w:jc w:val="both"/>
      </w:pPr>
      <w:r>
        <w:rPr>
          <w:sz w:val="24"/>
        </w:rPr>
        <w:t>9.1乙方提供的服务不符合谈判文件、报价书或本合同规定的，甲方有权拒收，并且乙方须向甲方支付本合同总价5%的违约金。</w:t>
      </w:r>
    </w:p>
    <w:p>
      <w:pPr>
        <w:ind w:firstLine="480"/>
        <w:jc w:val="both"/>
      </w:pPr>
      <w:r>
        <w:rPr>
          <w:sz w:val="24"/>
        </w:rPr>
        <w:t>9.2乙方未能按本合同规定的服务时间提供服务，从逾期之日起每日按本合同总价3‰的数额向甲方支付违约金；逾期15天以上（含15天）的，甲方有权终止合同，要求乙方支付违约金，并且给甲方造成的经济损失由乙方承担赔偿责任，赔偿金额不大于合同总金额。</w:t>
      </w:r>
    </w:p>
    <w:p>
      <w:pPr>
        <w:ind w:firstLine="480"/>
        <w:jc w:val="both"/>
      </w:pPr>
      <w:r>
        <w:rPr>
          <w:sz w:val="24"/>
        </w:rPr>
        <w:t>9.3甲方无正当理由拒收接受服务，到期拒付服务款项的，甲方向乙方偿付本合同总价5%的违约金。甲方逾期付款，则每日按本合同总价的3‰向乙方偿付违约金，赔偿金额不大于合同总金额。</w:t>
      </w:r>
    </w:p>
    <w:p>
      <w:pPr>
        <w:ind w:firstLine="480"/>
        <w:jc w:val="both"/>
      </w:pPr>
      <w:r>
        <w:rPr>
          <w:sz w:val="24"/>
        </w:rPr>
        <w:t>9.4其它违约责任按中华人民共和国相关法律法规处理。</w:t>
      </w:r>
    </w:p>
    <w:p>
      <w:pPr>
        <w:jc w:val="both"/>
      </w:pPr>
      <w:r>
        <w:rPr>
          <w:b/>
          <w:sz w:val="24"/>
        </w:rPr>
        <w:t>10、合同变更、转让与终止</w:t>
      </w:r>
    </w:p>
    <w:p>
      <w:pPr>
        <w:ind w:firstLine="480"/>
        <w:jc w:val="both"/>
      </w:pPr>
      <w:r>
        <w:rPr>
          <w:sz w:val="24"/>
        </w:rPr>
        <w:t>10.1本合同生效后，如需对本合同条款做增加、删除、修改等变更，须以补充协议书方式进行。该补充协议书经双方法定代表人或其授权人签字并加盖各自单位公章或合同专用章后方可生效。</w:t>
      </w:r>
    </w:p>
    <w:p>
      <w:pPr>
        <w:ind w:firstLine="480"/>
        <w:jc w:val="both"/>
      </w:pPr>
      <w:r>
        <w:rPr>
          <w:sz w:val="24"/>
        </w:rPr>
        <w:t>10.2合同有效期限届满，该合同自动终止。</w:t>
      </w:r>
    </w:p>
    <w:p>
      <w:pPr>
        <w:ind w:firstLine="480"/>
        <w:jc w:val="both"/>
      </w:pPr>
      <w:r>
        <w:rPr>
          <w:sz w:val="24"/>
        </w:rPr>
        <w:t>10.3如果一方严重违反合同，并在收到对方违约通知书后在30天内仍未能改正，未违约的一方可立即终止本合同。</w:t>
      </w:r>
    </w:p>
    <w:p>
      <w:pPr>
        <w:ind w:firstLine="480"/>
        <w:jc w:val="both"/>
      </w:pPr>
      <w:r>
        <w:rPr>
          <w:sz w:val="24"/>
        </w:rPr>
        <w:t>10.4在保修期间，若设备报废永久停止使用，甲方应至少提前30日以书面形式通知乙方后，本服务合同自动终止，保修费按实际保修天数*合同金额/365结算。</w:t>
      </w:r>
    </w:p>
    <w:p>
      <w:pPr>
        <w:ind w:firstLine="480"/>
        <w:jc w:val="both"/>
      </w:pPr>
      <w:r>
        <w:rPr>
          <w:sz w:val="24"/>
        </w:rPr>
        <w:t>10.5合同有效期内，在必要情况下为了合同项目的顺利实施， 乙方在征得甲方同意后可将合同的部分或全部转让给其他关联公司或特约保养维护公司，但乙方应保证此转让以不损害甲方利益为前提且乙方需保证转让后的履行应符合合同约定的所有质量标准。</w:t>
      </w:r>
    </w:p>
    <w:p>
      <w:pPr>
        <w:jc w:val="both"/>
      </w:pPr>
      <w:r>
        <w:rPr>
          <w:b/>
          <w:sz w:val="24"/>
        </w:rPr>
        <w:t>11、争端的解决</w:t>
      </w:r>
    </w:p>
    <w:p>
      <w:pPr>
        <w:ind w:firstLine="480"/>
        <w:jc w:val="both"/>
      </w:pPr>
      <w:r>
        <w:rPr>
          <w:sz w:val="24"/>
        </w:rPr>
        <w:t>合同执行过程中发生的任何争议，如双方不能通过友好协商解决，甲、乙双方一致同意向甲方所在地人民法院提起诉讼。</w:t>
      </w:r>
    </w:p>
    <w:p>
      <w:pPr>
        <w:jc w:val="both"/>
      </w:pPr>
      <w:r>
        <w:rPr>
          <w:b/>
          <w:sz w:val="24"/>
        </w:rPr>
        <w:t>12、不可抗力</w:t>
      </w:r>
    </w:p>
    <w:p>
      <w:pPr>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13、其它</w:t>
      </w:r>
    </w:p>
    <w:p>
      <w:pPr>
        <w:ind w:firstLine="480"/>
        <w:jc w:val="both"/>
      </w:pPr>
      <w:r>
        <w:rPr>
          <w:sz w:val="24"/>
        </w:rPr>
        <w:t>13.1本合同所有附件、谈判文件、报价书、中标通知书均为合同的有效组成部分，与本合同具有同等法律效力。</w:t>
      </w:r>
    </w:p>
    <w:p>
      <w:pPr>
        <w:ind w:firstLine="480"/>
        <w:jc w:val="both"/>
      </w:pPr>
      <w:r>
        <w:rPr>
          <w:sz w:val="24"/>
        </w:rPr>
        <w:t>13.2在执行本合同的过程中，所有经双方签署确认的文件（包括报价文件、会议纪要、补充协议、往来信函、招投标文件）即成为本合同的有效组成部分。</w:t>
      </w:r>
    </w:p>
    <w:p>
      <w:pPr>
        <w:ind w:firstLine="480"/>
        <w:jc w:val="both"/>
      </w:pPr>
      <w:r>
        <w:rPr>
          <w:sz w:val="24"/>
        </w:rPr>
        <w:t>13.3如一方地址、电话、传真号码有变更，应在变更当日内书面通知对方，否则，应承担相应责任。</w:t>
      </w:r>
    </w:p>
    <w:p>
      <w:pPr>
        <w:ind w:firstLine="480"/>
        <w:jc w:val="both"/>
      </w:pPr>
      <w:r>
        <w:rPr>
          <w:sz w:val="24"/>
        </w:rPr>
        <w:t>13.4除甲方事先书面同意外，乙方不得部分或全部转让其应履行的合同项下的义务。</w:t>
      </w:r>
    </w:p>
    <w:p>
      <w:pPr>
        <w:jc w:val="both"/>
      </w:pPr>
      <w:r>
        <w:rPr>
          <w:b/>
          <w:sz w:val="24"/>
        </w:rPr>
        <w:t>14、合同生效</w:t>
      </w:r>
    </w:p>
    <w:p>
      <w:pPr>
        <w:ind w:firstLine="480"/>
        <w:jc w:val="both"/>
      </w:pPr>
      <w:r>
        <w:rPr>
          <w:sz w:val="24"/>
        </w:rPr>
        <w:t>合同自甲乙双方法人代表或其授权代表签字盖章之日起生效。合同一式</w:t>
      </w:r>
      <w:r>
        <w:rPr>
          <w:sz w:val="24"/>
          <w:u w:val="single"/>
        </w:rPr>
        <w:t xml:space="preserve"> </w:t>
      </w:r>
      <w:r>
        <w:rPr>
          <w:sz w:val="24"/>
          <w:u w:val="single"/>
        </w:rPr>
        <w:t>陆</w:t>
      </w:r>
      <w:r>
        <w:rPr>
          <w:sz w:val="24"/>
        </w:rPr>
        <w:t>份，其中甲方各执</w:t>
      </w:r>
      <w:r>
        <w:rPr>
          <w:sz w:val="24"/>
          <w:u w:val="single"/>
        </w:rPr>
        <w:t xml:space="preserve"> </w:t>
      </w:r>
      <w:r>
        <w:rPr>
          <w:sz w:val="24"/>
          <w:u w:val="single"/>
        </w:rPr>
        <w:t>肆</w:t>
      </w:r>
      <w:r>
        <w:rPr>
          <w:sz w:val="24"/>
        </w:rPr>
        <w:t>份，乙方</w:t>
      </w:r>
      <w:r>
        <w:rPr>
          <w:sz w:val="24"/>
          <w:u w:val="single"/>
        </w:rPr>
        <w:t xml:space="preserve"> </w:t>
      </w:r>
      <w:r>
        <w:rPr>
          <w:sz w:val="24"/>
          <w:u w:val="single"/>
        </w:rPr>
        <w:t>贰</w:t>
      </w:r>
      <w:r>
        <w:rPr>
          <w:sz w:val="24"/>
        </w:rPr>
        <w:t>份，具有同等法律效力。</w:t>
      </w:r>
    </w:p>
    <w:p>
      <w:pPr>
        <w:jc w:val="both"/>
      </w:pPr>
      <w:r>
        <w:rPr>
          <w:b/>
          <w:sz w:val="24"/>
        </w:rPr>
        <w:t>（以下无正文）</w:t>
      </w:r>
    </w:p>
    <w:p>
      <w:pPr>
        <w:jc w:val="center"/>
      </w:pPr>
    </w:p>
    <w:p>
      <w:pPr>
        <w:jc w:val="both"/>
      </w:pPr>
    </w:p>
    <w:p>
      <w:pPr>
        <w:jc w:val="center"/>
      </w:pPr>
    </w:p>
    <w:p>
      <w:pPr>
        <w:jc w:val="both"/>
      </w:pPr>
      <w:r>
        <w:rPr>
          <w:b/>
          <w:sz w:val="24"/>
        </w:rPr>
        <w:t>甲方（公章）：中山大学附属第六医院</w:t>
      </w:r>
      <w:r>
        <w:rPr>
          <w:b/>
          <w:sz w:val="24"/>
        </w:rPr>
        <w:t xml:space="preserve">      </w:t>
      </w:r>
      <w:r>
        <w:rPr>
          <w:b/>
          <w:sz w:val="24"/>
        </w:rPr>
        <w:t>乙方（公章）：</w:t>
      </w:r>
      <w:r>
        <w:rPr>
          <w:b/>
          <w:sz w:val="24"/>
        </w:rPr>
        <w:t xml:space="preserve">       </w:t>
      </w:r>
    </w:p>
    <w:p>
      <w:pPr>
        <w:jc w:val="both"/>
      </w:pPr>
      <w:r>
        <w:rPr>
          <w:b/>
          <w:sz w:val="24"/>
        </w:rPr>
        <w:t>签约代表</w:t>
      </w:r>
      <w:r>
        <w:rPr>
          <w:b/>
          <w:sz w:val="24"/>
        </w:rPr>
        <w:t>：</w:t>
      </w:r>
      <w:r>
        <w:rPr>
          <w:b/>
          <w:sz w:val="24"/>
        </w:rPr>
        <w:t xml:space="preserve">                            </w:t>
      </w:r>
      <w:r>
        <w:rPr>
          <w:b/>
          <w:sz w:val="24"/>
        </w:rPr>
        <w:t>签约代表：</w:t>
      </w:r>
      <w:r>
        <w:rPr>
          <w:b/>
          <w:sz w:val="24"/>
        </w:rPr>
        <w:t xml:space="preserve">       </w:t>
      </w:r>
    </w:p>
    <w:p>
      <w:pPr>
        <w:jc w:val="both"/>
      </w:pPr>
      <w:r>
        <w:rPr>
          <w:b/>
          <w:sz w:val="24"/>
        </w:rPr>
        <w:t>地址：广州市天河区员村二横路</w:t>
      </w:r>
      <w:r>
        <w:rPr>
          <w:b/>
          <w:sz w:val="24"/>
        </w:rPr>
        <w:t xml:space="preserve">26号       地址：           </w:t>
      </w:r>
    </w:p>
    <w:p>
      <w:pPr>
        <w:jc w:val="both"/>
      </w:pPr>
      <w:r>
        <w:rPr>
          <w:b/>
          <w:sz w:val="24"/>
        </w:rPr>
        <w:t>签约日期：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r>
        <w:rPr>
          <w:b/>
          <w:sz w:val="24"/>
        </w:rPr>
        <w:t xml:space="preserve">           </w:t>
      </w:r>
      <w:r>
        <w:rPr>
          <w:b/>
          <w:sz w:val="24"/>
        </w:rPr>
        <w:t>签约日期：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r>
        <w:rPr>
          <w:b/>
          <w:sz w:val="24"/>
        </w:rPr>
        <w:t xml:space="preserve">  </w:t>
      </w:r>
    </w:p>
    <w:p>
      <w:pPr>
        <w:jc w:val="left"/>
      </w:pPr>
    </w:p>
    <w:p/>
    <w:p>
      <w:r>
        <w:rPr/>
        <w:t xml:space="preserve"> </w:t>
      </w:r>
    </w:p>
    <w:p>
      <w:pPr>
        <w:ind w:firstLine="480"/>
        <w:jc w:val="both"/>
      </w:pPr>
      <w:r>
        <w:rPr>
          <w:sz w:val="24"/>
        </w:rPr>
        <w:t>附件一：服务内容（对应维保参数内的服务要求）</w:t>
      </w: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jc w:val="left"/>
      </w:pPr>
    </w:p>
    <w:p/>
    <w:p>
      <w:r>
        <w:rPr/>
        <w:t xml:space="preserve"> </w:t>
      </w:r>
    </w:p>
    <w:p>
      <w:pPr>
        <w:ind w:firstLine="482"/>
        <w:jc w:val="center"/>
      </w:pPr>
      <w:r>
        <w:rPr>
          <w:b/>
          <w:sz w:val="24"/>
        </w:rPr>
        <w:t>廉</w:t>
      </w:r>
      <w:r>
        <w:rPr>
          <w:b/>
          <w:sz w:val="24"/>
        </w:rPr>
        <w:t>洁</w:t>
      </w:r>
      <w:r>
        <w:rPr>
          <w:b/>
          <w:sz w:val="24"/>
        </w:rPr>
        <w:t>协</w:t>
      </w:r>
      <w:r>
        <w:rPr>
          <w:b/>
          <w:sz w:val="24"/>
        </w:rPr>
        <w:t>议</w:t>
      </w:r>
      <w:r>
        <w:rPr>
          <w:b/>
          <w:sz w:val="24"/>
        </w:rPr>
        <w:t>书</w:t>
      </w:r>
    </w:p>
    <w:p>
      <w:pPr>
        <w:ind w:firstLine="241"/>
        <w:jc w:val="center"/>
      </w:pPr>
    </w:p>
    <w:p>
      <w:pPr>
        <w:ind w:firstLine="480"/>
        <w:jc w:val="both"/>
      </w:pPr>
      <w:r>
        <w:rPr>
          <w:sz w:val="24"/>
        </w:rPr>
        <w:t>甲方：中山大学附属第六医院</w:t>
      </w:r>
      <w:r>
        <w:rPr>
          <w:sz w:val="24"/>
        </w:rPr>
        <w:t xml:space="preserve">      </w:t>
      </w:r>
    </w:p>
    <w:p>
      <w:pPr>
        <w:ind w:firstLine="480"/>
        <w:jc w:val="both"/>
      </w:pPr>
      <w:r>
        <w:rPr>
          <w:sz w:val="24"/>
        </w:rPr>
        <w:t>乙方：</w:t>
      </w:r>
      <w:r>
        <w:rPr>
          <w:sz w:val="24"/>
        </w:rPr>
        <w:t xml:space="preserve">                 </w:t>
      </w:r>
    </w:p>
    <w:p>
      <w:pPr>
        <w:ind w:firstLine="241"/>
        <w:jc w:val="both"/>
      </w:pPr>
    </w:p>
    <w:p>
      <w:pPr>
        <w:ind w:firstLine="480"/>
        <w:jc w:val="both"/>
      </w:pPr>
      <w:r>
        <w:rPr>
          <w:sz w:val="24"/>
        </w:rPr>
        <w:t>为进一步推进党风廉政建设和纠风工作，建立健全治理商业贿赂及创建廉洁诚信医院长效机制，现经双方协商同意签订廉洁协议书如下：</w:t>
      </w:r>
    </w:p>
    <w:p>
      <w:pPr>
        <w:ind w:firstLine="480"/>
        <w:jc w:val="both"/>
      </w:pPr>
      <w:r>
        <w:rPr>
          <w:sz w:val="24"/>
        </w:rPr>
        <w:t>一、双方必须遵纪守法，严格执行上级纠正医药购销和医疗服务中不正之风和治理商业贿赂的有关文件精神，坚持</w:t>
      </w:r>
      <w:r>
        <w:rPr>
          <w:sz w:val="24"/>
        </w:rPr>
        <w:t>“标本兼治、综合治理、惩防并举”的原则，深化源头治理。双方应严格执行廉洁管理规定，严格执行有关管理规定。</w:t>
      </w:r>
    </w:p>
    <w:p>
      <w:pPr>
        <w:ind w:firstLine="480"/>
        <w:jc w:val="both"/>
      </w:pPr>
      <w:r>
        <w:rPr>
          <w:sz w:val="24"/>
        </w:rPr>
        <w:t>二、乙方不得派代表到医院，以借名科研费、开发费、宣传费、推销费等形式推销药品、医疗设备、医用耗材等产品，对医院领导及相关人员、医务人员发放、回、扣 、等商业贿赂不正当行为的，一经发现，中止合同和其他一切业务。</w:t>
      </w:r>
    </w:p>
    <w:p>
      <w:pPr>
        <w:ind w:firstLine="480"/>
        <w:jc w:val="both"/>
      </w:pPr>
      <w:r>
        <w:rPr>
          <w:sz w:val="24"/>
        </w:rPr>
        <w:t>三、医院医务人员不得替乙方非法从事销售业务，一经发现按商业贿赂行为严肃处理。</w:t>
      </w:r>
    </w:p>
    <w:p>
      <w:pPr>
        <w:ind w:firstLine="480"/>
        <w:jc w:val="both"/>
      </w:pPr>
      <w:r>
        <w:rPr>
          <w:sz w:val="24"/>
        </w:rPr>
        <w:t>四、双方共同承诺坚决遵守不行贿、不受贿，做到廉洁自律，如出现有违法违纪行为，一经查实，依法依规处理。</w:t>
      </w:r>
    </w:p>
    <w:p>
      <w:pPr>
        <w:ind w:firstLine="480"/>
        <w:jc w:val="both"/>
      </w:pPr>
      <w:r>
        <w:rPr>
          <w:sz w:val="24"/>
        </w:rPr>
        <w:t>本协议书自双方签字之日起生效。</w:t>
      </w:r>
    </w:p>
    <w:p>
      <w:pPr>
        <w:ind w:firstLine="240"/>
        <w:jc w:val="both"/>
      </w:pPr>
    </w:p>
    <w:p>
      <w:pPr>
        <w:jc w:val="left"/>
      </w:pPr>
      <w:r>
        <w:rPr>
          <w:sz w:val="24"/>
        </w:rPr>
        <w:t>甲方单位（盖章）：中山大学附属第六医院</w:t>
      </w:r>
      <w:r>
        <w:rPr>
          <w:sz w:val="24"/>
        </w:rPr>
        <w:t xml:space="preserve">   </w:t>
      </w:r>
      <w:r>
        <w:rPr>
          <w:sz w:val="24"/>
        </w:rPr>
        <w:t>乙方单位（盖章）：</w:t>
      </w:r>
      <w:r>
        <w:rPr>
          <w:sz w:val="24"/>
        </w:rPr>
        <w:t xml:space="preserve">               </w:t>
      </w:r>
    </w:p>
    <w:p>
      <w:pPr>
        <w:jc w:val="left"/>
      </w:pPr>
      <w:r>
        <w:rPr>
          <w:sz w:val="24"/>
        </w:rPr>
        <w:t>代表人签字</w:t>
      </w:r>
      <w:r>
        <w:rPr>
          <w:sz w:val="24"/>
        </w:rPr>
        <w:t>：</w:t>
      </w:r>
      <w:r>
        <w:rPr>
          <w:sz w:val="24"/>
        </w:rPr>
        <w:t xml:space="preserve">                           </w:t>
      </w:r>
      <w:r>
        <w:rPr>
          <w:sz w:val="24"/>
        </w:rPr>
        <w:t>代表人签字</w:t>
      </w:r>
      <w:r>
        <w:rPr>
          <w:sz w:val="24"/>
        </w:rPr>
        <w:t>：</w:t>
      </w:r>
      <w:r>
        <w:rPr>
          <w:sz w:val="24"/>
        </w:rPr>
        <w:t xml:space="preserve">   </w:t>
      </w:r>
    </w:p>
    <w:p>
      <w:pPr>
        <w:ind w:firstLine="2160"/>
        <w:jc w:val="left"/>
      </w:pP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年</w:t>
      </w:r>
      <w:r>
        <w:rPr>
          <w:sz w:val="24"/>
        </w:rPr>
        <w:t xml:space="preserve">  </w:t>
      </w:r>
      <w:r>
        <w:rPr>
          <w:sz w:val="24"/>
        </w:rPr>
        <w:t>月</w:t>
      </w:r>
      <w:r>
        <w:rPr>
          <w:sz w:val="24"/>
        </w:rPr>
        <w:t xml:space="preserve">  </w:t>
      </w:r>
      <w:r>
        <w:rPr>
          <w:sz w:val="24"/>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440001-2023-07940</w:t>
      </w:r>
    </w:p>
    <w:p>
      <w:pPr>
        <w:jc w:val="center"/>
      </w:pPr>
      <w:r>
        <w:rPr>
          <w:b/>
          <w:sz w:val="24"/>
        </w:rPr>
        <w:t>采购项目编号：</w:t>
      </w:r>
      <w:r>
        <w:rPr>
          <w:b/>
          <w:sz w:val="24"/>
        </w:rPr>
        <w:t>0809--2341GDG31009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中山大学附属第六医院医疗设备维保服务招标项目</w:t>
      </w:r>
      <w:r>
        <w:rPr>
          <w:u w:val="single"/>
        </w:rPr>
        <w:t>”</w:t>
      </w:r>
      <w:r>
        <w:rPr/>
        <w:t>项目的招标[采购项目编号为：</w:t>
      </w:r>
      <w:r>
        <w:rPr>
          <w:u w:val="single"/>
        </w:rPr>
        <w:t>0809--2341GDG31009</w:t>
      </w:r>
      <w:r>
        <w:rPr/>
        <w:t>]，我方愿参与投标。</w:t>
      </w:r>
    </w:p>
    <w:p>
      <w:pPr>
        <w:ind w:firstLine="480"/>
      </w:pPr>
      <w:r>
        <w:rPr/>
        <w:t>我方确认收到贵方提供的</w:t>
      </w:r>
      <w:r>
        <w:rPr>
          <w:u w:val="single"/>
        </w:rPr>
        <w:t>“</w:t>
      </w:r>
      <w:r>
        <w:rPr>
          <w:u w:val="single"/>
        </w:rPr>
        <w:t>中山大学附属第六医院医疗设备维保服务招标项目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中山大学附属第六医院医疗设备维保服务招标项目</w:t>
      </w:r>
      <w:r>
        <w:rPr/>
        <w:t>”项目采购[采购项目编号为</w:t>
      </w:r>
      <w:r>
        <w:rPr/>
        <w:t>0809--2341GDG31009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中山大学附属第六医院医疗设备维保服务招标项目</w:t>
      </w:r>
      <w:r>
        <w:rPr/>
        <w:t>招标中获中标（采购项目编号：</w:t>
      </w:r>
      <w:r>
        <w:rPr/>
        <w:t>0809--2341GDG31009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中山大学附属第六医院医疗设备维保服务招标项目</w:t>
      </w:r>
      <w:r>
        <w:rPr/>
        <w:t>”项目（采购项目编号：</w:t>
      </w:r>
      <w:r>
        <w:rPr/>
        <w:t>0809--2341GDG31009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