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442000-2023-00803</w:t>
      </w:r>
    </w:p>
    <w:p>
      <w:pPr>
        <w:jc w:val="center"/>
      </w:pPr>
      <w:r>
        <w:rPr>
          <w:b/>
          <w:sz w:val="24"/>
        </w:rPr>
        <w:t>采购项目编号：</w:t>
      </w:r>
      <w:r>
        <w:rPr>
          <w:b/>
          <w:sz w:val="24"/>
        </w:rPr>
        <w:t>0692-239BZST40034</w:t>
      </w:r>
    </w:p>
    <w:p>
      <w:pPr>
        <w:jc w:val="center"/>
      </w:pPr>
      <w:r>
        <w:rPr>
          <w:b/>
          <w:sz w:val="24"/>
        </w:rPr>
        <w:t>项目名称：</w:t>
      </w:r>
      <w:r>
        <w:rPr>
          <w:b/>
          <w:sz w:val="24"/>
        </w:rPr>
        <w:t>中山市人民医院制剂用药用辅料蔗糖配送服务</w:t>
      </w:r>
    </w:p>
    <w:p>
      <w:pPr>
        <w:jc w:val="center"/>
      </w:pPr>
      <w:r>
        <w:rPr>
          <w:b/>
          <w:sz w:val="24"/>
        </w:rPr>
        <w:t>采购人：</w:t>
      </w:r>
      <w:r>
        <w:rPr>
          <w:b/>
          <w:sz w:val="24"/>
        </w:rPr>
        <w:t>中山市人民医院</w:t>
      </w:r>
    </w:p>
    <w:p>
      <w:pPr>
        <w:jc w:val="center"/>
      </w:pPr>
      <w:r>
        <w:rPr>
          <w:b/>
          <w:sz w:val="24"/>
        </w:rPr>
        <w:t>采购代理机构：</w:t>
      </w:r>
      <w:r>
        <w:rPr>
          <w:b/>
          <w:sz w:val="24"/>
        </w:rPr>
        <w:t>广东省机电设备招标中心有限公司中山分公司</w:t>
      </w:r>
    </w:p>
    <w:p>
      <w:pPr>
        <w:ind w:firstLine="480"/>
      </w:pPr>
    </w:p>
    <w:p>
      <w:r>
        <w:rPr/>
        <w:t xml:space="preserve"> </w:t>
      </w:r>
    </w:p>
    <w:p/>
    <w:p>
      <w:pPr>
        <w:jc w:val="center"/>
      </w:pPr>
      <w:r>
        <w:rPr>
          <w:b/>
          <w:sz w:val="36"/>
        </w:rPr>
        <w:t>第一章投标邀请</w:t>
      </w:r>
    </w:p>
    <w:p>
      <w:pPr>
        <w:ind w:firstLine="480"/>
      </w:pPr>
      <w:r>
        <w:rPr/>
        <w:t>广东省机电设备招标中心有限公司中山分公司</w:t>
      </w:r>
      <w:r>
        <w:rPr/>
        <w:t>受</w:t>
      </w:r>
      <w:r>
        <w:rPr/>
        <w:t>中山市人民医院</w:t>
      </w:r>
      <w:r>
        <w:rPr/>
        <w:t>的委托，采用</w:t>
      </w:r>
      <w:r>
        <w:rPr/>
        <w:t>公开招标</w:t>
      </w:r>
      <w:r>
        <w:rPr/>
        <w:t>方式组织采购</w:t>
      </w:r>
      <w:r>
        <w:rPr/>
        <w:t>中山市人民医院制剂用药用辅料蔗糖配送服务</w:t>
      </w:r>
      <w:r>
        <w:rPr/>
        <w:t>。欢迎符合资格条件的国内供应商参加投标。</w:t>
      </w:r>
    </w:p>
    <w:p>
      <w:r>
        <w:rPr>
          <w:b/>
          <w:sz w:val="28"/>
        </w:rPr>
        <w:t>一.项目概述</w:t>
      </w:r>
    </w:p>
    <w:p>
      <w:r>
        <w:rPr>
          <w:b/>
          <w:sz w:val="24"/>
        </w:rPr>
        <w:t>1.名称与编号</w:t>
      </w:r>
    </w:p>
    <w:p>
      <w:pPr>
        <w:ind w:firstLine="480"/>
      </w:pPr>
      <w:r>
        <w:rPr/>
        <w:t>项目名称：</w:t>
      </w:r>
      <w:r>
        <w:rPr/>
        <w:t>中山市人民医院制剂用药用辅料蔗糖配送服务</w:t>
      </w:r>
    </w:p>
    <w:p>
      <w:pPr>
        <w:ind w:firstLine="480"/>
      </w:pPr>
      <w:r>
        <w:rPr/>
        <w:t>采购计划编号：</w:t>
      </w:r>
      <w:r>
        <w:rPr/>
        <w:t>442000-2023-00803</w:t>
      </w:r>
    </w:p>
    <w:p>
      <w:pPr>
        <w:ind w:firstLine="480"/>
      </w:pPr>
      <w:r>
        <w:rPr/>
        <w:t>采购项目编号：</w:t>
      </w:r>
      <w:r>
        <w:rPr/>
        <w:t>0692-239BZST40034</w:t>
      </w:r>
    </w:p>
    <w:p>
      <w:pPr>
        <w:ind w:firstLine="480"/>
      </w:pPr>
      <w:r>
        <w:rPr/>
        <w:t>采购方式：</w:t>
      </w:r>
      <w:r>
        <w:rPr/>
        <w:t>公开招标</w:t>
      </w:r>
    </w:p>
    <w:p>
      <w:pPr>
        <w:ind w:firstLine="480"/>
      </w:pPr>
      <w:r>
        <w:rPr/>
        <w:t>预算金额：</w:t>
      </w:r>
      <w:r>
        <w:rPr/>
        <w:t>9,000,000.00</w:t>
      </w:r>
      <w:r>
        <w:rPr/>
        <w:t>元</w:t>
      </w:r>
    </w:p>
    <w:p>
      <w:r>
        <w:rPr>
          <w:b/>
          <w:sz w:val="24"/>
        </w:rPr>
        <w:t>2.项目内容及需求情况（采购项目技术规格、参数及要求）</w:t>
      </w:r>
    </w:p>
    <w:p>
      <w:pPr>
        <w:ind w:firstLine="480"/>
      </w:pPr>
    </w:p>
    <w:p/>
    <w:p>
      <w:r>
        <w:rPr/>
        <w:t>采购包1(蔗糖采购):</w:t>
      </w:r>
    </w:p>
    <w:p>
      <w:r>
        <w:rPr/>
        <w:t>采购包预算金额：9,000,000.00元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其他制剂用辅料及附加剂</w:t>
            </w:r>
          </w:p>
        </w:tc>
        <w:tc>
          <w:tcPr>
            <w:tcW w:type="dxa" w:w="2052"/>
          </w:tcPr>
          <w:p>
            <w:r>
              <w:rPr/>
              <w:t>蔗糖</w:t>
            </w:r>
          </w:p>
        </w:tc>
        <w:tc>
          <w:tcPr>
            <w:tcW w:type="dxa" w:w="977"/>
          </w:tcPr>
          <w:p>
            <w:r>
              <w:rPr/>
              <w:t>1.0000(项)</w:t>
            </w:r>
          </w:p>
        </w:tc>
        <w:tc>
          <w:tcPr>
            <w:tcW w:type="dxa" w:w="977"/>
          </w:tcPr>
          <w:p>
            <w:r>
              <w:rPr/>
              <w:t>详见第二章</w:t>
            </w:r>
          </w:p>
        </w:tc>
        <w:tc>
          <w:tcPr>
            <w:tcW w:type="dxa" w:w="977"/>
          </w:tcPr>
          <w:p>
            <w:r>
              <w:rPr/>
              <w:t>9,000,000.00</w:t>
            </w:r>
          </w:p>
        </w:tc>
        <w:tc>
          <w:tcPr>
            <w:tcW w:type="dxa" w:w="977"/>
          </w:tcPr>
          <w:p>
            <w:r>
              <w:rPr/>
              <w:t>否</w:t>
            </w:r>
          </w:p>
        </w:tc>
      </w:tr>
    </w:tbl>
    <w:p/>
    <w:p>
      <w:r>
        <w:rPr/>
        <w:t>本采购包不接受联合体投标</w:t>
      </w:r>
    </w:p>
    <w:p/>
    <w:p>
      <w:r>
        <w:rPr/>
        <w:t>合同履行期限：三年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采购包1（蔗糖采购）：</w:t>
      </w:r>
      <w:r>
        <w:rPr/>
        <w:t>本项目不属于专门面向中小企业采购的项目。采购标的对应的中小企业划分标准所属行业为工业。</w:t>
      </w:r>
    </w:p>
    <w:p/>
    <w:p>
      <w:r>
        <w:rPr>
          <w:b/>
          <w:sz w:val="24"/>
        </w:rPr>
        <w:t>3.本项目特定的资格要求：</w:t>
      </w:r>
    </w:p>
    <w:p>
      <w:pPr>
        <w:ind w:firstLine="480"/>
      </w:pPr>
    </w:p>
    <w:p/>
    <w:p>
      <w:r>
        <w:rPr/>
        <w:t>采购包1（蔗糖采购）：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3)投标人为生产企业的，须具备药监部门颁发的《药品生产许可证》；投标人为经营企业的，须提供所投货物的生产企业具备药监部门颁发的《药品生产许可证》；以上证书须在有效期内，提供证书复印件。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广东省机电设备招标中心有限公司网（http://www.gdebidding.com）、中山市政府采购网（http://120.234.108.5:8088/zfcg/）</w:t>
      </w:r>
    </w:p>
    <w:p>
      <w:r>
        <w:rPr>
          <w:b/>
          <w:sz w:val="28"/>
        </w:rPr>
        <w:t>六.本项目联系方式：</w:t>
      </w:r>
    </w:p>
    <w:p>
      <w:r>
        <w:rPr>
          <w:b/>
          <w:sz w:val="24"/>
        </w:rPr>
        <w:t>1.采购人信息</w:t>
      </w:r>
    </w:p>
    <w:p>
      <w:pPr>
        <w:ind w:firstLine="480"/>
      </w:pPr>
      <w:r>
        <w:rPr/>
        <w:t>名称：</w:t>
      </w:r>
      <w:r>
        <w:rPr/>
        <w:t>中山市人民医院</w:t>
      </w:r>
    </w:p>
    <w:p>
      <w:pPr>
        <w:ind w:firstLine="480"/>
      </w:pPr>
      <w:r>
        <w:rPr/>
        <w:t>地址：</w:t>
      </w:r>
      <w:r>
        <w:rPr/>
        <w:t>孙文东路2号</w:t>
      </w:r>
    </w:p>
    <w:p>
      <w:pPr>
        <w:ind w:firstLine="480"/>
      </w:pPr>
      <w:r>
        <w:rPr/>
        <w:t>联系方式：</w:t>
      </w:r>
      <w:r>
        <w:rPr/>
        <w:t>0760-88824241</w:t>
      </w:r>
    </w:p>
    <w:p>
      <w:r>
        <w:rPr>
          <w:b/>
          <w:sz w:val="24"/>
        </w:rPr>
        <w:t>2.采购代理机构信息</w:t>
      </w:r>
    </w:p>
    <w:p>
      <w:pPr>
        <w:ind w:firstLine="480"/>
      </w:pPr>
      <w:r>
        <w:rPr/>
        <w:t>名称：</w:t>
      </w:r>
      <w:r>
        <w:rPr/>
        <w:t>广东省机电设备招标中心有限公司中山分公司</w:t>
      </w:r>
    </w:p>
    <w:p>
      <w:pPr>
        <w:ind w:firstLine="480"/>
      </w:pPr>
      <w:r>
        <w:rPr/>
        <w:t>地址：</w:t>
      </w:r>
      <w:r>
        <w:rPr/>
        <w:t>广东省中山市东区街道中山四路华凯商务大厦213号、215号、216号</w:t>
      </w:r>
    </w:p>
    <w:p>
      <w:pPr>
        <w:ind w:firstLine="480"/>
      </w:pPr>
      <w:r>
        <w:rPr/>
        <w:t>联系方式：</w:t>
      </w:r>
      <w:r>
        <w:rPr/>
        <w:t>0760-88361935</w:t>
      </w:r>
    </w:p>
    <w:p>
      <w:r>
        <w:rPr>
          <w:b/>
          <w:sz w:val="24"/>
        </w:rPr>
        <w:t>3.项目联系方式</w:t>
      </w:r>
    </w:p>
    <w:p>
      <w:pPr>
        <w:ind w:firstLine="480"/>
      </w:pPr>
      <w:r>
        <w:rPr/>
        <w:t>项目联系人：</w:t>
      </w:r>
      <w:r>
        <w:rPr/>
        <w:t>刘凯珊</w:t>
      </w:r>
    </w:p>
    <w:p>
      <w:pPr>
        <w:ind w:firstLine="480"/>
      </w:pPr>
      <w:r>
        <w:rPr/>
        <w:t>电话：</w:t>
      </w:r>
      <w:r>
        <w:rPr/>
        <w:t>0760-88361935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广东省机电设备招标中心有限公司中山分公司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投标人供货年限：合同签订之日起3年【自合同签订之日起计算，本项目非一次性供货项目，投标人应按照医院每月的采购需求数量，做到分批分次不定时送货，最终采购数量以实际为准，采购人对最终采购数量及金额等均不作任何保证或承诺。服务期限结束或采购累计金额达到本项目采购预算，采购终止（按先达到的为准）】。供货期间如遇国家或上级部门重大政策调整影响，应遵守国家或上级部门的规定，无条件终止合同并执行相关政策文件，双方均不负赔偿责任。</w:t>
      </w:r>
    </w:p>
    <w:p>
      <w:pPr>
        <w:jc w:val="both"/>
      </w:pPr>
      <w:r>
        <w:rPr>
          <w:sz w:val="21"/>
        </w:rPr>
        <w:t>2、本项目的核心产品为：药用辅料蔗糖，核心产品提供相同品牌产品且通过资格审查、符合性审查的不同投标人参加同一合同项下投标的，按一家投标人计算，评审后得分最高的同品牌投标人获得中标人推荐资格；评审得分相同的，评标委员会确定投标价格较低的投标人获得中标人推荐资格；评审得分和投标价格均相同的，评标委员会采取随机抽取方式确定获得中标人推荐资格的投标人；其他同品牌投标人不作为中标候选人。参与投标的核心产品的品牌少于3个的，采购项目作废标处理。</w:t>
      </w:r>
    </w:p>
    <w:p>
      <w:pPr>
        <w:jc w:val="both"/>
      </w:pPr>
    </w:p>
    <w:p>
      <w:pPr>
        <w:jc w:val="both"/>
      </w:pPr>
      <w:r>
        <w:rPr>
          <w:b/>
          <w:sz w:val="28"/>
        </w:rPr>
        <w:t>二、中山市人医院制剂科药用蔗糖供应商评估考核规定</w:t>
      </w:r>
    </w:p>
    <w:p>
      <w:pPr>
        <w:ind w:firstLine="420"/>
        <w:jc w:val="both"/>
      </w:pPr>
      <w:r>
        <w:rPr>
          <w:sz w:val="21"/>
        </w:rPr>
        <w:t>制剂科组织仓库管理员、质控员记录每批次配送商的配送情况，包括送货及时性，配送服务，其他承诺事项等，每年度进行一次配送商评估，根据评估结果对配送商进行相应惩处。具体规定如下：</w:t>
      </w:r>
    </w:p>
    <w:p>
      <w:pPr>
        <w:jc w:val="both"/>
      </w:pPr>
      <w:r>
        <w:rPr>
          <w:sz w:val="21"/>
        </w:rPr>
        <w:t>1.</w:t>
      </w:r>
      <w:r>
        <w:rPr>
          <w:sz w:val="21"/>
        </w:rPr>
        <w:t>配送及时性评估</w:t>
      </w:r>
    </w:p>
    <w:p>
      <w:pPr>
        <w:jc w:val="both"/>
      </w:pPr>
      <w:r>
        <w:rPr>
          <w:sz w:val="21"/>
        </w:rPr>
        <w:t>出现1批次无法按要求时间送货的配送延期情况（超过规定时间48小时）扣减10分，如果出现3次及以上，配送及时性评估将按0分处理，在下一年度扣减该配送企业20%的履约保证金，如果下一年度仍然出现同样情况则提前终止其配送资格重新招标新的供应商。</w:t>
      </w:r>
    </w:p>
    <w:p>
      <w:pPr>
        <w:jc w:val="both"/>
      </w:pPr>
      <w:r>
        <w:rPr>
          <w:sz w:val="21"/>
        </w:rPr>
        <w:t>2.</w:t>
      </w:r>
      <w:r>
        <w:rPr>
          <w:sz w:val="21"/>
        </w:rPr>
        <w:t>质量合规性评估</w:t>
      </w:r>
    </w:p>
    <w:p>
      <w:pPr>
        <w:jc w:val="both"/>
      </w:pPr>
      <w:r>
        <w:rPr>
          <w:sz w:val="21"/>
        </w:rPr>
        <w:t>出现1次质量不符合要求的，扣减10分，如果3次及以上质量不符合要求的，质量合规性评估将做0分处理，在下一年度扣减该配送企业20%的履约保证金，如果下一年度仍然出现同样情况则提前终止其配送资格重新招标新的供应商。</w:t>
      </w:r>
    </w:p>
    <w:p>
      <w:pPr>
        <w:jc w:val="both"/>
      </w:pPr>
      <w:r>
        <w:rPr>
          <w:sz w:val="21"/>
        </w:rPr>
        <w:t>3.</w:t>
      </w:r>
      <w:r>
        <w:rPr>
          <w:sz w:val="21"/>
        </w:rPr>
        <w:t>合同执行第一年度截止，汇总配送及时性评估及质量合规性评估，配送企业年度综合评分低于60分的，在下一年度扣减该配送企业50%的履约保证金。</w:t>
      </w:r>
    </w:p>
    <w:p>
      <w:pPr>
        <w:jc w:val="both"/>
      </w:pPr>
      <w:r>
        <w:rPr>
          <w:sz w:val="21"/>
        </w:rPr>
        <w:t>4.</w:t>
      </w:r>
      <w:r>
        <w:rPr>
          <w:sz w:val="21"/>
        </w:rPr>
        <w:t>药用蔗糖供应商在投标时的其他承诺事项，若有无法按承诺事项提供服务的，每项扣减10分。</w:t>
      </w:r>
    </w:p>
    <w:p>
      <w:r>
        <w:rPr>
          <w:b/>
          <w:sz w:val="21"/>
        </w:rPr>
        <w:t>药用蔗糖供应商评估考核表</w:t>
      </w:r>
    </w:p>
    <w:tbl>
      <w:tblPr>
        <w:tblW w:w="0" w:type="auto"/>
        <w:tblBorders>
          <w:top w:val="none" w:color="000000" w:sz="4"/>
          <w:left w:val="none" w:color="000000" w:sz="4"/>
          <w:bottom w:val="none" w:color="000000" w:sz="4"/>
          <w:right w:val="none" w:color="000000" w:sz="4"/>
          <w:insideH w:val="none"/>
          <w:insideV w:val="none"/>
        </w:tblBorders>
      </w:tblPr>
      <w:tblGrid>
        <w:gridCol w:w="2416"/>
        <w:gridCol w:w="5875"/>
      </w:tblGrid>
      <w:tr>
        <w:tc>
          <w:tcPr>
            <w:tcW w:type="dxa" w:w="2416"/>
            <w:tcBorders>
              <w:top w:val="single" w:color="000000" w:sz="4"/>
              <w:left w:val="single" w:color="000000" w:sz="4"/>
              <w:bottom w:val="single" w:color="000000" w:sz="4"/>
              <w:right w:val="single" w:color="000000" w:sz="4"/>
            </w:tcBorders>
            <w:vAlign w:val="top"/>
          </w:tcPr>
          <w:p>
            <w:pPr>
              <w:jc w:val="both"/>
            </w:pPr>
            <w:r>
              <w:rPr>
                <w:sz w:val="21"/>
              </w:rPr>
              <w:t>配送公司名称</w:t>
            </w:r>
          </w:p>
        </w:tc>
        <w:tc>
          <w:tcPr>
            <w:tcW w:type="dxa" w:w="5875"/>
            <w:tcBorders>
              <w:top w:val="single" w:color="000000" w:sz="4"/>
              <w:left w:val="single" w:color="000000" w:sz="4"/>
              <w:bottom w:val="single" w:color="000000" w:sz="4"/>
              <w:right w:val="single" w:color="000000" w:sz="4"/>
            </w:tcBorders>
            <w:vAlign w:val="top"/>
          </w:tcPr>
          <w:p>
            <w:pPr>
              <w:jc w:val="center"/>
            </w:pPr>
          </w:p>
        </w:tc>
      </w:tr>
      <w:tr>
        <w:tc>
          <w:tcPr>
            <w:tcW w:type="dxa" w:w="8291"/>
            <w:gridSpan w:val="2"/>
            <w:tcBorders>
              <w:top w:val="none" w:color="000000" w:sz="4"/>
              <w:left w:val="single" w:color="000000" w:sz="4"/>
              <w:bottom w:val="single" w:color="000000" w:sz="4"/>
              <w:right w:val="single" w:color="000000" w:sz="4"/>
            </w:tcBorders>
            <w:vAlign w:val="top"/>
          </w:tcPr>
          <w:p>
            <w:pPr>
              <w:jc w:val="center"/>
            </w:pPr>
            <w:r>
              <w:rPr>
                <w:sz w:val="21"/>
              </w:rPr>
              <w:t>配送及时性评估（总分</w:t>
            </w:r>
            <w:r>
              <w:rPr>
                <w:sz w:val="21"/>
              </w:rPr>
              <w:t>40分）</w:t>
            </w:r>
          </w:p>
        </w:tc>
      </w:tr>
      <w:tr>
        <w:tc>
          <w:tcPr>
            <w:tcW w:type="dxa" w:w="8291"/>
            <w:gridSpan w:val="2"/>
            <w:tcBorders>
              <w:top w:val="none" w:color="000000" w:sz="4"/>
              <w:left w:val="single" w:color="000000" w:sz="4"/>
              <w:bottom w:val="single" w:color="000000" w:sz="4"/>
              <w:right w:val="single" w:color="000000" w:sz="4"/>
            </w:tcBorders>
            <w:vAlign w:val="top"/>
          </w:tcPr>
          <w:p>
            <w:pPr>
              <w:jc w:val="both"/>
            </w:pPr>
            <w:r>
              <w:rPr>
                <w:sz w:val="21"/>
              </w:rPr>
              <w:t>1、</w:t>
            </w:r>
            <w:r>
              <w:rPr>
                <w:sz w:val="21"/>
              </w:rPr>
              <w:t>配送延期扣分：</w:t>
            </w:r>
          </w:p>
          <w:p>
            <w:pPr>
              <w:jc w:val="both"/>
            </w:pPr>
            <w:r>
              <w:rPr>
                <w:sz w:val="21"/>
              </w:rPr>
              <w:t>2、</w:t>
            </w:r>
            <w:r>
              <w:rPr>
                <w:sz w:val="21"/>
              </w:rPr>
              <w:t>配送服务完成情况：</w:t>
            </w:r>
            <w:r>
              <w:rPr>
                <w:sz w:val="21"/>
              </w:rPr>
              <w:t>优</w:t>
            </w:r>
            <w:r>
              <w:rPr>
                <w:sz w:val="21"/>
              </w:rPr>
              <w:t xml:space="preserve"> </w:t>
            </w:r>
            <w:r>
              <w:rPr>
                <w:sz w:val="21"/>
              </w:rPr>
              <w:t>良</w:t>
            </w:r>
            <w:r>
              <w:rPr>
                <w:sz w:val="21"/>
              </w:rPr>
              <w:t xml:space="preserve"> </w:t>
            </w:r>
            <w:r>
              <w:rPr>
                <w:sz w:val="21"/>
              </w:rPr>
              <w:t>中</w:t>
            </w:r>
            <w:r>
              <w:rPr>
                <w:sz w:val="21"/>
              </w:rPr>
              <w:t xml:space="preserve"> </w:t>
            </w:r>
            <w:r>
              <w:rPr>
                <w:sz w:val="21"/>
              </w:rPr>
              <w:t>差</w:t>
            </w:r>
          </w:p>
          <w:p>
            <w:pPr>
              <w:jc w:val="both"/>
            </w:pPr>
            <w:r>
              <w:rPr>
                <w:sz w:val="21"/>
              </w:rPr>
              <w:t xml:space="preserve">3、是否因配送延期扣减该配送企业20%的履约保证金： 是   否  </w:t>
            </w:r>
          </w:p>
          <w:p>
            <w:pPr>
              <w:jc w:val="both"/>
            </w:pPr>
            <w:r>
              <w:rPr>
                <w:sz w:val="21"/>
              </w:rPr>
              <w:t>仓管员签名：</w:t>
            </w:r>
            <w:r>
              <w:rPr>
                <w:sz w:val="21"/>
              </w:rPr>
              <w:t xml:space="preserve">        </w:t>
            </w:r>
          </w:p>
        </w:tc>
      </w:tr>
      <w:tr>
        <w:tc>
          <w:tcPr>
            <w:tcW w:type="dxa" w:w="8291"/>
            <w:gridSpan w:val="2"/>
            <w:tcBorders>
              <w:top w:val="none" w:color="000000" w:sz="4"/>
              <w:left w:val="single" w:color="000000" w:sz="4"/>
              <w:bottom w:val="single" w:color="000000" w:sz="4"/>
              <w:right w:val="single" w:color="000000" w:sz="4"/>
            </w:tcBorders>
            <w:vAlign w:val="top"/>
          </w:tcPr>
          <w:p>
            <w:pPr>
              <w:jc w:val="center"/>
            </w:pPr>
            <w:r>
              <w:rPr>
                <w:sz w:val="21"/>
              </w:rPr>
              <w:t>质量评估（总分</w:t>
            </w:r>
            <w:r>
              <w:rPr>
                <w:sz w:val="21"/>
              </w:rPr>
              <w:t>40分）</w:t>
            </w:r>
          </w:p>
        </w:tc>
      </w:tr>
      <w:tr>
        <w:tc>
          <w:tcPr>
            <w:tcW w:type="dxa" w:w="8291"/>
            <w:gridSpan w:val="2"/>
            <w:tcBorders>
              <w:top w:val="none" w:color="000000" w:sz="4"/>
              <w:left w:val="single" w:color="000000" w:sz="4"/>
              <w:bottom w:val="single" w:color="000000" w:sz="4"/>
              <w:right w:val="single" w:color="000000" w:sz="4"/>
            </w:tcBorders>
            <w:vAlign w:val="top"/>
          </w:tcPr>
          <w:p>
            <w:pPr>
              <w:jc w:val="both"/>
            </w:pPr>
            <w:r>
              <w:rPr>
                <w:sz w:val="21"/>
              </w:rPr>
              <w:t>1、药用蔗糖质量扣分：</w:t>
            </w:r>
          </w:p>
          <w:p>
            <w:pPr>
              <w:jc w:val="both"/>
            </w:pPr>
            <w:r>
              <w:rPr>
                <w:sz w:val="21"/>
              </w:rPr>
              <w:t>2、退换是否及时：是  否</w:t>
            </w:r>
          </w:p>
          <w:p>
            <w:pPr>
              <w:jc w:val="both"/>
            </w:pPr>
            <w:r>
              <w:rPr>
                <w:sz w:val="21"/>
              </w:rPr>
              <w:t>3、是否因质量不符合要求扣减该配送企业20%的履约保证金：是  否</w:t>
            </w:r>
          </w:p>
          <w:p>
            <w:pPr>
              <w:jc w:val="both"/>
            </w:pPr>
            <w:r>
              <w:rPr>
                <w:sz w:val="21"/>
              </w:rPr>
              <w:t>质量评估员签名：</w:t>
            </w:r>
            <w:r>
              <w:rPr>
                <w:sz w:val="21"/>
              </w:rPr>
              <w:t xml:space="preserve">        </w:t>
            </w:r>
            <w:r>
              <w:rPr>
                <w:sz w:val="21"/>
              </w:rPr>
              <w:t>质量负责人签名：</w:t>
            </w:r>
          </w:p>
        </w:tc>
      </w:tr>
      <w:tr>
        <w:tc>
          <w:tcPr>
            <w:tcW w:type="dxa" w:w="8291"/>
            <w:gridSpan w:val="2"/>
            <w:tcBorders>
              <w:top w:val="none" w:color="000000" w:sz="4"/>
              <w:left w:val="single" w:color="000000" w:sz="4"/>
              <w:bottom w:val="single" w:color="000000" w:sz="4"/>
              <w:right w:val="single" w:color="000000" w:sz="4"/>
            </w:tcBorders>
            <w:vAlign w:val="top"/>
          </w:tcPr>
          <w:p>
            <w:pPr>
              <w:jc w:val="both"/>
            </w:pPr>
            <w:r>
              <w:rPr>
                <w:sz w:val="21"/>
              </w:rPr>
              <w:t xml:space="preserve">                            </w:t>
            </w:r>
            <w:r>
              <w:rPr>
                <w:sz w:val="21"/>
              </w:rPr>
              <w:t>其他承诺事项评估（</w:t>
            </w:r>
            <w:r>
              <w:rPr>
                <w:sz w:val="21"/>
              </w:rPr>
              <w:t>20分）</w:t>
            </w:r>
          </w:p>
        </w:tc>
      </w:tr>
      <w:tr>
        <w:tc>
          <w:tcPr>
            <w:tcW w:type="dxa" w:w="8291"/>
            <w:gridSpan w:val="2"/>
            <w:tcBorders>
              <w:top w:val="none" w:color="000000" w:sz="4"/>
              <w:left w:val="single" w:color="000000" w:sz="4"/>
              <w:bottom w:val="single" w:color="000000" w:sz="4"/>
              <w:right w:val="single" w:color="000000" w:sz="4"/>
            </w:tcBorders>
            <w:vAlign w:val="top"/>
          </w:tcPr>
          <w:p>
            <w:pPr>
              <w:jc w:val="both"/>
            </w:pPr>
            <w:r>
              <w:rPr>
                <w:sz w:val="21"/>
              </w:rPr>
              <w:t>本年年度是否按承诺事项提供服务：是</w:t>
            </w:r>
            <w:r>
              <w:rPr>
                <w:sz w:val="21"/>
              </w:rPr>
              <w:t xml:space="preserve"> </w:t>
            </w:r>
            <w:r>
              <w:rPr>
                <w:sz w:val="21"/>
              </w:rPr>
              <w:t>否</w:t>
            </w:r>
          </w:p>
          <w:p>
            <w:pPr>
              <w:jc w:val="both"/>
            </w:pPr>
            <w:r>
              <w:rPr>
                <w:sz w:val="21"/>
              </w:rPr>
              <w:t>承诺事项扣分：</w:t>
            </w:r>
          </w:p>
        </w:tc>
      </w:tr>
      <w:tr>
        <w:tc>
          <w:tcPr>
            <w:tcW w:type="dxa" w:w="8291"/>
            <w:gridSpan w:val="2"/>
            <w:tcBorders>
              <w:top w:val="none" w:color="000000" w:sz="4"/>
              <w:left w:val="single" w:color="000000" w:sz="4"/>
              <w:bottom w:val="single" w:color="000000" w:sz="4"/>
              <w:right w:val="single" w:color="000000" w:sz="4"/>
            </w:tcBorders>
            <w:vAlign w:val="top"/>
          </w:tcPr>
          <w:p>
            <w:pPr>
              <w:ind w:firstLine="2310"/>
              <w:jc w:val="both"/>
            </w:pPr>
            <w:r>
              <w:rPr>
                <w:sz w:val="21"/>
              </w:rPr>
              <w:t>年度评估意见</w:t>
            </w:r>
          </w:p>
        </w:tc>
      </w:tr>
      <w:tr>
        <w:tc>
          <w:tcPr>
            <w:tcW w:type="dxa" w:w="8291"/>
            <w:gridSpan w:val="2"/>
            <w:tcBorders>
              <w:top w:val="none" w:color="000000" w:sz="4"/>
              <w:left w:val="single" w:color="000000" w:sz="4"/>
              <w:bottom w:val="single" w:color="000000" w:sz="4"/>
              <w:right w:val="single" w:color="000000" w:sz="4"/>
            </w:tcBorders>
            <w:vAlign w:val="top"/>
          </w:tcPr>
          <w:p>
            <w:pPr>
              <w:jc w:val="both"/>
            </w:pPr>
            <w:r>
              <w:rPr>
                <w:sz w:val="21"/>
              </w:rPr>
              <w:t>优秀</w:t>
            </w:r>
            <w:r>
              <w:rPr>
                <w:sz w:val="21"/>
              </w:rPr>
              <w:t xml:space="preserve">        </w:t>
            </w:r>
            <w:r>
              <w:rPr>
                <w:sz w:val="21"/>
              </w:rPr>
              <w:t>合格</w:t>
            </w:r>
            <w:r>
              <w:rPr>
                <w:sz w:val="21"/>
              </w:rPr>
              <w:t xml:space="preserve">        </w:t>
            </w:r>
            <w:r>
              <w:rPr>
                <w:sz w:val="21"/>
              </w:rPr>
              <w:t>不合格</w:t>
            </w:r>
          </w:p>
          <w:p>
            <w:pPr>
              <w:jc w:val="both"/>
            </w:pPr>
            <w:r>
              <w:rPr>
                <w:sz w:val="21"/>
              </w:rPr>
              <w:t>是否扣减该配送企业</w:t>
            </w:r>
            <w:r>
              <w:rPr>
                <w:sz w:val="21"/>
              </w:rPr>
              <w:t>50%的履约保证金：是   否</w:t>
            </w:r>
          </w:p>
          <w:p>
            <w:pPr>
              <w:jc w:val="both"/>
            </w:pPr>
            <w:r>
              <w:rPr>
                <w:sz w:val="21"/>
              </w:rPr>
              <w:t>质量负责人签名：</w:t>
            </w:r>
            <w:r>
              <w:rPr>
                <w:sz w:val="21"/>
              </w:rPr>
              <w:t xml:space="preserve">             </w:t>
            </w:r>
            <w:r>
              <w:rPr>
                <w:sz w:val="21"/>
              </w:rPr>
              <w:t>制剂科负责人签名：</w:t>
            </w:r>
            <w:r>
              <w:rPr>
                <w:sz w:val="21"/>
              </w:rPr>
              <w:t xml:space="preserve">  </w:t>
            </w:r>
          </w:p>
          <w:p>
            <w:pPr>
              <w:ind w:firstLine="630"/>
              <w:jc w:val="both"/>
            </w:pPr>
            <w:r>
              <w:rPr>
                <w:sz w:val="21"/>
              </w:rPr>
              <w:t xml:space="preserve">                        </w:t>
            </w:r>
            <w:r>
              <w:rPr>
                <w:sz w:val="21"/>
              </w:rPr>
              <w:t>日期：</w:t>
            </w:r>
          </w:p>
          <w:p>
            <w:pPr>
              <w:ind w:firstLine="630"/>
              <w:jc w:val="both"/>
            </w:pPr>
            <w:r>
              <w:rPr>
                <w:sz w:val="21"/>
              </w:rPr>
              <w:t xml:space="preserve">                        </w:t>
            </w:r>
            <w:r>
              <w:rPr>
                <w:sz w:val="21"/>
              </w:rPr>
              <w:t>盖章：</w:t>
            </w:r>
          </w:p>
        </w:tc>
      </w:tr>
    </w:tbl>
    <w:p>
      <w:pPr>
        <w:jc w:val="both"/>
      </w:pPr>
      <w:r>
        <w:rPr/>
        <w:t xml:space="preserve"> </w:t>
      </w:r>
    </w:p>
    <w:p>
      <w:pPr>
        <w:jc w:val="both"/>
      </w:pPr>
      <w:r>
        <w:rPr/>
        <w:t xml:space="preserve"> </w:t>
      </w:r>
    </w:p>
    <w:p>
      <w:pPr>
        <w:ind w:firstLine="2741"/>
        <w:jc w:val="both"/>
      </w:pPr>
    </w:p>
    <w:p>
      <w:pPr>
        <w:ind w:firstLine="2741"/>
        <w:jc w:val="both"/>
      </w:pPr>
    </w:p>
    <w:p>
      <w:pPr>
        <w:ind w:firstLine="2741"/>
        <w:jc w:val="both"/>
      </w:pPr>
      <w:r>
        <w:rPr/>
        <w:t xml:space="preserve"> </w:t>
      </w:r>
    </w:p>
    <w:p/>
    <w:p>
      <w:pPr>
        <w:ind w:firstLine="480"/>
      </w:pPr>
    </w:p>
    <w:p/>
    <w:p>
      <w:r>
        <w:rPr/>
        <w:t>采购包1（蔗糖采购）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分批分次不定时送货。</w:t>
            </w:r>
          </w:p>
        </w:tc>
      </w:tr>
      <w:tr>
        <w:tc>
          <w:tcPr>
            <w:tcW w:type="dxa" w:w="4153"/>
          </w:tcPr>
          <w:p>
            <w:r>
              <w:rPr/>
              <w:t>标的提供的地点</w:t>
            </w:r>
          </w:p>
        </w:tc>
        <w:tc>
          <w:tcPr>
            <w:tcW w:type="dxa" w:w="4153"/>
          </w:tcPr>
          <w:p/>
          <w:p>
            <w:r>
              <w:rPr/>
              <w:t>中山市人民医院指定地点。</w:t>
            </w:r>
          </w:p>
        </w:tc>
      </w:tr>
      <w:tr>
        <w:tc>
          <w:tcPr>
            <w:tcW w:type="dxa" w:w="4153"/>
          </w:tcPr>
          <w:p>
            <w:r>
              <w:rPr/>
              <w:t>付款方式</w:t>
            </w:r>
          </w:p>
        </w:tc>
        <w:tc>
          <w:tcPr>
            <w:tcW w:type="dxa" w:w="4153"/>
          </w:tcPr>
          <w:p/>
          <w:p/>
          <w:p>
            <w:r>
              <w:rPr/>
              <w:t>1期：支付比例100%,药用辅料蔗糖验收合格后，采购人应以实际收货数量为准，按日签单，按月对账，凭供货商开具的有效发票支付货款。从收发票日起算，对于符合支付条件的，按采购人相关规定流程及时限完成结算和支付工作。</w:t>
            </w:r>
          </w:p>
        </w:tc>
      </w:tr>
      <w:tr>
        <w:tc>
          <w:tcPr>
            <w:tcW w:type="dxa" w:w="4153"/>
          </w:tcPr>
          <w:p>
            <w:r>
              <w:rPr/>
              <w:t>验收要求</w:t>
            </w:r>
          </w:p>
        </w:tc>
        <w:tc>
          <w:tcPr>
            <w:tcW w:type="dxa" w:w="4153"/>
          </w:tcPr>
          <w:p/>
          <w:p/>
          <w:p/>
          <w:p>
            <w:r>
              <w:rPr/>
              <w:t>1期：（1）蔗糖（药用辅料级）避光、密封保存；  （2）交货验收时必须提供厂家发货单原件，检验合格证书等文件。  （3）交货后被采购人判定为质量不合格的相关费用供货商承担，包括但不限于采购人要求发货的同批次除首次的检验或检测费、退货装车费、退货运输费等。</w:t>
            </w:r>
          </w:p>
        </w:tc>
      </w:tr>
      <w:tr>
        <w:tc>
          <w:tcPr>
            <w:tcW w:type="dxa" w:w="4153"/>
          </w:tcPr>
          <w:p>
            <w:r>
              <w:rPr/>
              <w:t>履约保证金</w:t>
            </w:r>
          </w:p>
        </w:tc>
        <w:tc>
          <w:tcPr>
            <w:tcW w:type="dxa" w:w="4153"/>
          </w:tcPr>
          <w:p/>
          <w:p/>
          <w:p/>
          <w:p/>
          <w:p>
            <w:r>
              <w:rPr/>
              <w:t>收取比例：5%,说明：履约保证金金额按预算金额900万元的5%收取，履约保证金缴纳及退还 ： 中标通知书发出之日起30天内，中标供应商须向采购人交纳由银行开具的无条件履约保函作履约保证金 （履约保函不计息） ，合同期内中标供应商无违约行为的，与采购人无任何纠纷的 ，合同期满后30天内不计息退还 。</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r>
              <w:rPr/>
              <w:t>△</w:t>
            </w:r>
          </w:p>
        </w:tc>
        <w:tc>
          <w:tcPr>
            <w:tcW w:type="dxa" w:w="748"/>
          </w:tcPr>
          <w:p>
            <w:pPr>
              <w:jc w:val="left"/>
            </w:pPr>
            <w:r>
              <w:rPr/>
              <w:t>其他制剂用辅料及附加剂</w:t>
            </w:r>
          </w:p>
        </w:tc>
        <w:tc>
          <w:tcPr>
            <w:tcW w:type="dxa" w:w="748"/>
          </w:tcPr>
          <w:p>
            <w:pPr>
              <w:jc w:val="left"/>
            </w:pPr>
            <w:r>
              <w:rPr/>
              <w:t>蔗糖</w:t>
            </w:r>
          </w:p>
        </w:tc>
        <w:tc>
          <w:tcPr>
            <w:tcW w:type="dxa" w:w="748"/>
          </w:tcPr>
          <w:p>
            <w:pPr>
              <w:jc w:val="left"/>
            </w:pPr>
            <w:r>
              <w:rPr/>
              <w:t>项</w:t>
            </w:r>
          </w:p>
        </w:tc>
        <w:tc>
          <w:tcPr>
            <w:tcW w:type="dxa" w:w="748"/>
          </w:tcPr>
          <w:p>
            <w:pPr>
              <w:jc w:val="right"/>
            </w:pPr>
            <w:r>
              <w:rPr/>
              <w:t>1.00</w:t>
            </w:r>
          </w:p>
        </w:tc>
        <w:tc>
          <w:tcPr>
            <w:tcW w:type="dxa" w:w="748"/>
          </w:tcPr>
          <w:p>
            <w:pPr>
              <w:jc w:val="right"/>
            </w:pPr>
            <w:r>
              <w:rPr/>
              <w:t>9,000,000.00</w:t>
            </w:r>
          </w:p>
        </w:tc>
        <w:tc>
          <w:tcPr>
            <w:tcW w:type="dxa" w:w="748"/>
          </w:tcPr>
          <w:p>
            <w:pPr>
              <w:jc w:val="right"/>
            </w:pPr>
            <w:r>
              <w:rPr/>
              <w:t>9,000,000.00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蔗糖</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一、主要服务要求：</w:t>
            </w:r>
          </w:p>
          <w:p>
            <w:pPr>
              <w:jc w:val="both"/>
            </w:pPr>
            <w:r>
              <w:rPr>
                <w:sz w:val="24"/>
              </w:rPr>
              <w:t>1.质量要求：</w:t>
            </w:r>
          </w:p>
          <w:p>
            <w:pPr>
              <w:jc w:val="both"/>
            </w:pPr>
            <w:r>
              <w:rPr>
                <w:sz w:val="24"/>
              </w:rPr>
              <w:t>1.1药用辅料蔗糖的质量符合《中国药典》（以最新现行版为准）、国家标准或广东省标准等相关文件规定，采购人有权随时对药用辅料蔗糖的生产过程进行抽查检验，或者派出专人监督；采购人有权要求中标供应商在供货前提供药用辅料蔗糖经第三方检测机构出具的检测报告。</w:t>
            </w:r>
          </w:p>
          <w:p>
            <w:pPr>
              <w:jc w:val="both"/>
            </w:pPr>
            <w:r>
              <w:rPr>
                <w:sz w:val="24"/>
              </w:rPr>
              <w:t>1.2交货验收时必须提供厂家发货单原件，检验合格证书等文件；</w:t>
            </w:r>
          </w:p>
          <w:p>
            <w:pPr>
              <w:jc w:val="both"/>
            </w:pPr>
            <w:r>
              <w:rPr>
                <w:sz w:val="24"/>
              </w:rPr>
              <w:t>1.3药用辅料蔗糖所使用的设备、包装材料等须符合行业标准，保证质量；</w:t>
            </w:r>
          </w:p>
          <w:p>
            <w:pPr>
              <w:jc w:val="both"/>
            </w:pPr>
            <w:r>
              <w:rPr>
                <w:sz w:val="24"/>
              </w:rPr>
              <w:t>1.4产品有效期：保证送货产品自验收合格之日起算，剩余保质期不得短于整个保质期的80%，出现破损、吸潮、结块等质量异常情况投标人免费及时进行退换，积压产品，离有效期截止日期不足6个月时投标人免费及时进行退换。</w:t>
            </w:r>
          </w:p>
          <w:p>
            <w:pPr>
              <w:jc w:val="both"/>
            </w:pPr>
            <w:r>
              <w:rPr>
                <w:sz w:val="24"/>
              </w:rPr>
              <w:t>1.5 ★包装规格：须承诺可根据实际需求提供多种包装规格，至少有25kg/包，20kg/包，10kg/包三种规格可供选择。</w:t>
            </w:r>
          </w:p>
          <w:p>
            <w:pPr>
              <w:jc w:val="both"/>
            </w:pPr>
            <w:r>
              <w:rPr>
                <w:sz w:val="24"/>
              </w:rPr>
              <w:t>2.供货保证：</w:t>
            </w:r>
          </w:p>
          <w:p>
            <w:pPr>
              <w:jc w:val="both"/>
            </w:pPr>
            <w:r>
              <w:rPr>
                <w:sz w:val="24"/>
              </w:rPr>
              <w:t>2.1投标人必须保证药用辅料蔗糖质量，按约定的规格、数量、价格等供货，不得以任何藉口（如无货，采购量少等）不执行采购人采购计划从而影响采购人的采购计划。</w:t>
            </w:r>
          </w:p>
          <w:p>
            <w:pPr>
              <w:jc w:val="both"/>
            </w:pPr>
            <w:r>
              <w:rPr>
                <w:sz w:val="24"/>
              </w:rPr>
              <w:t>3. 若遇国家重大政策调整影响合同执行的情况，双方可共同友好协商解决。</w:t>
            </w:r>
          </w:p>
          <w:p>
            <w:pPr>
              <w:jc w:val="both"/>
            </w:pPr>
            <w:r>
              <w:rPr>
                <w:b/>
                <w:sz w:val="24"/>
              </w:rPr>
              <w:t>二、报价要求：</w:t>
            </w:r>
          </w:p>
          <w:p>
            <w:pPr>
              <w:jc w:val="both"/>
            </w:pPr>
            <w:r>
              <w:rPr>
                <w:sz w:val="24"/>
              </w:rPr>
              <w:t>1、本项目采用“折扣率”进行报价，投标人所报的折扣率包含：到货全包价，承担交货前的所有费用，包括但不限于运输费、途中保险费、装车费、途中损耗与损失费及货物运送至交货地点后的卸车费等及合同实施过程中的一切可预见和不可预见费用。</w:t>
            </w:r>
          </w:p>
          <w:p>
            <w:pPr>
              <w:jc w:val="both"/>
            </w:pPr>
            <w:r>
              <w:rPr>
                <w:sz w:val="24"/>
              </w:rPr>
              <w:t>2、在供货时按中标供应商的中标价（单价最高限价为15.77元/公斤×折扣率）和实际供货数量进行结算。（例如： 供货数量为100公斤，投标折扣率为：90%，支付给中标供应商的款项计算如下： 15.77元/公斤×90%×100公斤=14.19×100=1419元）</w:t>
            </w:r>
          </w:p>
          <w:p>
            <w:pPr>
              <w:jc w:val="both"/>
            </w:pPr>
            <w:r>
              <w:rPr>
                <w:b/>
                <w:sz w:val="24"/>
              </w:rPr>
              <w:t>注：折扣率报价保留至小数点后2位。</w:t>
            </w:r>
          </w:p>
          <w:p>
            <w:pPr>
              <w:jc w:val="both"/>
            </w:pPr>
            <w:r>
              <w:rPr>
                <w:sz w:val="24"/>
              </w:rPr>
              <w:t>3、投标人应考虑经济增长、物价上涨及自身成本，确定折扣率，0%＜折扣率≤100%，且不能为负数，不符合要求的报价视为无效报价；投标人所报的折扣率将作为采购人在服务期间款项计算依据。服务期内的折扣率不变。</w:t>
            </w:r>
          </w:p>
          <w:p>
            <w:pPr>
              <w:jc w:val="both"/>
            </w:pPr>
            <w:r>
              <w:rPr>
                <w:sz w:val="24"/>
              </w:rPr>
              <w:t>4、本次采购为供货资格的取得，并不代表货物已售出，采购人无法预计也无法保证向中标供应商采购的数量，最终数量按实际采购数量结算。</w:t>
            </w:r>
          </w:p>
          <w:p>
            <w:pPr>
              <w:jc w:val="both"/>
            </w:pPr>
            <w:r>
              <w:rPr>
                <w:sz w:val="24"/>
              </w:rPr>
              <w:t>5、中标供应商不得以任何方式转包或分包本项目。</w:t>
            </w:r>
          </w:p>
          <w:p>
            <w:pPr>
              <w:jc w:val="both"/>
            </w:pPr>
            <w:r>
              <w:rPr>
                <w:sz w:val="24"/>
              </w:rPr>
              <w:t>6、中标供应商提供的货物不符合招标文件或合同规定的或未能按合同规定的交货时间提供货物的，采购人有权拒收接收且有权解除合同。</w:t>
            </w:r>
          </w:p>
          <w:p>
            <w:pPr>
              <w:jc w:val="both"/>
            </w:pPr>
            <w:r>
              <w:rPr>
                <w:sz w:val="24"/>
              </w:rPr>
              <w:t>7、请补充调价规则内容：</w:t>
            </w:r>
          </w:p>
          <w:p>
            <w:pPr>
              <w:jc w:val="both"/>
            </w:pPr>
            <w:r>
              <w:rPr>
                <w:sz w:val="24"/>
              </w:rPr>
              <w:t>合同期内不得随意更改供应价格。如果是全国性市场调价(需要提交调价申请)，应该按中山市人民医院相关规定执行，应至少提前一个月以书面形式告知采购人。</w:t>
            </w:r>
          </w:p>
          <w:p>
            <w:pPr>
              <w:jc w:val="both"/>
            </w:pPr>
            <w:r>
              <w:rPr>
                <w:sz w:val="24"/>
              </w:rPr>
              <w:t>更改供应价格原则:调整后的供应价格=中标折扣率*市场价（市场价：中标供应商提供3家同类医疗机构近一个月内的对应药品发票价格的平均值）。中标供应商同时提供进货发票、销售发票、销售合同等证明材料进行佐证，并经采购人按质量及价格评估、审核，形成统一意见后方可对其进行调整。如发现中标供应商所提供价格明显高于行业价格的，采购人有权对其提出质疑并调整价格，供货价应保持长期稳定，中标供应商不得因市场价格波动等原因拒绝供货。</w:t>
            </w:r>
          </w:p>
          <w:p>
            <w:pPr>
              <w:jc w:val="both"/>
            </w:pPr>
            <w:r>
              <w:rPr>
                <w:sz w:val="24"/>
              </w:rPr>
              <w:t>三、其它商务要求</w:t>
            </w:r>
          </w:p>
          <w:p>
            <w:pPr>
              <w:jc w:val="both"/>
            </w:pPr>
            <w:r>
              <w:rPr>
                <w:sz w:val="24"/>
              </w:rPr>
              <w:t>1.采购总体要求：</w:t>
            </w:r>
          </w:p>
          <w:p>
            <w:pPr>
              <w:jc w:val="both"/>
            </w:pPr>
            <w:r>
              <w:rPr>
                <w:sz w:val="24"/>
              </w:rPr>
              <w:t>投标人应按照医院每月的采购需求数量，每次送货保证同一批次，做到分批分次不定时送货，收到采购人采购订单后，投标人按采购人订单48小时内进行供货。</w:t>
            </w:r>
          </w:p>
          <w:p>
            <w:pPr>
              <w:jc w:val="both"/>
            </w:pPr>
            <w:r>
              <w:rPr>
                <w:sz w:val="24"/>
              </w:rPr>
              <w:t>2.交货时间：接到下单后48小时内；保证1周多次送货。</w:t>
            </w:r>
          </w:p>
          <w:p>
            <w:pPr>
              <w:jc w:val="both"/>
            </w:pPr>
            <w:r>
              <w:rPr>
                <w:sz w:val="24"/>
              </w:rPr>
              <w:t>3.供货要求：采购人根据临床需求，向投标人下达供货订单。投标人必须满足采购人的采购需求，不论供货规模多少，均应保证按时按量配送，并对所供应的药品质量负责。</w:t>
            </w:r>
          </w:p>
          <w:p>
            <w:pPr>
              <w:jc w:val="both"/>
            </w:pPr>
            <w:r>
              <w:rPr>
                <w:sz w:val="24"/>
              </w:rPr>
              <w:t>4.售后服务：采购人发现货物破损、近效期（6个月内）、包装不合格或有质量问题的，投标人应保证及时更换或退货处理。</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1.采购代理机构：本项目是指广东省机电设备招标中心有限公司中山分公司，负责整个采购活动的组织，依法负责编制和发布招标文件，对招标文件拥有最终的解释权，不以任何身份出任评标委员会成员。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 采购机构代理服务收费标准：(1) 本项目的代理服务费参照 《招标代理服务收费管理暂行办法》 （计价格[2002]1980号）货物类标准计算后下浮20%收取，本项目以折扣率报价，代理服务费以采购预算金额900万元作为计费依据。 (2) 代理服务费的货币为人民币 。 (3) 代理服务费支付方式 ：一次性以银行划账 、 电汇 、汇票或支票的形式支付 。 (4) 代理服务费支付时间 ：代理服务费必须在中标供应商领取 《中标通知书》时一次性付清，如果中标供应商未能按时交纳代理服务费，采购代理机构保留追究其法律责任的权利。 (5) 代理服务费不在报价中单列。招标代理服务费递交账户（请在汇款单上写明本项目的项目编号）； 开户名：广东省机电设备招标中心有限公司中山分公司； 开户银行：招商银行中山分行； 地址：中山中山四路88号盛景尚峰3座2- 5层； 账号：760900017710108。</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（一）关于贯彻落实《中国人民银行中山市中心支行 中山市财政局 中山市经济和信息化局 中山市人民政府金融工作局关于印发的通知》的告知，1、根据《中国人民银行中山市中心支行 中山市财政局 中山市经济和信息化局 中山市 人民政府金融工作局关于印发的通知》（中人银发【2017】82号）规定，凡通过政府采购法定程序取得我市政府采购合同的中小微企 业，均可向辖内开展政府采购质押融资业务的银行机构申请办理融资业务。2、截至当前，辖内开展政府采购质押融资业务的银行机构报备的联系方式如下：政府采购质押融资业务的银行 机构联系人名单 序号 银行机构 经办部门 联系人 联系方式 1 中国农业发展银行中山市分行 客 户业务部 邹可仕 18802598981 信贷与风险管理部 陈小龙 15889891688 2 中国工商 银行中山分行 普惠金融事业部 陈炳菁 18928108782 普惠金融事业部 杨培鹏 1590008 5352 3 中国农业银行中山分行 普惠金融事业部 赖思韵 22644682 4 广发银行中山分行 普惠 金融部 林光宇 88862643 5 中国邮政储蓄银行中山市分行 小企业金融部 黄嘉霖 138247207 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 务管理部 张梓颖 0760-88858067 11 广州银行中山分行 公司金融部 杨顺龙 88776919 12 中信银行中山分行 普惠金融部 陈廷忠 15113386853 普惠金融部 余超贤 1591829182 9 13 渤海银行中山分行 公司金融部 李建夏 13631124024、0760-87911816 分行营 业部 徐艺 13928142042、0760-87911808 14 华夏银行中山分行 营销管理部 叶怡 28137 855 15 东莞银行中山分行 业务部 赵荣耀 13042854636/86939959 16 东亚银行（中国）有 限公司中山支行 中山支行 王涛 89986282/18926998881 17 浦发银行中山分行 交易银行部 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 服务平台（网址：www.crcrfsp.com）确认债权债务关系，支持中小微企业融资。 4、中小微 企业与银行机构签订政府采购质押融资合同的，由采购人牵头与中小微企业和银行机构三方签 署《政府采购合同项下政府采购资金唯一回款账户确认函》，确保合同款支付到中小微企业在 融资银行机构开立的回款账号。 5、财政部门根据《政府采购法》等相关法规、规章规定，对 参加政府采购活动的供应商的不良行为予以记录，并纳入中山市社会征信和金融服务一体化系统，供银行机构融资授信时审慎性参考。</w:t>
            </w:r>
          </w:p>
          <w:p>
            <w:pPr>
              <w:jc w:val="left"/>
            </w:pPr>
            <w:r>
              <w:rPr/>
              <w:t>（二） 需要落实的政府采购政策，《政府采购促进中小企业发展管理办法》（财库﹝ 2020﹞ 46号）；《关于政府采购支持监狱企业发展有关问题的通知》(财库〔2014〕68号)；《关于促进残疾人就业政府采购政策的通知》 （财库〔2017〕141号)；《关于环境标志产品政府采购实施的意见》（财库〔 2006〕90号）；《关于调整优化节能产品、环境标志产品政府采购执行机制的通知》（财库〔2020〕9号）；《关于运用政府采购政策支持脱贫攻坚的通知》；《广东省政府采购促进中小企业发展实施细则》等。</w:t>
            </w:r>
          </w:p>
          <w:p>
            <w:pPr>
              <w:jc w:val="left"/>
            </w:pPr>
            <w:r>
              <w:rPr/>
              <w:t>（三）评审补充说明，1、预算单位、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2、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jc w:val="left"/>
            </w:pPr>
            <w:r>
              <w:rPr/>
              <w:t>（四）其他要求，中标单位在中标结果公告发布后7个工作日内提供与电子投标文件内容一致的纸质投标文件给采购代理机构（投标文件为一式两份，正本一份，须为原件；副本一份，为正本的复印件。正副本封面均须加盖投标人公章并胶装及编写页码，在正副本的封面右上角注明“正本”或“副本”。除招标文件约定外，纸质投标文件须与电子投标文件一致，不一致的以电子投标文件为准）。</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广东省机电设备招标中心有限公司中山分公司</w:t>
      </w:r>
      <w:r>
        <w:rPr/>
        <w:t>代收。具体操作要求详见</w:t>
      </w:r>
      <w:r>
        <w:rPr/>
        <w:t>广东省机电设备招标中心有限公司中山分公司</w:t>
      </w:r>
      <w:r>
        <w:rPr/>
        <w:t>有关指引，递交事宜请自行咨询</w:t>
      </w:r>
      <w:r>
        <w:rPr/>
        <w:t>广东省机电设备招标中心有限公司中山分公司</w:t>
      </w:r>
      <w:r>
        <w:rPr/>
        <w:t>；请各投标人在投标文件递交截止时间前按须知前附表规定的金额递交至</w:t>
      </w:r>
      <w:r>
        <w:rPr/>
        <w:t>广东省机电设备招标中心有限公司中山分公司</w:t>
      </w:r>
      <w:r>
        <w:rPr/>
        <w:t>，到账情况以开标时</w:t>
      </w:r>
      <w:r>
        <w:rPr/>
        <w:t>广东省机电设备招标中心有限公司中山分公司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广东省机电设备招标中心有限公司网（http://www.gdebidding.com）、中山市政府采购网（http://120.234.108.5:8088/zfcg/）</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广东省机电设备招标中心有限公司网（http://www.gdebidding.com）、中山市政府采购网（http://120.234.108.5:8088/zfcg/）</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文女士</w:t>
      </w:r>
    </w:p>
    <w:p>
      <w:pPr>
        <w:ind w:firstLine="480"/>
      </w:pPr>
      <w:r>
        <w:rPr/>
        <w:t>电话：</w:t>
      </w:r>
      <w:r>
        <w:rPr/>
        <w:t>020-66341924</w:t>
      </w:r>
    </w:p>
    <w:p>
      <w:pPr>
        <w:ind w:firstLine="480"/>
      </w:pPr>
      <w:r>
        <w:rPr/>
        <w:t>传真：</w:t>
      </w:r>
      <w:r>
        <w:rPr/>
        <w:t>020-66341967</w:t>
      </w:r>
    </w:p>
    <w:p>
      <w:pPr>
        <w:ind w:firstLine="480"/>
      </w:pPr>
      <w:r>
        <w:rPr/>
        <w:t>邮箱：</w:t>
      </w:r>
      <w:r>
        <w:rPr/>
        <w:t>0760333@163.com</w:t>
      </w:r>
    </w:p>
    <w:p>
      <w:pPr>
        <w:ind w:firstLine="480"/>
      </w:pPr>
      <w:r>
        <w:rPr/>
        <w:t>地址：</w:t>
      </w:r>
      <w:r>
        <w:rPr/>
        <w:t>广州市东风中路515号东照大厦4楼409室</w:t>
      </w:r>
    </w:p>
    <w:p>
      <w:pPr>
        <w:ind w:firstLine="480"/>
      </w:pPr>
      <w:r>
        <w:rPr/>
        <w:t>邮编：</w:t>
      </w:r>
      <w:r>
        <w:rPr/>
        <w:t>510045</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采购包1(蔗糖采购)：综合评分法,是指投标文件满足招标文件全部实质性要求，且按照评审因素的量化指标评审得分最高的投标人为中标候选人的评标方法。（最低报价不是中标的唯一依据。）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广东省机电设备招标中心有限公司中山分公司</w:t>
      </w:r>
      <w:r>
        <w:rPr/>
        <w:t>统一对外发布。</w:t>
      </w:r>
    </w:p>
    <w:p>
      <w:pPr>
        <w:ind w:firstLine="480"/>
      </w:pPr>
      <w:r>
        <w:rPr/>
        <w:t>（2）对</w:t>
      </w:r>
      <w:r>
        <w:rPr/>
        <w:t>广东省机电设备招标中心有限公司中山分公司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采购包1（蔗糖采购）：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采购包1（蔗糖采购）：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投标人为生产企业的，须具备药监部门颁发的《药品生产许可证》；投标人为经营企业的，须提供所投货物的生产企业具备药监部门颁发的《药品生产许可证》；以上证书须在有效期内，提供证书复印件。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本项目不属于专门面向中小企业采购的项目。采购标的对应的中小企业划分标准所属行业为工业。</w:t>
            </w:r>
          </w:p>
        </w:tc>
      </w:tr>
    </w:tbl>
    <w:p/>
    <w:p>
      <w:pPr>
        <w:ind w:firstLine="480"/>
      </w:pPr>
      <w:r>
        <w:rPr/>
        <w:t>表二符合性审查表：</w:t>
      </w:r>
    </w:p>
    <w:p>
      <w:pPr>
        <w:ind w:firstLine="480"/>
      </w:pPr>
    </w:p>
    <w:p/>
    <w:p>
      <w:r>
        <w:rPr/>
        <w:t>采购包1（蔗糖采购）：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投标函及投标有效期符合要求。</w:t>
            </w:r>
          </w:p>
        </w:tc>
      </w:tr>
      <w:tr>
        <w:tc>
          <w:tcPr>
            <w:tcW w:type="dxa" w:w="890"/>
          </w:tcPr>
          <w:p>
            <w:r>
              <w:rPr/>
              <w:t>2</w:t>
            </w:r>
          </w:p>
        </w:tc>
        <w:tc>
          <w:tcPr>
            <w:tcW w:type="dxa" w:w="3178"/>
          </w:tcPr>
          <w:p>
            <w:r>
              <w:rPr/>
              <w:t>签署、盖章</w:t>
            </w:r>
          </w:p>
        </w:tc>
        <w:tc>
          <w:tcPr>
            <w:tcW w:type="dxa" w:w="4238"/>
          </w:tcPr>
          <w:p>
            <w:r>
              <w:rPr/>
              <w:t>按照招标文件规定加盖公章和签署。</w:t>
            </w:r>
          </w:p>
        </w:tc>
      </w:tr>
      <w:tr>
        <w:tc>
          <w:tcPr>
            <w:tcW w:type="dxa" w:w="890"/>
          </w:tcPr>
          <w:p>
            <w:r>
              <w:rPr/>
              <w:t>3</w:t>
            </w:r>
          </w:p>
        </w:tc>
        <w:tc>
          <w:tcPr>
            <w:tcW w:type="dxa" w:w="3178"/>
          </w:tcPr>
          <w:p>
            <w:r>
              <w:rPr/>
              <w:t>投标报价</w:t>
            </w:r>
          </w:p>
        </w:tc>
        <w:tc>
          <w:tcPr>
            <w:tcW w:type="dxa" w:w="4238"/>
          </w:tcPr>
          <w:p>
            <w:r>
              <w:rPr/>
              <w:t>投标报价符合招标文件的要求。</w:t>
            </w:r>
          </w:p>
        </w:tc>
      </w:tr>
      <w:tr>
        <w:tc>
          <w:tcPr>
            <w:tcW w:type="dxa" w:w="890"/>
          </w:tcPr>
          <w:p>
            <w:r>
              <w:rPr/>
              <w:t>4</w:t>
            </w:r>
          </w:p>
        </w:tc>
        <w:tc>
          <w:tcPr>
            <w:tcW w:type="dxa" w:w="3178"/>
          </w:tcPr>
          <w:p>
            <w:r>
              <w:rPr/>
              <w:t>★号条款要求</w:t>
            </w:r>
          </w:p>
        </w:tc>
        <w:tc>
          <w:tcPr>
            <w:tcW w:type="dxa" w:w="4238"/>
          </w:tcPr>
          <w:p>
            <w:r>
              <w:rPr/>
              <w:t>满足招标文件★号条款要求。</w:t>
            </w:r>
          </w:p>
        </w:tc>
      </w:tr>
      <w:tr>
        <w:tc>
          <w:tcPr>
            <w:tcW w:type="dxa" w:w="890"/>
          </w:tcPr>
          <w:p>
            <w:r>
              <w:rPr/>
              <w:t>5</w:t>
            </w:r>
          </w:p>
        </w:tc>
        <w:tc>
          <w:tcPr>
            <w:tcW w:type="dxa" w:w="3178"/>
          </w:tcPr>
          <w:p>
            <w:r>
              <w:rPr/>
              <w:t>废标的其他情形</w:t>
            </w:r>
          </w:p>
        </w:tc>
        <w:tc>
          <w:tcPr>
            <w:tcW w:type="dxa" w:w="4238"/>
          </w:tcPr>
          <w:p>
            <w:r>
              <w:rPr/>
              <w:t>无招标文件或法规明确规定废标的其他情形。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采购包1(蔗糖采购):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服务方案及质量保证措施 (10.0分)</w:t>
            </w:r>
          </w:p>
        </w:tc>
        <w:tc>
          <w:tcPr>
            <w:tcW w:type="dxa" w:w="5076"/>
          </w:tcPr>
          <w:p>
            <w:pPr>
              <w:jc w:val="left"/>
            </w:pPr>
            <w:r>
              <w:rPr/>
              <w:t>投标人提供的服务方案、质量保证措施情况： 1、方案内容全面详实、对各阶段工作部署周密，人员构成科学合理，职责分工明确，供货安排紧凑，质量安全保障措施详细有效，供货能力稳定性高和产品质量可靠性好的，得10分；  2、方案较合理可行，内容完整，对各阶段工作均有部署，人员安排合理，供货安排满足项目要求，质量安全保障措施较详细有效，供货能力稳定性较高和产品质量可靠性较好的，得7分； 3、服务方案内容一般，各阶段工作的部署或人员安排不合理，有不能按时供货的风险，质量安全保障措施一般的，供货能力稳定性一般和产品质量可靠性一般的，得4分；  4、服务方案不完善或供货能力稳定性差或没有提供服务方案的不得分。</w:t>
            </w:r>
          </w:p>
        </w:tc>
      </w:tr>
      <w:tr>
        <w:tc>
          <w:tcPr>
            <w:tcW w:type="dxa" w:w="922"/>
            <w:gridSpan w:val="2"/>
            <w:vMerge/>
          </w:tcPr>
          <w:p/>
        </w:tc>
        <w:tc>
          <w:tcPr>
            <w:tcW w:type="dxa" w:w="2307"/>
          </w:tcPr>
          <w:p>
            <w:pPr>
              <w:jc w:val="left"/>
            </w:pPr>
            <w:r>
              <w:rPr/>
              <w:t>组织管理、工序、设备情况 (10.0分)</w:t>
            </w:r>
          </w:p>
        </w:tc>
        <w:tc>
          <w:tcPr>
            <w:tcW w:type="dxa" w:w="5076"/>
          </w:tcPr>
          <w:p>
            <w:pPr>
              <w:jc w:val="left"/>
            </w:pPr>
            <w:r>
              <w:rPr/>
              <w:t>根据生产企业在生产产品的组织管理和工序及设备投入情况进行评审： 1、组织管理和工序科学合理，设备先进，得10分； 2、组织管理和工序比较科学合理，设备比较先进，得7分； 3、组织管理和工序一般，设备情况一般，得4分。4、组织管理、工序差或没有提供证明文件的不得分。 （需提供生产企业生产现场的图片，购买生产设备的发票或设备的租赁合同等相关证明文件复印件，没有提供不得分）</w:t>
            </w:r>
          </w:p>
        </w:tc>
      </w:tr>
      <w:tr>
        <w:tc>
          <w:tcPr>
            <w:tcW w:type="dxa" w:w="922"/>
            <w:gridSpan w:val="2"/>
            <w:vMerge/>
          </w:tcPr>
          <w:p/>
        </w:tc>
        <w:tc>
          <w:tcPr>
            <w:tcW w:type="dxa" w:w="2307"/>
          </w:tcPr>
          <w:p>
            <w:pPr>
              <w:jc w:val="left"/>
            </w:pPr>
            <w:r>
              <w:rPr/>
              <w:t>供货应急保障措施 (10.0分)</w:t>
            </w:r>
          </w:p>
        </w:tc>
        <w:tc>
          <w:tcPr>
            <w:tcW w:type="dxa" w:w="5076"/>
          </w:tcPr>
          <w:p>
            <w:pPr>
              <w:jc w:val="left"/>
            </w:pPr>
            <w:r>
              <w:rPr/>
              <w:t>根据投标人提交的供货应急保障措施进行评审： 1、供货应急保障措施全面考虑项目面临的各潜在风险，对各类突发性事件制定的处理措施和应急预案切实可行的，得10分； 2、对各类突发性事件制定的处理措施和应急预案考虑情况较全面，较能满足采购人需求的，得7分；3、对各类突发性事件制定的处理措施和应急预案考虑情况一般的，得4分； 4、未提供供货应急保障措施的，或处理措施及应急可操作性不强的不得分。</w:t>
            </w:r>
          </w:p>
        </w:tc>
      </w:tr>
      <w:tr>
        <w:tc>
          <w:tcPr>
            <w:tcW w:type="dxa" w:w="922"/>
            <w:gridSpan w:val="2"/>
            <w:vMerge/>
          </w:tcPr>
          <w:p/>
        </w:tc>
        <w:tc>
          <w:tcPr>
            <w:tcW w:type="dxa" w:w="2307"/>
          </w:tcPr>
          <w:p>
            <w:pPr>
              <w:jc w:val="left"/>
            </w:pPr>
            <w:r>
              <w:rPr/>
              <w:t>售后服务 (10.0分)</w:t>
            </w:r>
          </w:p>
        </w:tc>
        <w:tc>
          <w:tcPr>
            <w:tcW w:type="dxa" w:w="5076"/>
          </w:tcPr>
          <w:p>
            <w:pPr>
              <w:jc w:val="left"/>
            </w:pPr>
            <w:r>
              <w:rPr/>
              <w:t>根据投标人提供的售后服务方案 (含质保期、人员安排、退换货、质量事故处理售后等内容) 进行评审： 1.方案非常明确、详尽，合理，可操作性非常强的，得10分； 2.方案较明确、详尽，合理，可操作性较强的，得7分； 3.方案基本明确、合理，可操作性一般的，得4分；4、没有提供售后服务方案不得分。</w:t>
            </w:r>
          </w:p>
        </w:tc>
      </w:tr>
      <w:tr>
        <w:tc>
          <w:tcPr>
            <w:tcW w:type="dxa" w:w="922"/>
            <w:gridSpan w:val="2"/>
            <w:vMerge w:val="restart"/>
          </w:tcPr>
          <w:p>
            <w:pPr>
              <w:jc w:val="center"/>
            </w:pPr>
            <w:r>
              <w:rPr/>
              <w:t>商务部分</w:t>
            </w:r>
          </w:p>
        </w:tc>
        <w:tc>
          <w:tcPr>
            <w:tcW w:type="dxa" w:w="2307"/>
          </w:tcPr>
          <w:p>
            <w:pPr>
              <w:jc w:val="left"/>
            </w:pPr>
            <w:r>
              <w:rPr/>
              <w:t>仓储能力 (10.0分)</w:t>
            </w:r>
          </w:p>
        </w:tc>
        <w:tc>
          <w:tcPr>
            <w:tcW w:type="dxa" w:w="5076"/>
          </w:tcPr>
          <w:p>
            <w:pPr>
              <w:jc w:val="left"/>
            </w:pPr>
            <w:r>
              <w:rPr/>
              <w:t>根据投标人提供药用辅料蔗糖的仓储条件、库存充足性、控湿控温设备及仓储方案进行评审:   1、投标人有能力保证储存条件的仓库，仓库整体规划以及阴凉区配置科学合理，控湿控温设备完善，药用辅料蔗糖库存充足等，得10分； 2、投标人库存较充足，仓库整体规划以及阴凉区配置较合理，控湿控温设备较完善的，得7分；3、投标人库存不充足，仓库整体规划、阴凉区配置欠合理，控湿控温设备不完善的，得4分； 4、没有提供证明文件的不得分。   注:投标文件中须提供①仓库自有产权证明或仓库租赁合同或与仓库的合作服务合同（合同期须涵盖本项目的服务期内）。②仓库存储照片、仓储方案、控湿控温设备列表、仓库近三个月内有手写签名的温湿度记录表等能证明以上评审内容的资料。</w:t>
            </w:r>
          </w:p>
        </w:tc>
      </w:tr>
      <w:tr>
        <w:tc>
          <w:tcPr>
            <w:tcW w:type="dxa" w:w="922"/>
            <w:gridSpan w:val="2"/>
            <w:vMerge/>
          </w:tcPr>
          <w:p/>
        </w:tc>
        <w:tc>
          <w:tcPr>
            <w:tcW w:type="dxa" w:w="2307"/>
          </w:tcPr>
          <w:p>
            <w:pPr>
              <w:jc w:val="left"/>
            </w:pPr>
            <w:r>
              <w:rPr/>
              <w:t>业绩 (20.0分)</w:t>
            </w:r>
          </w:p>
        </w:tc>
        <w:tc>
          <w:tcPr>
            <w:tcW w:type="dxa" w:w="5076"/>
          </w:tcPr>
          <w:p>
            <w:pPr>
              <w:jc w:val="left"/>
            </w:pPr>
            <w:r>
              <w:rPr/>
              <w:t>投标人自2020年1月1日（以合同签订时间为准）以来承接的同类项目业绩情况：每提供1个合同得4分，最高得20分。 注：投标人在投标文件中提供合同关键页复印件并加盖投标人公章，未按要求提供不得分。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本项目以折扣率报价，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rPr>
          <w:b/>
          <w:sz w:val="24"/>
        </w:rPr>
        <w:t>注：本合同仅为合同的参考文本，具体要求以采购需求内容为准 ，合同签订双方可根据项目的具体要求进行修订，但不得偏离实质性条款。</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sz w:val="24"/>
              </w:rPr>
              <w:t>名称</w:t>
            </w:r>
          </w:p>
        </w:tc>
        <w:tc>
          <w:tcPr>
            <w:tcW w:type="dxa" w:w="3516"/>
            <w:tcBorders>
              <w:top w:val="single" w:color="CCCCCC" w:sz="4"/>
              <w:bottom w:val="single" w:color="CCCCCC" w:sz="8"/>
              <w:right w:val="single" w:color="CCCCCC" w:sz="4"/>
            </w:tcBorders>
            <w:vAlign w:val="center"/>
          </w:tcPr>
          <w:p>
            <w:pPr>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vAlign w:val="center"/>
          </w:tcPr>
          <w:p>
            <w:pPr>
              <w:jc w:val="both"/>
            </w:pPr>
            <w:r>
              <w:rPr>
                <w:sz w:val="24"/>
              </w:rPr>
              <w:t>产地</w:t>
            </w:r>
          </w:p>
        </w:tc>
        <w:tc>
          <w:tcPr>
            <w:tcW w:type="dxa" w:w="470"/>
            <w:tcBorders>
              <w:top w:val="single" w:color="CCCCCC" w:sz="4"/>
              <w:bottom w:val="single" w:color="CCCCCC" w:sz="8"/>
              <w:right w:val="single" w:color="CCCCCC" w:sz="4"/>
            </w:tcBorders>
            <w:vAlign w:val="center"/>
          </w:tcPr>
          <w:p>
            <w:pPr>
              <w:jc w:val="center"/>
            </w:pPr>
            <w:r>
              <w:rPr>
                <w:sz w:val="24"/>
              </w:rPr>
              <w:t>数量</w:t>
            </w:r>
          </w:p>
        </w:tc>
        <w:tc>
          <w:tcPr>
            <w:tcW w:type="dxa" w:w="470"/>
            <w:tcBorders>
              <w:top w:val="single" w:color="CCCCCC" w:sz="4"/>
              <w:bottom w:val="single" w:color="CCCCCC" w:sz="8"/>
              <w:right w:val="single" w:color="CCCCCC" w:sz="4"/>
            </w:tcBorders>
            <w:vAlign w:val="center"/>
          </w:tcPr>
          <w:p>
            <w:pPr>
              <w:jc w:val="center"/>
            </w:pPr>
            <w:r>
              <w:rPr>
                <w:sz w:val="24"/>
              </w:rPr>
              <w:t>单位</w:t>
            </w:r>
          </w:p>
        </w:tc>
        <w:tc>
          <w:tcPr>
            <w:tcW w:type="dxa" w:w="705"/>
            <w:tcBorders>
              <w:top w:val="single" w:color="CCCCCC" w:sz="4"/>
              <w:bottom w:val="single" w:color="CCCCCC" w:sz="8"/>
              <w:right w:val="single" w:color="CCCCCC" w:sz="4"/>
            </w:tcBorders>
            <w:vAlign w:val="center"/>
          </w:tcPr>
          <w:p>
            <w:pPr>
              <w:jc w:val="center"/>
            </w:pPr>
            <w:r>
              <w:rPr>
                <w:sz w:val="24"/>
              </w:rPr>
              <w:t>单价</w:t>
            </w:r>
          </w:p>
          <w:p>
            <w:pPr>
              <w:jc w:val="center"/>
            </w:pPr>
            <w:r>
              <w:rPr>
                <w:sz w:val="24"/>
              </w:rPr>
              <w:t>（元）</w:t>
            </w:r>
          </w:p>
        </w:tc>
        <w:tc>
          <w:tcPr>
            <w:tcW w:type="dxa" w:w="705"/>
            <w:tcBorders>
              <w:top w:val="single" w:color="CCCCCC" w:sz="4"/>
              <w:bottom w:val="single" w:color="CCCCCC" w:sz="8"/>
              <w:right w:val="single" w:color="CCCCCC" w:sz="4"/>
            </w:tcBorders>
            <w:vAlign w:val="center"/>
          </w:tcPr>
          <w:p>
            <w:pPr>
              <w:jc w:val="center"/>
            </w:pPr>
            <w:r>
              <w:rPr>
                <w:sz w:val="24"/>
              </w:rPr>
              <w:t>金额</w:t>
            </w:r>
          </w:p>
          <w:p>
            <w:pPr>
              <w:jc w:val="center"/>
            </w:pPr>
            <w:r>
              <w:rPr>
                <w:sz w:val="24"/>
              </w:rPr>
              <w:t>（元）</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r>
              <w:rPr>
                <w:sz w:val="24"/>
              </w:rPr>
              <w:t>**</w:t>
            </w:r>
          </w:p>
        </w:tc>
        <w:tc>
          <w:tcPr>
            <w:tcW w:type="dxa" w:w="3516"/>
            <w:tcBorders>
              <w:bottom w:val="single" w:color="CCCCCC" w:sz="4"/>
              <w:right w:val="single" w:color="CCCCCC" w:sz="4"/>
            </w:tcBorders>
            <w:vAlign w:val="center"/>
          </w:tcPr>
          <w:p>
            <w:pPr>
              <w:jc w:val="center"/>
            </w:pPr>
            <w:r>
              <w:rPr>
                <w:sz w:val="24"/>
              </w:rPr>
              <w:t>**</w:t>
            </w:r>
            <w:r>
              <w:rPr>
                <w:sz w:val="24"/>
              </w:rPr>
              <w:t xml:space="preserve"> </w:t>
            </w:r>
          </w:p>
        </w:tc>
        <w:tc>
          <w:tcPr>
            <w:tcW w:type="dxa" w:w="696"/>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470"/>
            <w:tcBorders>
              <w:bottom w:val="single" w:color="CCCCCC" w:sz="4"/>
              <w:right w:val="single" w:color="CCCCCC" w:sz="4"/>
            </w:tcBorders>
            <w:vAlign w:val="center"/>
          </w:tcPr>
          <w:p>
            <w:pPr>
              <w:jc w:val="center"/>
            </w:pPr>
            <w:r>
              <w:rPr>
                <w:sz w:val="24"/>
              </w:rPr>
              <w:t>**</w:t>
            </w: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r>
              <w:rPr>
                <w:sz w:val="24"/>
              </w:rPr>
              <w:t>**</w:t>
            </w:r>
          </w:p>
        </w:tc>
        <w:tc>
          <w:tcPr>
            <w:tcW w:type="dxa" w:w="705"/>
            <w:tcBorders>
              <w:bottom w:val="single" w:color="CCCCCC" w:sz="4"/>
              <w:right w:val="single" w:color="CCCCCC" w:sz="4"/>
            </w:tcBorders>
            <w:vAlign w:val="center"/>
          </w:tcPr>
          <w:p>
            <w:pPr>
              <w:jc w:val="center"/>
            </w:pPr>
            <w:r>
              <w:rPr>
                <w:sz w:val="24"/>
              </w:rPr>
              <w:t>**</w:t>
            </w: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sz w:val="24"/>
              </w:rPr>
              <w:t xml:space="preserve"> </w:t>
            </w:r>
          </w:p>
        </w:tc>
        <w:tc>
          <w:tcPr>
            <w:tcW w:type="dxa" w:w="3516"/>
            <w:tcBorders>
              <w:bottom w:val="single" w:color="CCCCCC" w:sz="4"/>
              <w:right w:val="single" w:color="CCCCCC" w:sz="4"/>
            </w:tcBorders>
            <w:vAlign w:val="center"/>
          </w:tcPr>
          <w:p>
            <w:pPr>
              <w:jc w:val="center"/>
            </w:pPr>
            <w:r>
              <w:rPr>
                <w:sz w:val="24"/>
              </w:rPr>
              <w:t xml:space="preserve"> </w:t>
            </w:r>
          </w:p>
        </w:tc>
        <w:tc>
          <w:tcPr>
            <w:tcW w:type="dxa" w:w="696"/>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470"/>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c>
          <w:tcPr>
            <w:tcW w:type="dxa" w:w="705"/>
            <w:tcBorders>
              <w:bottom w:val="single" w:color="CCCCCC" w:sz="4"/>
              <w:right w:val="single" w:color="CCCCCC" w:sz="4"/>
            </w:tcBorders>
            <w:vAlign w:val="center"/>
          </w:tcPr>
          <w:p>
            <w:pPr>
              <w:jc w:val="center"/>
            </w:pPr>
            <w:r>
              <w:rPr>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sz w:val="24"/>
              </w:rPr>
              <w:t>合计：人民币大写：**元整</w:t>
            </w:r>
          </w:p>
        </w:tc>
        <w:tc>
          <w:tcPr>
            <w:tcW w:type="dxa" w:w="705"/>
            <w:tcBorders>
              <w:bottom w:val="single" w:color="CCCCCC" w:sz="4"/>
              <w:right w:val="single" w:color="CCCCCC" w:sz="4"/>
            </w:tcBorders>
            <w:vAlign w:val="center"/>
          </w:tcPr>
          <w:p>
            <w:pPr>
              <w:jc w:val="center"/>
            </w:pPr>
            <w:r>
              <w:rPr>
                <w:sz w:val="24"/>
              </w:rPr>
              <w:t>￥：**</w:t>
            </w:r>
          </w:p>
        </w:tc>
      </w:tr>
      <w:tr>
        <w:tc>
          <w:tcPr>
            <w:tcW w:type="dxa" w:w="696"/>
            <w:tcBorders>
              <w:top w:val="none" w:color="000000" w:sz="4"/>
              <w:left w:val="none" w:color="000000" w:sz="4"/>
              <w:bottom w:val="none" w:color="000000" w:sz="4"/>
              <w:right w:val="none" w:color="000000" w:sz="4"/>
            </w:tcBorders>
          </w:tcPr>
          <w:p>
            <w:r>
              <w:rPr/>
              <w:t xml:space="preserve"> </w:t>
            </w:r>
          </w:p>
        </w:tc>
        <w:tc>
          <w:tcPr>
            <w:tcW w:type="dxa" w:w="3516"/>
            <w:tcBorders>
              <w:top w:val="none" w:color="000000" w:sz="4"/>
              <w:left w:val="none" w:color="000000" w:sz="4"/>
              <w:bottom w:val="none" w:color="000000" w:sz="4"/>
              <w:right w:val="none" w:color="000000" w:sz="4"/>
            </w:tcBorders>
          </w:tcPr>
          <w:p>
            <w:r>
              <w:rPr/>
              <w:t xml:space="preserve"> </w:t>
            </w:r>
          </w:p>
        </w:tc>
        <w:tc>
          <w:tcPr>
            <w:tcW w:type="dxa" w:w="696"/>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470"/>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c>
          <w:tcPr>
            <w:tcW w:type="dxa" w:w="705"/>
            <w:tcBorders>
              <w:top w:val="none" w:color="000000" w:sz="4"/>
              <w:left w:val="none" w:color="000000" w:sz="4"/>
              <w:bottom w:val="none" w:color="000000" w:sz="4"/>
              <w:right w:val="none" w:color="000000" w:sz="4"/>
            </w:tcBorders>
          </w:tcPr>
          <w:p>
            <w:r>
              <w:rPr/>
              <w:t xml:space="preserve"> </w:t>
            </w:r>
          </w:p>
        </w:tc>
      </w:tr>
    </w:tbl>
    <w:p>
      <w:pPr>
        <w:jc w:val="both"/>
      </w:pPr>
      <w:r>
        <w:rPr>
          <w:sz w:val="32"/>
        </w:rPr>
        <w:t xml:space="preserve"> </w:t>
      </w:r>
    </w:p>
    <w:p>
      <w:pPr>
        <w:ind w:firstLine="400"/>
        <w:jc w:val="both"/>
      </w:pPr>
      <w:r>
        <w:rPr>
          <w:sz w:val="27"/>
        </w:rPr>
        <w:t>合同总额包括乙方货物、标配工具、运输保险、调试、培训、质保期服务、各项税费及合同实施过程中不可预见费用等。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w:t>
      </w:r>
      <w:r>
        <w:rPr>
          <w:b/>
          <w:sz w:val="27"/>
        </w:rPr>
        <w:t>合同金额</w:t>
      </w:r>
    </w:p>
    <w:p>
      <w:pPr>
        <w:jc w:val="both"/>
      </w:pPr>
      <w:r>
        <w:rPr>
          <w:sz w:val="27"/>
        </w:rPr>
        <w:t>合同金额为（大写）：_________________元（￥_______________元）人民币。</w:t>
      </w:r>
    </w:p>
    <w:p>
      <w:pPr>
        <w:jc w:val="both"/>
      </w:pPr>
      <w:r>
        <w:rPr>
          <w:b/>
          <w:sz w:val="27"/>
        </w:rPr>
        <w:t>三、</w:t>
      </w:r>
      <w:r>
        <w:rPr>
          <w:b/>
          <w:sz w:val="27"/>
        </w:rPr>
        <w:t>设备要求</w:t>
      </w:r>
    </w:p>
    <w:p>
      <w:pPr>
        <w:jc w:val="both"/>
      </w:pPr>
      <w:r>
        <w:rPr>
          <w:sz w:val="27"/>
        </w:rPr>
        <w:t>货物为原制造商制造的全新产品，整机无污染，无侵权行为、表面无划损、无任何缺陷隐患，在中国境内可依常规安全合法使用。</w:t>
      </w:r>
    </w:p>
    <w:p>
      <w:pPr>
        <w:jc w:val="both"/>
      </w:pPr>
      <w:r>
        <w:rPr>
          <w:b/>
          <w:sz w:val="27"/>
        </w:rPr>
        <w:t>四、</w:t>
      </w:r>
      <w:r>
        <w:rPr>
          <w:b/>
          <w:sz w:val="27"/>
        </w:rPr>
        <w:t>交货期、交货方式及交货地点</w:t>
      </w:r>
    </w:p>
    <w:p>
      <w:pPr>
        <w:jc w:val="both"/>
      </w:pPr>
      <w:r>
        <w:rPr>
          <w:sz w:val="27"/>
        </w:rPr>
        <w:t xml:space="preserve">       </w:t>
      </w:r>
      <w:r>
        <w:rPr>
          <w:sz w:val="27"/>
        </w:rPr>
        <w:t>1.</w:t>
      </w:r>
      <w:r>
        <w:rPr>
          <w:sz w:val="27"/>
        </w:rPr>
        <w:t>交货期：</w:t>
      </w:r>
    </w:p>
    <w:p>
      <w:pPr>
        <w:jc w:val="both"/>
      </w:pPr>
      <w:r>
        <w:rPr>
          <w:sz w:val="27"/>
        </w:rPr>
        <w:t xml:space="preserve">       </w:t>
      </w:r>
      <w:r>
        <w:rPr>
          <w:sz w:val="27"/>
        </w:rPr>
        <w:t>2.</w:t>
      </w:r>
      <w:r>
        <w:rPr>
          <w:sz w:val="27"/>
        </w:rPr>
        <w:t>交货方式：</w:t>
      </w:r>
    </w:p>
    <w:p>
      <w:pPr>
        <w:jc w:val="both"/>
      </w:pPr>
      <w:r>
        <w:rPr>
          <w:sz w:val="27"/>
        </w:rPr>
        <w:t xml:space="preserve">       </w:t>
      </w:r>
      <w:r>
        <w:rPr>
          <w:sz w:val="27"/>
        </w:rPr>
        <w:t>3.</w:t>
      </w:r>
      <w:r>
        <w:rPr>
          <w:sz w:val="27"/>
        </w:rPr>
        <w:t>交货地点：</w:t>
      </w:r>
    </w:p>
    <w:p>
      <w:pPr>
        <w:jc w:val="both"/>
      </w:pPr>
      <w:r>
        <w:rPr>
          <w:b/>
          <w:sz w:val="27"/>
        </w:rPr>
        <w:t>五、</w:t>
      </w:r>
      <w:r>
        <w:rPr>
          <w:b/>
          <w:sz w:val="27"/>
        </w:rPr>
        <w:t>付款方式</w:t>
      </w:r>
    </w:p>
    <w:p>
      <w:pPr>
        <w:jc w:val="both"/>
      </w:pPr>
      <w:r>
        <w:rPr>
          <w:sz w:val="27"/>
        </w:rPr>
        <w:t>由甲方按下列程序在</w:t>
      </w:r>
      <w:r>
        <w:rPr>
          <w:sz w:val="27"/>
          <w:u w:val="single"/>
        </w:rPr>
        <w:t xml:space="preserve">       </w:t>
      </w:r>
      <w:r>
        <w:rPr>
          <w:sz w:val="27"/>
        </w:rPr>
        <w:t>内付款：</w:t>
      </w:r>
    </w:p>
    <w:p>
      <w:pPr>
        <w:jc w:val="both"/>
      </w:pPr>
      <w:r>
        <w:rPr>
          <w:sz w:val="27"/>
        </w:rPr>
        <w:t>药用辅料蔗糖验收合格后，甲方以实际收货数量为准，按日签单，按月对账，凭乙方开具的有效发票支付货款。从收发票日起算，对于符合支付条件的，按甲方相关规定流程及时限完成结算和支付工作。</w:t>
      </w:r>
    </w:p>
    <w:p>
      <w:pPr>
        <w:jc w:val="both"/>
      </w:pPr>
      <w:r>
        <w:rPr>
          <w:b/>
          <w:sz w:val="27"/>
        </w:rPr>
        <w:t>六、</w:t>
      </w:r>
      <w:r>
        <w:rPr>
          <w:b/>
          <w:sz w:val="27"/>
        </w:rPr>
        <w:t>质保期及售后服务要求</w:t>
      </w:r>
    </w:p>
    <w:p>
      <w:pPr>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jc w:val="both"/>
      </w:pPr>
      <w:r>
        <w:rPr>
          <w:sz w:val="27"/>
        </w:rPr>
        <w:t>2.</w:t>
      </w:r>
      <w:r>
        <w:rPr>
          <w:sz w:val="27"/>
        </w:rPr>
        <w:t>质保期内，如设备或零部件因质量原因出现故障而造成短期停用时，则质保期和免费维修期相应顺延。如停用时间累计超过60天则质保期重新计算。</w:t>
      </w:r>
    </w:p>
    <w:p>
      <w:pPr>
        <w:jc w:val="both"/>
      </w:pPr>
      <w:r>
        <w:rPr>
          <w:sz w:val="27"/>
        </w:rPr>
        <w:t>3.</w:t>
      </w:r>
      <w:r>
        <w:rPr>
          <w:sz w:val="27"/>
        </w:rPr>
        <w:t>对甲方的服务通知，乙方在接报后1小时内响应，4小时内到达现场，48小时内处理完毕。若在48小时内仍未能有效解决，乙方须免费提供同档次的设备予甲方临时使用。</w:t>
      </w:r>
    </w:p>
    <w:p>
      <w:pPr>
        <w:jc w:val="both"/>
      </w:pPr>
      <w:r>
        <w:rPr>
          <w:b/>
          <w:sz w:val="27"/>
        </w:rPr>
        <w:t>七、</w:t>
      </w:r>
      <w:r>
        <w:rPr>
          <w:b/>
          <w:sz w:val="27"/>
        </w:rPr>
        <w:t>安装与调试</w:t>
      </w:r>
    </w:p>
    <w:p>
      <w:pPr>
        <w:jc w:val="both"/>
      </w:pPr>
      <w:r>
        <w:rPr>
          <w:sz w:val="27"/>
        </w:rPr>
        <w:t>1.</w:t>
      </w:r>
      <w:r>
        <w:rPr>
          <w:sz w:val="27"/>
        </w:rPr>
        <w:t>乙方必须依照招标文件的要求和报价文件的承诺，将设备、系统安装并调试至正常运行的最佳状态。</w:t>
      </w:r>
    </w:p>
    <w:p>
      <w:pPr>
        <w:jc w:val="both"/>
      </w:pPr>
      <w:r>
        <w:rPr>
          <w:b/>
          <w:sz w:val="27"/>
        </w:rPr>
        <w:t>八、</w:t>
      </w:r>
      <w:r>
        <w:rPr>
          <w:b/>
          <w:sz w:val="27"/>
        </w:rPr>
        <w:t>验收：</w:t>
      </w:r>
    </w:p>
    <w:p>
      <w:pPr>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jc w:val="both"/>
      </w:pPr>
      <w:r>
        <w:rPr>
          <w:sz w:val="27"/>
        </w:rPr>
        <w:t>2.</w:t>
      </w:r>
      <w:r>
        <w:rPr>
          <w:sz w:val="27"/>
        </w:rPr>
        <w:t>进口产品必须具备原产地证明和商检局的检验证明及合法进货渠道证明。</w:t>
      </w:r>
    </w:p>
    <w:p>
      <w:pPr>
        <w:jc w:val="both"/>
      </w:pPr>
      <w:r>
        <w:rPr>
          <w:sz w:val="27"/>
        </w:rPr>
        <w:t>3.</w:t>
      </w:r>
      <w:r>
        <w:rPr>
          <w:sz w:val="27"/>
        </w:rPr>
        <w:t>货物为原厂商未启封全新包装，具出厂合格证，序列号、包装箱号与出厂批号一致，并可追索查阅。所有随设备的附件必须齐全。</w:t>
      </w:r>
    </w:p>
    <w:p>
      <w:pPr>
        <w:jc w:val="both"/>
      </w:pPr>
      <w:r>
        <w:rPr>
          <w:sz w:val="27"/>
        </w:rPr>
        <w:t>4.</w:t>
      </w:r>
      <w:r>
        <w:rPr>
          <w:sz w:val="27"/>
        </w:rPr>
        <w:t>乙方应将关键主机设备的用户手册、保修手册、有关单证资料及配备件、随机工具等交付给甲方，使用操作及安全须知等重要资料应附有中文说明。</w:t>
      </w:r>
    </w:p>
    <w:p>
      <w:pPr>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jc w:val="both"/>
      </w:pPr>
      <w:r>
        <w:rPr>
          <w:b/>
          <w:sz w:val="27"/>
        </w:rPr>
        <w:t>九、</w:t>
      </w:r>
      <w:r>
        <w:rPr>
          <w:b/>
          <w:sz w:val="27"/>
        </w:rPr>
        <w:t>违约责任与赔偿损失</w:t>
      </w:r>
    </w:p>
    <w:p>
      <w:pPr>
        <w:jc w:val="both"/>
      </w:pPr>
      <w:r>
        <w:rPr>
          <w:sz w:val="27"/>
        </w:rPr>
        <w:t>1.</w:t>
      </w:r>
      <w:r>
        <w:rPr>
          <w:sz w:val="27"/>
        </w:rPr>
        <w:t>乙方交付的货物、工程/提供的服务不符合本合同规定的，甲方有权拒收，并且乙方须向甲方支付本合同总价5%的违约金。</w:t>
      </w:r>
    </w:p>
    <w:p>
      <w:pPr>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jc w:val="both"/>
      </w:pPr>
      <w:r>
        <w:rPr>
          <w:sz w:val="27"/>
        </w:rPr>
        <w:t>4.   对于因甲方原因导致变更、中止或者终止政府采购合同的，甲方应当依照以下合同约定对供应商受到的损失予以赔偿或者补偿：</w:t>
      </w:r>
    </w:p>
    <w:p>
      <w:pPr>
        <w:jc w:val="both"/>
      </w:pPr>
      <w:r>
        <w:rPr>
          <w:sz w:val="27"/>
        </w:rPr>
        <w:t xml:space="preserve">       </w:t>
      </w:r>
      <w:r>
        <w:rPr>
          <w:sz w:val="27"/>
          <w:u w:val="single"/>
        </w:rPr>
        <w:t xml:space="preserve">                                                </w:t>
      </w:r>
    </w:p>
    <w:p>
      <w:pPr>
        <w:jc w:val="both"/>
      </w:pPr>
      <w:r>
        <w:rPr>
          <w:sz w:val="27"/>
        </w:rPr>
        <w:t>5.</w:t>
      </w:r>
      <w:r>
        <w:rPr>
          <w:sz w:val="27"/>
        </w:rPr>
        <w:t>其它违约责任按《中华人民</w:t>
      </w:r>
      <w:r>
        <w:rPr>
          <w:sz w:val="27"/>
        </w:rPr>
        <w:t>共和国民法典(合同编)》处理。</w:t>
      </w:r>
    </w:p>
    <w:p>
      <w:pPr>
        <w:jc w:val="both"/>
      </w:pPr>
      <w:r>
        <w:rPr>
          <w:b/>
          <w:sz w:val="27"/>
        </w:rPr>
        <w:t>十、</w:t>
      </w:r>
      <w:r>
        <w:rPr>
          <w:b/>
          <w:sz w:val="27"/>
        </w:rPr>
        <w:t>争议的解决</w:t>
      </w:r>
      <w:r>
        <w:rPr>
          <w:sz w:val="27"/>
        </w:rPr>
        <w:t xml:space="preserve">  合同执行过程中发生的任何争议，如双方不能通过友好协商解决，按相关法律法规处理。</w:t>
      </w:r>
    </w:p>
    <w:p>
      <w:pPr>
        <w:jc w:val="both"/>
      </w:pPr>
      <w:r>
        <w:rPr>
          <w:b/>
          <w:sz w:val="27"/>
        </w:rPr>
        <w:t>十一、不可抗力</w:t>
      </w:r>
    </w:p>
    <w:p>
      <w:pPr>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w:t>
      </w:r>
      <w:r>
        <w:rPr>
          <w:b/>
          <w:sz w:val="27"/>
        </w:rPr>
        <w:t>税费</w:t>
      </w:r>
    </w:p>
    <w:p>
      <w:pPr>
        <w:jc w:val="both"/>
      </w:pPr>
      <w:r>
        <w:rPr>
          <w:sz w:val="27"/>
        </w:rPr>
        <w:t>1.</w:t>
      </w:r>
      <w:r>
        <w:rPr>
          <w:sz w:val="27"/>
        </w:rPr>
        <w:t>在中国境内、外发生的与本合同执行有关的一切税费均由乙方负担。</w:t>
      </w:r>
    </w:p>
    <w:p>
      <w:pPr>
        <w:jc w:val="both"/>
      </w:pPr>
      <w:r>
        <w:rPr>
          <w:b/>
          <w:sz w:val="27"/>
        </w:rPr>
        <w:t>十三、</w:t>
      </w:r>
      <w:r>
        <w:rPr>
          <w:sz w:val="27"/>
        </w:rPr>
        <w:t xml:space="preserve"> </w:t>
      </w:r>
      <w:r>
        <w:rPr>
          <w:b/>
          <w:sz w:val="27"/>
        </w:rPr>
        <w:t>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7"/>
        </w:rPr>
        <w:t>十四、</w:t>
      </w:r>
      <w:r>
        <w:rPr>
          <w:sz w:val="27"/>
        </w:rPr>
        <w:t xml:space="preserve">     </w:t>
      </w:r>
      <w:r>
        <w:rPr>
          <w:b/>
          <w:sz w:val="27"/>
        </w:rPr>
        <w:t>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7"/>
          <w:u w:val="single"/>
        </w:rPr>
        <w:t xml:space="preserve">   </w:t>
      </w:r>
      <w:r>
        <w:rPr>
          <w:sz w:val="27"/>
        </w:rPr>
        <w:t>份。</w:t>
      </w:r>
    </w:p>
    <w:p>
      <w:pPr>
        <w:jc w:val="both"/>
      </w:pPr>
      <w:r>
        <w:rPr>
          <w:sz w:val="27"/>
        </w:rPr>
        <w:t xml:space="preserve"> </w:t>
      </w:r>
    </w:p>
    <w:p>
      <w:pPr>
        <w:jc w:val="both"/>
      </w:pPr>
      <w:r>
        <w:rPr>
          <w:b/>
          <w:sz w:val="27"/>
        </w:rPr>
        <w:t>甲方（盖章）：</w:t>
      </w:r>
      <w:r>
        <w:rPr>
          <w:b/>
          <w:sz w:val="27"/>
        </w:rPr>
        <w:t>乙方（盖章）：</w:t>
      </w:r>
    </w:p>
    <w:p>
      <w:pPr>
        <w:jc w:val="both"/>
      </w:pPr>
      <w:r>
        <w:rPr>
          <w:b/>
          <w:sz w:val="27"/>
        </w:rPr>
        <w:t>代表：</w:t>
      </w:r>
      <w:r>
        <w:rPr>
          <w:b/>
          <w:sz w:val="27"/>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7"/>
        </w:rPr>
        <w:t>开户名称：</w:t>
      </w:r>
    </w:p>
    <w:p>
      <w:pPr>
        <w:jc w:val="both"/>
      </w:pPr>
      <w:r>
        <w:rPr>
          <w:sz w:val="27"/>
        </w:rPr>
        <w:t>银行帐号：</w:t>
      </w:r>
    </w:p>
    <w:p>
      <w:pPr>
        <w:jc w:val="both"/>
      </w:pPr>
      <w:r>
        <w:rPr>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442000-2023-00803</w:t>
      </w:r>
    </w:p>
    <w:p>
      <w:pPr>
        <w:jc w:val="center"/>
      </w:pPr>
      <w:r>
        <w:rPr>
          <w:b/>
          <w:sz w:val="24"/>
        </w:rPr>
        <w:t>采购项目编号：</w:t>
      </w:r>
      <w:r>
        <w:rPr>
          <w:b/>
          <w:sz w:val="24"/>
        </w:rPr>
        <w:t>0692-239BZST40034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广东省机电设备招标中心有限公司中山分公司</w:t>
      </w:r>
    </w:p>
    <w:p>
      <w:pPr>
        <w:ind w:firstLine="480"/>
      </w:pPr>
      <w:r>
        <w:rPr/>
        <w:t>你方组织的</w:t>
      </w:r>
      <w:r>
        <w:rPr>
          <w:u w:val="single"/>
        </w:rPr>
        <w:t>“</w:t>
      </w:r>
      <w:r>
        <w:rPr>
          <w:u w:val="single"/>
        </w:rPr>
        <w:t>中山市人民医院制剂用药用辅料蔗糖配送服务</w:t>
      </w:r>
      <w:r>
        <w:rPr>
          <w:u w:val="single"/>
        </w:rPr>
        <w:t>”</w:t>
      </w:r>
      <w:r>
        <w:rPr/>
        <w:t>项目的招标[采购项目编号为：</w:t>
      </w:r>
      <w:r>
        <w:rPr>
          <w:u w:val="single"/>
        </w:rPr>
        <w:t>0692-239BZST40034</w:t>
      </w:r>
      <w:r>
        <w:rPr/>
        <w:t>]，我方愿参与投标。</w:t>
      </w:r>
    </w:p>
    <w:p>
      <w:pPr>
        <w:ind w:firstLine="480"/>
      </w:pPr>
      <w:r>
        <w:rPr/>
        <w:t>我方确认收到贵方提供的</w:t>
      </w:r>
      <w:r>
        <w:rPr>
          <w:u w:val="single"/>
        </w:rPr>
        <w:t>“</w:t>
      </w:r>
      <w:r>
        <w:rPr>
          <w:u w:val="single"/>
        </w:rPr>
        <w:t>中山市人民医院制剂用药用辅料蔗糖配送服务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广东省机电设备招标中心有限公司中山分公司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中山市人民医院制剂用药用辅料蔗糖配送服务</w:t>
      </w:r>
      <w:r>
        <w:rPr/>
        <w:t>”项目采购[采购项目编号为</w:t>
      </w:r>
      <w:r>
        <w:rPr/>
        <w:t>0692-239BZST40034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广东省机电设备招标中心有限公司中山分公司</w:t>
      </w:r>
    </w:p>
    <w:p>
      <w:pPr>
        <w:ind w:firstLine="480"/>
      </w:pPr>
      <w:r>
        <w:rPr/>
        <w:t>如果我方在贵采购代理机构组织的</w:t>
      </w:r>
      <w:r>
        <w:rPr/>
        <w:t>中山市人民医院制剂用药用辅料蔗糖配送服务</w:t>
      </w:r>
      <w:r>
        <w:rPr/>
        <w:t>招标中获中标（采购项目编号：</w:t>
      </w:r>
      <w:r>
        <w:rPr/>
        <w:t>0692-239BZST40034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广东省机电设备招标中心有限公司中山分公司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广东省机电设备招标中心有限公司中山分公司</w:t>
      </w:r>
    </w:p>
    <w:p>
      <w:pPr>
        <w:ind w:firstLine="480"/>
      </w:pPr>
      <w:r>
        <w:rPr/>
        <w:t>我单位已登记并准备参与“</w:t>
      </w:r>
      <w:r>
        <w:rPr/>
        <w:t>中山市人民医院制剂用药用辅料蔗糖配送服务</w:t>
      </w:r>
      <w:r>
        <w:rPr/>
        <w:t>”项目（采购项目编号：</w:t>
      </w:r>
      <w:r>
        <w:rPr/>
        <w:t>0692-239BZST40034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