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440001-2023-01741</w:t>
      </w:r>
    </w:p>
    <w:p>
      <w:pPr>
        <w:jc w:val="center"/>
      </w:pPr>
      <w:r>
        <w:rPr>
          <w:b/>
          <w:sz w:val="24"/>
        </w:rPr>
        <w:t>采购项目编号：</w:t>
      </w:r>
      <w:r>
        <w:rPr>
          <w:b/>
          <w:sz w:val="24"/>
        </w:rPr>
        <w:t>ZSJD23ZC0008</w:t>
      </w:r>
    </w:p>
    <w:p>
      <w:pPr>
        <w:jc w:val="center"/>
      </w:pPr>
      <w:r>
        <w:rPr>
          <w:b/>
          <w:sz w:val="24"/>
        </w:rPr>
        <w:t>项目名称：</w:t>
      </w:r>
      <w:r>
        <w:rPr>
          <w:b/>
          <w:sz w:val="24"/>
        </w:rPr>
        <w:t>广东省特种设备检测研究院中山检测院检验用车租赁服务采购项目</w:t>
      </w:r>
    </w:p>
    <w:p>
      <w:pPr>
        <w:jc w:val="center"/>
      </w:pPr>
      <w:r>
        <w:rPr>
          <w:b/>
          <w:sz w:val="24"/>
        </w:rPr>
        <w:t>采购人：</w:t>
      </w:r>
      <w:r>
        <w:rPr>
          <w:b/>
          <w:sz w:val="24"/>
        </w:rPr>
        <w:t>广东省特种设备检测研究院中山检测院</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广东省特种设备检测研究院中山检测院</w:t>
      </w:r>
      <w:r>
        <w:rPr/>
        <w:t>的委托，采用</w:t>
      </w:r>
      <w:r>
        <w:rPr/>
        <w:t>公开招标</w:t>
      </w:r>
      <w:r>
        <w:rPr/>
        <w:t>方式组织采购</w:t>
      </w:r>
      <w:r>
        <w:rPr/>
        <w:t>广东省特种设备检测研究院中山检测院检验用车租赁服务采购项目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广东省特种设备检测研究院中山检测院检验用车租赁服务采购项目</w:t>
      </w:r>
    </w:p>
    <w:p>
      <w:pPr>
        <w:ind w:firstLine="480"/>
      </w:pPr>
      <w:r>
        <w:rPr/>
        <w:t>采购计划编号：</w:t>
      </w:r>
      <w:r>
        <w:rPr/>
        <w:t>440001-2023-01741</w:t>
      </w:r>
    </w:p>
    <w:p>
      <w:pPr>
        <w:ind w:firstLine="480"/>
      </w:pPr>
      <w:r>
        <w:rPr/>
        <w:t>采购项目编号：</w:t>
      </w:r>
      <w:r>
        <w:rPr/>
        <w:t>ZSJD23ZC0008</w:t>
      </w:r>
    </w:p>
    <w:p>
      <w:pPr>
        <w:ind w:firstLine="480"/>
      </w:pPr>
      <w:r>
        <w:rPr/>
        <w:t>采购方式：</w:t>
      </w:r>
      <w:r>
        <w:rPr/>
        <w:t>公开招标</w:t>
      </w:r>
    </w:p>
    <w:p>
      <w:pPr>
        <w:ind w:firstLine="480"/>
      </w:pPr>
      <w:r>
        <w:rPr/>
        <w:t>预算金额：</w:t>
      </w:r>
      <w:r>
        <w:rPr/>
        <w:t>1,800,000.00</w:t>
      </w:r>
      <w:r>
        <w:rPr/>
        <w:t>元</w:t>
      </w:r>
    </w:p>
    <w:p>
      <w:r>
        <w:rPr>
          <w:b/>
          <w:sz w:val="24"/>
        </w:rPr>
        <w:t>2.项目内容及需求情况（采购项目技术规格、参数及要求）</w:t>
      </w:r>
    </w:p>
    <w:p>
      <w:pPr>
        <w:ind w:firstLine="480"/>
      </w:pPr>
    </w:p>
    <w:p/>
    <w:p>
      <w:r>
        <w:rPr/>
        <w:t>采购包1(广东省特种设备检测研究院中山检测院检验用车租赁服务采购项目-市内用车)):</w:t>
      </w:r>
    </w:p>
    <w:p>
      <w:r>
        <w:rPr/>
        <w:t>采购包预算金额：1,100,000.00元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车辆及其他运输机械租赁服务</w:t>
            </w:r>
          </w:p>
        </w:tc>
        <w:tc>
          <w:tcPr>
            <w:tcW w:type="dxa" w:w="2052"/>
          </w:tcPr>
          <w:p>
            <w:r>
              <w:rPr/>
              <w:t>广东省特种设备检测研究院中山检测院检验用车租赁服务采购项目-市内用车</w:t>
            </w:r>
          </w:p>
        </w:tc>
        <w:tc>
          <w:tcPr>
            <w:tcW w:type="dxa" w:w="977"/>
          </w:tcPr>
          <w:p>
            <w:r>
              <w:rPr/>
              <w:t>1.0000(项)</w:t>
            </w:r>
          </w:p>
        </w:tc>
        <w:tc>
          <w:tcPr>
            <w:tcW w:type="dxa" w:w="977"/>
          </w:tcPr>
          <w:p>
            <w:r>
              <w:rPr/>
              <w:t>详见第二章</w:t>
            </w:r>
          </w:p>
        </w:tc>
        <w:tc>
          <w:tcPr>
            <w:tcW w:type="dxa" w:w="977"/>
          </w:tcPr>
          <w:p>
            <w:r>
              <w:rPr/>
              <w:t>1,100,000.00</w:t>
            </w:r>
          </w:p>
        </w:tc>
        <w:tc>
          <w:tcPr>
            <w:tcW w:type="dxa" w:w="977"/>
          </w:tcPr>
          <w:p>
            <w:r>
              <w:rPr/>
              <w:t>否</w:t>
            </w:r>
          </w:p>
        </w:tc>
      </w:tr>
    </w:tbl>
    <w:p/>
    <w:p>
      <w:r>
        <w:rPr/>
        <w:t>本采购包不接受联合体投标</w:t>
      </w:r>
    </w:p>
    <w:p/>
    <w:p>
      <w:r>
        <w:rPr/>
        <w:t>合同履行期限：服务期：自双方签订合同并确认实施之日起12个月。</w:t>
      </w:r>
    </w:p>
    <w:p/>
    <w:p>
      <w:r>
        <w:rPr/>
        <w:t>采购包2(广东省特种设备检测研究院中山检测院检验用车租赁服务采购项目-市外用车):</w:t>
      </w:r>
    </w:p>
    <w:p>
      <w:r>
        <w:rPr/>
        <w:t>采购包预算金额：700,000.00元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车辆及其他运输机械租赁服务</w:t>
            </w:r>
          </w:p>
        </w:tc>
        <w:tc>
          <w:tcPr>
            <w:tcW w:type="dxa" w:w="2052"/>
          </w:tcPr>
          <w:p>
            <w:r>
              <w:rPr/>
              <w:t>广东省特种设备检测研究院中山检测院检验用车租赁服务采购项目-市外用车</w:t>
            </w:r>
          </w:p>
        </w:tc>
        <w:tc>
          <w:tcPr>
            <w:tcW w:type="dxa" w:w="977"/>
          </w:tcPr>
          <w:p>
            <w:r>
              <w:rPr/>
              <w:t>1.0000(项)</w:t>
            </w:r>
          </w:p>
        </w:tc>
        <w:tc>
          <w:tcPr>
            <w:tcW w:type="dxa" w:w="977"/>
          </w:tcPr>
          <w:p>
            <w:r>
              <w:rPr/>
              <w:t>详见第二章</w:t>
            </w:r>
          </w:p>
        </w:tc>
        <w:tc>
          <w:tcPr>
            <w:tcW w:type="dxa" w:w="977"/>
          </w:tcPr>
          <w:p>
            <w:r>
              <w:rPr/>
              <w:t>700,000.00</w:t>
            </w:r>
          </w:p>
        </w:tc>
        <w:tc>
          <w:tcPr>
            <w:tcW w:type="dxa" w:w="977"/>
          </w:tcPr>
          <w:p>
            <w:r>
              <w:rPr/>
              <w:t>否</w:t>
            </w:r>
          </w:p>
        </w:tc>
      </w:tr>
    </w:tbl>
    <w:p/>
    <w:p>
      <w:r>
        <w:rPr/>
        <w:t>本采购包不接受联合体投标</w:t>
      </w:r>
    </w:p>
    <w:p/>
    <w:p>
      <w:r>
        <w:rPr/>
        <w:t>合同履行期限：服务期：自双方签订合同并确认实施之日起12个月。</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3）具有良好的商业信誉和健全的财务会计制度：供应商必须具有良好的商业信誉和健全的财务会计制度（提供投标截止日前6个月内任意1个月的财务报表或2021年度财务状况报告或基本开户行出具的资信证明）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采购包1（广东省特种设备检测研究院中山检测院检验用车租赁服务采购项目-市内用车)）：</w:t>
      </w:r>
      <w:r>
        <w:rPr/>
        <w:t>参与的供应商（联合体）服务全部由符合政策要求的小微企业承接</w:t>
      </w:r>
    </w:p>
    <w:p>
      <w:pPr>
        <w:jc w:val="left"/>
      </w:pPr>
    </w:p>
    <w:p>
      <w:r>
        <w:rPr/>
        <w:t>采购包2（广东省特种设备检测研究院中山检测院检验用车租赁服务采购项目-市外用车）：</w:t>
      </w:r>
      <w:r>
        <w:rPr/>
        <w:t>参与的供应商（联合体）服务全部由符合政策要求的小微企业承接</w:t>
      </w:r>
    </w:p>
    <w:p/>
    <w:p>
      <w:r>
        <w:rPr>
          <w:b/>
          <w:sz w:val="24"/>
        </w:rPr>
        <w:t>3.本项目特定的资格要求：</w:t>
      </w:r>
    </w:p>
    <w:p>
      <w:pPr>
        <w:ind w:firstLine="480"/>
      </w:pPr>
    </w:p>
    <w:p/>
    <w:p>
      <w:r>
        <w:rPr/>
        <w:t>采购包1（广东省特种设备检测研究院中山检测院检验用车租赁服务采购项目-市内用车)）：</w:t>
      </w:r>
    </w:p>
    <w:p/>
    <w:p>
      <w:r>
        <w:rPr/>
        <w:t>1)采购人或采购代理机构将通过“信用中国”网站（www.creditchina.gov.cn）及中国政府采购网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采购包2（广东省特种设备检测研究院中山检测院检验用车租赁服务采购项目-市外用车）：</w:t>
      </w:r>
    </w:p>
    <w:p/>
    <w:p>
      <w:r>
        <w:rPr/>
        <w:t>1)采购人或采购代理机构将通过“信用中国”网站（www.creditchina.gov.cn）及中国政府采购网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中山市政府采购网（http://120.234.108.5:8088/zfcg/），中山市公共资源交易网（https://ggzyjy.zs.gov.cn/），采购代理机构网站（http://www.gdjdjl.com/）</w:t>
      </w:r>
    </w:p>
    <w:p>
      <w:r>
        <w:rPr>
          <w:b/>
          <w:sz w:val="28"/>
        </w:rPr>
        <w:t>六.本项目联系方式：</w:t>
      </w:r>
    </w:p>
    <w:p>
      <w:r>
        <w:rPr>
          <w:b/>
          <w:sz w:val="24"/>
        </w:rPr>
        <w:t>1.采购人信息</w:t>
      </w:r>
    </w:p>
    <w:p>
      <w:pPr>
        <w:ind w:firstLine="480"/>
      </w:pPr>
      <w:r>
        <w:rPr/>
        <w:t>名称：</w:t>
      </w:r>
      <w:r>
        <w:rPr/>
        <w:t>广东省特种设备检测研究院中山检测院</w:t>
      </w:r>
    </w:p>
    <w:p>
      <w:pPr>
        <w:ind w:firstLine="480"/>
      </w:pPr>
      <w:r>
        <w:rPr/>
        <w:t>地址：</w:t>
      </w:r>
      <w:r>
        <w:rPr/>
        <w:t>广东省中山市中山三路华夏街268号</w:t>
      </w:r>
    </w:p>
    <w:p>
      <w:pPr>
        <w:ind w:firstLine="480"/>
      </w:pPr>
      <w:r>
        <w:rPr/>
        <w:t>联系方式：</w:t>
      </w:r>
      <w:r>
        <w:rPr/>
        <w:t>0760-88323913</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w:t>
      </w:r>
    </w:p>
    <w:p>
      <w:pPr>
        <w:ind w:firstLine="480"/>
      </w:pPr>
      <w:r>
        <w:rPr/>
        <w:t>联系方式：</w:t>
      </w:r>
      <w:r>
        <w:rPr/>
        <w:t>0760-88399895</w:t>
      </w:r>
    </w:p>
    <w:p>
      <w:r>
        <w:rPr>
          <w:b/>
          <w:sz w:val="24"/>
        </w:rPr>
        <w:t>3.项目联系方式</w:t>
      </w:r>
    </w:p>
    <w:p>
      <w:pPr>
        <w:ind w:firstLine="480"/>
      </w:pPr>
      <w:r>
        <w:rPr/>
        <w:t>项目联系人：</w:t>
      </w:r>
      <w:r>
        <w:rPr/>
        <w:t>张先生</w:t>
      </w:r>
    </w:p>
    <w:p>
      <w:pPr>
        <w:ind w:firstLine="480"/>
      </w:pPr>
      <w:r>
        <w:rPr/>
        <w:t>电话：</w:t>
      </w:r>
      <w:r>
        <w:rPr/>
        <w:t>0760-88399895</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28"/>
        </w:rPr>
        <w:t>一、项目概况：</w:t>
      </w:r>
    </w:p>
    <w:p>
      <w:pPr>
        <w:jc w:val="both"/>
      </w:pPr>
      <w:r>
        <w:rPr>
          <w:sz w:val="21"/>
        </w:rPr>
        <w:t>1.项目名称：</w:t>
      </w:r>
      <w:r>
        <w:rPr>
          <w:sz w:val="21"/>
        </w:rPr>
        <w:t>广东省特种设备检测研究院中山检测院检验用车租赁服务采购项目</w:t>
      </w:r>
    </w:p>
    <w:p>
      <w:pPr>
        <w:jc w:val="left"/>
      </w:pPr>
      <w:r>
        <w:rPr>
          <w:b/>
          <w:sz w:val="21"/>
        </w:rPr>
        <w:t>2.服务期</w:t>
      </w:r>
      <w:r>
        <w:rPr>
          <w:b/>
          <w:sz w:val="21"/>
        </w:rPr>
        <w:t>：自双方签订合同并确认实施之日起</w:t>
      </w:r>
      <w:r>
        <w:rPr>
          <w:b/>
          <w:sz w:val="21"/>
        </w:rPr>
        <w:t>12个月</w:t>
      </w:r>
      <w:r>
        <w:rPr>
          <w:b/>
          <w:sz w:val="21"/>
        </w:rPr>
        <w:t>。</w:t>
      </w:r>
    </w:p>
    <w:p>
      <w:pPr>
        <w:jc w:val="left"/>
      </w:pPr>
      <w:r>
        <w:rPr>
          <w:b/>
          <w:sz w:val="21"/>
        </w:rPr>
        <w:t>3</w:t>
      </w:r>
      <w:r>
        <w:rPr>
          <w:b/>
          <w:sz w:val="21"/>
        </w:rPr>
        <w:t>.</w:t>
      </w:r>
      <w:r>
        <w:rPr>
          <w:b/>
          <w:sz w:val="21"/>
        </w:rPr>
        <w:t>采购内容：</w:t>
      </w:r>
    </w:p>
    <w:p>
      <w:pPr>
        <w:jc w:val="left"/>
      </w:pPr>
      <w:r>
        <w:rPr>
          <w:b/>
          <w:sz w:val="21"/>
        </w:rPr>
        <w:t>采购包</w:t>
      </w:r>
      <w:r>
        <w:rPr>
          <w:b/>
          <w:sz w:val="21"/>
        </w:rPr>
        <w:t>1：</w:t>
      </w:r>
      <w:r>
        <w:rPr>
          <w:b/>
          <w:sz w:val="21"/>
        </w:rPr>
        <w:t>广东省特种设备检测研究院中山检测院检验用车租赁服务采购项目</w:t>
      </w:r>
      <w:r>
        <w:rPr>
          <w:b/>
          <w:sz w:val="21"/>
        </w:rPr>
        <w:t>-市内用车，包组预算：人民币1</w:t>
      </w:r>
      <w:r>
        <w:rPr>
          <w:b/>
          <w:sz w:val="21"/>
        </w:rPr>
        <w:t>1</w:t>
      </w:r>
      <w:r>
        <w:rPr>
          <w:b/>
          <w:sz w:val="21"/>
        </w:rPr>
        <w:t>0万元</w:t>
      </w:r>
    </w:p>
    <w:p>
      <w:pPr>
        <w:jc w:val="left"/>
      </w:pPr>
      <w:r>
        <w:rPr>
          <w:b/>
          <w:sz w:val="21"/>
        </w:rPr>
        <w:t>采购包</w:t>
      </w:r>
      <w:r>
        <w:rPr>
          <w:b/>
          <w:sz w:val="21"/>
        </w:rPr>
        <w:t>2：</w:t>
      </w:r>
      <w:r>
        <w:rPr>
          <w:b/>
          <w:sz w:val="21"/>
        </w:rPr>
        <w:t>广东省特种设备检测研究院中山检测院检验用车租赁服务采购项目</w:t>
      </w:r>
      <w:r>
        <w:rPr>
          <w:b/>
          <w:sz w:val="21"/>
        </w:rPr>
        <w:t>-市外用车，包组预算：人民币</w:t>
      </w:r>
      <w:r>
        <w:rPr>
          <w:b/>
          <w:sz w:val="21"/>
        </w:rPr>
        <w:t>7</w:t>
      </w:r>
      <w:r>
        <w:rPr>
          <w:b/>
          <w:sz w:val="21"/>
        </w:rPr>
        <w:t>0万元</w:t>
      </w:r>
    </w:p>
    <w:p>
      <w:pPr>
        <w:jc w:val="left"/>
      </w:pPr>
      <w:r>
        <w:rPr>
          <w:b/>
          <w:sz w:val="21"/>
        </w:rPr>
        <w:t>4</w:t>
      </w:r>
      <w:r>
        <w:rPr>
          <w:b/>
          <w:sz w:val="21"/>
        </w:rPr>
        <w:t>.</w:t>
      </w:r>
      <w:r>
        <w:rPr>
          <w:b/>
          <w:sz w:val="21"/>
        </w:rPr>
        <w:t>本项目兼投不兼中。</w:t>
      </w:r>
      <w:r>
        <w:rPr>
          <w:b/>
          <w:sz w:val="21"/>
        </w:rPr>
        <w:t>（</w:t>
      </w:r>
      <w:r>
        <w:rPr>
          <w:b/>
          <w:sz w:val="21"/>
        </w:rPr>
        <w:t>1）投标人可参与</w:t>
      </w:r>
      <w:r>
        <w:rPr>
          <w:b/>
          <w:sz w:val="21"/>
        </w:rPr>
        <w:t>采购包</w:t>
      </w:r>
      <w:r>
        <w:rPr>
          <w:b/>
          <w:sz w:val="21"/>
        </w:rPr>
        <w:t>1和采购包2的投标，但最终只能获得其中一个采购包的中标资格。（2）按采购包1→ 采购包2的顺序进行评审，若投标人均参与2个采购包的投标，在采购包1被推荐为第一中标候选人后，仍可继续参与采购包2的评审，但不能再被推荐为采购包2的中标候选人，采购包2则推荐除已被采购包1推荐为第一中标候选人之外的其他供应商中综合得分最高的为第一中标候选人。</w:t>
      </w:r>
      <w:r>
        <w:br/>
      </w:r>
      <w:r>
        <w:rPr>
          <w:b/>
          <w:sz w:val="21"/>
        </w:rPr>
        <w:t>5</w:t>
      </w:r>
      <w:r>
        <w:rPr>
          <w:b/>
          <w:sz w:val="21"/>
        </w:rPr>
        <w:t>.采购人有权在签订合同时对项目方案作适当修改调整或对服务内容作适量增加或减少</w:t>
      </w:r>
      <w:r>
        <w:rPr>
          <w:b/>
          <w:sz w:val="21"/>
        </w:rPr>
        <w:t>，如服务内容有增加或减少的采取协商方式解决</w:t>
      </w:r>
      <w:r>
        <w:rPr>
          <w:b/>
          <w:sz w:val="21"/>
        </w:rPr>
        <w:t>。</w:t>
      </w:r>
    </w:p>
    <w:p>
      <w:pPr>
        <w:jc w:val="left"/>
      </w:pPr>
      <w:r>
        <w:rPr>
          <w:b/>
          <w:sz w:val="21"/>
        </w:rPr>
        <w:t>6、如因国家政策调整或单位上级领导主管部门下达规定调整文件等不可抗力因素，导致项目不能继续实施，采购有权单方面与中标人解除合同，中标人不得向采购人追究违约责任。</w:t>
      </w:r>
    </w:p>
    <w:p>
      <w:pPr>
        <w:jc w:val="left"/>
      </w:pPr>
      <w:r>
        <w:rPr>
          <w:b/>
          <w:sz w:val="21"/>
        </w:rPr>
        <w:t>7.中标人履约其间如有重大违法行为，采购人有权终止合同，中标人不得向采购人追究违约责任。</w:t>
      </w:r>
      <w:r>
        <w:br/>
      </w:r>
      <w:r>
        <w:rPr>
          <w:b/>
          <w:sz w:val="21"/>
        </w:rPr>
        <w:t>8</w:t>
      </w:r>
      <w:r>
        <w:rPr>
          <w:b/>
          <w:sz w:val="21"/>
        </w:rPr>
        <w:t>.中标人未经采购人批准，不得以任何方式转包或分包本项目。</w:t>
      </w:r>
    </w:p>
    <w:p>
      <w:pPr>
        <w:jc w:val="center"/>
      </w:pPr>
    </w:p>
    <w:p>
      <w:r>
        <w:rPr>
          <w:b/>
          <w:sz w:val="21"/>
        </w:rPr>
        <w:t>★（一）、采购车辆及服务配置要求</w:t>
      </w:r>
    </w:p>
    <w:tbl>
      <w:tblPr>
        <w:tblW w:w="0" w:type="auto"/>
        <w:tblBorders>
          <w:top w:val="none" w:color="000000" w:sz="4"/>
          <w:left w:val="none" w:color="000000" w:sz="4"/>
          <w:bottom w:val="none" w:color="000000" w:sz="4"/>
          <w:right w:val="none" w:color="000000" w:sz="4"/>
          <w:insideH w:val="none"/>
          <w:insideV w:val="none"/>
        </w:tblBorders>
      </w:tblPr>
      <w:tblGrid>
        <w:gridCol w:w="1481"/>
        <w:gridCol w:w="3085"/>
        <w:gridCol w:w="1394"/>
        <w:gridCol w:w="2209"/>
        <w:gridCol w:w="4270"/>
      </w:tblGrid>
      <w:tr>
        <w:tc>
          <w:tcPr>
            <w:tcW w:type="dxa" w:w="1481"/>
            <w:tcBorders>
              <w:top w:val="single" w:color="000000" w:sz="4"/>
              <w:left w:val="single" w:color="000000" w:sz="4"/>
              <w:bottom w:val="single" w:color="000000" w:sz="4"/>
              <w:right w:val="single" w:color="000000" w:sz="4"/>
            </w:tcBorders>
            <w:vAlign w:val="top"/>
          </w:tcPr>
          <w:p>
            <w:pPr>
              <w:jc w:val="center"/>
            </w:pPr>
            <w:r>
              <w:rPr>
                <w:sz w:val="21"/>
              </w:rPr>
              <w:t>采购人</w:t>
            </w:r>
          </w:p>
        </w:tc>
        <w:tc>
          <w:tcPr>
            <w:tcW w:type="dxa" w:w="3085"/>
            <w:tcBorders>
              <w:top w:val="single" w:color="000000" w:sz="4"/>
              <w:left w:val="single" w:color="000000" w:sz="4"/>
              <w:bottom w:val="single" w:color="000000" w:sz="4"/>
              <w:right w:val="single" w:color="000000" w:sz="4"/>
            </w:tcBorders>
            <w:vAlign w:val="top"/>
          </w:tcPr>
          <w:p>
            <w:pPr>
              <w:jc w:val="center"/>
            </w:pPr>
            <w:r>
              <w:rPr>
                <w:sz w:val="21"/>
              </w:rPr>
              <w:t>车型要求：至少</w:t>
            </w:r>
            <w:r>
              <w:rPr>
                <w:sz w:val="21"/>
              </w:rPr>
              <w:t>2个安全气囊</w:t>
            </w:r>
            <w:r>
              <w:rPr>
                <w:sz w:val="21"/>
              </w:rPr>
              <w:t>、</w:t>
            </w:r>
            <w:r>
              <w:rPr>
                <w:sz w:val="21"/>
              </w:rPr>
              <w:t>自动波、有前后行车记录仪，</w:t>
            </w:r>
            <w:r>
              <w:rPr>
                <w:b/>
                <w:sz w:val="21"/>
              </w:rPr>
              <w:t>能源类型：汽油、油电混合。</w:t>
            </w:r>
          </w:p>
        </w:tc>
        <w:tc>
          <w:tcPr>
            <w:tcW w:type="dxa" w:w="1394"/>
            <w:tcBorders>
              <w:top w:val="single" w:color="000000" w:sz="4"/>
              <w:left w:val="single" w:color="000000" w:sz="4"/>
              <w:bottom w:val="single" w:color="000000" w:sz="4"/>
              <w:right w:val="single" w:color="000000" w:sz="4"/>
            </w:tcBorders>
            <w:vAlign w:val="top"/>
          </w:tcPr>
          <w:p>
            <w:pPr>
              <w:jc w:val="center"/>
            </w:pPr>
            <w:r>
              <w:rPr>
                <w:sz w:val="21"/>
              </w:rPr>
              <w:t>主要使用地</w:t>
            </w:r>
          </w:p>
        </w:tc>
        <w:tc>
          <w:tcPr>
            <w:tcW w:type="dxa" w:w="2209"/>
            <w:tcBorders>
              <w:top w:val="single" w:color="000000" w:sz="4"/>
              <w:left w:val="single" w:color="000000" w:sz="4"/>
              <w:bottom w:val="single" w:color="000000" w:sz="4"/>
              <w:right w:val="single" w:color="000000" w:sz="4"/>
            </w:tcBorders>
            <w:vAlign w:val="top"/>
          </w:tcPr>
          <w:p>
            <w:pPr>
              <w:jc w:val="center"/>
            </w:pPr>
          </w:p>
          <w:p>
            <w:pPr>
              <w:jc w:val="center"/>
            </w:pPr>
            <w:r>
              <w:rPr>
                <w:sz w:val="21"/>
              </w:rPr>
              <w:t>保险要求</w:t>
            </w:r>
          </w:p>
        </w:tc>
        <w:tc>
          <w:tcPr>
            <w:tcW w:type="dxa" w:w="4270"/>
            <w:tcBorders>
              <w:top w:val="single" w:color="000000" w:sz="4"/>
              <w:left w:val="single" w:color="000000" w:sz="4"/>
              <w:bottom w:val="single" w:color="000000" w:sz="4"/>
              <w:right w:val="single" w:color="000000" w:sz="4"/>
            </w:tcBorders>
            <w:vAlign w:val="top"/>
          </w:tcPr>
          <w:p>
            <w:pPr>
              <w:jc w:val="center"/>
            </w:pPr>
            <w:r>
              <w:rPr>
                <w:sz w:val="21"/>
              </w:rPr>
              <w:t>车辆要求</w:t>
            </w:r>
          </w:p>
        </w:tc>
      </w:tr>
      <w:tr>
        <w:tc>
          <w:tcPr>
            <w:tcW w:type="dxa" w:w="1481"/>
            <w:vMerge w:val="restart"/>
            <w:tcBorders>
              <w:top w:val="none" w:color="000000" w:sz="4"/>
              <w:left w:val="single" w:color="000000" w:sz="4"/>
              <w:bottom w:val="single" w:color="000000" w:sz="4"/>
              <w:right w:val="single" w:color="000000" w:sz="4"/>
            </w:tcBorders>
            <w:vAlign w:val="top"/>
          </w:tcPr>
          <w:p>
            <w:pPr>
              <w:jc w:val="center"/>
            </w:pPr>
            <w:r>
              <w:rPr>
                <w:sz w:val="21"/>
              </w:rPr>
              <w:t>广东省特种设备检测研究院</w:t>
            </w:r>
            <w:r>
              <w:rPr>
                <w:sz w:val="21"/>
              </w:rPr>
              <w:t>中山检测院</w:t>
            </w:r>
          </w:p>
        </w:tc>
        <w:tc>
          <w:tcPr>
            <w:tcW w:type="dxa" w:w="3085"/>
            <w:tcBorders>
              <w:top w:val="none" w:color="000000" w:sz="4"/>
              <w:left w:val="single" w:color="000000" w:sz="4"/>
              <w:bottom w:val="single" w:color="000000" w:sz="4"/>
              <w:right w:val="single" w:color="000000" w:sz="4"/>
            </w:tcBorders>
            <w:vAlign w:val="top"/>
          </w:tcPr>
          <w:p>
            <w:pPr>
              <w:jc w:val="center"/>
            </w:pPr>
            <w:r>
              <w:rPr>
                <w:sz w:val="21"/>
              </w:rPr>
              <w:t>官方</w:t>
            </w:r>
            <w:r>
              <w:rPr>
                <w:sz w:val="21"/>
              </w:rPr>
              <w:t>指导价</w:t>
            </w:r>
            <w:r>
              <w:rPr>
                <w:sz w:val="21"/>
              </w:rPr>
              <w:t>10万元以上，轴距：2600mm或以上，5座三厢小客车</w:t>
            </w:r>
          </w:p>
        </w:tc>
        <w:tc>
          <w:tcPr>
            <w:tcW w:type="dxa" w:w="1394"/>
            <w:vMerge w:val="restart"/>
            <w:tcBorders>
              <w:top w:val="none" w:color="000000" w:sz="4"/>
              <w:left w:val="single" w:color="000000" w:sz="4"/>
              <w:bottom w:val="single" w:color="000000" w:sz="4"/>
              <w:right w:val="single" w:color="000000" w:sz="4"/>
            </w:tcBorders>
            <w:vAlign w:val="top"/>
          </w:tcPr>
          <w:p>
            <w:pPr>
              <w:jc w:val="center"/>
            </w:pPr>
            <w:r>
              <w:rPr>
                <w:sz w:val="21"/>
              </w:rPr>
              <w:t>国内、主要服务范围在广东省内</w:t>
            </w:r>
          </w:p>
        </w:tc>
        <w:tc>
          <w:tcPr>
            <w:tcW w:type="dxa" w:w="2209"/>
            <w:vMerge w:val="restart"/>
            <w:tcBorders>
              <w:top w:val="none" w:color="000000" w:sz="4"/>
              <w:left w:val="single" w:color="000000" w:sz="4"/>
              <w:bottom w:val="single" w:color="000000" w:sz="4"/>
              <w:right w:val="single" w:color="000000" w:sz="4"/>
            </w:tcBorders>
            <w:vAlign w:val="top"/>
          </w:tcPr>
          <w:p>
            <w:pPr>
              <w:jc w:val="center"/>
            </w:pPr>
            <w:r>
              <w:rPr>
                <w:sz w:val="21"/>
              </w:rPr>
              <w:t>全保，其中第三者责任险要求最低</w:t>
            </w:r>
            <w:r>
              <w:rPr>
                <w:sz w:val="21"/>
              </w:rPr>
              <w:t>200万以及须购买单座保额最低5万元的座位险，所有保险不计免赔险</w:t>
            </w:r>
          </w:p>
        </w:tc>
        <w:tc>
          <w:tcPr>
            <w:tcW w:type="dxa" w:w="4270"/>
            <w:vMerge w:val="restart"/>
            <w:tcBorders>
              <w:top w:val="none" w:color="000000" w:sz="4"/>
              <w:left w:val="single" w:color="000000" w:sz="4"/>
              <w:bottom w:val="single" w:color="000000" w:sz="4"/>
              <w:right w:val="single" w:color="000000" w:sz="4"/>
            </w:tcBorders>
            <w:vAlign w:val="top"/>
          </w:tcPr>
          <w:p>
            <w:pPr>
              <w:jc w:val="both"/>
            </w:pPr>
            <w:r>
              <w:rPr>
                <w:sz w:val="21"/>
              </w:rPr>
              <w:t>1、要求新车、或者注册登记时间为3年以内且行驶里程不超过5万公里并年审合格的车辆。</w:t>
            </w:r>
          </w:p>
          <w:p>
            <w:pPr>
              <w:jc w:val="both"/>
            </w:pPr>
            <w:r>
              <w:rPr>
                <w:sz w:val="21"/>
              </w:rPr>
              <w:t>2、车辆没有重大维修记录和事故记录。</w:t>
            </w:r>
          </w:p>
          <w:p>
            <w:pPr>
              <w:jc w:val="both"/>
            </w:pPr>
            <w:r>
              <w:rPr>
                <w:sz w:val="21"/>
              </w:rPr>
              <w:t>3、提供的租赁车辆必须具有倒车影像功能、导航功能；</w:t>
            </w:r>
          </w:p>
          <w:p>
            <w:r>
              <w:rPr>
                <w:sz w:val="21"/>
              </w:rPr>
              <w:t>4</w:t>
            </w:r>
            <w:r>
              <w:rPr>
                <w:sz w:val="21"/>
              </w:rPr>
              <w:t>、</w:t>
            </w:r>
            <w:r>
              <w:rPr>
                <w:sz w:val="21"/>
              </w:rPr>
              <w:t>提供的租赁车辆必须具有车辆定位功能并向采购人提供定位账号管理权限。</w:t>
            </w:r>
          </w:p>
        </w:tc>
      </w:tr>
      <w:tr>
        <w:tc>
          <w:tcPr>
            <w:tcW w:type="dxa" w:w="1481"/>
            <w:vMerge/>
            <w:tcBorders>
              <w:top w:val="none" w:color="000000" w:sz="4"/>
              <w:left w:val="single" w:color="000000" w:sz="4"/>
              <w:bottom w:val="single" w:color="000000" w:sz="4"/>
              <w:right w:val="single" w:color="000000" w:sz="4"/>
            </w:tcBorders>
          </w:tcPr>
          <w:p/>
        </w:tc>
        <w:tc>
          <w:tcPr>
            <w:tcW w:type="dxa" w:w="3085"/>
            <w:tcBorders>
              <w:top w:val="none" w:color="000000" w:sz="4"/>
              <w:left w:val="single" w:color="000000" w:sz="4"/>
              <w:bottom w:val="single" w:color="000000" w:sz="4"/>
              <w:right w:val="single" w:color="000000" w:sz="4"/>
            </w:tcBorders>
            <w:vAlign w:val="top"/>
          </w:tcPr>
          <w:p>
            <w:pPr>
              <w:jc w:val="center"/>
            </w:pPr>
            <w:r>
              <w:rPr>
                <w:sz w:val="21"/>
              </w:rPr>
              <w:t>官方指导价</w:t>
            </w:r>
            <w:r>
              <w:rPr>
                <w:sz w:val="21"/>
              </w:rPr>
              <w:t>20万元以上，7座商务车</w:t>
            </w:r>
          </w:p>
        </w:tc>
      </w:tr>
    </w:tbl>
    <w:p/>
    <w:p>
      <w:r>
        <w:rPr>
          <w:b/>
          <w:sz w:val="21"/>
        </w:rPr>
        <w:t>（二）、投标人与</w:t>
      </w:r>
      <w:r>
        <w:rPr>
          <w:b/>
          <w:sz w:val="21"/>
        </w:rPr>
        <w:t>租赁服务要求：</w:t>
      </w:r>
    </w:p>
    <w:p>
      <w:pPr>
        <w:ind w:firstLine="420"/>
      </w:pPr>
      <w:r>
        <w:rPr>
          <w:sz w:val="21"/>
        </w:rPr>
        <w:t>1、投标人提供的租赁车辆在自驾用车时须不限公里数供采购人使用。所有车辆必须装有前后行车记录仪，新车和没有安装的需承诺安装好才能交车（在投标文件中自行承诺）。</w:t>
      </w:r>
    </w:p>
    <w:p>
      <w:pPr>
        <w:ind w:firstLine="420"/>
      </w:pPr>
      <w:r>
        <w:rPr>
          <w:sz w:val="21"/>
        </w:rPr>
        <w:t>2、租赁15辆（含）以上配备一辆不低于同档次的应急替换车以保障采购人需求（提供相关证明材料，如车辆行驶证复印件）。</w:t>
      </w:r>
    </w:p>
    <w:p>
      <w:pPr>
        <w:ind w:firstLine="420"/>
      </w:pPr>
      <w:r>
        <w:rPr>
          <w:sz w:val="21"/>
        </w:rPr>
        <w:t>3、投标人若承诺：若所提供的车辆都是油电混合车型的将在技术部分评分内有相应的评分内容（格式由投标人自拟，须在投标文件中提供</w:t>
      </w:r>
      <w:r>
        <w:rPr>
          <w:b/>
          <w:sz w:val="21"/>
        </w:rPr>
        <w:t>承诺函</w:t>
      </w:r>
      <w:r>
        <w:rPr>
          <w:sz w:val="21"/>
        </w:rPr>
        <w:t>）。</w:t>
      </w:r>
    </w:p>
    <w:p>
      <w:pPr>
        <w:ind w:firstLine="420"/>
      </w:pPr>
      <w:r>
        <w:rPr>
          <w:sz w:val="21"/>
        </w:rPr>
        <w:t>4、</w:t>
      </w:r>
      <w:r>
        <w:rPr>
          <w:b/>
          <w:sz w:val="21"/>
        </w:rPr>
        <w:t>油电混合</w:t>
      </w:r>
      <w:r>
        <w:rPr>
          <w:sz w:val="21"/>
        </w:rPr>
        <w:t>车辆提供的数量比例按采购人要求配比或调整。</w:t>
      </w:r>
    </w:p>
    <w:p>
      <w:pPr>
        <w:ind w:firstLine="420"/>
      </w:pPr>
      <w:r>
        <w:rPr>
          <w:sz w:val="21"/>
        </w:rPr>
        <w:t>5、车辆折旧损失费要求：在服务过程中如发生交通意外造成受损或者报废情况时，由中标人负责处理并赔偿。中标人对发生事故的车辆向采购人收取折旧损失费不得高于百分之二十五（无责任及3000元以内免收），其他的赔偿事宜按国家有关规定执行。</w:t>
      </w:r>
    </w:p>
    <w:p>
      <w:pPr>
        <w:ind w:firstLine="420"/>
        <w:jc w:val="both"/>
      </w:pPr>
      <w:r>
        <w:rPr>
          <w:sz w:val="21"/>
        </w:rPr>
        <w:t>6、购买车险要求：包含但不限于交强险、第三者责任险（不低于200万），车辆损失险、全车盗抢险、玻璃单独破碎险、单座保额最低5万元的座位险等保险，所有险种不计免赔险。</w:t>
      </w:r>
    </w:p>
    <w:p>
      <w:pPr>
        <w:ind w:firstLine="420"/>
        <w:jc w:val="both"/>
      </w:pPr>
      <w:r>
        <w:rPr>
          <w:sz w:val="21"/>
        </w:rPr>
        <w:t>7、投标人须承诺：如中标，车辆须有防盗系统和措施，否则出现车辆被盗情况，采购人将不承担任何责任。</w:t>
      </w:r>
    </w:p>
    <w:p>
      <w:pPr>
        <w:ind w:firstLine="420"/>
        <w:jc w:val="both"/>
      </w:pPr>
      <w:r>
        <w:rPr>
          <w:sz w:val="21"/>
        </w:rPr>
        <w:t>8、采用固定车辆的运行方式，租赁期间不允许随意召回车辆，如果中标人提供的该批车辆出现同样问题太多，采购人有权要求更换所有车辆或者中止合同，采购人有权与采购中的综合得分排名第二名租赁公司租赁车辆，并追究中标人的法律责任。</w:t>
      </w:r>
    </w:p>
    <w:p>
      <w:pPr>
        <w:ind w:firstLine="420"/>
        <w:jc w:val="both"/>
      </w:pPr>
      <w:r>
        <w:rPr>
          <w:sz w:val="21"/>
        </w:rPr>
        <w:t>9、自驾使用期间油费、电费、过桥过路费、停车费，交通违章由采购人承担。</w:t>
      </w:r>
    </w:p>
    <w:p>
      <w:pPr>
        <w:ind w:firstLine="420"/>
        <w:jc w:val="both"/>
      </w:pPr>
      <w:r>
        <w:rPr>
          <w:sz w:val="21"/>
        </w:rPr>
        <w:t>10、服务期限内中标人在服务范围内所发生的一切费用，包含但不限于服务成本的购置、安装、运输保险、装卸、培训辅导、质保期售后服务、利润、全额含税发票、雇员费用的工资、奖金、福利、医疗、社保、交通、意外险、合同实施过程中应预见和不可预见费用等、如正常磨损的维修费、人员与车辆的保险费（第三者责任险、座位险、不计免赔险、玻璃险、交强险、盗抢险、车损险、所有险种不计免赔险等）等各种国家规定的费用均由中标人自行负责，采购人不再另付任何费用。</w:t>
      </w:r>
    </w:p>
    <w:p>
      <w:pPr>
        <w:ind w:firstLine="420"/>
        <w:jc w:val="both"/>
      </w:pPr>
      <w:r>
        <w:rPr>
          <w:sz w:val="21"/>
        </w:rPr>
        <w:t>11、中标人应每15天及时提供更新租赁自驾车辆的交通违法情况表，租赁完成或者交车后超过30个工作日还未及时提供交通违法情况表，如导致采购人无法确定租赁自驾车辆的交通违法责任人，采购人将不承担未及时通报的交通违法。</w:t>
      </w:r>
    </w:p>
    <w:p>
      <w:pPr>
        <w:ind w:firstLine="420"/>
        <w:jc w:val="both"/>
      </w:pPr>
      <w:r>
        <w:rPr>
          <w:sz w:val="21"/>
        </w:rPr>
        <w:t>12、中标人负责按实际情况按时提出维修保养计划，维修期间无偿提供替代车辆，并且能够在中山市内提供简单维修保养、救援拖车、交通事故保险处理、应急加油等服务。</w:t>
      </w:r>
    </w:p>
    <w:p>
      <w:pPr>
        <w:ind w:firstLine="420"/>
        <w:jc w:val="both"/>
      </w:pPr>
      <w:r>
        <w:rPr>
          <w:sz w:val="21"/>
        </w:rPr>
        <w:t>13、中标人营运车辆用车途中发生交通事故或车辆机械故障时，中山市内需中标人在1小时内安排处理，省内需中标人在2小时内安排处理，如超过3小时内不能及时响应应急服务预案和安排处理，采购人有权按车辆平均日租金扣减租赁费用。</w:t>
      </w:r>
    </w:p>
    <w:p>
      <w:pPr>
        <w:ind w:firstLine="420"/>
        <w:jc w:val="both"/>
      </w:pPr>
      <w:r>
        <w:rPr>
          <w:sz w:val="21"/>
        </w:rPr>
        <w:t>14、中标人应保证提供的车辆车况、外观良好、无异味，油耗低、故障少，符合国家规定的安全和尾气排放标准等要求。车辆在使用期间如确需重大维修或保养和交通事故等而造成需要暂停运行，中标人必须当天调派同等规格的车辆供采购人使用。</w:t>
      </w:r>
    </w:p>
    <w:p>
      <w:pPr>
        <w:ind w:firstLine="420"/>
        <w:jc w:val="both"/>
      </w:pPr>
      <w:r>
        <w:rPr>
          <w:sz w:val="21"/>
        </w:rPr>
        <w:t>15、交还车地点和方式：需要中标人送到采购人用户指定地点统一交车，起租时间是从车辆到达交车地点后开始算起，退租时间则从车辆还车之日起第二日算起。还车需由中标人到采购人用户指定地点统一取车。</w:t>
      </w:r>
    </w:p>
    <w:p>
      <w:pPr>
        <w:ind w:firstLine="420"/>
        <w:jc w:val="both"/>
      </w:pPr>
      <w:r>
        <w:rPr>
          <w:sz w:val="21"/>
        </w:rPr>
        <w:t>16、中标人所提供车辆规格和车龄必须是符合“用户需求书”中所要求的。</w:t>
      </w:r>
    </w:p>
    <w:p/>
    <w:p>
      <w:r>
        <w:rPr>
          <w:b/>
          <w:sz w:val="21"/>
        </w:rPr>
        <w:t>三、最高限价和其它要求</w:t>
      </w:r>
    </w:p>
    <w:p>
      <w:pPr>
        <w:ind w:firstLine="420"/>
        <w:jc w:val="both"/>
      </w:pPr>
      <w:r>
        <w:rPr>
          <w:sz w:val="21"/>
        </w:rPr>
        <w:t>1、合同期间，中标人应每年向采购人至少提供一次交通安全学习、应急处理措施的培训(须在投标文件中自行承诺)。</w:t>
      </w:r>
    </w:p>
    <w:p>
      <w:pPr>
        <w:ind w:firstLine="420"/>
        <w:jc w:val="both"/>
      </w:pPr>
      <w:r>
        <w:rPr>
          <w:sz w:val="21"/>
        </w:rPr>
        <w:t>2、车辆租赁数量以合同为准，租赁费用以最终招标成功后按项目周期内实际合同租车数量以及使用时长计算发生的费用结算， 累计租赁结算费用不超过本项目采购预算。采购人租车数量不少于15台，新旧车、</w:t>
      </w:r>
      <w:r>
        <w:rPr>
          <w:b/>
          <w:sz w:val="21"/>
        </w:rPr>
        <w:t>油电混合</w:t>
      </w:r>
      <w:r>
        <w:rPr>
          <w:sz w:val="21"/>
        </w:rPr>
        <w:t>车比例由采购人根据使用需求决定。</w:t>
      </w:r>
    </w:p>
    <w:p>
      <w:pPr>
        <w:ind w:firstLine="420"/>
        <w:jc w:val="both"/>
      </w:pPr>
      <w:r>
        <w:rPr>
          <w:sz w:val="21"/>
        </w:rPr>
        <w:t>3、车型最高投标限价（投标人需根据以下指标列明具体车型作出报价），投标人在本项目以折扣率形成报价</w:t>
      </w:r>
      <w:r>
        <w:rPr>
          <w:b/>
          <w:sz w:val="21"/>
        </w:rPr>
        <w:t>（报价规则，详见二、须知前附表）</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1404"/>
        <w:gridCol w:w="4828"/>
        <w:gridCol w:w="3490"/>
        <w:gridCol w:w="2715"/>
      </w:tblGrid>
      <w:tr>
        <w:tc>
          <w:tcPr>
            <w:tcW w:type="dxa" w:w="1404"/>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8318"/>
            <w:gridSpan w:val="2"/>
            <w:tcBorders>
              <w:top w:val="single" w:color="000000" w:sz="4"/>
              <w:left w:val="single" w:color="000000" w:sz="4"/>
              <w:bottom w:val="single" w:color="000000" w:sz="4"/>
              <w:right w:val="single" w:color="000000" w:sz="4"/>
            </w:tcBorders>
            <w:vAlign w:val="top"/>
          </w:tcPr>
          <w:p>
            <w:pPr>
              <w:jc w:val="center"/>
            </w:pPr>
            <w:r>
              <w:rPr>
                <w:b/>
                <w:sz w:val="21"/>
              </w:rPr>
              <w:t>车牌拟采用部分车型：</w:t>
            </w:r>
          </w:p>
          <w:p>
            <w:pPr>
              <w:jc w:val="center"/>
            </w:pPr>
            <w:r>
              <w:rPr>
                <w:b/>
                <w:sz w:val="21"/>
              </w:rPr>
              <w:t>1、车型：自动波，至少有2个安全气囊；</w:t>
            </w:r>
          </w:p>
          <w:p>
            <w:pPr>
              <w:jc w:val="center"/>
            </w:pPr>
            <w:r>
              <w:rPr>
                <w:b/>
                <w:sz w:val="21"/>
              </w:rPr>
              <w:t>2、车价为：官方指导价；</w:t>
            </w:r>
          </w:p>
          <w:p>
            <w:pPr>
              <w:jc w:val="center"/>
            </w:pPr>
            <w:r>
              <w:rPr>
                <w:b/>
                <w:sz w:val="21"/>
              </w:rPr>
              <w:t>3、能源类型：汽油、油电混合。</w:t>
            </w:r>
          </w:p>
        </w:tc>
        <w:tc>
          <w:tcPr>
            <w:tcW w:type="dxa" w:w="2715"/>
            <w:tcBorders>
              <w:top w:val="single" w:color="000000" w:sz="4"/>
              <w:left w:val="single" w:color="000000" w:sz="4"/>
              <w:bottom w:val="single" w:color="000000" w:sz="4"/>
              <w:right w:val="single" w:color="000000" w:sz="4"/>
            </w:tcBorders>
            <w:vAlign w:val="top"/>
          </w:tcPr>
          <w:p>
            <w:pPr>
              <w:jc w:val="center"/>
            </w:pPr>
            <w:r>
              <w:rPr>
                <w:b/>
                <w:sz w:val="21"/>
              </w:rPr>
              <w:t>车辆租金按月单价最高限价</w:t>
            </w:r>
          </w:p>
          <w:p>
            <w:pPr>
              <w:jc w:val="center"/>
            </w:pPr>
            <w:r>
              <w:rPr>
                <w:b/>
                <w:sz w:val="21"/>
              </w:rPr>
              <w:t>（元</w:t>
            </w:r>
            <w:r>
              <w:rPr>
                <w:b/>
                <w:sz w:val="21"/>
              </w:rPr>
              <w:t>/自然月/辆）</w:t>
            </w:r>
          </w:p>
        </w:tc>
      </w:tr>
      <w:tr>
        <w:tc>
          <w:tcPr>
            <w:tcW w:type="dxa" w:w="1404"/>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4828"/>
            <w:tcBorders>
              <w:top w:val="none" w:color="000000" w:sz="4"/>
              <w:left w:val="single" w:color="000000" w:sz="4"/>
              <w:bottom w:val="single" w:color="000000" w:sz="4"/>
              <w:right w:val="single" w:color="000000" w:sz="4"/>
            </w:tcBorders>
            <w:vAlign w:val="top"/>
          </w:tcPr>
          <w:p>
            <w:pPr>
              <w:jc w:val="center"/>
            </w:pPr>
            <w:r>
              <w:rPr>
                <w:sz w:val="21"/>
              </w:rPr>
              <w:t>5座三厢客车</w:t>
            </w:r>
          </w:p>
          <w:p>
            <w:pPr>
              <w:jc w:val="center"/>
            </w:pPr>
            <w:r>
              <w:rPr>
                <w:sz w:val="21"/>
              </w:rPr>
              <w:t>（车价</w:t>
            </w:r>
            <w:r>
              <w:rPr>
                <w:sz w:val="21"/>
              </w:rPr>
              <w:t>10万以上，轴距：2600mm或以上）</w:t>
            </w:r>
          </w:p>
        </w:tc>
        <w:tc>
          <w:tcPr>
            <w:tcW w:type="dxa" w:w="3490"/>
            <w:tcBorders>
              <w:top w:val="none" w:color="000000" w:sz="4"/>
              <w:left w:val="single" w:color="000000" w:sz="4"/>
              <w:bottom w:val="single" w:color="000000" w:sz="4"/>
              <w:right w:val="single" w:color="000000" w:sz="4"/>
            </w:tcBorders>
            <w:vAlign w:val="top"/>
          </w:tcPr>
          <w:p>
            <w:pPr>
              <w:jc w:val="center"/>
            </w:pPr>
            <w:r>
              <w:rPr>
                <w:sz w:val="21"/>
              </w:rPr>
              <w:t>3年以内</w:t>
            </w:r>
          </w:p>
          <w:p>
            <w:pPr>
              <w:jc w:val="center"/>
            </w:pPr>
            <w:r>
              <w:rPr>
                <w:sz w:val="21"/>
              </w:rPr>
              <w:t>（</w:t>
            </w:r>
            <w:r>
              <w:rPr>
                <w:sz w:val="21"/>
              </w:rPr>
              <w:t>2019年12月1日后第一次注册登记上牌）</w:t>
            </w:r>
          </w:p>
        </w:tc>
        <w:tc>
          <w:tcPr>
            <w:tcW w:type="dxa" w:w="2715"/>
            <w:tcBorders>
              <w:top w:val="single" w:color="000000" w:sz="4"/>
              <w:left w:val="single" w:color="000000" w:sz="4"/>
              <w:bottom w:val="single" w:color="000000" w:sz="4"/>
              <w:right w:val="single" w:color="000000" w:sz="4"/>
            </w:tcBorders>
            <w:vAlign w:val="top"/>
          </w:tcPr>
          <w:p>
            <w:pPr>
              <w:jc w:val="center"/>
            </w:pPr>
            <w:r>
              <w:rPr>
                <w:sz w:val="21"/>
              </w:rPr>
              <w:t>3800</w:t>
            </w:r>
          </w:p>
        </w:tc>
      </w:tr>
      <w:tr>
        <w:tc>
          <w:tcPr>
            <w:tcW w:type="dxa" w:w="1404"/>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4828"/>
            <w:tcBorders>
              <w:top w:val="none" w:color="000000" w:sz="4"/>
              <w:left w:val="single" w:color="000000" w:sz="4"/>
              <w:bottom w:val="single" w:color="000000" w:sz="4"/>
              <w:right w:val="single" w:color="000000" w:sz="4"/>
            </w:tcBorders>
            <w:vAlign w:val="top"/>
          </w:tcPr>
          <w:p>
            <w:pPr>
              <w:jc w:val="center"/>
            </w:pPr>
            <w:r>
              <w:rPr>
                <w:sz w:val="21"/>
              </w:rPr>
              <w:t>7座商务车</w:t>
            </w:r>
          </w:p>
          <w:p>
            <w:pPr>
              <w:jc w:val="center"/>
            </w:pPr>
            <w:r>
              <w:rPr>
                <w:sz w:val="21"/>
              </w:rPr>
              <w:t>（车价</w:t>
            </w:r>
            <w:r>
              <w:rPr>
                <w:sz w:val="21"/>
              </w:rPr>
              <w:t>20万元以上）</w:t>
            </w:r>
          </w:p>
        </w:tc>
        <w:tc>
          <w:tcPr>
            <w:tcW w:type="dxa" w:w="3490"/>
            <w:tcBorders>
              <w:top w:val="none" w:color="000000" w:sz="4"/>
              <w:left w:val="single" w:color="000000" w:sz="4"/>
              <w:bottom w:val="single" w:color="000000" w:sz="4"/>
              <w:right w:val="single" w:color="000000" w:sz="4"/>
            </w:tcBorders>
            <w:vAlign w:val="top"/>
          </w:tcPr>
          <w:p>
            <w:pPr>
              <w:jc w:val="center"/>
            </w:pPr>
            <w:r>
              <w:rPr>
                <w:sz w:val="21"/>
              </w:rPr>
              <w:t>3年以内车</w:t>
            </w:r>
          </w:p>
          <w:p>
            <w:pPr>
              <w:jc w:val="center"/>
            </w:pPr>
            <w:r>
              <w:rPr>
                <w:sz w:val="21"/>
              </w:rPr>
              <w:t>（</w:t>
            </w:r>
            <w:r>
              <w:rPr>
                <w:sz w:val="21"/>
              </w:rPr>
              <w:t>2019年12月1日后第一次注册登记上牌）</w:t>
            </w:r>
          </w:p>
        </w:tc>
        <w:tc>
          <w:tcPr>
            <w:tcW w:type="dxa" w:w="2715"/>
            <w:tcBorders>
              <w:top w:val="none" w:color="000000" w:sz="4"/>
              <w:left w:val="single" w:color="000000" w:sz="4"/>
              <w:bottom w:val="single" w:color="000000" w:sz="4"/>
              <w:right w:val="single" w:color="000000" w:sz="4"/>
            </w:tcBorders>
            <w:vAlign w:val="top"/>
          </w:tcPr>
          <w:p>
            <w:pPr>
              <w:jc w:val="center"/>
            </w:pPr>
            <w:r>
              <w:rPr>
                <w:sz w:val="21"/>
              </w:rPr>
              <w:t>8000</w:t>
            </w:r>
          </w:p>
        </w:tc>
      </w:tr>
    </w:tbl>
    <w:p/>
    <w:p>
      <w:r>
        <w:rPr>
          <w:b/>
          <w:sz w:val="21"/>
        </w:rPr>
        <w:t>四、付款方式</w:t>
      </w:r>
    </w:p>
    <w:p>
      <w:r>
        <w:rPr>
          <w:sz w:val="21"/>
        </w:rPr>
        <w:t>1、按月结算，结算</w:t>
      </w:r>
      <w:r>
        <w:rPr>
          <w:sz w:val="21"/>
        </w:rPr>
        <w:t>计算公式：</w:t>
      </w:r>
      <w:r>
        <w:rPr>
          <w:b/>
          <w:sz w:val="21"/>
        </w:rPr>
        <w:t>租车</w:t>
      </w:r>
      <w:r>
        <w:rPr>
          <w:b/>
          <w:sz w:val="21"/>
        </w:rPr>
        <w:t>服务费＝</w:t>
      </w:r>
      <w:r>
        <w:rPr>
          <w:b/>
          <w:sz w:val="21"/>
        </w:rPr>
        <w:t>车辆数量</w:t>
      </w:r>
      <w:r>
        <w:rPr>
          <w:b/>
          <w:sz w:val="21"/>
        </w:rPr>
        <w:t>×</w:t>
      </w:r>
      <w:r>
        <w:rPr>
          <w:b/>
          <w:sz w:val="21"/>
        </w:rPr>
        <w:t>车辆租金按月单价最高限价</w:t>
      </w:r>
      <w:r>
        <w:rPr>
          <w:b/>
          <w:sz w:val="21"/>
        </w:rPr>
        <w:t>（</w:t>
      </w:r>
      <w:r>
        <w:rPr>
          <w:b/>
          <w:sz w:val="21"/>
        </w:rPr>
        <w:t>对应车型</w:t>
      </w:r>
      <w:r>
        <w:rPr>
          <w:b/>
          <w:sz w:val="21"/>
        </w:rPr>
        <w:t>）</w:t>
      </w:r>
      <w:r>
        <w:rPr>
          <w:b/>
          <w:sz w:val="21"/>
        </w:rPr>
        <w:t>×</w:t>
      </w:r>
      <w:r>
        <w:rPr>
          <w:b/>
          <w:sz w:val="21"/>
        </w:rPr>
        <w:t>中标折扣率</w:t>
      </w:r>
      <w:r>
        <w:rPr>
          <w:b/>
          <w:sz w:val="21"/>
        </w:rPr>
        <w:t>；</w:t>
      </w:r>
      <w:r>
        <w:rPr>
          <w:sz w:val="21"/>
        </w:rPr>
        <w:t>双方应于每月前五个工作日内安排完成上月结算工作，中标人应提供结算相关费用票据、单据、凭证，服务方按结算金额开具正规增值税专用发票，采购人收到发票之日起</w:t>
      </w:r>
      <w:r>
        <w:rPr>
          <w:sz w:val="21"/>
        </w:rPr>
        <w:t>2周内付清相关款项。</w:t>
      </w:r>
    </w:p>
    <w:p>
      <w:r>
        <w:rPr>
          <w:sz w:val="21"/>
        </w:rPr>
        <w:t>2、在服务期限中，因国家政策或未取得省政府相关部门批准造成该年度的资金预算项目终止，采购人需要及时通知中标人协商减少合同资金和另行调整使用车辆数量，采购人将不承担任何法律责任。中标人不得追究采购人任何责任和经济损失。</w:t>
      </w:r>
    </w:p>
    <w:p>
      <w:r>
        <w:rPr>
          <w:sz w:val="21"/>
        </w:rPr>
        <w:t>3、采购人也可以根据采购人单位的年度采购计划预算资金安排拟定支付方式，但必须执行用转账、支票等方式支付相关费用。</w:t>
      </w:r>
    </w:p>
    <w:p/>
    <w:p>
      <w:pPr>
        <w:ind w:firstLine="480"/>
      </w:pPr>
    </w:p>
    <w:p/>
    <w:p>
      <w:r>
        <w:rPr/>
        <w:t>采购包1（广东省特种设备检测研究院中山检测院检验用车租赁服务采购项目-市内用车)）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服务期：自双方签订合同并确认实施之日起12个月。</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1期：支付比例100%,付款方式： 1、按月结算，结算计算公式：租车服务费＝车辆数量×车辆租金按月单价最高限价（对应车型）×中标折扣率；双方应于每月前五个工作日内安排完成上月结算工作，中标人应提供结算相关费用票据、单据、凭证，服务方按结算金额开具正规增值税专用发票，采购人收到发票之日起2周内付清相关款项。 2、在服务期限中，因国家政策或未取得省政府相关部门批准造成该年度的资金预算项目终止，采购人需要及时通知中标人协商减少合同资金和另行调整使用车辆数量，采购人将不承担任何法律责任。中标人不得追究采购人任何责任和经济损失。 3、采购人也可以根据采购人单位的年度采购计划预算资金安排拟定支付方式，但必须执行用转账、支票等方式支付相关费用。</w:t>
            </w:r>
          </w:p>
        </w:tc>
      </w:tr>
      <w:tr>
        <w:tc>
          <w:tcPr>
            <w:tcW w:type="dxa" w:w="4153"/>
          </w:tcPr>
          <w:p>
            <w:r>
              <w:rPr/>
              <w:t>验收要求</w:t>
            </w:r>
          </w:p>
        </w:tc>
        <w:tc>
          <w:tcPr>
            <w:tcW w:type="dxa" w:w="4153"/>
          </w:tcPr>
          <w:p/>
          <w:p/>
          <w:p/>
          <w:p>
            <w:r>
              <w:rPr/>
              <w:t>1期：中标人应在合同签订后15天内提供租赁服务，45天内对租赁车辆进行验收，验收应在采购人和中标人双方共同参加下进行，采购人组成验收小组按国家有关规定、规范进行验收。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车辆及其他运输机械租赁服务</w:t>
            </w:r>
          </w:p>
        </w:tc>
        <w:tc>
          <w:tcPr>
            <w:tcW w:type="dxa" w:w="831"/>
          </w:tcPr>
          <w:p>
            <w:pPr>
              <w:jc w:val="left"/>
            </w:pPr>
            <w:r>
              <w:rPr/>
              <w:t>广东省特种设备检测研究院中山检测院检验用车租赁服务采购项目-市内用车</w:t>
            </w:r>
          </w:p>
        </w:tc>
        <w:tc>
          <w:tcPr>
            <w:tcW w:type="dxa" w:w="831"/>
          </w:tcPr>
          <w:p>
            <w:pPr>
              <w:jc w:val="left"/>
            </w:pPr>
            <w:r>
              <w:rPr/>
              <w:t>项</w:t>
            </w:r>
          </w:p>
        </w:tc>
        <w:tc>
          <w:tcPr>
            <w:tcW w:type="dxa" w:w="831"/>
          </w:tcPr>
          <w:p>
            <w:pPr>
              <w:jc w:val="right"/>
            </w:pPr>
            <w:r>
              <w:rPr/>
              <w:t>1.00</w:t>
            </w:r>
          </w:p>
        </w:tc>
        <w:tc>
          <w:tcPr>
            <w:tcW w:type="dxa" w:w="831"/>
          </w:tcPr>
          <w:p>
            <w:pPr>
              <w:jc w:val="right"/>
            </w:pPr>
            <w:r>
              <w:rPr/>
              <w:t>1,100,000.00</w:t>
            </w:r>
          </w:p>
        </w:tc>
        <w:tc>
          <w:tcPr>
            <w:tcW w:type="dxa" w:w="831"/>
          </w:tcPr>
          <w:p>
            <w:pPr>
              <w:jc w:val="right"/>
            </w:pPr>
            <w:r>
              <w:rPr/>
              <w:t>1,100,000.00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广东省特种设备检测研究院中山检测院检验用车租赁服务采购项目-市内用车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详见本项目概况。</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采购包2（广东省特种设备检测研究院中山检测院检验用车租赁服务采购项目-市外用车）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服务期：自双方签订合同并确认实施之日起12个月。</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1期：支付比例100%,付款方式： 1、按月结算，结算计算公式：租车服务费＝车辆数量×车辆租金按月单价最高限价（对应车型）×中标折扣率；双方应于每月前五个工作日内安排完成上月结算工作，中标人应提供结算相关费用票据、单据、凭证，服务方按结算金额开具正规增值税专用发票，采购人收到发票之日起2周内付清相关款项。 2、在服务期限中，因国家政策或未取得省政府相关部门批准造成该年度的资金预算项目终止，采购人需要及时通知中标人协商减少合同资金和另行调整使用车辆数量，采购人将不承担任何法律责任。中标人不得追究采购人任何责任和经济损失。 3、采购人也可以根据采购人单位的年度采购计划预算资金安排拟定支付方式，但必须执行用转账、支票等方式支付相关费用。</w:t>
            </w:r>
          </w:p>
        </w:tc>
      </w:tr>
      <w:tr>
        <w:tc>
          <w:tcPr>
            <w:tcW w:type="dxa" w:w="4153"/>
          </w:tcPr>
          <w:p>
            <w:r>
              <w:rPr/>
              <w:t>验收要求</w:t>
            </w:r>
          </w:p>
        </w:tc>
        <w:tc>
          <w:tcPr>
            <w:tcW w:type="dxa" w:w="4153"/>
          </w:tcPr>
          <w:p/>
          <w:p/>
          <w:p/>
          <w:p>
            <w:r>
              <w:rPr/>
              <w:t>1期：中标人应在合同签订后15天内提供租赁服务，45天内对租赁车辆进行验收，验收应在采购人和中标人双方共同参加下进行，采购人组成验收小组按国家有关规定、规范进行验收。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车辆及其他运输机械租赁服务</w:t>
            </w:r>
          </w:p>
        </w:tc>
        <w:tc>
          <w:tcPr>
            <w:tcW w:type="dxa" w:w="831"/>
          </w:tcPr>
          <w:p>
            <w:pPr>
              <w:jc w:val="left"/>
            </w:pPr>
            <w:r>
              <w:rPr/>
              <w:t>广东省特种设备检测研究院中山检测院检验用车租赁服务采购项目-市外用车</w:t>
            </w:r>
          </w:p>
        </w:tc>
        <w:tc>
          <w:tcPr>
            <w:tcW w:type="dxa" w:w="831"/>
          </w:tcPr>
          <w:p>
            <w:pPr>
              <w:jc w:val="left"/>
            </w:pPr>
            <w:r>
              <w:rPr/>
              <w:t>项</w:t>
            </w:r>
          </w:p>
        </w:tc>
        <w:tc>
          <w:tcPr>
            <w:tcW w:type="dxa" w:w="831"/>
          </w:tcPr>
          <w:p>
            <w:pPr>
              <w:jc w:val="right"/>
            </w:pPr>
            <w:r>
              <w:rPr/>
              <w:t>1.00</w:t>
            </w:r>
          </w:p>
        </w:tc>
        <w:tc>
          <w:tcPr>
            <w:tcW w:type="dxa" w:w="831"/>
          </w:tcPr>
          <w:p>
            <w:pPr>
              <w:jc w:val="right"/>
            </w:pPr>
            <w:r>
              <w:rPr/>
              <w:t>700,000.00</w:t>
            </w:r>
          </w:p>
        </w:tc>
        <w:tc>
          <w:tcPr>
            <w:tcW w:type="dxa" w:w="831"/>
          </w:tcPr>
          <w:p>
            <w:pPr>
              <w:jc w:val="right"/>
            </w:pPr>
            <w:r>
              <w:rPr/>
              <w:t>700,000.00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广东省特种设备检测研究院中山检测院检验用车租赁服务采购项目-市外用车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详见本项目概况。</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广东省特种设备检测研究院中山检测院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采购包1：折扣率</w:t>
            </w:r>
          </w:p>
          <w:p/>
          <w:p>
            <w:r>
              <w:rPr/>
              <w:t>采购包2：折扣率</w:t>
            </w:r>
          </w:p>
        </w:tc>
      </w:tr>
      <w:tr>
        <w:tc>
          <w:tcPr>
            <w:tcW w:type="dxa" w:w="1051"/>
          </w:tcPr>
          <w:p>
            <w:r>
              <w:rPr/>
              <w:t>6</w:t>
            </w:r>
          </w:p>
        </w:tc>
        <w:tc>
          <w:tcPr>
            <w:tcW w:type="dxa" w:w="2252"/>
          </w:tcPr>
          <w:p>
            <w:r>
              <w:rPr/>
              <w:t>报价要求</w:t>
            </w:r>
          </w:p>
        </w:tc>
        <w:tc>
          <w:tcPr>
            <w:tcW w:type="dxa" w:w="5004"/>
          </w:tcPr>
          <w:p/>
          <w:p>
            <w:r>
              <w:rPr/>
              <w:t>采购包1：0% - 95%</w:t>
            </w:r>
          </w:p>
          <w:p/>
          <w:p>
            <w:r>
              <w:rPr/>
              <w:t>采购包2：0% - 95%</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按固定金额收取服务费：采购包1收取15000.00元，采购包1收取10000.00元。中标人以银行转账的形式一次性向采购代理机构支付，代理服务费支付时间：代理服务费必须在中标人领取《中标通知书》 时一次性付清，如果中标人未能按时交纳代理服务费，采购代理机构/采购人保留追究其法律责任的权利。代理服务费不在报价中单列。招标代理服务费递交账户（请在汇款单上写明本项目的项目编号）；开户名：广东省建东工程监理有限公司中山分公司；开户银行：中国建设银行中山城区支行；帐号：44050178030200000194。</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⑵请供应商按“远程开标”有关要求，在投标/报价截止时间前，将加密的电子投标/报价文件上传至云平台项目采购系统，逾期上传或错误方式投递送达将导致投标/报价无效。咨询电话：0760-89817337、0760-89817357。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0760-89817337、0760-89817357。</w:t>
            </w:r>
          </w:p>
        </w:tc>
      </w:tr>
      <w:tr>
        <w:tc>
          <w:tcPr>
            <w:tcW w:type="dxa" w:w="1051"/>
          </w:tcPr>
          <w:p>
            <w:r>
              <w:rPr/>
              <w:t>19</w:t>
            </w:r>
          </w:p>
        </w:tc>
        <w:tc>
          <w:tcPr>
            <w:tcW w:type="dxa" w:w="2252"/>
          </w:tcPr>
          <w:p>
            <w:r>
              <w:rPr/>
              <w:t>开标解密时长</w:t>
            </w:r>
          </w:p>
        </w:tc>
        <w:tc>
          <w:tcPr>
            <w:tcW w:type="dxa" w:w="5004"/>
          </w:tcPr>
          <w:p>
            <w:r>
              <w:rPr/>
              <w:t>30</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采购包1：面向小微企业，采购包专门预留</w:t>
            </w:r>
          </w:p>
          <w:p>
            <w:pPr>
              <w:jc w:val="left"/>
            </w:pPr>
            <w:r>
              <w:rPr/>
              <w:t>采购包2：面向小微企业，采购包专门预留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中山市政府采购网（http://120.234.108.5:8088/zfcg/），中山市公共资源交易网（https://ggzyjy.zs.gov.cn/），采购代理机构网站（http://www.gdjdjl.com/）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中山市政府采购网（http://120.234.108.5:8088/zfcg/），中山市公共资源交易网（https://ggzyjy.zs.gov.cn/），采购代理机构网站（http://www.gdjdjl.com/）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张先生</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东省特种设备检测研究院中山检测院检验用车租赁服务采购项目-市内用车))：综合评分法,是指投标文件满足招标文件全部实质性要求，且按照评审因素的量化指标评审得分最高的投标人为中标候选人的评标方法。（最低报价不是中标的唯一依据。）</w:t>
      </w:r>
    </w:p>
    <w:p/>
    <w:p>
      <w:r>
        <w:rPr/>
        <w:t>采购包2(广东省特种设备检测研究院中山检测院检验用车租赁服务采购项目-市外用车)：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采购包1（广东省特种设备检测研究院中山检测院检验用车租赁服务采购项目-市内用车)）：</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采购包2（广东省特种设备检测研究院中山检测院检验用车租赁服务采购项目-市外用车）：</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采购包1（广东省特种设备检测研究院中山检测院检验用车租赁服务采购项目-市内用车)）：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供应商必须具有良好的商业信誉和健全的财务会计制度（提供投标截止日前6个月内任意1个月的财务报表或2021年度财务状况报告或基本开户行出具的资信证明）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参与的供应商（联合体）服务全部由符合政策要求的小微企业承接</w:t>
            </w:r>
          </w:p>
        </w:tc>
      </w:tr>
    </w:tbl>
    <w:p/>
    <w:p>
      <w:r>
        <w:rPr/>
        <w:t>采购包2（广东省特种设备检测研究院中山检测院检验用车租赁服务采购项目-市外用车）：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供应商必须具有良好的商业信誉和健全的财务会计制度（提供投标截止日前6个月内任意1个月的财务报表或2021年度财务状况报告或基本开户行出具的资信证明）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参与的供应商（联合体）服务全部由符合政策要求的小微企业承接</w:t>
            </w:r>
          </w:p>
        </w:tc>
      </w:tr>
    </w:tbl>
    <w:p/>
    <w:p>
      <w:pPr>
        <w:ind w:firstLine="480"/>
      </w:pPr>
      <w:r>
        <w:rPr/>
        <w:t>表二符合性审查表：</w:t>
      </w:r>
    </w:p>
    <w:p>
      <w:pPr>
        <w:ind w:firstLine="480"/>
      </w:pPr>
    </w:p>
    <w:p/>
    <w:p>
      <w:r>
        <w:rPr/>
        <w:t>采购包1（广东省特种设备检测研究院中山检测院检验用车租赁服务采购项目-市内用车)）：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投标折扣率在0%-95%之间，且无重大漏项或重大不合理。</w:t>
            </w:r>
          </w:p>
        </w:tc>
      </w:tr>
      <w:tr>
        <w:tc>
          <w:tcPr>
            <w:tcW w:type="dxa" w:w="890"/>
          </w:tcPr>
          <w:p>
            <w:r>
              <w:rPr/>
              <w:t>5</w:t>
            </w:r>
          </w:p>
        </w:tc>
        <w:tc>
          <w:tcPr>
            <w:tcW w:type="dxa" w:w="3178"/>
          </w:tcPr>
          <w:p>
            <w:r>
              <w:rPr/>
              <w:t>“★”号条款的响应</w:t>
            </w:r>
          </w:p>
        </w:tc>
        <w:tc>
          <w:tcPr>
            <w:tcW w:type="dxa" w:w="4238"/>
          </w:tcPr>
          <w:p>
            <w:r>
              <w:rPr/>
              <w:t>“★”号条款的响应</w:t>
            </w:r>
          </w:p>
        </w:tc>
      </w:tr>
      <w:tr>
        <w:tc>
          <w:tcPr>
            <w:tcW w:type="dxa" w:w="890"/>
          </w:tcPr>
          <w:p>
            <w:r>
              <w:rPr/>
              <w:t>6</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t>采购包2（广东省特种设备检测研究院中山检测院检验用车租赁服务采购项目-市外用车）：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投标折扣率在0%-95%之间，且无重大漏项或重大不合理。</w:t>
            </w:r>
          </w:p>
        </w:tc>
      </w:tr>
      <w:tr>
        <w:tc>
          <w:tcPr>
            <w:tcW w:type="dxa" w:w="890"/>
          </w:tcPr>
          <w:p>
            <w:r>
              <w:rPr/>
              <w:t>5</w:t>
            </w:r>
          </w:p>
        </w:tc>
        <w:tc>
          <w:tcPr>
            <w:tcW w:type="dxa" w:w="3178"/>
          </w:tcPr>
          <w:p>
            <w:r>
              <w:rPr/>
              <w:t>“★”号条款的响应</w:t>
            </w:r>
          </w:p>
        </w:tc>
        <w:tc>
          <w:tcPr>
            <w:tcW w:type="dxa" w:w="4238"/>
          </w:tcPr>
          <w:p>
            <w:r>
              <w:rPr/>
              <w:t>“★”号条款的响应</w:t>
            </w:r>
          </w:p>
        </w:tc>
      </w:tr>
      <w:tr>
        <w:tc>
          <w:tcPr>
            <w:tcW w:type="dxa" w:w="890"/>
          </w:tcPr>
          <w:p>
            <w:r>
              <w:rPr/>
              <w:t>6</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采购包1广东省特种设备检测研究院中山检测院检验用车租赁服务采购项目-市内用车)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商务部分26.0分</w:t>
            </w:r>
          </w:p>
          <w:p>
            <w:r>
              <w:rPr/>
              <w:t>技术部分54.0分</w:t>
            </w:r>
          </w:p>
          <w:p>
            <w:r>
              <w:rPr/>
              <w:t>报价得分20.0分</w:t>
            </w:r>
          </w:p>
        </w:tc>
      </w:tr>
      <w:tr>
        <w:tc>
          <w:tcPr>
            <w:tcW w:type="dxa" w:w="922"/>
            <w:gridSpan w:val="2"/>
            <w:vMerge w:val="restart"/>
          </w:tcPr>
          <w:p>
            <w:pPr>
              <w:jc w:val="center"/>
            </w:pPr>
            <w:r>
              <w:rPr/>
              <w:t>技术部分</w:t>
            </w:r>
          </w:p>
        </w:tc>
        <w:tc>
          <w:tcPr>
            <w:tcW w:type="dxa" w:w="2307"/>
          </w:tcPr>
          <w:p>
            <w:pPr>
              <w:jc w:val="left"/>
            </w:pPr>
            <w:r>
              <w:rPr/>
              <w:t>车辆配置 (2.0分)</w:t>
            </w:r>
          </w:p>
        </w:tc>
        <w:tc>
          <w:tcPr>
            <w:tcW w:type="dxa" w:w="5076"/>
          </w:tcPr>
          <w:p>
            <w:pPr>
              <w:jc w:val="left"/>
            </w:pPr>
            <w:r>
              <w:rPr/>
              <w:t>投标人承诺提供的全部租赁车辆： 1、配备行车轨迹监控得1分，不配备不得分； 2、配备ETC得1分，不配备不得分。 注：投标人须在投标文件中自行承诺，未承诺不得分。</w:t>
            </w:r>
          </w:p>
        </w:tc>
      </w:tr>
      <w:tr>
        <w:tc>
          <w:tcPr>
            <w:tcW w:type="dxa" w:w="922"/>
            <w:gridSpan w:val="2"/>
            <w:vMerge/>
          </w:tcPr>
          <w:p/>
        </w:tc>
        <w:tc>
          <w:tcPr>
            <w:tcW w:type="dxa" w:w="2307"/>
          </w:tcPr>
          <w:p>
            <w:pPr>
              <w:jc w:val="left"/>
            </w:pPr>
            <w:r>
              <w:rPr/>
              <w:t>第三者保险额度 (2.5分)</w:t>
            </w:r>
          </w:p>
        </w:tc>
        <w:tc>
          <w:tcPr>
            <w:tcW w:type="dxa" w:w="5076"/>
          </w:tcPr>
          <w:p>
            <w:pPr>
              <w:jc w:val="left"/>
            </w:pPr>
            <w:r>
              <w:rPr/>
              <w:t>投标人对提供的租赁车辆购买第三者的总保险额度，不低于但不限于200万元。 提供超过200万元以上的每增加20万元得0.5分；未购买的需要在投标文件中自行承诺若获中标后，购买相应金额保险的承诺书，最高得2.5分。 注：投标文件中须提供投标人购买保险的商业保险单复印件并加盖公章，未购买的需要在投标文件中自行承诺若中标后购买相应金额保险的承诺书，未提供或未承诺不得分。</w:t>
            </w:r>
          </w:p>
        </w:tc>
      </w:tr>
      <w:tr>
        <w:tc>
          <w:tcPr>
            <w:tcW w:type="dxa" w:w="922"/>
            <w:gridSpan w:val="2"/>
            <w:vMerge/>
          </w:tcPr>
          <w:p/>
        </w:tc>
        <w:tc>
          <w:tcPr>
            <w:tcW w:type="dxa" w:w="2307"/>
          </w:tcPr>
          <w:p>
            <w:pPr>
              <w:jc w:val="left"/>
            </w:pPr>
            <w:r>
              <w:rPr/>
              <w:t>司乘人员保险额度 (1.5分)</w:t>
            </w:r>
          </w:p>
        </w:tc>
        <w:tc>
          <w:tcPr>
            <w:tcW w:type="dxa" w:w="5076"/>
          </w:tcPr>
          <w:p>
            <w:pPr>
              <w:jc w:val="left"/>
            </w:pPr>
            <w:r>
              <w:rPr/>
              <w:t>投标人承诺对租赁车辆购买司乘人员的总保险额度，不低于但不限于5万/位。 承诺提供司乘人员保险超过5万/位的每增加1万元得0.5分，最高得1.5分。 注：投标人须在投标文件中自行承诺，未承诺不得分。</w:t>
            </w:r>
          </w:p>
        </w:tc>
      </w:tr>
      <w:tr>
        <w:tc>
          <w:tcPr>
            <w:tcW w:type="dxa" w:w="922"/>
            <w:gridSpan w:val="2"/>
            <w:vMerge/>
          </w:tcPr>
          <w:p/>
        </w:tc>
        <w:tc>
          <w:tcPr>
            <w:tcW w:type="dxa" w:w="2307"/>
          </w:tcPr>
          <w:p>
            <w:pPr>
              <w:jc w:val="left"/>
            </w:pPr>
            <w:r>
              <w:rPr/>
              <w:t>车辆折旧损失费 (3.0分)</w:t>
            </w:r>
          </w:p>
        </w:tc>
        <w:tc>
          <w:tcPr>
            <w:tcW w:type="dxa" w:w="5076"/>
          </w:tcPr>
          <w:p>
            <w:pPr>
              <w:jc w:val="left"/>
            </w:pPr>
            <w:r>
              <w:rPr/>
              <w:t>投标人所提供的由采购人自驾的车辆在使用过程中如发生交通意外造成车辆受损或者报废情况时，由投标人负责处理并赔偿。投标人对发生事故的车辆向采购人收取折旧损失费不得高于25％（无责任及3000元以内免收），其他的赔偿事宜按国家有关规定执行。 注：投标人须在投标文件中承诺收取采购人折旧损失费25％的得1分，每减少收取折旧损失费5％的多得2分，最高得3分，收取折旧损失费25％以上的不得分。</w:t>
            </w:r>
          </w:p>
        </w:tc>
      </w:tr>
      <w:tr>
        <w:tc>
          <w:tcPr>
            <w:tcW w:type="dxa" w:w="922"/>
            <w:gridSpan w:val="2"/>
            <w:vMerge/>
          </w:tcPr>
          <w:p/>
        </w:tc>
        <w:tc>
          <w:tcPr>
            <w:tcW w:type="dxa" w:w="2307"/>
          </w:tcPr>
          <w:p>
            <w:pPr>
              <w:jc w:val="left"/>
            </w:pPr>
            <w:r>
              <w:rPr/>
              <w:t>车型配置 (18.0分)</w:t>
            </w:r>
          </w:p>
        </w:tc>
        <w:tc>
          <w:tcPr>
            <w:tcW w:type="dxa" w:w="5076"/>
          </w:tcPr>
          <w:p>
            <w:pPr>
              <w:jc w:val="left"/>
            </w:pPr>
            <w:r>
              <w:rPr/>
              <w:t>1）投标人投入的车辆车车况进行评比。 ①拟投入本项目使用的车辆是全新车，车辆性能优，行驶里程不超过1000公里，得12分； ②拟投入本项目使用的车辆车龄在1年以内，车辆性能良好，行驶里程不超过2万公里，得8分； ③拟投入本项目使用的车辆车龄在2年以内，车辆性能较好，行驶里程不超过3万公里，得4分； ④拟投入本项目使用的车辆车龄在3年以内，车辆性能一般，行驶里程不超过4万公里，得2分； 备注：按各档次单独计算得分，得分不叠加，只取最高得分。 2）投标人能承诺完全满足采购人对油电混合动力车辆的需求数量，得6分，无法承诺的不得分。 投标人需提供购买新车承诺函，或车辆行驶证（行驶证名称与投标人一致）及车辆图片。</w:t>
            </w:r>
          </w:p>
        </w:tc>
      </w:tr>
      <w:tr>
        <w:tc>
          <w:tcPr>
            <w:tcW w:type="dxa" w:w="922"/>
            <w:gridSpan w:val="2"/>
            <w:vMerge/>
          </w:tcPr>
          <w:p/>
        </w:tc>
        <w:tc>
          <w:tcPr>
            <w:tcW w:type="dxa" w:w="2307"/>
          </w:tcPr>
          <w:p>
            <w:pPr>
              <w:jc w:val="left"/>
            </w:pPr>
            <w:r>
              <w:rPr/>
              <w:t>项目整体规划、措施及服务方案 (12.0分)</w:t>
            </w:r>
            <w:r>
              <w:rPr/>
              <w:t>，（等次分值选择：</w:t>
            </w:r>
            <w:r>
              <w:rPr/>
              <w:t>0.0;</w:t>
            </w:r>
            <w:r>
              <w:rPr/>
              <w:t>3.0;</w:t>
            </w:r>
            <w:r>
              <w:rPr/>
              <w:t>6.0;</w:t>
            </w:r>
            <w:r>
              <w:rPr/>
              <w:t>8.0;</w:t>
            </w:r>
            <w:r>
              <w:rPr/>
              <w:t>12.0;</w:t>
            </w:r>
            <w:r>
              <w:rPr/>
              <w:t>）</w:t>
            </w:r>
          </w:p>
        </w:tc>
        <w:tc>
          <w:tcPr>
            <w:tcW w:type="dxa" w:w="5076"/>
          </w:tcPr>
          <w:p>
            <w:pPr>
              <w:jc w:val="left"/>
            </w:pPr>
            <w:r>
              <w:rPr/>
              <w:t>对本项目整体服务目标实施中各项服务安排，管理制度合理，管理服务团队、交通事故处理团队、紧急救援团队设置情况： 优：对本项目整体服务目标实施中各项服务安排好，管理制度合理，管理服务团队、交通事故处理团队、紧急救援团队设置合理的得12分； 较好：对本项目整体服务目标实施中各项服务安排较好，管理制度较好，管理服务团队、交通事故处理团队、紧急救援团队设置较好的得8分； 良：对本项目整体服务目标实施中各项服务安排较好，管理制度较合理，管理服务团队、交通事故处理团队、紧急救援团队设置较合理的得6分； 中：对本项目整体服务目标实施中各项服务安排一般，管理制度一般，管理服务团队、交通事故处理团队、紧急救援团队设置一般的得3分； 未提供项目整体规划、措施及服务方案，得0分。</w:t>
            </w:r>
          </w:p>
        </w:tc>
      </w:tr>
      <w:tr>
        <w:tc>
          <w:tcPr>
            <w:tcW w:type="dxa" w:w="922"/>
            <w:gridSpan w:val="2"/>
            <w:vMerge/>
          </w:tcPr>
          <w:p/>
        </w:tc>
        <w:tc>
          <w:tcPr>
            <w:tcW w:type="dxa" w:w="2307"/>
          </w:tcPr>
          <w:p>
            <w:pPr>
              <w:jc w:val="left"/>
            </w:pPr>
            <w:r>
              <w:rPr/>
              <w:t>应急解决方案 (8.0分)</w:t>
            </w:r>
            <w:r>
              <w:rPr/>
              <w:t>，（等次分值选择：</w:t>
            </w:r>
            <w:r>
              <w:rPr/>
              <w:t>0.0;</w:t>
            </w:r>
            <w:r>
              <w:rPr/>
              <w:t>2.0;</w:t>
            </w:r>
            <w:r>
              <w:rPr/>
              <w:t>4.0;</w:t>
            </w:r>
            <w:r>
              <w:rPr/>
              <w:t>8.0;</w:t>
            </w:r>
            <w:r>
              <w:rPr/>
              <w:t>）</w:t>
            </w:r>
          </w:p>
        </w:tc>
        <w:tc>
          <w:tcPr>
            <w:tcW w:type="dxa" w:w="5076"/>
          </w:tcPr>
          <w:p>
            <w:pPr>
              <w:jc w:val="left"/>
            </w:pPr>
            <w:r>
              <w:rPr/>
              <w:t>突发应急解决方案：突发性交通事故或车辆故障的处理措施及应急服务响应时限： 优：突发性交通事故或车辆故障的处理措施完善及应急服务响应时限快的得8分； 良：突发性交通事故或车辆故障的处理措施较完善及应急服务响应时限较快的得4分；</w:t>
              <w:tab/>
              <w:t xml:space="preserve"> 中：突发性交通事故或车辆故障的处理措施一般及应急服务响应时限慢的得2分； 未提供突发应急解决方案，得0分。</w:t>
            </w:r>
          </w:p>
        </w:tc>
      </w:tr>
      <w:tr>
        <w:tc>
          <w:tcPr>
            <w:tcW w:type="dxa" w:w="922"/>
            <w:gridSpan w:val="2"/>
            <w:vMerge/>
          </w:tcPr>
          <w:p/>
        </w:tc>
        <w:tc>
          <w:tcPr>
            <w:tcW w:type="dxa" w:w="2307"/>
          </w:tcPr>
          <w:p>
            <w:pPr>
              <w:jc w:val="left"/>
            </w:pPr>
            <w:r>
              <w:rPr/>
              <w:t>其他增值服务 (2.0分)</w:t>
            </w:r>
            <w:r>
              <w:rPr/>
              <w:t>，（等次分值选择：</w:t>
            </w:r>
            <w:r>
              <w:rPr/>
              <w:t>0.0;</w:t>
            </w:r>
            <w:r>
              <w:rPr/>
              <w:t>1.0;</w:t>
            </w:r>
            <w:r>
              <w:rPr/>
              <w:t>1.5;</w:t>
            </w:r>
            <w:r>
              <w:rPr/>
              <w:t>2.0;</w:t>
            </w:r>
            <w:r>
              <w:rPr/>
              <w:t>）</w:t>
            </w:r>
          </w:p>
        </w:tc>
        <w:tc>
          <w:tcPr>
            <w:tcW w:type="dxa" w:w="5076"/>
          </w:tcPr>
          <w:p>
            <w:pPr>
              <w:jc w:val="left"/>
            </w:pPr>
            <w:r>
              <w:rPr/>
              <w:t>针对本项目提出的建议和意见，风险预警机制和增值服务： 优：针对本项目提出切实可行的建议和意见，具有完善的风险预警机制和增值服务的得2分； 良：针对本项目提出可行的建议和意见，具有较完善的风险预警机制和增值服务的得1.5分； 中：针对本项目提出建议和意见，具有风险预警机制和增值服务的得1分； 未提出建议和意见，具有风险预警机制和增值服务，得0分</w:t>
            </w:r>
          </w:p>
        </w:tc>
      </w:tr>
      <w:tr>
        <w:tc>
          <w:tcPr>
            <w:tcW w:type="dxa" w:w="922"/>
            <w:gridSpan w:val="2"/>
            <w:vMerge/>
          </w:tcPr>
          <w:p/>
        </w:tc>
        <w:tc>
          <w:tcPr>
            <w:tcW w:type="dxa" w:w="2307"/>
          </w:tcPr>
          <w:p>
            <w:pPr>
              <w:jc w:val="left"/>
            </w:pPr>
            <w:r>
              <w:rPr/>
              <w:t>安全运营方案 (5.0分)</w:t>
            </w:r>
            <w:r>
              <w:rPr/>
              <w:t>，（等次分值选择：</w:t>
            </w:r>
            <w:r>
              <w:rPr/>
              <w:t>0.0;</w:t>
            </w:r>
            <w:r>
              <w:rPr/>
              <w:t>1.0;</w:t>
            </w:r>
            <w:r>
              <w:rPr/>
              <w:t>2.0;</w:t>
            </w:r>
            <w:r>
              <w:rPr/>
              <w:t>4.0;</w:t>
            </w:r>
            <w:r>
              <w:rPr/>
              <w:t>5.0;</w:t>
            </w:r>
            <w:r>
              <w:rPr/>
              <w:t>）</w:t>
            </w:r>
          </w:p>
        </w:tc>
        <w:tc>
          <w:tcPr>
            <w:tcW w:type="dxa" w:w="5076"/>
          </w:tcPr>
          <w:p>
            <w:pPr>
              <w:jc w:val="left"/>
            </w:pPr>
            <w:r>
              <w:rPr/>
              <w:t>针对本项目提出的安全运营方案（内容包含但不限于：安排1名以上专职管理人员负责管理工作，每月召开一次驾驶员安全会议并及时反馈采购人提出的问题；车辆、人员的管理机制、管理原则和管理方法；考核办法，奖惩措施等）进行综合评审： 优：安全营运服务方案详细、合理的的，得5分； 较优：安全营运服务方案较优、相对合理的，得4分； 良：安全营运服务方案较详细、较合理的，得2分； 中：安全营运服务方案有但不够详细、缺乏一定的合理性的，得1分； 无相关方面或其他，得0分。</w:t>
            </w:r>
          </w:p>
        </w:tc>
      </w:tr>
      <w:tr>
        <w:tc>
          <w:tcPr>
            <w:tcW w:type="dxa" w:w="922"/>
            <w:gridSpan w:val="2"/>
            <w:vMerge w:val="restart"/>
          </w:tcPr>
          <w:p>
            <w:pPr>
              <w:jc w:val="center"/>
            </w:pPr>
            <w:r>
              <w:rPr/>
              <w:t>商务部分</w:t>
            </w:r>
          </w:p>
        </w:tc>
        <w:tc>
          <w:tcPr>
            <w:tcW w:type="dxa" w:w="2307"/>
          </w:tcPr>
          <w:p>
            <w:pPr>
              <w:jc w:val="left"/>
            </w:pPr>
            <w:r>
              <w:rPr/>
              <w:t>服务业绩 (6.0分)</w:t>
            </w:r>
          </w:p>
        </w:tc>
        <w:tc>
          <w:tcPr>
            <w:tcW w:type="dxa" w:w="5076"/>
          </w:tcPr>
          <w:p>
            <w:pPr>
              <w:jc w:val="left"/>
            </w:pPr>
            <w:r>
              <w:rPr/>
              <w:t>投标人自2018年01月01日至今承接的同类型（汽车租赁服务）业绩情况：每提供1个有效的合同得1分，最高得6分。 有效的合同是指：自2018年01月01日起签订的1年以上的合同。 注：投标人须在投标文件中提供合同关键页，含签订合同双方的单位名称、合同项目名称、中标通知书（如有）、服务内容与含签订合同双方的落款盖章、签订日期的关键页等复印件并加盖公章，未提供不得分。</w:t>
            </w:r>
          </w:p>
        </w:tc>
      </w:tr>
      <w:tr>
        <w:tc>
          <w:tcPr>
            <w:tcW w:type="dxa" w:w="922"/>
            <w:gridSpan w:val="2"/>
            <w:vMerge/>
          </w:tcPr>
          <w:p/>
        </w:tc>
        <w:tc>
          <w:tcPr>
            <w:tcW w:type="dxa" w:w="2307"/>
          </w:tcPr>
          <w:p>
            <w:pPr>
              <w:jc w:val="left"/>
            </w:pPr>
            <w:r>
              <w:rPr/>
              <w:t>服务能力 (6.0分)</w:t>
            </w:r>
          </w:p>
        </w:tc>
        <w:tc>
          <w:tcPr>
            <w:tcW w:type="dxa" w:w="5076"/>
          </w:tcPr>
          <w:p>
            <w:pPr>
              <w:jc w:val="left"/>
            </w:pPr>
            <w:r>
              <w:rPr/>
              <w:t>租赁15辆（含）以上配备应急替换车的数量。 提供1辆的得3分；提供2辆的得6分；不提供应急替换车的不得分。 注：1、应急替换车是指：长期存放在采购人工作地点备用车辆，采购人可不经租赁公司同意，可自主调配的车辆，且不需支付任何费用，应急替换车须与正常车辆具有同等参数与服务； 2、投标文件中须提供应急替换车的实拍图及车辆行驶证复印件并加盖公章； 3、投标人须在投标文件中自行提供承诺函。</w:t>
            </w:r>
          </w:p>
        </w:tc>
      </w:tr>
      <w:tr>
        <w:tc>
          <w:tcPr>
            <w:tcW w:type="dxa" w:w="922"/>
            <w:gridSpan w:val="2"/>
            <w:vMerge/>
          </w:tcPr>
          <w:p/>
        </w:tc>
        <w:tc>
          <w:tcPr>
            <w:tcW w:type="dxa" w:w="2307"/>
          </w:tcPr>
          <w:p>
            <w:pPr>
              <w:jc w:val="left"/>
            </w:pPr>
            <w:r>
              <w:rPr/>
              <w:t>投标人办公场地保障 (2.0分)</w:t>
            </w:r>
          </w:p>
        </w:tc>
        <w:tc>
          <w:tcPr>
            <w:tcW w:type="dxa" w:w="5076"/>
          </w:tcPr>
          <w:p>
            <w:pPr>
              <w:jc w:val="left"/>
            </w:pPr>
            <w:r>
              <w:rPr/>
              <w:t>投标人有固定的办公场地，并且能提供办公场地图片、营业执照、租赁合同或产权证明复印件。 办公场地是自有产权或者签订租赁年限达到3年（含3年）以上的得2分；其他得1分。 注：投标人须在投标文件中提供上述相关资料（营业执照地址与租赁合同或产权证明一致，租赁期限必须是本项目服务期内）复印件并加盖公章，未提供不得分。</w:t>
            </w:r>
          </w:p>
        </w:tc>
      </w:tr>
      <w:tr>
        <w:tc>
          <w:tcPr>
            <w:tcW w:type="dxa" w:w="922"/>
            <w:gridSpan w:val="2"/>
            <w:vMerge/>
          </w:tcPr>
          <w:p/>
        </w:tc>
        <w:tc>
          <w:tcPr>
            <w:tcW w:type="dxa" w:w="2307"/>
          </w:tcPr>
          <w:p>
            <w:pPr>
              <w:jc w:val="left"/>
            </w:pPr>
            <w:r>
              <w:rPr/>
              <w:t>服务车辆维修保障 (3.0分)</w:t>
            </w:r>
          </w:p>
        </w:tc>
        <w:tc>
          <w:tcPr>
            <w:tcW w:type="dxa" w:w="5076"/>
          </w:tcPr>
          <w:p>
            <w:pPr>
              <w:jc w:val="left"/>
            </w:pPr>
            <w:r>
              <w:rPr/>
              <w:t>投标人在项目所在地有固定的车辆维修地点，并提供维修点图片和营业执照、合作协议（需签订1年以上才能有效）复印件的或者承诺中标后15天内在项目所在内提供固定车辆维修点的，得3分；其他情况不得分。 注：投标人须在投标文件中提供维修点图片和营业执照、合作协议（需签订1年以上才能有效）复印件或者承诺函文件并加盖公章，未提供不得分。</w:t>
            </w:r>
          </w:p>
        </w:tc>
      </w:tr>
      <w:tr>
        <w:tc>
          <w:tcPr>
            <w:tcW w:type="dxa" w:w="922"/>
            <w:gridSpan w:val="2"/>
            <w:vMerge/>
          </w:tcPr>
          <w:p/>
        </w:tc>
        <w:tc>
          <w:tcPr>
            <w:tcW w:type="dxa" w:w="2307"/>
          </w:tcPr>
          <w:p>
            <w:pPr>
              <w:jc w:val="left"/>
            </w:pPr>
            <w:r>
              <w:rPr/>
              <w:t>业主服务满意度评价 (6.0分)</w:t>
            </w:r>
          </w:p>
        </w:tc>
        <w:tc>
          <w:tcPr>
            <w:tcW w:type="dxa" w:w="5076"/>
          </w:tcPr>
          <w:p>
            <w:pPr>
              <w:jc w:val="left"/>
            </w:pPr>
            <w:r>
              <w:rPr/>
              <w:t>评委就上述第1项“服务业绩”评审项中由业主单位出具的服务评价进行评审，评价为“满意”、“好评”“优秀”或“90分以上”或同等含义内容的，每提供一份得1分，本项最高得6分。 注：投标人须在投标文件中提供评价书的复印件并加盖公章，未提供不得分。</w:t>
            </w:r>
          </w:p>
        </w:tc>
      </w:tr>
      <w:tr>
        <w:tc>
          <w:tcPr>
            <w:tcW w:type="dxa" w:w="922"/>
            <w:gridSpan w:val="2"/>
            <w:vMerge/>
          </w:tcPr>
          <w:p/>
        </w:tc>
        <w:tc>
          <w:tcPr>
            <w:tcW w:type="dxa" w:w="2307"/>
          </w:tcPr>
          <w:p>
            <w:pPr>
              <w:jc w:val="left"/>
            </w:pPr>
            <w:r>
              <w:rPr/>
              <w:t>投标人认证体系 (3.0分)</w:t>
            </w:r>
          </w:p>
        </w:tc>
        <w:tc>
          <w:tcPr>
            <w:tcW w:type="dxa" w:w="5076"/>
          </w:tcPr>
          <w:p>
            <w:pPr>
              <w:jc w:val="left"/>
            </w:pPr>
            <w:r>
              <w:rPr/>
              <w:t>投标人具有： 1.具有ISO质量管理体系认证的得1分； 2.具有ISO环境管理体系认证的得1分； 3.具有ISO职业健康安全管理体系认证的得1分。 注： 认证范围须包含车辆租赁的相关内容；供应商需提供有效期内的相关证书 复印件并加盖供应商公章，或提供证书扫描件以及在国家市场监督管理总局的认证平台上http://cx.cnca.cn查询结果的截图，不提供则不得分。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t>采购包2广东省特种设备检测研究院中山检测院检验用车租赁服务采购项目-市外用车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商务部分26.0分</w:t>
            </w:r>
          </w:p>
          <w:p>
            <w:r>
              <w:rPr/>
              <w:t>技术部分54.0分</w:t>
            </w:r>
          </w:p>
          <w:p>
            <w:r>
              <w:rPr/>
              <w:t>报价得分20.0分</w:t>
            </w:r>
          </w:p>
        </w:tc>
      </w:tr>
      <w:tr>
        <w:tc>
          <w:tcPr>
            <w:tcW w:type="dxa" w:w="922"/>
            <w:gridSpan w:val="2"/>
            <w:vMerge w:val="restart"/>
          </w:tcPr>
          <w:p>
            <w:pPr>
              <w:jc w:val="center"/>
            </w:pPr>
            <w:r>
              <w:rPr/>
              <w:t>技术部分</w:t>
            </w:r>
          </w:p>
        </w:tc>
        <w:tc>
          <w:tcPr>
            <w:tcW w:type="dxa" w:w="2307"/>
          </w:tcPr>
          <w:p>
            <w:pPr>
              <w:jc w:val="left"/>
            </w:pPr>
            <w:r>
              <w:rPr/>
              <w:t>车辆配置 (2.0分)</w:t>
            </w:r>
          </w:p>
        </w:tc>
        <w:tc>
          <w:tcPr>
            <w:tcW w:type="dxa" w:w="5076"/>
          </w:tcPr>
          <w:p>
            <w:pPr>
              <w:jc w:val="left"/>
            </w:pPr>
            <w:r>
              <w:rPr/>
              <w:t>投标人承诺提供的全部租赁车辆： 1、配备行车轨迹监控得1分，不配备不得分； 2、配备ETC得1分，不配备不得分。 注：投标人须在投标文件中自行承诺，未承诺不得分。</w:t>
            </w:r>
          </w:p>
        </w:tc>
      </w:tr>
      <w:tr>
        <w:tc>
          <w:tcPr>
            <w:tcW w:type="dxa" w:w="922"/>
            <w:gridSpan w:val="2"/>
            <w:vMerge/>
          </w:tcPr>
          <w:p/>
        </w:tc>
        <w:tc>
          <w:tcPr>
            <w:tcW w:type="dxa" w:w="2307"/>
          </w:tcPr>
          <w:p>
            <w:pPr>
              <w:jc w:val="left"/>
            </w:pPr>
            <w:r>
              <w:rPr/>
              <w:t>第三者保险额度 (2.5分)</w:t>
            </w:r>
          </w:p>
        </w:tc>
        <w:tc>
          <w:tcPr>
            <w:tcW w:type="dxa" w:w="5076"/>
          </w:tcPr>
          <w:p>
            <w:pPr>
              <w:jc w:val="left"/>
            </w:pPr>
            <w:r>
              <w:rPr/>
              <w:t>投标人对提供的租赁车辆购买第三者的总保险额度，不低于但不限于200万元。 提供超过200万元以上的每增加20万元得0.5分；未购买的需要在投标文件中自行承诺若获中标后，购买相应金额保险的承诺书，最高得2.5分。 注：投标文件中须提供投标人购买保险的商业保险单复印件并加盖公章，未购买的需要在投标文件中自行承诺若中标后购买相应金额保险的承诺书，未提供或未承诺不得分。</w:t>
            </w:r>
          </w:p>
        </w:tc>
      </w:tr>
      <w:tr>
        <w:tc>
          <w:tcPr>
            <w:tcW w:type="dxa" w:w="922"/>
            <w:gridSpan w:val="2"/>
            <w:vMerge/>
          </w:tcPr>
          <w:p/>
        </w:tc>
        <w:tc>
          <w:tcPr>
            <w:tcW w:type="dxa" w:w="2307"/>
          </w:tcPr>
          <w:p>
            <w:pPr>
              <w:jc w:val="left"/>
            </w:pPr>
            <w:r>
              <w:rPr/>
              <w:t>司乘人员保险额度 (1.5分)</w:t>
            </w:r>
          </w:p>
        </w:tc>
        <w:tc>
          <w:tcPr>
            <w:tcW w:type="dxa" w:w="5076"/>
          </w:tcPr>
          <w:p>
            <w:pPr>
              <w:jc w:val="left"/>
            </w:pPr>
            <w:r>
              <w:rPr/>
              <w:t>投标人承诺对租赁车辆购买司乘人员的总保险额度，不低于但不限于5万/位。 承诺提供司乘人员保险超过5万/位的每增加1万元得0.5分，最高得1.5分。 注：投标人须在投标文件中自行承诺，未承诺不得分。</w:t>
            </w:r>
          </w:p>
        </w:tc>
      </w:tr>
      <w:tr>
        <w:tc>
          <w:tcPr>
            <w:tcW w:type="dxa" w:w="922"/>
            <w:gridSpan w:val="2"/>
            <w:vMerge/>
          </w:tcPr>
          <w:p/>
        </w:tc>
        <w:tc>
          <w:tcPr>
            <w:tcW w:type="dxa" w:w="2307"/>
          </w:tcPr>
          <w:p>
            <w:pPr>
              <w:jc w:val="left"/>
            </w:pPr>
            <w:r>
              <w:rPr/>
              <w:t>车辆折旧损失费 (3.0分)</w:t>
            </w:r>
          </w:p>
        </w:tc>
        <w:tc>
          <w:tcPr>
            <w:tcW w:type="dxa" w:w="5076"/>
          </w:tcPr>
          <w:p>
            <w:pPr>
              <w:jc w:val="left"/>
            </w:pPr>
            <w:r>
              <w:rPr/>
              <w:t>投标人所提供的由采购人自驾的车辆在使用过程中如发生交通意外造成车辆受损或者报废情况时，由投标人负责处理并赔偿。投标人对发生事故的车辆向采购人收取折旧损失费不得高于25％（无责任及3000元以内免收），其他的赔偿事宜按国家有关规定执行。 注：投标人须在投标文件中承诺收取采购人折旧损失费25％的得1分，每减少收取折旧损失费5％的多得2分，最高得3分，收取折旧损失费25％以上的不得分。</w:t>
            </w:r>
          </w:p>
        </w:tc>
      </w:tr>
      <w:tr>
        <w:tc>
          <w:tcPr>
            <w:tcW w:type="dxa" w:w="922"/>
            <w:gridSpan w:val="2"/>
            <w:vMerge/>
          </w:tcPr>
          <w:p/>
        </w:tc>
        <w:tc>
          <w:tcPr>
            <w:tcW w:type="dxa" w:w="2307"/>
          </w:tcPr>
          <w:p>
            <w:pPr>
              <w:jc w:val="left"/>
            </w:pPr>
            <w:r>
              <w:rPr/>
              <w:t>车型配置 (18.0分)</w:t>
            </w:r>
          </w:p>
        </w:tc>
        <w:tc>
          <w:tcPr>
            <w:tcW w:type="dxa" w:w="5076"/>
          </w:tcPr>
          <w:p>
            <w:pPr>
              <w:jc w:val="left"/>
            </w:pPr>
            <w:r>
              <w:rPr/>
              <w:t>1）投标人投入的车辆车车况进行评比。 ①拟投入本项目使用的车辆是全新车，车辆性能优，行驶里程不超过1000公里，得12分； ②拟投入本项目使用的车辆车龄在1年以内，车辆性能良好，行驶里程不超过2万公里，得8分； ③拟投入本项目使用的车辆车龄在2年以内，车辆性能较好，行驶里程不超过3万公里，得4分； ④拟投入本项目使用的车辆车龄在3年以内，车辆性能一般，行驶里程不超过4万公里，得2分； 备注：按各档次单独计算得分，得分不叠加，只取最高得分。 2）投标人能承诺完全满足采购人对油电混合动力车辆的需求数量，得6分，无法承诺的不得分。 投标人需提供购买新车承诺函，或车辆行驶证（行驶证名称与投标人一致）及车辆图片。</w:t>
            </w:r>
          </w:p>
        </w:tc>
      </w:tr>
      <w:tr>
        <w:tc>
          <w:tcPr>
            <w:tcW w:type="dxa" w:w="922"/>
            <w:gridSpan w:val="2"/>
            <w:vMerge/>
          </w:tcPr>
          <w:p/>
        </w:tc>
        <w:tc>
          <w:tcPr>
            <w:tcW w:type="dxa" w:w="2307"/>
          </w:tcPr>
          <w:p>
            <w:pPr>
              <w:jc w:val="left"/>
            </w:pPr>
            <w:r>
              <w:rPr/>
              <w:t>项目整体规划、措施及服务方案 (12.0分)</w:t>
            </w:r>
            <w:r>
              <w:rPr/>
              <w:t>，（等次分值选择：</w:t>
            </w:r>
            <w:r>
              <w:rPr/>
              <w:t>0.0;</w:t>
            </w:r>
            <w:r>
              <w:rPr/>
              <w:t>3.0;</w:t>
            </w:r>
            <w:r>
              <w:rPr/>
              <w:t>6.0;</w:t>
            </w:r>
            <w:r>
              <w:rPr/>
              <w:t>8.0;</w:t>
            </w:r>
            <w:r>
              <w:rPr/>
              <w:t>12.0;</w:t>
            </w:r>
            <w:r>
              <w:rPr/>
              <w:t>）</w:t>
            </w:r>
          </w:p>
        </w:tc>
        <w:tc>
          <w:tcPr>
            <w:tcW w:type="dxa" w:w="5076"/>
          </w:tcPr>
          <w:p>
            <w:pPr>
              <w:jc w:val="left"/>
            </w:pPr>
            <w:r>
              <w:rPr/>
              <w:t>对本项目整体服务目标实施中各项服务安排，管理制度合理，管理服务团队、交通事故处理团队、紧急救援团队设置情况： 优：对本项目整体服务目标实施中各项服务安排好，管理制度合理，管理服务团队、交通事故处理团队、紧急救援团队设置合理的得12分； 较好：对本项目整体服务目标实施中各项服务安排较好，管理制度较好，管理服务团队、交通事故处理团队、紧急救援团队设置较好的得8分； 良：对本项目整体服务目标实施中各项服务安排较好，管理制度较合理，管理服务团队、交通事故处理团队、紧急救援团队设置较合理的得6分； 中：对本项目整体服务目标实施中各项服务安排一般，管理制度一般，管理服务团队、交通事故处理团队、紧急救援团队设置一般的得3分； 未提供项目整体规划、措施及服务方案，得0分。</w:t>
            </w:r>
          </w:p>
        </w:tc>
      </w:tr>
      <w:tr>
        <w:tc>
          <w:tcPr>
            <w:tcW w:type="dxa" w:w="922"/>
            <w:gridSpan w:val="2"/>
            <w:vMerge/>
          </w:tcPr>
          <w:p/>
        </w:tc>
        <w:tc>
          <w:tcPr>
            <w:tcW w:type="dxa" w:w="2307"/>
          </w:tcPr>
          <w:p>
            <w:pPr>
              <w:jc w:val="left"/>
            </w:pPr>
            <w:r>
              <w:rPr/>
              <w:t>应急解决方案 (8.0分)</w:t>
            </w:r>
            <w:r>
              <w:rPr/>
              <w:t>，（等次分值选择：</w:t>
            </w:r>
            <w:r>
              <w:rPr/>
              <w:t>0.0;</w:t>
            </w:r>
            <w:r>
              <w:rPr/>
              <w:t>2.0;</w:t>
            </w:r>
            <w:r>
              <w:rPr/>
              <w:t>4.0;</w:t>
            </w:r>
            <w:r>
              <w:rPr/>
              <w:t>8.0;</w:t>
            </w:r>
            <w:r>
              <w:rPr/>
              <w:t>）</w:t>
            </w:r>
          </w:p>
        </w:tc>
        <w:tc>
          <w:tcPr>
            <w:tcW w:type="dxa" w:w="5076"/>
          </w:tcPr>
          <w:p>
            <w:pPr>
              <w:jc w:val="left"/>
            </w:pPr>
            <w:r>
              <w:rPr/>
              <w:t>突发应急解决方案：突发性交通事故或车辆故障的处理措施及应急服务响应时限： 优：突发性交通事故或车辆故障的处理措施完善及应急服务响应时限快的得8分； 良：突发性交通事故或车辆故障的处理措施较完善及应急服务响应时限较快的得4分；</w:t>
              <w:tab/>
              <w:t xml:space="preserve"> 中：突发性交通事故或车辆故障的处理措施一般及应急服务响应时限慢的得2分； 未提供突发应急解决方案，得0分。</w:t>
            </w:r>
          </w:p>
        </w:tc>
      </w:tr>
      <w:tr>
        <w:tc>
          <w:tcPr>
            <w:tcW w:type="dxa" w:w="922"/>
            <w:gridSpan w:val="2"/>
            <w:vMerge/>
          </w:tcPr>
          <w:p/>
        </w:tc>
        <w:tc>
          <w:tcPr>
            <w:tcW w:type="dxa" w:w="2307"/>
          </w:tcPr>
          <w:p>
            <w:pPr>
              <w:jc w:val="left"/>
            </w:pPr>
            <w:r>
              <w:rPr/>
              <w:t>其他增值服务 (2.0分)</w:t>
            </w:r>
            <w:r>
              <w:rPr/>
              <w:t>，（等次分值选择：</w:t>
            </w:r>
            <w:r>
              <w:rPr/>
              <w:t>0.0;</w:t>
            </w:r>
            <w:r>
              <w:rPr/>
              <w:t>1.0;</w:t>
            </w:r>
            <w:r>
              <w:rPr/>
              <w:t>1.5;</w:t>
            </w:r>
            <w:r>
              <w:rPr/>
              <w:t>2.0;</w:t>
            </w:r>
            <w:r>
              <w:rPr/>
              <w:t>）</w:t>
            </w:r>
          </w:p>
        </w:tc>
        <w:tc>
          <w:tcPr>
            <w:tcW w:type="dxa" w:w="5076"/>
          </w:tcPr>
          <w:p>
            <w:pPr>
              <w:jc w:val="left"/>
            </w:pPr>
            <w:r>
              <w:rPr/>
              <w:t>针对本项目提出的建议和意见，风险预警机制和增值服务： 优：针对本项目提出切实可行的建议和意见，具有完善的风险预警机制和增值服务的得2分； 良：针对本项目提出可行的建议和意见，具有较完善的风险预警机制和增值服务的得1.5分； 中：针对本项目提出建议和意见，具有风险预警机制和增值服务的得1分； 未提出建议和意见，具有风险预警机制和增值服务，得0分</w:t>
            </w:r>
          </w:p>
        </w:tc>
      </w:tr>
      <w:tr>
        <w:tc>
          <w:tcPr>
            <w:tcW w:type="dxa" w:w="922"/>
            <w:gridSpan w:val="2"/>
            <w:vMerge/>
          </w:tcPr>
          <w:p/>
        </w:tc>
        <w:tc>
          <w:tcPr>
            <w:tcW w:type="dxa" w:w="2307"/>
          </w:tcPr>
          <w:p>
            <w:pPr>
              <w:jc w:val="left"/>
            </w:pPr>
            <w:r>
              <w:rPr/>
              <w:t>安全运营方案 (5.0分)</w:t>
            </w:r>
            <w:r>
              <w:rPr/>
              <w:t>，（等次分值选择：</w:t>
            </w:r>
            <w:r>
              <w:rPr/>
              <w:t>0.0;</w:t>
            </w:r>
            <w:r>
              <w:rPr/>
              <w:t>1.0;</w:t>
            </w:r>
            <w:r>
              <w:rPr/>
              <w:t>2.0;</w:t>
            </w:r>
            <w:r>
              <w:rPr/>
              <w:t>4.0;</w:t>
            </w:r>
            <w:r>
              <w:rPr/>
              <w:t>5.0;</w:t>
            </w:r>
            <w:r>
              <w:rPr/>
              <w:t>）</w:t>
            </w:r>
          </w:p>
        </w:tc>
        <w:tc>
          <w:tcPr>
            <w:tcW w:type="dxa" w:w="5076"/>
          </w:tcPr>
          <w:p>
            <w:pPr>
              <w:jc w:val="left"/>
            </w:pPr>
            <w:r>
              <w:rPr/>
              <w:t>针对本项目提出的安全运营方案（内容包含但不限于：安排1名以上专职管理人员负责管理工作，每月召开一次驾驶员安全会议并及时反馈采购人提出的问题；车辆、人员的管理机制、管理原则和管理方法；考核办法，奖惩措施等）进行综合评审： 优：安全营运服务方案详细、合理的的，得5分； 较优：安全营运服务方案较优、相对合理的，得4分； 良：安全营运服务方案较详细、较合理的，得2分； 中：安全营运服务方案有但不够详细、缺乏一定的合理性的，得1分； 无相关方面或其他，得0分。</w:t>
            </w:r>
          </w:p>
        </w:tc>
      </w:tr>
      <w:tr>
        <w:tc>
          <w:tcPr>
            <w:tcW w:type="dxa" w:w="922"/>
            <w:gridSpan w:val="2"/>
            <w:vMerge w:val="restart"/>
          </w:tcPr>
          <w:p>
            <w:pPr>
              <w:jc w:val="center"/>
            </w:pPr>
            <w:r>
              <w:rPr/>
              <w:t>商务部分</w:t>
            </w:r>
          </w:p>
        </w:tc>
        <w:tc>
          <w:tcPr>
            <w:tcW w:type="dxa" w:w="2307"/>
          </w:tcPr>
          <w:p>
            <w:pPr>
              <w:jc w:val="left"/>
            </w:pPr>
            <w:r>
              <w:rPr/>
              <w:t>服务业绩 (6.0分)</w:t>
            </w:r>
          </w:p>
        </w:tc>
        <w:tc>
          <w:tcPr>
            <w:tcW w:type="dxa" w:w="5076"/>
          </w:tcPr>
          <w:p>
            <w:pPr>
              <w:jc w:val="left"/>
            </w:pPr>
            <w:r>
              <w:rPr/>
              <w:t>投标人自2018年01月01日至今承接的同类型（汽车租赁服务）业绩情况：每提供1个有效的合同得1分，最高得6分。 有效的合同是指：自2018年01月01日起签订的1年以上的合同。 注：投标人须在投标文件中提供合同关键页，含签订合同双方的单位名称、合同项目名称、中标通知书（如有）、服务内容与含签订合同双方的落款盖章、签订日期的关键页等复印件并加盖公章，未提供不得分。</w:t>
            </w:r>
          </w:p>
        </w:tc>
      </w:tr>
      <w:tr>
        <w:tc>
          <w:tcPr>
            <w:tcW w:type="dxa" w:w="922"/>
            <w:gridSpan w:val="2"/>
            <w:vMerge/>
          </w:tcPr>
          <w:p/>
        </w:tc>
        <w:tc>
          <w:tcPr>
            <w:tcW w:type="dxa" w:w="2307"/>
          </w:tcPr>
          <w:p>
            <w:pPr>
              <w:jc w:val="left"/>
            </w:pPr>
            <w:r>
              <w:rPr/>
              <w:t>服务能力 (6.0分)</w:t>
            </w:r>
          </w:p>
        </w:tc>
        <w:tc>
          <w:tcPr>
            <w:tcW w:type="dxa" w:w="5076"/>
          </w:tcPr>
          <w:p>
            <w:pPr>
              <w:jc w:val="left"/>
            </w:pPr>
            <w:r>
              <w:rPr/>
              <w:t>租赁15辆（含）以上配备应急替换车的数量。 提供1辆的得3分；提供2辆的得6分；不提供应急替换车的不得分。 注：1、应急替换车是指：长期存放在采购人工作地点备用车辆，采购人可不经租赁公司同意，可自主调配的车辆，且不需支付任何费用，应急替换车须与正常车辆具有同等参数与服务； 2、投标文件中须提供应急替换车的实拍图及车辆行驶证复印件并加盖公章； 3、投标人须在投标文件中自行提供承诺函。</w:t>
            </w:r>
          </w:p>
        </w:tc>
      </w:tr>
      <w:tr>
        <w:tc>
          <w:tcPr>
            <w:tcW w:type="dxa" w:w="922"/>
            <w:gridSpan w:val="2"/>
            <w:vMerge/>
          </w:tcPr>
          <w:p/>
        </w:tc>
        <w:tc>
          <w:tcPr>
            <w:tcW w:type="dxa" w:w="2307"/>
          </w:tcPr>
          <w:p>
            <w:pPr>
              <w:jc w:val="left"/>
            </w:pPr>
            <w:r>
              <w:rPr/>
              <w:t>投标人办公场地保障 (2.0分)</w:t>
            </w:r>
          </w:p>
        </w:tc>
        <w:tc>
          <w:tcPr>
            <w:tcW w:type="dxa" w:w="5076"/>
          </w:tcPr>
          <w:p>
            <w:pPr>
              <w:jc w:val="left"/>
            </w:pPr>
            <w:r>
              <w:rPr/>
              <w:t>投标人有固定的办公场地，并且能提供办公场地图片、营业执照、租赁合同或产权证明复印件。 办公场地是自有产权或者签订租赁年限达到3年（含3年）以上的得2分；其他得1分。 注：投标人须在投标文件中提供上述相关资料（营业执照地址与租赁合同或产权证明一致，租赁期限必须是本项目服务期内）复印件并加盖公章，未提供不得分。</w:t>
            </w:r>
          </w:p>
        </w:tc>
      </w:tr>
      <w:tr>
        <w:tc>
          <w:tcPr>
            <w:tcW w:type="dxa" w:w="922"/>
            <w:gridSpan w:val="2"/>
            <w:vMerge/>
          </w:tcPr>
          <w:p/>
        </w:tc>
        <w:tc>
          <w:tcPr>
            <w:tcW w:type="dxa" w:w="2307"/>
          </w:tcPr>
          <w:p>
            <w:pPr>
              <w:jc w:val="left"/>
            </w:pPr>
            <w:r>
              <w:rPr/>
              <w:t>服务车辆维修保障 (3.0分)</w:t>
            </w:r>
          </w:p>
        </w:tc>
        <w:tc>
          <w:tcPr>
            <w:tcW w:type="dxa" w:w="5076"/>
          </w:tcPr>
          <w:p>
            <w:pPr>
              <w:jc w:val="left"/>
            </w:pPr>
            <w:r>
              <w:rPr/>
              <w:t>投标人在项目所在地有固定的车辆维修地点，并提供维修点图片和营业执照、合作协议（需签订1年以上才能有效）复印件的或者承诺中标后15天内在项目所在内提供固定车辆维修点的，得3分；其他情况不得分。 注：投标人须在投标文件中提供维修点图片和营业执照、合作协议（需签订1年以上才能有效）复印件或者承诺函文件并加盖公章，未提供不得分。</w:t>
            </w:r>
          </w:p>
        </w:tc>
      </w:tr>
      <w:tr>
        <w:tc>
          <w:tcPr>
            <w:tcW w:type="dxa" w:w="922"/>
            <w:gridSpan w:val="2"/>
            <w:vMerge/>
          </w:tcPr>
          <w:p/>
        </w:tc>
        <w:tc>
          <w:tcPr>
            <w:tcW w:type="dxa" w:w="2307"/>
          </w:tcPr>
          <w:p>
            <w:pPr>
              <w:jc w:val="left"/>
            </w:pPr>
            <w:r>
              <w:rPr/>
              <w:t>业主服务满意度评价 (6.0分)</w:t>
            </w:r>
          </w:p>
        </w:tc>
        <w:tc>
          <w:tcPr>
            <w:tcW w:type="dxa" w:w="5076"/>
          </w:tcPr>
          <w:p>
            <w:pPr>
              <w:jc w:val="left"/>
            </w:pPr>
            <w:r>
              <w:rPr/>
              <w:t>评委就上述第1项“服务业绩”评审项中由业主单位出具的服务评价进行评审，评价为“满意”、“好评”“优秀”或“90分以上”或同等含义内容的，每提供一份得1分，本项最高得6分。 注：投标人须在投标文件中提供评价书的复印件并加盖公章，未提供不得分。</w:t>
            </w:r>
          </w:p>
        </w:tc>
      </w:tr>
      <w:tr>
        <w:tc>
          <w:tcPr>
            <w:tcW w:type="dxa" w:w="922"/>
            <w:gridSpan w:val="2"/>
            <w:vMerge/>
          </w:tcPr>
          <w:p/>
        </w:tc>
        <w:tc>
          <w:tcPr>
            <w:tcW w:type="dxa" w:w="2307"/>
          </w:tcPr>
          <w:p>
            <w:pPr>
              <w:jc w:val="left"/>
            </w:pPr>
            <w:r>
              <w:rPr/>
              <w:t>投标人认证体系 (3.0分)</w:t>
            </w:r>
          </w:p>
        </w:tc>
        <w:tc>
          <w:tcPr>
            <w:tcW w:type="dxa" w:w="5076"/>
          </w:tcPr>
          <w:p>
            <w:pPr>
              <w:jc w:val="left"/>
            </w:pPr>
            <w:r>
              <w:rPr/>
              <w:t>投标人具有： 1.具有ISO质量管理体系认证的得1分； 2.具有ISO环境管理体系认证的得1分； 3.具有ISO职业健康安全管理体系认证的得1分。 注： 认证范围须包含车辆租赁的相关内容；供应商需提供有效期内的相关证书 复印件并加盖供应商公章，或提供证书扫描件以及在国家市场监督管理总局的认证平台上http://cx.cnca.cn查询结果的截图，不提供则不得分。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440001-2023-01741</w:t>
      </w:r>
    </w:p>
    <w:p>
      <w:pPr>
        <w:jc w:val="center"/>
      </w:pPr>
      <w:r>
        <w:rPr>
          <w:b/>
          <w:sz w:val="24"/>
        </w:rPr>
        <w:t>采购项目编号：</w:t>
      </w:r>
      <w:r>
        <w:rPr>
          <w:b/>
          <w:sz w:val="24"/>
        </w:rPr>
        <w:t>ZSJD23ZC0008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w:t>
      </w:r>
      <w:r>
        <w:rPr>
          <w:u w:val="single"/>
        </w:rPr>
        <w:t>广东省特种设备检测研究院中山检测院检验用车租赁服务采购项目</w:t>
      </w:r>
      <w:r>
        <w:rPr>
          <w:u w:val="single"/>
        </w:rPr>
        <w:t>”</w:t>
      </w:r>
      <w:r>
        <w:rPr/>
        <w:t>项目的招标[采购项目编号为：</w:t>
      </w:r>
      <w:r>
        <w:rPr>
          <w:u w:val="single"/>
        </w:rPr>
        <w:t>ZSJD23ZC0008</w:t>
      </w:r>
      <w:r>
        <w:rPr/>
        <w:t>]，我方愿参与投标。</w:t>
      </w:r>
    </w:p>
    <w:p>
      <w:pPr>
        <w:ind w:firstLine="480"/>
      </w:pPr>
      <w:r>
        <w:rPr/>
        <w:t>我方确认收到贵方提供的</w:t>
      </w:r>
      <w:r>
        <w:rPr>
          <w:u w:val="single"/>
        </w:rPr>
        <w:t>“</w:t>
      </w:r>
      <w:r>
        <w:rPr>
          <w:u w:val="single"/>
        </w:rPr>
        <w:t>广东省特种设备检测研究院中山检测院检验用车租赁服务采购项目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广东省特种设备检测研究院中山检测院检验用车租赁服务采购项目</w:t>
      </w:r>
      <w:r>
        <w:rPr/>
        <w:t>”项目采购[采购项目编号为</w:t>
      </w:r>
      <w:r>
        <w:rPr/>
        <w:t>ZSJD23ZC0008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广东省特种设备检测研究院中山检测院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广东省特种设备检测研究院中山检测院检验用车租赁服务采购项目</w:t>
      </w:r>
      <w:r>
        <w:rPr/>
        <w:t>招标中获中标（采购项目编号：</w:t>
      </w:r>
      <w:r>
        <w:rPr/>
        <w:t>ZSJD23ZC0008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广东省特种设备检测研究院中山检测院检验用车租赁服务采购项目</w:t>
      </w:r>
      <w:r>
        <w:rPr/>
        <w:t>”项目（采购项目编号：</w:t>
      </w:r>
      <w:r>
        <w:rPr/>
        <w:t>ZSJD23ZC0008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