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442000-2023-00225</w:t>
      </w:r>
    </w:p>
    <w:p>
      <w:pPr>
        <w:jc w:val="center"/>
      </w:pPr>
      <w:r>
        <w:rPr>
          <w:b/>
          <w:sz w:val="24"/>
        </w:rPr>
        <w:t>采购项目编号：</w:t>
      </w:r>
      <w:r>
        <w:rPr>
          <w:b/>
          <w:sz w:val="24"/>
        </w:rPr>
        <w:t>ZSJD23ZC0007</w:t>
      </w:r>
    </w:p>
    <w:p>
      <w:pPr>
        <w:jc w:val="center"/>
      </w:pPr>
      <w:r>
        <w:rPr>
          <w:b/>
          <w:sz w:val="24"/>
        </w:rPr>
        <w:t>项目名称：</w:t>
      </w:r>
      <w:r>
        <w:rPr>
          <w:b/>
          <w:sz w:val="24"/>
        </w:rPr>
        <w:t>中山市体育彩票投注站2023年度日常维护、监管、巡查等工作服务项目</w:t>
      </w:r>
    </w:p>
    <w:p>
      <w:pPr>
        <w:jc w:val="center"/>
      </w:pPr>
      <w:r>
        <w:rPr>
          <w:b/>
          <w:sz w:val="24"/>
        </w:rPr>
        <w:t>采购人：</w:t>
      </w:r>
      <w:r>
        <w:rPr>
          <w:b/>
          <w:sz w:val="24"/>
        </w:rPr>
        <w:t>中山市体育彩票管理中心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中山市体育彩票管理中心</w:t>
      </w:r>
      <w:r>
        <w:rPr/>
        <w:t>的委托，采用</w:t>
      </w:r>
      <w:r>
        <w:rPr/>
        <w:t>竞争性磋商</w:t>
      </w:r>
      <w:r>
        <w:rPr/>
        <w:t>方式组织采购</w:t>
      </w:r>
      <w:r>
        <w:rPr/>
        <w:t>中山市体育彩票投注站2023年度日常维护、监管、巡查等工作服务项目</w:t>
      </w:r>
      <w:r>
        <w:rPr/>
        <w:t>。欢迎符合资格条件的供应商参加。</w:t>
      </w:r>
    </w:p>
    <w:p>
      <w:r>
        <w:rPr>
          <w:b/>
          <w:sz w:val="28"/>
        </w:rPr>
        <w:t>一.项目概述</w:t>
      </w:r>
    </w:p>
    <w:p>
      <w:r>
        <w:rPr>
          <w:b/>
          <w:sz w:val="24"/>
        </w:rPr>
        <w:t>1.名称与编号</w:t>
      </w:r>
    </w:p>
    <w:p>
      <w:pPr>
        <w:ind w:firstLine="480"/>
      </w:pPr>
      <w:r>
        <w:rPr/>
        <w:t>采购项目名称：</w:t>
      </w:r>
      <w:r>
        <w:rPr/>
        <w:t>中山市体育彩票投注站2023年度日常维护、监管、巡查等工作服务项目</w:t>
      </w:r>
    </w:p>
    <w:p>
      <w:pPr>
        <w:ind w:firstLine="480"/>
      </w:pPr>
      <w:r>
        <w:rPr/>
        <w:t>采购计划编号：</w:t>
      </w:r>
      <w:r>
        <w:rPr/>
        <w:t>442000-2023-00225</w:t>
      </w:r>
    </w:p>
    <w:p>
      <w:pPr>
        <w:ind w:firstLine="480"/>
      </w:pPr>
      <w:r>
        <w:rPr/>
        <w:t>采购项目编号：</w:t>
      </w:r>
      <w:r>
        <w:rPr/>
        <w:t>ZSJD23ZC0007</w:t>
      </w:r>
    </w:p>
    <w:p>
      <w:pPr>
        <w:ind w:firstLine="480"/>
      </w:pPr>
      <w:r>
        <w:rPr/>
        <w:t>采购方式：</w:t>
      </w:r>
      <w:r>
        <w:rPr/>
        <w:t>竞争性磋商</w:t>
      </w:r>
    </w:p>
    <w:p>
      <w:pPr>
        <w:ind w:firstLine="480"/>
      </w:pPr>
      <w:r>
        <w:rPr/>
        <w:t>预算金额：</w:t>
      </w:r>
      <w:r>
        <w:rPr/>
        <w:t>1,329,000.00</w:t>
      </w:r>
      <w:r>
        <w:rPr/>
        <w:t>元</w:t>
      </w:r>
    </w:p>
    <w:p>
      <w:r>
        <w:rPr>
          <w:b/>
          <w:sz w:val="24"/>
        </w:rPr>
        <w:t>2.项目内容及需求情况（采购项目技术规格、参数及要求）</w:t>
      </w:r>
    </w:p>
    <w:p>
      <w:pPr>
        <w:ind w:firstLine="480"/>
      </w:pPr>
    </w:p>
    <w:p/>
    <w:p>
      <w:r>
        <w:rPr/>
        <w:t>采购包1(中山市体育彩票投注站2023年度日常维护、监管、巡查等工作服务):</w:t>
      </w:r>
    </w:p>
    <w:p>
      <w:r>
        <w:rPr/>
        <w:t>采购包预算金额：1,329,000.00元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中山市体育彩票投注站2023年度日常维护、监管、巡查等工作服务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合同履行期限：自合同签订之日起次月1号生效，服务限期为11个月。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3）具有良好的商业信誉和健全的财务会计制度：供应商必须具有良好的商业信誉和健全的财务会计制度（提供投标截止日前6个月内任意1个月的财务报表或2021年度财务状况报告或基本开户行出具的资信证明）。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采购包1（中山市体育彩票投注站2023年度日常维护、监管、巡查等工作服务）：</w:t>
      </w:r>
      <w:r>
        <w:rPr/>
        <w:t>参与的供应商（联合体）服务全部由符合政策要求的中小企业承接</w:t>
      </w:r>
    </w:p>
    <w:p/>
    <w:p>
      <w:r>
        <w:rPr>
          <w:b/>
          <w:sz w:val="24"/>
        </w:rPr>
        <w:t>3.本项目特定的资格要求：</w:t>
      </w:r>
    </w:p>
    <w:p>
      <w:pPr>
        <w:ind w:firstLine="480"/>
      </w:pPr>
    </w:p>
    <w:p/>
    <w:p>
      <w:r>
        <w:rPr/>
        <w:t>采购包1（中山市体育彩票投注站2023年度日常维护、监管、巡查等工作服务）：</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中山市政府采购网（http://120.234.108.5:8088/zfcg/），中山市公共资源交易网（https://ggzyjy.zs.gov.cn/），采购代理机构网站（http://www.gdjdjl.com/）</w:t>
      </w:r>
    </w:p>
    <w:p>
      <w:r>
        <w:rPr>
          <w:b/>
          <w:sz w:val="28"/>
        </w:rPr>
        <w:t>六.本项目联系方式：</w:t>
      </w:r>
    </w:p>
    <w:p>
      <w:r>
        <w:rPr>
          <w:b/>
          <w:sz w:val="24"/>
        </w:rPr>
        <w:t>1.采购人信息</w:t>
      </w:r>
    </w:p>
    <w:p>
      <w:pPr>
        <w:ind w:firstLine="480"/>
      </w:pPr>
      <w:r>
        <w:rPr/>
        <w:t>名称：</w:t>
      </w:r>
      <w:r>
        <w:rPr/>
        <w:t>中山市体育彩票管理中心</w:t>
      </w:r>
    </w:p>
    <w:p>
      <w:pPr>
        <w:ind w:firstLine="480"/>
      </w:pPr>
      <w:r>
        <w:rPr/>
        <w:t>地址：</w:t>
      </w:r>
      <w:r>
        <w:rPr/>
        <w:t>中山市东区兴中道30号</w:t>
      </w:r>
    </w:p>
    <w:p>
      <w:pPr>
        <w:ind w:firstLine="480"/>
      </w:pPr>
      <w:r>
        <w:rPr/>
        <w:t>联系方式：</w:t>
      </w:r>
      <w:r>
        <w:rPr/>
        <w:t>0760-88309213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w:t>
      </w:r>
    </w:p>
    <w:p>
      <w:pPr>
        <w:ind w:firstLine="480"/>
      </w:pPr>
      <w:r>
        <w:rPr/>
        <w:t>联系方式：</w:t>
      </w:r>
      <w:r>
        <w:rPr/>
        <w:t>0760-88399895</w:t>
      </w:r>
    </w:p>
    <w:p>
      <w:r>
        <w:rPr>
          <w:b/>
          <w:sz w:val="24"/>
        </w:rPr>
        <w:t>3.项目联系方式</w:t>
      </w:r>
    </w:p>
    <w:p>
      <w:pPr>
        <w:ind w:firstLine="480"/>
      </w:pPr>
      <w:r>
        <w:rPr/>
        <w:t>项目联系人：</w:t>
      </w:r>
      <w:r>
        <w:rPr/>
        <w:t>张先生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说明：</w:t>
      </w:r>
    </w:p>
    <w:p>
      <w:pPr>
        <w:jc w:val="both"/>
      </w:pPr>
      <w:r>
        <w:rPr>
          <w:b/>
          <w:sz w:val="21"/>
        </w:rPr>
        <w:t>1</w:t>
      </w:r>
      <w:r>
        <w:rPr>
          <w:b/>
          <w:sz w:val="21"/>
        </w:rPr>
        <w:t>、投标人须对本项目为单位的服务内容进行整体响应，任何只对服务内容其中一部分内容进行的响应都被视为无效投标。</w:t>
      </w:r>
    </w:p>
    <w:p>
      <w:pPr>
        <w:jc w:val="both"/>
      </w:pPr>
      <w:r>
        <w:rPr>
          <w:b/>
          <w:sz w:val="21"/>
        </w:rPr>
        <w:t>2</w:t>
      </w:r>
      <w:r>
        <w:rPr>
          <w:b/>
          <w:sz w:val="21"/>
        </w:rPr>
        <w:t>、用户需求书中打</w:t>
      </w:r>
      <w:r>
        <w:rPr>
          <w:b/>
          <w:sz w:val="21"/>
        </w:rPr>
        <w:t>“★”</w:t>
      </w:r>
      <w:r>
        <w:rPr>
          <w:b/>
          <w:sz w:val="21"/>
        </w:rPr>
        <w:t>号条款为实质性条款，有任何一条负偏离则导致无效投标。</w:t>
      </w:r>
    </w:p>
    <w:p>
      <w:pPr>
        <w:jc w:val="both"/>
      </w:pPr>
      <w:r>
        <w:rPr>
          <w:sz w:val="21"/>
        </w:rPr>
        <w:t>（一）应采购人需要，现以竞争性磋商采购方式确定一家中标供应商为采购人提供</w:t>
      </w:r>
      <w:r>
        <w:rPr>
          <w:sz w:val="21"/>
        </w:rPr>
        <w:t>“</w:t>
      </w:r>
      <w:r>
        <w:rPr>
          <w:sz w:val="21"/>
        </w:rPr>
        <w:t>中山市体育彩票投注站日常维护、监管、巡查等工作服务</w:t>
      </w:r>
      <w:r>
        <w:rPr>
          <w:sz w:val="21"/>
        </w:rPr>
        <w:t>”</w:t>
      </w:r>
      <w:r>
        <w:rPr>
          <w:sz w:val="21"/>
        </w:rPr>
        <w:t>，中标供应商需根据本项目需要组建服务运营团队为采购人提供相应服务。</w:t>
      </w:r>
    </w:p>
    <w:p>
      <w:pPr>
        <w:jc w:val="both"/>
      </w:pPr>
      <w:r>
        <w:rPr>
          <w:sz w:val="21"/>
        </w:rPr>
        <w:t>（二）本次招标的项目及范围为：中山市体育彩票投注站日常维护、监管、巡查等工作服务项目</w:t>
      </w:r>
    </w:p>
    <w:p>
      <w:pPr>
        <w:jc w:val="both"/>
      </w:pPr>
      <w:r>
        <w:rPr>
          <w:b/>
          <w:sz w:val="21"/>
        </w:rPr>
        <w:t>（三）服务期为：</w:t>
      </w:r>
      <w:r>
        <w:rPr>
          <w:b/>
          <w:sz w:val="21"/>
          <w:u w:val="single"/>
        </w:rPr>
        <w:t>自合同签订之日起次月</w:t>
      </w:r>
      <w:r>
        <w:rPr>
          <w:b/>
          <w:sz w:val="21"/>
          <w:u w:val="single"/>
        </w:rPr>
        <w:t>1</w:t>
      </w:r>
      <w:r>
        <w:rPr>
          <w:b/>
          <w:sz w:val="21"/>
          <w:u w:val="single"/>
        </w:rPr>
        <w:t>号生效，服务限期为</w:t>
      </w:r>
      <w:r>
        <w:rPr>
          <w:b/>
          <w:sz w:val="21"/>
          <w:u w:val="single"/>
        </w:rPr>
        <w:t>1</w:t>
      </w:r>
      <w:r>
        <w:rPr>
          <w:b/>
          <w:sz w:val="21"/>
          <w:u w:val="single"/>
        </w:rPr>
        <w:t>1</w:t>
      </w:r>
      <w:r>
        <w:rPr>
          <w:b/>
          <w:sz w:val="21"/>
          <w:u w:val="single"/>
        </w:rPr>
        <w:t>个月。</w:t>
      </w:r>
    </w:p>
    <w:p>
      <w:pPr>
        <w:jc w:val="both"/>
      </w:pPr>
      <w:r>
        <w:rPr>
          <w:sz w:val="21"/>
        </w:rPr>
        <w:t>（四）本项目投标报价应包括：响应供应商组建服务运营团队的人员管理费、员工工资、福利、社会保险以及一切税费等招标文件要求的所有费用。</w:t>
      </w:r>
    </w:p>
    <w:p>
      <w:pPr>
        <w:jc w:val="both"/>
      </w:pPr>
      <w:r>
        <w:rPr>
          <w:sz w:val="21"/>
        </w:rPr>
        <w:t>（五）本项目由成交人负责招标文件对成交人要求的一切事宜及责任。</w:t>
      </w:r>
    </w:p>
    <w:p>
      <w:pPr>
        <w:jc w:val="both"/>
      </w:pPr>
      <w:r>
        <w:rPr>
          <w:sz w:val="21"/>
        </w:rPr>
        <w:t>（六）成交人未经采购人批准，不得再以任何方式转包或分包本项目。</w:t>
      </w:r>
    </w:p>
    <w:p>
      <w:pPr>
        <w:jc w:val="both"/>
      </w:pPr>
      <w:r>
        <w:rPr>
          <w:sz w:val="21"/>
        </w:rPr>
        <w:t>（七）本项目不接受联合体投标。</w:t>
      </w:r>
    </w:p>
    <w:p/>
    <w:p>
      <w:pPr>
        <w:ind w:firstLine="480"/>
      </w:pPr>
    </w:p>
    <w:p/>
    <w:p>
      <w:r>
        <w:rPr/>
        <w:t>采购包1（中山市体育彩票投注站2023年度日常维护、监管、巡查等工作服务）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自合同签订之日起次月1号生效，服务限期为11个月。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25%,按季度计算支付，以转账的方式由采购人财务人员在每季度开始前15天支付中标金额25%，分四期支付，最终一期在当年的12月20日前（可能含扣减款项，具体以附表:考核评分表，考核后计算并在下一个季度款项中扣减，最后一个季按当季支付。）一次支付给中标单位， 如遇中标人拖欠工人工资、处于经营情况发生重大变化的特殊情况下，采购人有权暂停付款。</w:t>
            </w:r>
          </w:p>
          <w:p/>
          <w:p>
            <w:r>
              <w:rPr/>
              <w:t>2期：支付比例25%,按季度计算支付，以转账的方式由采购人财务人员在每季度开始前15天支付中标金额25%，分四期支付，最终一期在当年的12月20日前（可能含扣减款项，具体以附表:考核评分表，考核后计算并在下一个季度款项中扣减，最后一个季按当季支付。）一次支付给中标单位， 如遇中标人拖欠工人工资、处于经营情况发生重大变化的特殊情况下，采购人有权暂停付款。</w:t>
            </w:r>
          </w:p>
          <w:p/>
          <w:p>
            <w:r>
              <w:rPr/>
              <w:t>3期：支付比例25%,按季度计算支付，以转账的方式由采购人财务人员在每季度开始前15天支付中标金额25%，分四期支付，最终一期在当年的12月20日前（可能含扣减款项，具体以附表:考核评分表，考核后计算并在下一个季度款项中扣减，最后一个季按当季支付。）一次支付给中标单位， 如遇中标人拖欠工人工资、处于经营情况发生重大变化的特殊情况下，采购人有权暂停付款。</w:t>
            </w:r>
          </w:p>
          <w:p/>
          <w:p>
            <w:r>
              <w:rPr/>
              <w:t>4期：支付比例25%,按季度计算支付，以转账的方式由采购人财务人员在每季度开始前15天支付中标金额25%，分四期支付，最终一期在当年的12月20日前（可能含扣减款项，具体以附表:考核评分表，考核后计算并在下一个季度款项中扣减，最后一个季按当季支付。）一次支付给中标单位， 如遇中标人拖欠工人工资、处于经营情况发生重大变化的特殊情况下，采购人有权暂停付款。</w:t>
            </w:r>
          </w:p>
        </w:tc>
      </w:tr>
      <w:tr>
        <w:tc>
          <w:tcPr>
            <w:tcW w:type="dxa" w:w="4153"/>
          </w:tcPr>
          <w:p>
            <w:r>
              <w:rPr/>
              <w:t>验收要求</w:t>
            </w:r>
          </w:p>
        </w:tc>
        <w:tc>
          <w:tcPr>
            <w:tcW w:type="dxa" w:w="4153"/>
          </w:tcPr>
          <w:p/>
          <w:p/>
          <w:p/>
          <w:p>
            <w:r>
              <w:rPr/>
              <w:t>1期：成交人应按服务要求按时保质保量地完成服务工作，并按该项目服务内容，按照约定的数量、质量和周期向采购人交付工作成果。采购人应对成交人提交的工作成果按约定质量标准进行验收，并出具验收意见及评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中山市体育彩票投注站2023年度日常维护、监管、巡查等工作服务</w:t>
            </w:r>
          </w:p>
        </w:tc>
        <w:tc>
          <w:tcPr>
            <w:tcW w:type="dxa" w:w="933"/>
          </w:tcPr>
          <w:p>
            <w:pPr>
              <w:jc w:val="left"/>
            </w:pPr>
            <w:r>
              <w:rPr/>
              <w:t>项</w:t>
            </w:r>
          </w:p>
        </w:tc>
        <w:tc>
          <w:tcPr>
            <w:tcW w:type="dxa" w:w="933"/>
          </w:tcPr>
          <w:p>
            <w:pPr>
              <w:jc w:val="right"/>
            </w:pPr>
            <w:r>
              <w:rPr/>
              <w:t>1.00</w:t>
            </w:r>
          </w:p>
        </w:tc>
        <w:tc>
          <w:tcPr>
            <w:tcW w:type="dxa" w:w="933"/>
          </w:tcPr>
          <w:p>
            <w:pPr>
              <w:jc w:val="right"/>
            </w:pPr>
            <w:r>
              <w:rPr/>
              <w:t>1,329,000.00</w:t>
            </w:r>
          </w:p>
        </w:tc>
        <w:tc>
          <w:tcPr>
            <w:tcW w:type="dxa" w:w="933"/>
          </w:tcPr>
          <w:p>
            <w:pPr>
              <w:jc w:val="right"/>
            </w:pPr>
            <w:r>
              <w:rPr/>
              <w:t>1,329,000.00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中山市体育彩票投注站2023年度日常维护、监管、巡查等工作服务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14"/>
              </w:rPr>
              <w:t>一、</w:t>
            </w:r>
            <w:r>
              <w:rPr>
                <w:b/>
                <w:sz w:val="21"/>
              </w:rPr>
              <w:t>项目服务内容及团队人员组成</w:t>
            </w:r>
          </w:p>
          <w:tbl>
            <w:tblPr>
              <w:tblInd w:type="dxa" w:w="210"/>
              <w:tblBorders>
                <w:top w:val="none" w:color="000000" w:sz="4"/>
                <w:left w:val="none" w:color="000000" w:sz="4"/>
                <w:bottom w:val="none" w:color="000000" w:sz="4"/>
                <w:right w:val="none" w:color="000000" w:sz="4"/>
                <w:insideH w:val="none"/>
                <w:insideV w:val="none"/>
              </w:tblBorders>
            </w:tblPr>
            <w:tblGrid>
              <w:gridCol w:w="353"/>
              <w:gridCol w:w="715"/>
              <w:gridCol w:w="1068"/>
              <w:gridCol w:w="2551"/>
              <w:gridCol w:w="911"/>
            </w:tblGrid>
            <w:tr>
              <w:tc>
                <w:tcPr>
                  <w:tcW w:type="dxa" w:w="35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15"/>
                  <w:tcBorders>
                    <w:top w:val="single" w:color="000000" w:sz="4"/>
                    <w:left w:val="none" w:color="000000" w:sz="4"/>
                    <w:bottom w:val="single" w:color="000000" w:sz="4"/>
                    <w:right w:val="single" w:color="000000" w:sz="4"/>
                  </w:tcBorders>
                  <w:vAlign w:val="top"/>
                </w:tcPr>
                <w:p>
                  <w:pPr>
                    <w:jc w:val="center"/>
                  </w:pPr>
                  <w:r>
                    <w:rPr>
                      <w:sz w:val="21"/>
                    </w:rPr>
                    <w:t>项目职能内容</w:t>
                  </w:r>
                </w:p>
              </w:tc>
              <w:tc>
                <w:tcPr>
                  <w:tcW w:type="dxa" w:w="3619"/>
                  <w:gridSpan w:val="2"/>
                  <w:tcBorders>
                    <w:top w:val="single" w:color="000000" w:sz="4"/>
                    <w:left w:val="none" w:color="000000" w:sz="4"/>
                    <w:bottom w:val="single" w:color="000000" w:sz="4"/>
                    <w:right w:val="single" w:color="000000" w:sz="4"/>
                  </w:tcBorders>
                  <w:vAlign w:val="top"/>
                </w:tcPr>
                <w:p>
                  <w:pPr>
                    <w:jc w:val="center"/>
                  </w:pPr>
                  <w:r>
                    <w:rPr>
                      <w:sz w:val="21"/>
                    </w:rPr>
                    <w:t>服务内容</w:t>
                  </w:r>
                </w:p>
              </w:tc>
              <w:tc>
                <w:tcPr>
                  <w:tcW w:type="dxa" w:w="911"/>
                  <w:tcBorders>
                    <w:top w:val="single" w:color="000000" w:sz="4"/>
                    <w:left w:val="none" w:color="000000" w:sz="4"/>
                    <w:bottom w:val="single" w:color="000000" w:sz="4"/>
                    <w:right w:val="single" w:color="000000" w:sz="4"/>
                  </w:tcBorders>
                  <w:vAlign w:val="top"/>
                </w:tcPr>
                <w:p>
                  <w:pPr>
                    <w:jc w:val="center"/>
                  </w:pPr>
                  <w:r>
                    <w:rPr>
                      <w:sz w:val="21"/>
                    </w:rPr>
                    <w:t>团队内需求人员数量</w:t>
                  </w:r>
                </w:p>
              </w:tc>
            </w:tr>
            <w:tr>
              <w:tc>
                <w:tcPr>
                  <w:tcW w:type="dxa" w:w="3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15"/>
                  <w:tcBorders>
                    <w:top w:val="none" w:color="000000" w:sz="4"/>
                    <w:left w:val="none" w:color="000000" w:sz="4"/>
                    <w:bottom w:val="single" w:color="000000" w:sz="4"/>
                    <w:right w:val="single" w:color="000000" w:sz="4"/>
                  </w:tcBorders>
                  <w:vAlign w:val="top"/>
                </w:tcPr>
                <w:p>
                  <w:pPr>
                    <w:jc w:val="center"/>
                  </w:pPr>
                  <w:r>
                    <w:rPr>
                      <w:sz w:val="21"/>
                    </w:rPr>
                    <w:t>专管员</w:t>
                  </w:r>
                </w:p>
              </w:tc>
              <w:tc>
                <w:tcPr>
                  <w:tcW w:type="dxa" w:w="3619"/>
                  <w:gridSpan w:val="2"/>
                  <w:tcBorders>
                    <w:top w:val="none" w:color="000000" w:sz="4"/>
                    <w:left w:val="none" w:color="000000" w:sz="4"/>
                    <w:bottom w:val="single" w:color="000000" w:sz="4"/>
                    <w:right w:val="single" w:color="000000" w:sz="4"/>
                  </w:tcBorders>
                  <w:vAlign w:val="top"/>
                </w:tcPr>
                <w:p>
                  <w:pPr>
                    <w:ind w:firstLine="420"/>
                    <w:jc w:val="left"/>
                  </w:pPr>
                  <w:r>
                    <w:rPr>
                      <w:sz w:val="21"/>
                    </w:rPr>
                    <w:t>专管员：热爱本职工作，有责任心；不迟到、不早退，特殊情况需提前向用人单位请示，以便工作安排：如请假、辞职、离岗都必须提前用书面形式向用人单位申请；服从用人单位的工作分配及管理；负责体彩片区各网点日常安全管理、玩法培训、营销指导、巡查监督及网点的增、变、退等相关业务管理工作和各片区管理员日常事务总结和汇报工作，搞好团结互助，完成用人单位交办的各项工作任务。熟练使用计算机操作管理系统和互联网操作，计算机的软、硬件维护；</w:t>
                  </w:r>
                </w:p>
                <w:p>
                  <w:pPr>
                    <w:ind w:firstLine="420"/>
                    <w:jc w:val="left"/>
                  </w:pPr>
                  <w:r>
                    <w:rPr>
                      <w:sz w:val="21"/>
                    </w:rPr>
                    <w:t>具体岗位职责包括但不限于以下具体服务要求：</w:t>
                  </w:r>
                </w:p>
                <w:p>
                  <w:pPr>
                    <w:ind w:firstLine="420"/>
                    <w:jc w:val="left"/>
                  </w:pPr>
                  <w:r>
                    <w:rPr>
                      <w:sz w:val="21"/>
                    </w:rPr>
                    <w:t>（</w:t>
                  </w:r>
                  <w:r>
                    <w:rPr>
                      <w:sz w:val="21"/>
                    </w:rPr>
                    <w:t>1</w:t>
                  </w:r>
                  <w:r>
                    <w:rPr>
                      <w:sz w:val="21"/>
                    </w:rPr>
                    <w:t>）月度巡检：按时完成国家实体渠道巡检系统传统实体店的实体店检查工作（月度巡检及专项巡检）。</w:t>
                  </w:r>
                </w:p>
                <w:p>
                  <w:pPr>
                    <w:ind w:firstLine="420"/>
                    <w:jc w:val="left"/>
                  </w:pPr>
                  <w:r>
                    <w:rPr>
                      <w:sz w:val="21"/>
                    </w:rPr>
                    <w:t>（</w:t>
                  </w:r>
                  <w:r>
                    <w:rPr>
                      <w:sz w:val="21"/>
                    </w:rPr>
                    <w:t>2</w:t>
                  </w:r>
                  <w:r>
                    <w:rPr>
                      <w:sz w:val="21"/>
                    </w:rPr>
                    <w:t>）实体店新建、退站、移站考察和验收工作：各专管员在收到中心的新建、退站、移站等考察通知</w:t>
                  </w:r>
                  <w:r>
                    <w:rPr>
                      <w:sz w:val="21"/>
                    </w:rPr>
                    <w:t>(</w:t>
                  </w:r>
                  <w:r>
                    <w:rPr>
                      <w:sz w:val="21"/>
                    </w:rPr>
                    <w:t>包括行业渠道的考察申请表单，以下发给专管员之日起</w:t>
                  </w:r>
                  <w:r>
                    <w:rPr>
                      <w:sz w:val="21"/>
                    </w:rPr>
                    <w:t>)</w:t>
                  </w:r>
                  <w:r>
                    <w:rPr>
                      <w:sz w:val="21"/>
                    </w:rPr>
                    <w:t>，务必在三个工作日内完成考察并上报考察情况。</w:t>
                  </w:r>
                </w:p>
                <w:p>
                  <w:pPr>
                    <w:ind w:firstLine="420"/>
                    <w:jc w:val="left"/>
                  </w:pPr>
                  <w:r>
                    <w:rPr>
                      <w:sz w:val="21"/>
                    </w:rPr>
                    <w:t>（</w:t>
                  </w:r>
                  <w:r>
                    <w:rPr>
                      <w:sz w:val="21"/>
                    </w:rPr>
                    <w:t>3</w:t>
                  </w:r>
                  <w:r>
                    <w:rPr>
                      <w:sz w:val="21"/>
                    </w:rPr>
                    <w:t>）业务培训：（</w:t>
                  </w:r>
                  <w:r>
                    <w:rPr>
                      <w:sz w:val="21"/>
                    </w:rPr>
                    <w:t>a</w:t>
                  </w:r>
                  <w:r>
                    <w:rPr>
                      <w:sz w:val="21"/>
                    </w:rPr>
                    <w:t>）按照要求组织开展片区实体店的培训工作，次月</w:t>
                  </w:r>
                  <w:r>
                    <w:rPr>
                      <w:sz w:val="21"/>
                    </w:rPr>
                    <w:t>10</w:t>
                  </w:r>
                  <w:r>
                    <w:rPr>
                      <w:sz w:val="21"/>
                    </w:rPr>
                    <w:t>日前必须提供培训记录及培训相片（包括月度及专项培训任务）。（</w:t>
                  </w:r>
                  <w:r>
                    <w:rPr>
                      <w:sz w:val="21"/>
                    </w:rPr>
                    <w:t>b</w:t>
                  </w:r>
                  <w:r>
                    <w:rPr>
                      <w:sz w:val="21"/>
                    </w:rPr>
                    <w:t>）保证片区实体店人员信息牌资料真实、保证销售员持证上岗。（</w:t>
                  </w:r>
                  <w:r>
                    <w:rPr>
                      <w:sz w:val="21"/>
                    </w:rPr>
                    <w:t>c</w:t>
                  </w:r>
                  <w:r>
                    <w:rPr>
                      <w:sz w:val="21"/>
                    </w:rPr>
                    <w:t>）所有实体店配备好打击私彩《承诺书》，若丢失需重新补回并按要求签名张贴。</w:t>
                  </w:r>
                </w:p>
                <w:p>
                  <w:pPr>
                    <w:ind w:firstLine="420"/>
                    <w:jc w:val="left"/>
                  </w:pPr>
                  <w:r>
                    <w:rPr>
                      <w:sz w:val="21"/>
                    </w:rPr>
                    <w:t>（</w:t>
                  </w:r>
                  <w:r>
                    <w:rPr>
                      <w:sz w:val="21"/>
                    </w:rPr>
                    <w:t>4</w:t>
                  </w:r>
                  <w:r>
                    <w:rPr>
                      <w:sz w:val="21"/>
                    </w:rPr>
                    <w:t>）即开票铺票陈列指标：开展即开票促销活动时，考核铺票、存票、陈列指标，达到考核指标或以上。即开票片区月度零销量实体店不多于</w:t>
                  </w:r>
                  <w:r>
                    <w:rPr>
                      <w:sz w:val="21"/>
                    </w:rPr>
                    <w:t>5</w:t>
                  </w:r>
                  <w:r>
                    <w:rPr>
                      <w:sz w:val="21"/>
                    </w:rPr>
                    <w:t>个。</w:t>
                  </w:r>
                </w:p>
                <w:p>
                  <w:pPr>
                    <w:ind w:firstLine="420"/>
                    <w:jc w:val="left"/>
                  </w:pPr>
                  <w:r>
                    <w:rPr>
                      <w:sz w:val="21"/>
                    </w:rPr>
                    <w:t>（</w:t>
                  </w:r>
                  <w:r>
                    <w:rPr>
                      <w:sz w:val="21"/>
                    </w:rPr>
                    <w:t>5</w:t>
                  </w:r>
                  <w:r>
                    <w:rPr>
                      <w:sz w:val="21"/>
                    </w:rPr>
                    <w:t>）实体店信息更新：专管员必须保证各片区的各系统数据及信息的准确性及时更新，省、市中心不定期将对系统备案各项信息进行抽检核实，包括电话调查，不存在省市中心通报信息不全、无法联系或其他错误信息情况。</w:t>
                  </w:r>
                </w:p>
                <w:p>
                  <w:pPr>
                    <w:ind w:firstLine="420"/>
                    <w:jc w:val="left"/>
                  </w:pPr>
                  <w:r>
                    <w:rPr>
                      <w:sz w:val="21"/>
                    </w:rPr>
                    <w:t>（</w:t>
                  </w:r>
                  <w:r>
                    <w:rPr>
                      <w:sz w:val="21"/>
                    </w:rPr>
                    <w:t>6</w:t>
                  </w:r>
                  <w:r>
                    <w:rPr>
                      <w:sz w:val="21"/>
                    </w:rPr>
                    <w:t>）技能考试：专管员按中心要求时间完成学习或参加上级组织的季度考试以及参加市中心组织的相关技能考试，包括远程培训平台、钉钉等省市要求完成的学习和考试内容，所辖片区实体店参加学习及考试的完成率和合格率必须达到上级的要求，考试合格及达到要求。</w:t>
                  </w:r>
                </w:p>
                <w:p>
                  <w:pPr>
                    <w:ind w:firstLine="420"/>
                    <w:jc w:val="left"/>
                  </w:pPr>
                  <w:r>
                    <w:rPr>
                      <w:sz w:val="21"/>
                    </w:rPr>
                    <w:t>（</w:t>
                  </w:r>
                  <w:r>
                    <w:rPr>
                      <w:sz w:val="21"/>
                    </w:rPr>
                    <w:t>7</w:t>
                  </w:r>
                  <w:r>
                    <w:rPr>
                      <w:sz w:val="21"/>
                    </w:rPr>
                    <w:t>）退站：</w:t>
                  </w:r>
                  <w:r>
                    <w:rPr>
                      <w:sz w:val="21"/>
                    </w:rPr>
                    <w:t>3</w:t>
                  </w:r>
                  <w:r>
                    <w:rPr>
                      <w:sz w:val="21"/>
                    </w:rPr>
                    <w:t>个工作日内完成实体店退站验收工作，包括：实体店门店拆卸验收照片上报，额度清理，体彩热线撤销、退站门店业主一次性完成办理退站手续。</w:t>
                  </w:r>
                </w:p>
                <w:p>
                  <w:pPr>
                    <w:ind w:firstLine="420"/>
                    <w:jc w:val="left"/>
                  </w:pPr>
                  <w:r>
                    <w:rPr>
                      <w:sz w:val="21"/>
                    </w:rPr>
                    <w:t>（</w:t>
                  </w:r>
                  <w:r>
                    <w:rPr>
                      <w:sz w:val="21"/>
                    </w:rPr>
                    <w:t>8</w:t>
                  </w:r>
                  <w:r>
                    <w:rPr>
                      <w:sz w:val="21"/>
                    </w:rPr>
                    <w:t>）表单的上报及审核：专管员需跟进督促销售实体店进行实体店《竞彩游戏大额投注（大于</w:t>
                  </w:r>
                  <w:r>
                    <w:rPr>
                      <w:sz w:val="21"/>
                    </w:rPr>
                    <w:t>1</w:t>
                  </w:r>
                  <w:r>
                    <w:rPr>
                      <w:sz w:val="21"/>
                    </w:rPr>
                    <w:t>万元）预约及实名登记表》、《实体店竞彩游戏单日销量超预警值销售申请》、《实体店单日销量达预警值的情况说明书》及其它表单的上报或审核工作，并协助进行相关的处理；情况说明书要求实体店次日主动上报（实体店业主</w:t>
                  </w:r>
                  <w:r>
                    <w:rPr>
                      <w:sz w:val="21"/>
                    </w:rPr>
                    <w:t>APP</w:t>
                  </w:r>
                  <w:r>
                    <w:rPr>
                      <w:sz w:val="21"/>
                    </w:rPr>
                    <w:t>会有提醒）。每月汇总上报各片区竞彩</w:t>
                  </w:r>
                  <w:r>
                    <w:rPr>
                      <w:sz w:val="21"/>
                    </w:rPr>
                    <w:t>“</w:t>
                  </w:r>
                  <w:r>
                    <w:rPr>
                      <w:sz w:val="21"/>
                    </w:rPr>
                    <w:t>三书</w:t>
                  </w:r>
                  <w:r>
                    <w:rPr>
                      <w:sz w:val="21"/>
                    </w:rPr>
                    <w:t>”</w:t>
                  </w:r>
                  <w:r>
                    <w:rPr>
                      <w:sz w:val="21"/>
                    </w:rPr>
                    <w:t>的情况 。</w:t>
                  </w:r>
                </w:p>
                <w:p>
                  <w:pPr>
                    <w:ind w:firstLine="420"/>
                    <w:jc w:val="left"/>
                  </w:pPr>
                  <w:r>
                    <w:rPr>
                      <w:sz w:val="21"/>
                    </w:rPr>
                    <w:t>（</w:t>
                  </w:r>
                  <w:r>
                    <w:rPr>
                      <w:sz w:val="21"/>
                    </w:rPr>
                    <w:t>9</w:t>
                  </w:r>
                  <w:r>
                    <w:rPr>
                      <w:sz w:val="21"/>
                    </w:rPr>
                    <w:t>）异常票处理：专管员收到实体店上报异常票情况，需</w:t>
                  </w:r>
                  <w:r>
                    <w:rPr>
                      <w:sz w:val="21"/>
                    </w:rPr>
                    <w:t>1</w:t>
                  </w:r>
                  <w:r>
                    <w:rPr>
                      <w:sz w:val="21"/>
                    </w:rPr>
                    <w:t>小时内填写好相关信息及佐证材料上报市中心人员，上报前需先核实信息的准确性；上报后需</w:t>
                  </w:r>
                  <w:r>
                    <w:rPr>
                      <w:sz w:val="21"/>
                    </w:rPr>
                    <w:t>3</w:t>
                  </w:r>
                  <w:r>
                    <w:rPr>
                      <w:sz w:val="21"/>
                    </w:rPr>
                    <w:t>天内把原件上交市中心。</w:t>
                  </w:r>
                </w:p>
                <w:p>
                  <w:pPr>
                    <w:ind w:firstLine="420"/>
                    <w:jc w:val="left"/>
                  </w:pPr>
                  <w:r>
                    <w:rPr>
                      <w:sz w:val="21"/>
                    </w:rPr>
                    <w:t>（</w:t>
                  </w:r>
                  <w:r>
                    <w:rPr>
                      <w:sz w:val="21"/>
                    </w:rPr>
                    <w:t>10</w:t>
                  </w:r>
                  <w:r>
                    <w:rPr>
                      <w:sz w:val="21"/>
                    </w:rPr>
                    <w:t>）购彩者、实体店投诉：专管员在管理与服务辖区实体店过程中出现</w:t>
                  </w:r>
                  <w:r>
                    <w:rPr>
                      <w:sz w:val="21"/>
                    </w:rPr>
                    <w:t>“</w:t>
                  </w:r>
                  <w:r>
                    <w:rPr>
                      <w:sz w:val="21"/>
                    </w:rPr>
                    <w:t>吃拿卡要</w:t>
                  </w:r>
                  <w:r>
                    <w:rPr>
                      <w:sz w:val="21"/>
                    </w:rPr>
                    <w:t>”</w:t>
                  </w:r>
                  <w:r>
                    <w:rPr>
                      <w:sz w:val="21"/>
                    </w:rPr>
                    <w:t>等行为的，以及经</w:t>
                  </w:r>
                  <w:r>
                    <w:rPr>
                      <w:sz w:val="21"/>
                    </w:rPr>
                    <w:t>95086</w:t>
                  </w:r>
                  <w:r>
                    <w:rPr>
                      <w:sz w:val="21"/>
                    </w:rPr>
                    <w:t>客服电话投诉情况属实的，取消当月绩效考核资格；</w:t>
                  </w:r>
                </w:p>
                <w:p>
                  <w:pPr>
                    <w:ind w:firstLine="420"/>
                    <w:jc w:val="left"/>
                  </w:pPr>
                  <w:r>
                    <w:rPr>
                      <w:sz w:val="21"/>
                    </w:rPr>
                    <w:t xml:space="preserve"> (11)</w:t>
                  </w:r>
                  <w:r>
                    <w:rPr>
                      <w:sz w:val="21"/>
                    </w:rPr>
                    <w:t>实体店门头</w:t>
                  </w:r>
                  <w:r>
                    <w:rPr>
                      <w:sz w:val="21"/>
                    </w:rPr>
                    <w:t>LED</w:t>
                  </w:r>
                  <w:r>
                    <w:rPr>
                      <w:sz w:val="21"/>
                    </w:rPr>
                    <w:t>播放内容规范管理：实体店门头</w:t>
                  </w:r>
                  <w:r>
                    <w:rPr>
                      <w:sz w:val="21"/>
                    </w:rPr>
                    <w:t>LED</w:t>
                  </w:r>
                  <w:r>
                    <w:rPr>
                      <w:sz w:val="21"/>
                    </w:rPr>
                    <w:t>只能播放省、市中心规定的内容。</w:t>
                  </w:r>
                </w:p>
                <w:p>
                  <w:pPr>
                    <w:ind w:firstLine="420"/>
                    <w:jc w:val="left"/>
                  </w:pPr>
                  <w:r>
                    <w:rPr>
                      <w:sz w:val="21"/>
                    </w:rPr>
                    <w:t>（</w:t>
                  </w:r>
                  <w:r>
                    <w:rPr>
                      <w:sz w:val="21"/>
                    </w:rPr>
                    <w:t>12</w:t>
                  </w:r>
                  <w:r>
                    <w:rPr>
                      <w:sz w:val="21"/>
                    </w:rPr>
                    <w:t>）每月完成即开票账期的上报、跟踪、监督等工作。</w:t>
                  </w:r>
                </w:p>
                <w:p>
                  <w:pPr>
                    <w:ind w:firstLine="420"/>
                    <w:jc w:val="left"/>
                  </w:pPr>
                  <w:r>
                    <w:rPr>
                      <w:sz w:val="21"/>
                    </w:rPr>
                    <w:t>（</w:t>
                  </w:r>
                  <w:r>
                    <w:rPr>
                      <w:sz w:val="21"/>
                    </w:rPr>
                    <w:t>13</w:t>
                  </w:r>
                  <w:r>
                    <w:rPr>
                      <w:sz w:val="21"/>
                    </w:rPr>
                    <w:t>）临时交办：中心将根据月度的工作安排，（</w:t>
                  </w:r>
                  <w:r>
                    <w:rPr>
                      <w:sz w:val="21"/>
                    </w:rPr>
                    <w:t>1</w:t>
                  </w:r>
                  <w:r>
                    <w:rPr>
                      <w:sz w:val="21"/>
                    </w:rPr>
                    <w:t>）以培训师授课，参加中心开展授课评比、集中培训活动。（</w:t>
                  </w:r>
                  <w:r>
                    <w:rPr>
                      <w:sz w:val="21"/>
                    </w:rPr>
                    <w:t>2</w:t>
                  </w:r>
                  <w:r>
                    <w:rPr>
                      <w:sz w:val="21"/>
                    </w:rPr>
                    <w:t>）完成省市中心官方要求转发朋友圈短视频、</w:t>
                  </w:r>
                  <w:r>
                    <w:rPr>
                      <w:sz w:val="21"/>
                    </w:rPr>
                    <w:t>H5</w:t>
                  </w:r>
                  <w:r>
                    <w:rPr>
                      <w:sz w:val="21"/>
                    </w:rPr>
                    <w:t>等任务。（</w:t>
                  </w:r>
                  <w:r>
                    <w:rPr>
                      <w:sz w:val="21"/>
                    </w:rPr>
                    <w:t>3</w:t>
                  </w:r>
                  <w:r>
                    <w:rPr>
                      <w:sz w:val="21"/>
                    </w:rPr>
                    <w:t>）向市中心提供宣传报道素材。</w:t>
                  </w:r>
                </w:p>
              </w:tc>
              <w:tc>
                <w:tcPr>
                  <w:tcW w:type="dxa" w:w="911"/>
                  <w:tcBorders>
                    <w:top w:val="none" w:color="000000" w:sz="4"/>
                    <w:left w:val="none" w:color="000000" w:sz="4"/>
                    <w:bottom w:val="single" w:color="000000" w:sz="4"/>
                    <w:right w:val="single" w:color="000000" w:sz="4"/>
                  </w:tcBorders>
                  <w:vAlign w:val="top"/>
                </w:tcPr>
                <w:p>
                  <w:pPr>
                    <w:jc w:val="left"/>
                  </w:pPr>
                  <w:r>
                    <w:rPr>
                      <w:sz w:val="21"/>
                    </w:rPr>
                    <w:t>不少于</w:t>
                  </w:r>
                  <w:r>
                    <w:rPr>
                      <w:sz w:val="21"/>
                    </w:rPr>
                    <w:t>13</w:t>
                  </w:r>
                  <w:r>
                    <w:rPr>
                      <w:sz w:val="21"/>
                    </w:rPr>
                    <w:t>人</w:t>
                  </w:r>
                </w:p>
              </w:tc>
            </w:tr>
            <w:tr>
              <w:tc>
                <w:tcPr>
                  <w:tcW w:type="dxa" w:w="353"/>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15"/>
                  <w:vMerge w:val="restart"/>
                  <w:tcBorders>
                    <w:top w:val="none" w:color="000000" w:sz="4"/>
                    <w:left w:val="none" w:color="000000" w:sz="4"/>
                    <w:bottom w:val="single" w:color="000000" w:sz="4"/>
                    <w:right w:val="single" w:color="000000" w:sz="4"/>
                  </w:tcBorders>
                  <w:vAlign w:val="top"/>
                </w:tcPr>
                <w:p>
                  <w:pPr>
                    <w:jc w:val="center"/>
                  </w:pPr>
                  <w:r>
                    <w:rPr>
                      <w:sz w:val="21"/>
                    </w:rPr>
                    <w:t>市中心辅助业务员</w:t>
                  </w:r>
                </w:p>
              </w:tc>
              <w:tc>
                <w:tcPr>
                  <w:tcW w:type="dxa" w:w="1068"/>
                  <w:tcBorders>
                    <w:top w:val="none" w:color="000000" w:sz="4"/>
                    <w:left w:val="none" w:color="000000" w:sz="4"/>
                    <w:bottom w:val="single" w:color="000000" w:sz="4"/>
                    <w:right w:val="single" w:color="000000" w:sz="4"/>
                  </w:tcBorders>
                  <w:vAlign w:val="top"/>
                </w:tcPr>
                <w:p>
                  <w:pPr>
                    <w:jc w:val="left"/>
                  </w:pPr>
                  <w:r>
                    <w:rPr>
                      <w:sz w:val="21"/>
                    </w:rPr>
                    <w:t>业务培训专干兼营销业务员</w:t>
                  </w:r>
                </w:p>
              </w:tc>
              <w:tc>
                <w:tcPr>
                  <w:tcW w:type="dxa" w:w="2551"/>
                  <w:tcBorders>
                    <w:top w:val="none" w:color="000000" w:sz="4"/>
                    <w:left w:val="none" w:color="000000" w:sz="4"/>
                    <w:bottom w:val="single" w:color="000000" w:sz="4"/>
                    <w:right w:val="single" w:color="000000" w:sz="4"/>
                  </w:tcBorders>
                  <w:vAlign w:val="top"/>
                </w:tcPr>
                <w:p>
                  <w:pPr>
                    <w:jc w:val="left"/>
                  </w:pPr>
                  <w:r>
                    <w:rPr>
                      <w:sz w:val="21"/>
                    </w:rPr>
                    <w:t>负责全市专管员及网点售票员终端机操作、各种游戏产品规则及各玩法营销促销培训；负责整理及分析营销促销数据，制定落实营销促销方案及计划；负责营运省远程培训平台及媒体资料管理中心。</w:t>
                  </w:r>
                </w:p>
              </w:tc>
              <w:tc>
                <w:tcPr>
                  <w:tcW w:type="dxa" w:w="911"/>
                  <w:tcBorders>
                    <w:top w:val="single" w:color="000000" w:sz="4"/>
                    <w:left w:val="none" w:color="000000" w:sz="4"/>
                    <w:bottom w:val="single" w:color="000000" w:sz="4"/>
                    <w:right w:val="single" w:color="000000" w:sz="4"/>
                  </w:tcBorders>
                  <w:vAlign w:val="top"/>
                </w:tcPr>
                <w:p>
                  <w:pPr>
                    <w:jc w:val="both"/>
                  </w:pPr>
                  <w:r>
                    <w:rPr>
                      <w:sz w:val="21"/>
                    </w:rPr>
                    <w:t>不少于</w:t>
                  </w:r>
                  <w:r>
                    <w:rPr>
                      <w:sz w:val="21"/>
                    </w:rPr>
                    <w:t>1</w:t>
                  </w:r>
                  <w:r>
                    <w:rPr>
                      <w:sz w:val="21"/>
                    </w:rPr>
                    <w:t>人</w:t>
                  </w:r>
                </w:p>
              </w:tc>
            </w:tr>
            <w:tr>
              <w:tc>
                <w:tcPr>
                  <w:tcW w:type="dxa" w:w="353"/>
                  <w:vMerge/>
                  <w:tcBorders>
                    <w:top w:val="none" w:color="000000" w:sz="4"/>
                    <w:left w:val="single" w:color="000000" w:sz="4"/>
                    <w:bottom w:val="single" w:color="000000" w:sz="4"/>
                    <w:right w:val="single" w:color="000000" w:sz="4"/>
                  </w:tcBorders>
                </w:tcPr>
                <w:p/>
              </w:tc>
              <w:tc>
                <w:tcPr>
                  <w:tcW w:type="dxa" w:w="715"/>
                  <w:vMerge/>
                  <w:tcBorders>
                    <w:top w:val="none" w:color="000000" w:sz="4"/>
                    <w:left w:val="none" w:color="000000" w:sz="4"/>
                    <w:bottom w:val="single" w:color="000000" w:sz="4"/>
                    <w:right w:val="single" w:color="000000" w:sz="4"/>
                  </w:tcBorders>
                </w:tcPr>
                <w:p/>
              </w:tc>
              <w:tc>
                <w:tcPr>
                  <w:tcW w:type="dxa" w:w="1068"/>
                  <w:tcBorders>
                    <w:top w:val="none" w:color="000000" w:sz="4"/>
                    <w:left w:val="none" w:color="000000" w:sz="4"/>
                    <w:bottom w:val="single" w:color="000000" w:sz="4"/>
                    <w:right w:val="single" w:color="000000" w:sz="4"/>
                  </w:tcBorders>
                  <w:vAlign w:val="top"/>
                </w:tcPr>
                <w:p>
                  <w:pPr>
                    <w:jc w:val="left"/>
                  </w:pPr>
                  <w:r>
                    <w:rPr>
                      <w:sz w:val="21"/>
                    </w:rPr>
                    <w:t>专管员主管及网点征召及国家体彩中心渠道管理系统管理员</w:t>
                  </w:r>
                </w:p>
              </w:tc>
              <w:tc>
                <w:tcPr>
                  <w:tcW w:type="dxa" w:w="2551"/>
                  <w:tcBorders>
                    <w:top w:val="none" w:color="000000" w:sz="4"/>
                    <w:left w:val="none" w:color="000000" w:sz="4"/>
                    <w:bottom w:val="single" w:color="000000" w:sz="4"/>
                    <w:right w:val="single" w:color="000000" w:sz="4"/>
                  </w:tcBorders>
                  <w:vAlign w:val="top"/>
                </w:tcPr>
                <w:p>
                  <w:pPr>
                    <w:jc w:val="left"/>
                  </w:pPr>
                  <w:r>
                    <w:rPr>
                      <w:sz w:val="21"/>
                    </w:rPr>
                    <w:t>负责管理专管员团队；营运全省网点征召系统及帷胜渠道管理系统；负责全市网点新建、变更、退站等基础信息整理录入工作；负责协助维修维护销售终端机。</w:t>
                  </w:r>
                </w:p>
              </w:tc>
              <w:tc>
                <w:tcPr>
                  <w:tcW w:type="dxa" w:w="911"/>
                  <w:tcBorders>
                    <w:top w:val="none" w:color="000000" w:sz="4"/>
                    <w:left w:val="none" w:color="000000" w:sz="4"/>
                    <w:bottom w:val="single" w:color="000000" w:sz="4"/>
                    <w:right w:val="single" w:color="000000" w:sz="4"/>
                  </w:tcBorders>
                  <w:vAlign w:val="top"/>
                </w:tcPr>
                <w:p>
                  <w:pPr>
                    <w:jc w:val="both"/>
                  </w:pPr>
                  <w:r>
                    <w:rPr>
                      <w:sz w:val="21"/>
                    </w:rPr>
                    <w:t>不少于</w:t>
                  </w:r>
                  <w:r>
                    <w:rPr>
                      <w:sz w:val="21"/>
                    </w:rPr>
                    <w:t>1</w:t>
                  </w:r>
                  <w:r>
                    <w:rPr>
                      <w:sz w:val="21"/>
                    </w:rPr>
                    <w:t>人</w:t>
                  </w:r>
                </w:p>
              </w:tc>
            </w:tr>
            <w:tr>
              <w:tc>
                <w:tcPr>
                  <w:tcW w:type="dxa" w:w="353"/>
                  <w:vMerge/>
                  <w:tcBorders>
                    <w:top w:val="none" w:color="000000" w:sz="4"/>
                    <w:left w:val="single" w:color="000000" w:sz="4"/>
                    <w:bottom w:val="single" w:color="000000" w:sz="4"/>
                    <w:right w:val="single" w:color="000000" w:sz="4"/>
                  </w:tcBorders>
                </w:tcPr>
                <w:p/>
              </w:tc>
              <w:tc>
                <w:tcPr>
                  <w:tcW w:type="dxa" w:w="715"/>
                  <w:vMerge/>
                  <w:tcBorders>
                    <w:top w:val="none" w:color="000000" w:sz="4"/>
                    <w:left w:val="none" w:color="000000" w:sz="4"/>
                    <w:bottom w:val="single" w:color="000000" w:sz="4"/>
                    <w:right w:val="single" w:color="000000" w:sz="4"/>
                  </w:tcBorders>
                </w:tcPr>
                <w:p/>
              </w:tc>
              <w:tc>
                <w:tcPr>
                  <w:tcW w:type="dxa" w:w="1068"/>
                  <w:tcBorders>
                    <w:top w:val="none" w:color="000000" w:sz="4"/>
                    <w:left w:val="none" w:color="000000" w:sz="4"/>
                    <w:bottom w:val="single" w:color="000000" w:sz="4"/>
                    <w:right w:val="single" w:color="000000" w:sz="4"/>
                  </w:tcBorders>
                  <w:vAlign w:val="top"/>
                </w:tcPr>
                <w:p>
                  <w:pPr>
                    <w:jc w:val="left"/>
                  </w:pPr>
                  <w:r>
                    <w:rPr>
                      <w:sz w:val="21"/>
                    </w:rPr>
                    <w:t>销售数据统计、兑奖系统管理员及客服员</w:t>
                  </w:r>
                </w:p>
              </w:tc>
              <w:tc>
                <w:tcPr>
                  <w:tcW w:type="dxa" w:w="2551"/>
                  <w:tcBorders>
                    <w:top w:val="none" w:color="000000" w:sz="4"/>
                    <w:left w:val="none" w:color="000000" w:sz="4"/>
                    <w:bottom w:val="single" w:color="000000" w:sz="4"/>
                    <w:right w:val="single" w:color="000000" w:sz="4"/>
                  </w:tcBorders>
                  <w:vAlign w:val="top"/>
                </w:tcPr>
                <w:p>
                  <w:pPr>
                    <w:jc w:val="left"/>
                  </w:pPr>
                  <w:r>
                    <w:rPr>
                      <w:sz w:val="21"/>
                    </w:rPr>
                    <w:t>负责营业厅兑奖工作；负责接待群众咨询及业务来电来访、客服工作；负责国家体彩中心兑奖系统及销售数据系统的运行及数据统计和销售数据的收集整理。</w:t>
                  </w:r>
                </w:p>
              </w:tc>
              <w:tc>
                <w:tcPr>
                  <w:tcW w:type="dxa" w:w="911"/>
                  <w:tcBorders>
                    <w:top w:val="none" w:color="000000" w:sz="4"/>
                    <w:left w:val="none" w:color="000000" w:sz="4"/>
                    <w:bottom w:val="single" w:color="000000" w:sz="4"/>
                    <w:right w:val="single" w:color="000000" w:sz="4"/>
                  </w:tcBorders>
                  <w:vAlign w:val="top"/>
                </w:tcPr>
                <w:p>
                  <w:pPr>
                    <w:jc w:val="both"/>
                  </w:pPr>
                  <w:r>
                    <w:rPr>
                      <w:sz w:val="21"/>
                    </w:rPr>
                    <w:t>不少于</w:t>
                  </w:r>
                  <w:r>
                    <w:rPr>
                      <w:sz w:val="21"/>
                    </w:rPr>
                    <w:t>1</w:t>
                  </w:r>
                  <w:r>
                    <w:rPr>
                      <w:sz w:val="21"/>
                    </w:rPr>
                    <w:t>人</w:t>
                  </w:r>
                </w:p>
              </w:tc>
            </w:tr>
            <w:tr>
              <w:tc>
                <w:tcPr>
                  <w:tcW w:type="dxa" w:w="353"/>
                  <w:vMerge/>
                  <w:tcBorders>
                    <w:top w:val="none" w:color="000000" w:sz="4"/>
                    <w:left w:val="single" w:color="000000" w:sz="4"/>
                    <w:bottom w:val="single" w:color="000000" w:sz="4"/>
                    <w:right w:val="single" w:color="000000" w:sz="4"/>
                  </w:tcBorders>
                </w:tcPr>
                <w:p/>
              </w:tc>
              <w:tc>
                <w:tcPr>
                  <w:tcW w:type="dxa" w:w="715"/>
                  <w:vMerge/>
                  <w:tcBorders>
                    <w:top w:val="none" w:color="000000" w:sz="4"/>
                    <w:left w:val="none" w:color="000000" w:sz="4"/>
                    <w:bottom w:val="single" w:color="000000" w:sz="4"/>
                    <w:right w:val="single" w:color="000000" w:sz="4"/>
                  </w:tcBorders>
                </w:tcPr>
                <w:p/>
              </w:tc>
              <w:tc>
                <w:tcPr>
                  <w:tcW w:type="dxa" w:w="1068"/>
                  <w:tcBorders>
                    <w:top w:val="none" w:color="000000" w:sz="4"/>
                    <w:left w:val="none" w:color="000000" w:sz="4"/>
                    <w:bottom w:val="single" w:color="000000" w:sz="4"/>
                    <w:right w:val="single" w:color="000000" w:sz="4"/>
                  </w:tcBorders>
                  <w:vAlign w:val="top"/>
                </w:tcPr>
                <w:p>
                  <w:pPr>
                    <w:jc w:val="left"/>
                  </w:pPr>
                  <w:r>
                    <w:rPr>
                      <w:sz w:val="21"/>
                    </w:rPr>
                    <w:t>物资及资产管理系统管理员及宣传专干</w:t>
                  </w:r>
                </w:p>
              </w:tc>
              <w:tc>
                <w:tcPr>
                  <w:tcW w:type="dxa" w:w="2551"/>
                  <w:tcBorders>
                    <w:top w:val="none" w:color="000000" w:sz="4"/>
                    <w:left w:val="none" w:color="000000" w:sz="4"/>
                    <w:bottom w:val="single" w:color="000000" w:sz="4"/>
                    <w:right w:val="single" w:color="000000" w:sz="4"/>
                  </w:tcBorders>
                  <w:vAlign w:val="top"/>
                </w:tcPr>
                <w:p>
                  <w:pPr>
                    <w:jc w:val="left"/>
                  </w:pPr>
                  <w:r>
                    <w:rPr>
                      <w:sz w:val="21"/>
                    </w:rPr>
                    <w:t>负责营运物资及体彩终端机收、发管理，资产综合管理信息系统管理、固定资产台账登记、数据维护及报表报送；负责网站、微信公众号营运及对接媒体公益、中奖等宣传稿件编写发布）</w:t>
                  </w:r>
                </w:p>
              </w:tc>
              <w:tc>
                <w:tcPr>
                  <w:tcW w:type="dxa" w:w="911"/>
                  <w:tcBorders>
                    <w:top w:val="none" w:color="000000" w:sz="4"/>
                    <w:left w:val="none" w:color="000000" w:sz="4"/>
                    <w:bottom w:val="single" w:color="000000" w:sz="4"/>
                    <w:right w:val="single" w:color="000000" w:sz="4"/>
                  </w:tcBorders>
                  <w:vAlign w:val="top"/>
                </w:tcPr>
                <w:p>
                  <w:pPr>
                    <w:jc w:val="both"/>
                  </w:pPr>
                  <w:r>
                    <w:rPr>
                      <w:sz w:val="21"/>
                    </w:rPr>
                    <w:t>不少于</w:t>
                  </w:r>
                  <w:r>
                    <w:rPr>
                      <w:sz w:val="21"/>
                    </w:rPr>
                    <w:t>1</w:t>
                  </w:r>
                  <w:r>
                    <w:rPr>
                      <w:sz w:val="21"/>
                    </w:rPr>
                    <w:t>人</w:t>
                  </w:r>
                </w:p>
              </w:tc>
            </w:tr>
          </w:tbl>
        </w:tc>
      </w:tr>
      <w:tr>
        <w:tc>
          <w:tcPr>
            <w:tcW w:type="dxa" w:w="2076"/>
          </w:tcPr>
          <w:p/>
        </w:tc>
        <w:tc>
          <w:tcPr>
            <w:tcW w:type="dxa" w:w="415"/>
          </w:tcPr>
          <w:p>
            <w:r>
              <w:rPr/>
              <w:t>2</w:t>
            </w:r>
          </w:p>
        </w:tc>
        <w:tc>
          <w:tcPr>
            <w:tcW w:type="dxa" w:w="5814"/>
          </w:tcPr>
          <w:p>
            <w:r>
              <w:rPr>
                <w:b/>
              </w:rPr>
              <w:t>二、工作成果交付和验收</w:t>
            </w:r>
          </w:p>
          <w:p>
            <w:r>
              <w:rPr/>
              <w:t>成交人应按服务要求按时保质保量地完成服务工作，并按该项目服务内容，按照约定的数量、质量和周期向采购人交付工作成果。采购人应对成交人提交的工作成果按约定质量标准进行验收，并出具验收意见及评分。</w:t>
            </w:r>
          </w:p>
        </w:tc>
      </w:tr>
      <w:tr>
        <w:tc>
          <w:tcPr>
            <w:tcW w:type="dxa" w:w="2076"/>
          </w:tcPr>
          <w:p>
            <w:r>
              <w:rPr/>
              <w:t>★</w:t>
            </w:r>
          </w:p>
        </w:tc>
        <w:tc>
          <w:tcPr>
            <w:tcW w:type="dxa" w:w="415"/>
          </w:tcPr>
          <w:p>
            <w:r>
              <w:rPr/>
              <w:t>3</w:t>
            </w:r>
          </w:p>
        </w:tc>
        <w:tc>
          <w:tcPr>
            <w:tcW w:type="dxa" w:w="5814"/>
          </w:tcPr>
          <w:p>
            <w:pPr>
              <w:jc w:val="both"/>
            </w:pPr>
            <w:r>
              <w:rPr>
                <w:sz w:val="21"/>
              </w:rPr>
              <w:t>注：</w:t>
            </w:r>
            <w:r>
              <w:rPr>
                <w:sz w:val="21"/>
              </w:rPr>
              <w:t>★</w:t>
            </w:r>
            <w:r>
              <w:rPr>
                <w:sz w:val="21"/>
              </w:rPr>
              <w:t>1、服务运营团队组成：（1）、专管员：不少于13名；（2）、市中心辅助业务员：不少于4名。</w:t>
            </w:r>
          </w:p>
          <w:p>
            <w:pPr>
              <w:jc w:val="both"/>
            </w:pPr>
            <w:r>
              <w:rPr>
                <w:sz w:val="21"/>
              </w:rPr>
              <w:t xml:space="preserve">    </w:t>
            </w:r>
            <w:r>
              <w:rPr>
                <w:sz w:val="21"/>
              </w:rPr>
              <w:t>★</w:t>
            </w:r>
            <w:r>
              <w:rPr>
                <w:sz w:val="21"/>
              </w:rPr>
              <w:t>2、专管员实收工资不低于5430元；市中心辅助业务员实收工资不低于5100元。</w:t>
            </w:r>
          </w:p>
        </w:tc>
      </w:tr>
      <w:tr>
        <w:tc>
          <w:tcPr>
            <w:tcW w:type="dxa" w:w="2076"/>
          </w:tcPr>
          <w:p/>
        </w:tc>
        <w:tc>
          <w:tcPr>
            <w:tcW w:type="dxa" w:w="415"/>
          </w:tcPr>
          <w:p>
            <w:r>
              <w:rPr/>
              <w:t>4</w:t>
            </w:r>
          </w:p>
        </w:tc>
        <w:tc>
          <w:tcPr>
            <w:tcW w:type="dxa" w:w="5814"/>
          </w:tcPr>
          <w:p>
            <w:pPr>
              <w:jc w:val="both"/>
            </w:pPr>
            <w:r>
              <w:rPr>
                <w:b/>
                <w:sz w:val="21"/>
              </w:rPr>
              <w:t>三、服务团队要求：</w:t>
            </w:r>
          </w:p>
          <w:p>
            <w:pPr>
              <w:ind w:firstLine="420"/>
              <w:jc w:val="left"/>
            </w:pPr>
            <w:r>
              <w:rPr>
                <w:sz w:val="21"/>
              </w:rPr>
              <w:t>3.1</w:t>
            </w:r>
            <w:r>
              <w:rPr>
                <w:sz w:val="21"/>
              </w:rPr>
              <w:t>、服务中标供应商应提供其安排在本项目中的服务人员的基本劳动保障。如因此产生的劳动纠纷由服务中标人方全权负责，与采购人无关。</w:t>
            </w:r>
          </w:p>
          <w:p>
            <w:pPr>
              <w:ind w:firstLine="420"/>
              <w:jc w:val="left"/>
            </w:pPr>
            <w:r>
              <w:rPr>
                <w:sz w:val="21"/>
              </w:rPr>
              <w:t>3.2</w:t>
            </w:r>
            <w:r>
              <w:rPr>
                <w:sz w:val="21"/>
              </w:rPr>
              <w:t>、人员素质要求：</w:t>
            </w:r>
          </w:p>
          <w:p>
            <w:pPr>
              <w:ind w:firstLine="567"/>
              <w:jc w:val="both"/>
            </w:pPr>
            <w:r>
              <w:rPr>
                <w:sz w:val="21"/>
              </w:rPr>
              <w:t>投标人为本项目配备的服务人员应具有工作主动性和良好的服务意识、交流沟通能力、专业能力。投标人在投标文件中应该明确各岗位的实际人员素质及工作经验要求，按照自行设计的人力配置方案，提供各业务各岗位工作职责、基本素质要求的描述。</w:t>
            </w:r>
          </w:p>
          <w:p>
            <w:pPr>
              <w:ind w:firstLine="567"/>
              <w:jc w:val="both"/>
            </w:pPr>
            <w:r>
              <w:rPr>
                <w:sz w:val="21"/>
              </w:rPr>
              <w:t>人员素质要求表：</w:t>
            </w:r>
          </w:p>
          <w:tbl>
            <w:tblPr>
              <w:tblInd w:type="dxa" w:w="210"/>
              <w:tblBorders>
                <w:top w:val="none" w:color="000000" w:sz="4"/>
                <w:left w:val="none" w:color="000000" w:sz="4"/>
                <w:bottom w:val="none" w:color="000000" w:sz="4"/>
                <w:right w:val="none" w:color="000000" w:sz="4"/>
                <w:insideH w:val="none"/>
                <w:insideV w:val="none"/>
              </w:tblBorders>
            </w:tblPr>
            <w:tblGrid>
              <w:gridCol w:w="463"/>
              <w:gridCol w:w="1437"/>
              <w:gridCol w:w="3698"/>
            </w:tblGrid>
            <w:tr>
              <w:tc>
                <w:tcPr>
                  <w:tcW w:type="dxa" w:w="463"/>
                  <w:tcBorders>
                    <w:top w:val="single" w:color="000000" w:sz="4"/>
                    <w:left w:val="single" w:color="000000" w:sz="4"/>
                    <w:bottom w:val="single" w:color="000000" w:sz="4"/>
                    <w:right w:val="single" w:color="000000" w:sz="4"/>
                  </w:tcBorders>
                  <w:shd w:fill="F1F1F1"/>
                  <w:vAlign w:val="top"/>
                </w:tcPr>
                <w:p>
                  <w:pPr>
                    <w:jc w:val="both"/>
                  </w:pPr>
                  <w:r>
                    <w:rPr>
                      <w:sz w:val="21"/>
                    </w:rPr>
                    <w:t>序号</w:t>
                  </w:r>
                </w:p>
              </w:tc>
              <w:tc>
                <w:tcPr>
                  <w:tcW w:type="dxa" w:w="1437"/>
                  <w:tcBorders>
                    <w:top w:val="single" w:color="000000" w:sz="4"/>
                    <w:left w:val="none" w:color="000000" w:sz="4"/>
                    <w:bottom w:val="single" w:color="000000" w:sz="4"/>
                    <w:right w:val="single" w:color="000000" w:sz="4"/>
                  </w:tcBorders>
                  <w:shd w:fill="F1F1F1"/>
                  <w:vAlign w:val="top"/>
                </w:tcPr>
                <w:p>
                  <w:pPr>
                    <w:jc w:val="center"/>
                  </w:pPr>
                  <w:r>
                    <w:rPr>
                      <w:sz w:val="21"/>
                    </w:rPr>
                    <w:t>服务类别</w:t>
                  </w:r>
                </w:p>
              </w:tc>
              <w:tc>
                <w:tcPr>
                  <w:tcW w:type="dxa" w:w="3698"/>
                  <w:tcBorders>
                    <w:top w:val="single" w:color="000000" w:sz="4"/>
                    <w:left w:val="none" w:color="000000" w:sz="4"/>
                    <w:bottom w:val="single" w:color="000000" w:sz="4"/>
                    <w:right w:val="single" w:color="000000" w:sz="4"/>
                  </w:tcBorders>
                  <w:shd w:fill="F1F1F1"/>
                  <w:vAlign w:val="top"/>
                </w:tcPr>
                <w:p>
                  <w:pPr>
                    <w:jc w:val="center"/>
                  </w:pPr>
                  <w:r>
                    <w:rPr>
                      <w:sz w:val="21"/>
                    </w:rPr>
                    <w:t>素质要求</w:t>
                  </w:r>
                </w:p>
              </w:tc>
            </w:tr>
            <w:tr>
              <w:tc>
                <w:tcPr>
                  <w:tcW w:type="dxa" w:w="463"/>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437"/>
                  <w:tcBorders>
                    <w:top w:val="none" w:color="000000" w:sz="4"/>
                    <w:left w:val="none" w:color="000000" w:sz="4"/>
                    <w:bottom w:val="single" w:color="000000" w:sz="4"/>
                    <w:right w:val="single" w:color="000000" w:sz="4"/>
                  </w:tcBorders>
                  <w:vAlign w:val="top"/>
                </w:tcPr>
                <w:p>
                  <w:pPr>
                    <w:jc w:val="both"/>
                  </w:pPr>
                  <w:r>
                    <w:rPr>
                      <w:sz w:val="21"/>
                    </w:rPr>
                    <w:t>专管员</w:t>
                  </w:r>
                </w:p>
              </w:tc>
              <w:tc>
                <w:tcPr>
                  <w:tcW w:type="dxa" w:w="3698"/>
                  <w:tcBorders>
                    <w:top w:val="none" w:color="000000" w:sz="4"/>
                    <w:left w:val="none" w:color="000000" w:sz="4"/>
                    <w:bottom w:val="single" w:color="000000" w:sz="4"/>
                    <w:right w:val="single" w:color="000000" w:sz="4"/>
                  </w:tcBorders>
                  <w:vAlign w:val="top"/>
                </w:tcPr>
                <w:p>
                  <w:pPr>
                    <w:ind w:firstLine="420"/>
                    <w:jc w:val="left"/>
                  </w:pPr>
                  <w:r>
                    <w:rPr>
                      <w:sz w:val="21"/>
                    </w:rPr>
                    <w:t>1</w:t>
                  </w:r>
                  <w:r>
                    <w:rPr>
                      <w:sz w:val="21"/>
                    </w:rPr>
                    <w:t>、具有中华人民共和国国籍，拥护中华人民共和国宪法。</w:t>
                  </w:r>
                </w:p>
                <w:p>
                  <w:pPr>
                    <w:ind w:firstLine="420"/>
                    <w:jc w:val="left"/>
                  </w:pPr>
                  <w:r>
                    <w:rPr>
                      <w:sz w:val="21"/>
                    </w:rPr>
                    <w:t>2</w:t>
                  </w:r>
                  <w:r>
                    <w:rPr>
                      <w:sz w:val="21"/>
                    </w:rPr>
                    <w:t>、遵纪守法，具有良好的道德品行和职业道德。</w:t>
                  </w:r>
                </w:p>
                <w:p>
                  <w:pPr>
                    <w:ind w:firstLine="420"/>
                    <w:jc w:val="left"/>
                  </w:pPr>
                  <w:r>
                    <w:rPr>
                      <w:sz w:val="21"/>
                    </w:rPr>
                    <w:t>3</w:t>
                  </w:r>
                  <w:r>
                    <w:rPr>
                      <w:sz w:val="21"/>
                    </w:rPr>
                    <w:t>、身体健康，具有正常履行职责的身体条件和工作能力。</w:t>
                  </w:r>
                </w:p>
                <w:p>
                  <w:pPr>
                    <w:ind w:firstLine="420"/>
                    <w:jc w:val="left"/>
                  </w:pPr>
                  <w:r>
                    <w:rPr>
                      <w:sz w:val="21"/>
                    </w:rPr>
                    <w:t>4</w:t>
                  </w:r>
                  <w:r>
                    <w:rPr>
                      <w:sz w:val="21"/>
                    </w:rPr>
                    <w:t>、无任何犯罪记录（需提供户籍所在地派出所出具的有效证明）。</w:t>
                  </w:r>
                </w:p>
                <w:p>
                  <w:pPr>
                    <w:ind w:firstLine="420"/>
                    <w:jc w:val="left"/>
                  </w:pPr>
                  <w:r>
                    <w:rPr>
                      <w:sz w:val="21"/>
                    </w:rPr>
                    <w:t>5</w:t>
                  </w:r>
                  <w:r>
                    <w:rPr>
                      <w:sz w:val="21"/>
                    </w:rPr>
                    <w:t>、符合《中华人民共和国民法典》相关规定。</w:t>
                  </w:r>
                </w:p>
                <w:p>
                  <w:pPr>
                    <w:ind w:firstLine="420"/>
                    <w:jc w:val="left"/>
                  </w:pPr>
                  <w:r>
                    <w:rPr>
                      <w:sz w:val="21"/>
                    </w:rPr>
                    <w:t>6</w:t>
                  </w:r>
                  <w:r>
                    <w:rPr>
                      <w:sz w:val="21"/>
                    </w:rPr>
                    <w:t>、任职条件要求：</w:t>
                  </w:r>
                  <w:r>
                    <w:rPr>
                      <w:sz w:val="21"/>
                    </w:rPr>
                    <w:t>①</w:t>
                  </w:r>
                  <w:r>
                    <w:rPr>
                      <w:sz w:val="21"/>
                    </w:rPr>
                    <w:t>大专以上学历；</w:t>
                  </w:r>
                  <w:r>
                    <w:rPr>
                      <w:sz w:val="21"/>
                    </w:rPr>
                    <w:t>②</w:t>
                  </w:r>
                  <w:r>
                    <w:rPr>
                      <w:sz w:val="21"/>
                    </w:rPr>
                    <w:t>性别不限；</w:t>
                  </w:r>
                  <w:r>
                    <w:rPr>
                      <w:sz w:val="21"/>
                    </w:rPr>
                    <w:t>③</w:t>
                  </w:r>
                  <w:r>
                    <w:rPr>
                      <w:sz w:val="21"/>
                    </w:rPr>
                    <w:t>自带交通工具（电动车、摩托车或小车），有小汽车驾照优先。</w:t>
                  </w:r>
                </w:p>
                <w:p>
                  <w:pPr>
                    <w:ind w:firstLine="420"/>
                    <w:jc w:val="left"/>
                  </w:pPr>
                  <w:r>
                    <w:rPr>
                      <w:sz w:val="21"/>
                    </w:rPr>
                    <w:t>7</w:t>
                  </w:r>
                  <w:r>
                    <w:rPr>
                      <w:sz w:val="21"/>
                    </w:rPr>
                    <w:t>、工作时间：每周工作时间累计</w:t>
                  </w:r>
                  <w:r>
                    <w:rPr>
                      <w:sz w:val="21"/>
                    </w:rPr>
                    <w:t>48</w:t>
                  </w:r>
                  <w:r>
                    <w:rPr>
                      <w:sz w:val="21"/>
                    </w:rPr>
                    <w:t>小时。</w:t>
                  </w:r>
                </w:p>
                <w:p>
                  <w:pPr>
                    <w:ind w:firstLine="420"/>
                    <w:jc w:val="left"/>
                  </w:pPr>
                  <w:r>
                    <w:rPr>
                      <w:sz w:val="21"/>
                    </w:rPr>
                    <w:t>8</w:t>
                  </w:r>
                  <w:r>
                    <w:rPr>
                      <w:sz w:val="21"/>
                    </w:rPr>
                    <w:t>、工作地点：按采购人需求分配（全市</w:t>
                  </w:r>
                  <w:r>
                    <w:rPr>
                      <w:sz w:val="21"/>
                    </w:rPr>
                    <w:t>24</w:t>
                  </w:r>
                  <w:r>
                    <w:rPr>
                      <w:sz w:val="21"/>
                    </w:rPr>
                    <w:t>个镇街）。</w:t>
                  </w:r>
                </w:p>
              </w:tc>
            </w:tr>
            <w:tr>
              <w:tc>
                <w:tcPr>
                  <w:tcW w:type="dxa" w:w="4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37"/>
                  <w:tcBorders>
                    <w:top w:val="none" w:color="000000" w:sz="4"/>
                    <w:left w:val="none" w:color="000000" w:sz="4"/>
                    <w:bottom w:val="single" w:color="000000" w:sz="4"/>
                    <w:right w:val="single" w:color="000000" w:sz="4"/>
                  </w:tcBorders>
                  <w:vAlign w:val="top"/>
                </w:tcPr>
                <w:p>
                  <w:pPr>
                    <w:jc w:val="both"/>
                  </w:pPr>
                  <w:r>
                    <w:rPr>
                      <w:sz w:val="21"/>
                    </w:rPr>
                    <w:t>市中心辅助业务员</w:t>
                  </w:r>
                </w:p>
              </w:tc>
              <w:tc>
                <w:tcPr>
                  <w:tcW w:type="dxa" w:w="3698"/>
                  <w:tcBorders>
                    <w:top w:val="none" w:color="000000" w:sz="4"/>
                    <w:left w:val="none" w:color="000000" w:sz="4"/>
                    <w:bottom w:val="single" w:color="000000" w:sz="4"/>
                    <w:right w:val="single" w:color="000000" w:sz="4"/>
                  </w:tcBorders>
                  <w:vAlign w:val="top"/>
                </w:tcPr>
                <w:p>
                  <w:pPr>
                    <w:ind w:firstLine="420"/>
                    <w:jc w:val="left"/>
                  </w:pPr>
                  <w:r>
                    <w:rPr>
                      <w:sz w:val="21"/>
                    </w:rPr>
                    <w:t>1</w:t>
                  </w:r>
                  <w:r>
                    <w:rPr>
                      <w:sz w:val="21"/>
                    </w:rPr>
                    <w:t>、具有中华人民共和国国籍，拥护中华人民共和国宪法。</w:t>
                  </w:r>
                </w:p>
                <w:p>
                  <w:pPr>
                    <w:ind w:firstLine="420"/>
                    <w:jc w:val="left"/>
                  </w:pPr>
                  <w:r>
                    <w:rPr>
                      <w:sz w:val="21"/>
                    </w:rPr>
                    <w:t>2</w:t>
                  </w:r>
                  <w:r>
                    <w:rPr>
                      <w:sz w:val="21"/>
                    </w:rPr>
                    <w:t>、遵纪守法，具有良好的道德品行和职业道德。</w:t>
                  </w:r>
                </w:p>
                <w:p>
                  <w:pPr>
                    <w:ind w:firstLine="420"/>
                    <w:jc w:val="left"/>
                  </w:pPr>
                  <w:r>
                    <w:rPr>
                      <w:sz w:val="21"/>
                    </w:rPr>
                    <w:t>3</w:t>
                  </w:r>
                  <w:r>
                    <w:rPr>
                      <w:sz w:val="21"/>
                    </w:rPr>
                    <w:t>、身体健康，具有正常履行职责的身体条件和工作能力。</w:t>
                  </w:r>
                </w:p>
                <w:p>
                  <w:pPr>
                    <w:ind w:firstLine="420"/>
                    <w:jc w:val="left"/>
                  </w:pPr>
                  <w:r>
                    <w:rPr>
                      <w:sz w:val="21"/>
                    </w:rPr>
                    <w:t>4</w:t>
                  </w:r>
                  <w:r>
                    <w:rPr>
                      <w:sz w:val="21"/>
                    </w:rPr>
                    <w:t>、符合《中华人民共和国民法典》相关规定。</w:t>
                  </w:r>
                </w:p>
                <w:p>
                  <w:pPr>
                    <w:ind w:firstLine="420"/>
                    <w:jc w:val="left"/>
                  </w:pPr>
                  <w:r>
                    <w:rPr>
                      <w:sz w:val="21"/>
                    </w:rPr>
                    <w:t>5</w:t>
                  </w:r>
                  <w:r>
                    <w:rPr>
                      <w:sz w:val="21"/>
                    </w:rPr>
                    <w:t>、要求：大专以上学历；自带交通工具（电动车、摩托车或小车），有小汽车驾照优先。</w:t>
                  </w:r>
                </w:p>
                <w:p>
                  <w:pPr>
                    <w:ind w:firstLine="420"/>
                    <w:jc w:val="left"/>
                  </w:pPr>
                  <w:r>
                    <w:rPr>
                      <w:sz w:val="21"/>
                    </w:rPr>
                    <w:t>6</w:t>
                  </w:r>
                  <w:r>
                    <w:rPr>
                      <w:sz w:val="21"/>
                    </w:rPr>
                    <w:t>、工作时间：每周工作时间累计</w:t>
                  </w:r>
                  <w:r>
                    <w:rPr>
                      <w:sz w:val="21"/>
                    </w:rPr>
                    <w:t>40</w:t>
                  </w:r>
                  <w:r>
                    <w:rPr>
                      <w:sz w:val="21"/>
                    </w:rPr>
                    <w:t>小时。</w:t>
                  </w:r>
                </w:p>
                <w:p>
                  <w:pPr>
                    <w:ind w:firstLine="420"/>
                    <w:jc w:val="left"/>
                  </w:pPr>
                  <w:r>
                    <w:rPr>
                      <w:sz w:val="21"/>
                    </w:rPr>
                    <w:t>7</w:t>
                  </w:r>
                  <w:r>
                    <w:rPr>
                      <w:sz w:val="21"/>
                    </w:rPr>
                    <w:t>、工作地点：按采购人需求分配。</w:t>
                  </w:r>
                </w:p>
              </w:tc>
            </w:tr>
            <w:tr>
              <w:tc>
                <w:tcPr>
                  <w:tcW w:type="dxa" w:w="5598"/>
                  <w:gridSpan w:val="3"/>
                  <w:tcBorders>
                    <w:top w:val="none" w:color="000000" w:sz="4"/>
                    <w:left w:val="single" w:color="000000" w:sz="4"/>
                    <w:bottom w:val="single" w:color="000000" w:sz="4"/>
                    <w:right w:val="single" w:color="000000" w:sz="4"/>
                  </w:tcBorders>
                  <w:vAlign w:val="top"/>
                </w:tcPr>
                <w:p>
                  <w:pPr>
                    <w:jc w:val="both"/>
                  </w:pPr>
                  <w:r>
                    <w:rPr>
                      <w:sz w:val="21"/>
                    </w:rPr>
                    <w:t>备注：岗位员工有工作经验，并经采购人复试确认，素质条件可适当放宽。</w:t>
                  </w:r>
                </w:p>
              </w:tc>
            </w:tr>
          </w:tbl>
        </w:tc>
      </w:tr>
      <w:tr>
        <w:tc>
          <w:tcPr>
            <w:tcW w:type="dxa" w:w="2076"/>
          </w:tcPr>
          <w:p/>
        </w:tc>
        <w:tc>
          <w:tcPr>
            <w:tcW w:type="dxa" w:w="415"/>
          </w:tcPr>
          <w:p>
            <w:r>
              <w:rPr/>
              <w:t>5</w:t>
            </w:r>
          </w:p>
        </w:tc>
        <w:tc>
          <w:tcPr>
            <w:tcW w:type="dxa" w:w="5814"/>
          </w:tcPr>
          <w:p>
            <w:pPr>
              <w:jc w:val="both"/>
            </w:pPr>
            <w:r>
              <w:rPr>
                <w:b/>
                <w:sz w:val="21"/>
              </w:rPr>
              <w:t>四、服务要求：</w:t>
            </w:r>
          </w:p>
          <w:p>
            <w:pPr>
              <w:jc w:val="both"/>
            </w:pPr>
            <w:r>
              <w:rPr>
                <w:sz w:val="21"/>
              </w:rPr>
              <w:t>1</w:t>
            </w:r>
            <w:r>
              <w:rPr>
                <w:sz w:val="21"/>
              </w:rPr>
              <w:t>、在《中标通知书》发出之日起三十日内，成交人应安排公司代表与采购人按照采购文件确定的事项签订采购合同。</w:t>
            </w:r>
          </w:p>
          <w:p>
            <w:pPr>
              <w:jc w:val="both"/>
            </w:pPr>
            <w:r>
              <w:rPr>
                <w:sz w:val="21"/>
              </w:rPr>
              <w:t>2</w:t>
            </w:r>
            <w:r>
              <w:rPr>
                <w:sz w:val="21"/>
              </w:rPr>
              <w:t>、采购人将对成交人实行动态管理，对成交人的服务承诺、服务态度等进行定期和不定期的考核，一旦发现成交人违反招标文件要求及其承诺，将要求其限期整改，整改期间暂时按最低得分计算考核分数，整改完成后达到要求则恢复正常考核，否则采购人有权无条件取消其服务资格。</w:t>
            </w:r>
          </w:p>
          <w:p>
            <w:pPr>
              <w:jc w:val="both"/>
            </w:pPr>
            <w:r>
              <w:rPr>
                <w:sz w:val="21"/>
              </w:rPr>
              <w:t>3</w:t>
            </w:r>
            <w:r>
              <w:rPr>
                <w:sz w:val="21"/>
              </w:rPr>
              <w:t>、本项目所需服务人员要求由采购人根据所需项目职能内容的性质和行业特点以及数量进行设定，由成交人进行招聘后，将拟录用人员提供给采购人复试确认，本项目管理费包括招聘费，采购人不再另行支付招聘费用。</w:t>
            </w:r>
          </w:p>
          <w:p>
            <w:pPr>
              <w:jc w:val="both"/>
            </w:pPr>
            <w:r>
              <w:rPr>
                <w:sz w:val="21"/>
              </w:rPr>
              <w:t>4</w:t>
            </w:r>
            <w:r>
              <w:rPr>
                <w:sz w:val="21"/>
              </w:rPr>
              <w:t>、成交人负责按照采购人要求招聘和录用本项目所需服务人员，按照有关法律法规规定与本项目所需服务人员订立书面劳动合同，为本项目所需服务人员在工作所在地办理社会保险手续等，并根据采购人提供的本项目所需服务人员考勤、考核、教育培训、奖惩等资料情况建立本项目所需服务人员人事信息档案</w:t>
            </w:r>
            <w:r>
              <w:rPr>
                <w:b/>
                <w:sz w:val="21"/>
              </w:rPr>
              <w:t>。</w:t>
            </w:r>
            <w:r>
              <w:rPr>
                <w:sz w:val="21"/>
              </w:rPr>
              <w:t>对新招本项目所需服务人员，应在规定时间内办齐所有用工手续，并提供包括但不限于本项目所需服务人员档案表、花名册、身份证及学历证复印件等供采购人备案；</w:t>
            </w:r>
          </w:p>
          <w:p>
            <w:pPr>
              <w:jc w:val="both"/>
            </w:pPr>
            <w:r>
              <w:rPr>
                <w:sz w:val="21"/>
              </w:rPr>
              <w:t>5</w:t>
            </w:r>
            <w:r>
              <w:rPr>
                <w:sz w:val="21"/>
              </w:rPr>
              <w:t>、成交人负责本项目所需服务人员的招聘和录用、退工手续办理、薪酬管理、福利发放、各种社保和住房公积金（五险一金：按照当地社会保险缴费标准和规定）办理及个税代扣代缴；</w:t>
            </w:r>
          </w:p>
          <w:p>
            <w:pPr>
              <w:jc w:val="both"/>
            </w:pPr>
            <w:r>
              <w:rPr>
                <w:sz w:val="21"/>
              </w:rPr>
              <w:t>6</w:t>
            </w:r>
            <w:r>
              <w:rPr>
                <w:sz w:val="21"/>
              </w:rPr>
              <w:t>、成交人负责本项目所需服务人员的档案管理等相关管理；</w:t>
            </w:r>
          </w:p>
          <w:p>
            <w:pPr>
              <w:jc w:val="both"/>
            </w:pPr>
            <w:r>
              <w:rPr>
                <w:sz w:val="21"/>
              </w:rPr>
              <w:t>7</w:t>
            </w:r>
            <w:r>
              <w:rPr>
                <w:sz w:val="21"/>
              </w:rPr>
              <w:t>、成交人负责处理服务期内发生的劳资纠纷；</w:t>
            </w:r>
          </w:p>
          <w:p>
            <w:pPr>
              <w:jc w:val="both"/>
            </w:pPr>
            <w:r>
              <w:rPr>
                <w:sz w:val="21"/>
              </w:rPr>
              <w:t>8</w:t>
            </w:r>
            <w:r>
              <w:rPr>
                <w:sz w:val="21"/>
              </w:rPr>
              <w:t>、本项目所需服务人员发生重大疾病、非因工死亡等事故，由成交人依照法律法规进行调查处理；</w:t>
            </w:r>
          </w:p>
          <w:p>
            <w:pPr>
              <w:jc w:val="both"/>
            </w:pPr>
            <w:r>
              <w:rPr>
                <w:sz w:val="21"/>
              </w:rPr>
              <w:t>9</w:t>
            </w:r>
            <w:r>
              <w:rPr>
                <w:sz w:val="21"/>
              </w:rPr>
              <w:t>、当实际发生相关的情况时成交人负责本项目所需服务人员实按照相关法律法规办理相关手续；</w:t>
            </w:r>
          </w:p>
          <w:p>
            <w:pPr>
              <w:jc w:val="both"/>
            </w:pPr>
            <w:r>
              <w:rPr>
                <w:sz w:val="21"/>
              </w:rPr>
              <w:t>10</w:t>
            </w:r>
            <w:r>
              <w:rPr>
                <w:sz w:val="21"/>
              </w:rPr>
              <w:t>、成交人负责处理本项目所需服务人员提出的劳动仲裁、诉讼等事宜；</w:t>
            </w:r>
          </w:p>
          <w:p>
            <w:pPr>
              <w:jc w:val="both"/>
            </w:pPr>
            <w:r>
              <w:rPr>
                <w:sz w:val="21"/>
              </w:rPr>
              <w:t>11</w:t>
            </w:r>
            <w:r>
              <w:rPr>
                <w:sz w:val="21"/>
              </w:rPr>
              <w:t>、委派于本项目所需服务人员发生工伤事故，由成交人以雇主身份进行调查及处理，并为员工进行工伤鉴定、工伤待遇申报；</w:t>
            </w:r>
          </w:p>
          <w:p>
            <w:pPr>
              <w:jc w:val="both"/>
            </w:pPr>
            <w:r>
              <w:rPr>
                <w:sz w:val="21"/>
              </w:rPr>
              <w:t>12</w:t>
            </w:r>
            <w:r>
              <w:rPr>
                <w:sz w:val="21"/>
              </w:rPr>
              <w:t>、成交人按采购人要求，教育本项目所需服务人员严格遵守采购人的规章制度和管理规范规程、忠于职守、文明礼貌、严格遵守劳动纪律、服从和执行采购人做出的工作安排和调度；</w:t>
            </w:r>
          </w:p>
          <w:p>
            <w:pPr>
              <w:jc w:val="both"/>
            </w:pPr>
            <w:r>
              <w:rPr>
                <w:sz w:val="21"/>
              </w:rPr>
              <w:t>13</w:t>
            </w:r>
            <w:r>
              <w:rPr>
                <w:sz w:val="21"/>
              </w:rPr>
              <w:t>、成交人定期会同采购人共同对本项目所需服务人员进行考核，并委托采购人进行本项目所需服务人员的现场管理和工作考核，相关考核、考勤和奖惩资料由采购人提供。成交依据采购人提供的考核、考勤和奖惩资料及时足额给本项目所需服务人员发放工资福利；</w:t>
            </w:r>
          </w:p>
          <w:p>
            <w:pPr>
              <w:jc w:val="both"/>
            </w:pPr>
            <w:r>
              <w:rPr>
                <w:sz w:val="21"/>
              </w:rPr>
              <w:t>14</w:t>
            </w:r>
            <w:r>
              <w:rPr>
                <w:sz w:val="21"/>
              </w:rPr>
              <w:t>、成交人根据服务团队人员人数和服务项目配备专门的管理人员，负责服务团队人员的日常事务，协调处理本项目所需服务团队人员与采购人之间的关系，向采购人提供政策法规方面的咨询；</w:t>
            </w:r>
          </w:p>
          <w:p>
            <w:pPr>
              <w:jc w:val="both"/>
            </w:pPr>
            <w:r>
              <w:rPr>
                <w:sz w:val="21"/>
              </w:rPr>
              <w:t>15</w:t>
            </w:r>
            <w:r>
              <w:rPr>
                <w:sz w:val="21"/>
              </w:rPr>
              <w:t>、成交人应及时掌握国家和省有关劳动标准、劳动条件、工资福利、社会保险等方面的最新政策动态并知会采购人，积极配合采购人对新政策规定的组织实施。</w:t>
            </w:r>
          </w:p>
        </w:tc>
      </w:tr>
      <w:tr>
        <w:tc>
          <w:tcPr>
            <w:tcW w:type="dxa" w:w="2076"/>
          </w:tcPr>
          <w:p/>
        </w:tc>
        <w:tc>
          <w:tcPr>
            <w:tcW w:type="dxa" w:w="415"/>
          </w:tcPr>
          <w:p>
            <w:r>
              <w:rPr/>
              <w:t>6</w:t>
            </w:r>
          </w:p>
        </w:tc>
        <w:tc>
          <w:tcPr>
            <w:tcW w:type="dxa" w:w="5814"/>
          </w:tcPr>
          <w:p>
            <w:pPr>
              <w:jc w:val="both"/>
            </w:pPr>
            <w:r>
              <w:rPr>
                <w:b/>
                <w:sz w:val="21"/>
              </w:rPr>
              <w:t>五、</w:t>
            </w:r>
            <w:r>
              <w:rPr>
                <w:b/>
                <w:sz w:val="21"/>
              </w:rPr>
              <w:t>报价要求</w:t>
            </w:r>
          </w:p>
          <w:p>
            <w:pPr>
              <w:jc w:val="both"/>
            </w:pPr>
            <w:r>
              <w:rPr>
                <w:sz w:val="21"/>
              </w:rPr>
              <w:t>1</w:t>
            </w:r>
            <w:r>
              <w:rPr>
                <w:sz w:val="21"/>
              </w:rPr>
              <w:t>、投标人必须承诺本次报价包括了与本次服务项目相关的全部费用，不另向采购人收费。</w:t>
            </w:r>
          </w:p>
          <w:p>
            <w:pPr>
              <w:jc w:val="both"/>
            </w:pPr>
            <w:r>
              <w:rPr>
                <w:sz w:val="21"/>
              </w:rPr>
              <w:t>2</w:t>
            </w:r>
            <w:r>
              <w:rPr>
                <w:sz w:val="21"/>
              </w:rPr>
              <w:t>、本项目的中标价，在本项目服务时间内不作增加或调整。报价人应充分考虑政策变动等因素作出合理报价。</w:t>
            </w:r>
          </w:p>
        </w:tc>
      </w:tr>
      <w:tr>
        <w:tc>
          <w:tcPr>
            <w:tcW w:type="dxa" w:w="2076"/>
          </w:tcPr>
          <w:p/>
        </w:tc>
        <w:tc>
          <w:tcPr>
            <w:tcW w:type="dxa" w:w="415"/>
          </w:tcPr>
          <w:p>
            <w:r>
              <w:rPr/>
              <w:t>7</w:t>
            </w:r>
          </w:p>
        </w:tc>
        <w:tc>
          <w:tcPr>
            <w:tcW w:type="dxa" w:w="5814"/>
          </w:tcPr>
          <w:p>
            <w:pPr>
              <w:jc w:val="both"/>
            </w:pPr>
            <w:r>
              <w:rPr>
                <w:b/>
                <w:sz w:val="21"/>
              </w:rPr>
              <w:t>六、付款方法和条件</w:t>
            </w:r>
          </w:p>
          <w:p>
            <w:pPr>
              <w:jc w:val="both"/>
            </w:pPr>
            <w:r>
              <w:rPr>
                <w:sz w:val="21"/>
              </w:rPr>
              <w:t>1</w:t>
            </w:r>
            <w:r>
              <w:rPr>
                <w:sz w:val="21"/>
              </w:rPr>
              <w:t>、按季度计算支付，以转账的方式由采购人财务人员在每季度开始前</w:t>
            </w:r>
            <w:r>
              <w:rPr>
                <w:sz w:val="21"/>
              </w:rPr>
              <w:t>15</w:t>
            </w:r>
            <w:r>
              <w:rPr>
                <w:sz w:val="21"/>
              </w:rPr>
              <w:t>天支付中标金额</w:t>
            </w:r>
            <w:r>
              <w:rPr>
                <w:sz w:val="21"/>
              </w:rPr>
              <w:t>25%</w:t>
            </w:r>
            <w:r>
              <w:rPr>
                <w:sz w:val="21"/>
              </w:rPr>
              <w:t>，分四期支付，最终一期在当年的</w:t>
            </w:r>
            <w:r>
              <w:rPr>
                <w:sz w:val="21"/>
              </w:rPr>
              <w:t>12</w:t>
            </w:r>
            <w:r>
              <w:rPr>
                <w:sz w:val="21"/>
              </w:rPr>
              <w:t>月</w:t>
            </w:r>
            <w:r>
              <w:rPr>
                <w:sz w:val="21"/>
              </w:rPr>
              <w:t>20</w:t>
            </w:r>
            <w:r>
              <w:rPr>
                <w:sz w:val="21"/>
              </w:rPr>
              <w:t>日前（可能含扣减款项，具体以附表</w:t>
            </w:r>
            <w:r>
              <w:rPr>
                <w:sz w:val="21"/>
              </w:rPr>
              <w:t>:</w:t>
            </w:r>
            <w:r>
              <w:rPr>
                <w:sz w:val="21"/>
              </w:rPr>
              <w:t>考核评分表，考核后计算并在下一个季度款项中扣减，最后一个季按当季支付。）一次支付给中标单位， 如遇中标人拖欠工人工资、处于经营情况发生重大变化的特殊情况下，采购人有权暂停付款。</w:t>
            </w:r>
          </w:p>
          <w:p>
            <w:pPr>
              <w:jc w:val="both"/>
            </w:pPr>
            <w:r>
              <w:rPr>
                <w:sz w:val="21"/>
              </w:rPr>
              <w:t>2</w:t>
            </w:r>
            <w:r>
              <w:rPr>
                <w:sz w:val="21"/>
              </w:rPr>
              <w:t>、本项目资金来源为财政资金，相关付款程序严格遵守中山市政府财政资金支付程序规定。</w:t>
            </w:r>
          </w:p>
          <w:p>
            <w:pPr>
              <w:ind w:firstLine="210"/>
              <w:jc w:val="both"/>
            </w:pPr>
            <w:r>
              <w:rPr>
                <w:sz w:val="21"/>
              </w:rPr>
              <w:t>附表</w:t>
            </w:r>
            <w:r>
              <w:rPr>
                <w:sz w:val="21"/>
              </w:rPr>
              <w:t>:</w:t>
            </w:r>
            <w:r>
              <w:rPr>
                <w:sz w:val="21"/>
              </w:rPr>
              <w:t>考核评分表</w:t>
            </w:r>
          </w:p>
          <w:tbl>
            <w:tblPr>
              <w:tblInd w:type="dxa" w:w="210"/>
              <w:tblBorders>
                <w:top w:val="none" w:color="000000" w:sz="4"/>
                <w:left w:val="none" w:color="000000" w:sz="4"/>
                <w:bottom w:val="none" w:color="000000" w:sz="4"/>
                <w:right w:val="none" w:color="000000" w:sz="4"/>
                <w:insideH w:val="none"/>
                <w:insideV w:val="none"/>
              </w:tblBorders>
            </w:tblPr>
            <w:tblGrid>
              <w:gridCol w:w="308"/>
              <w:gridCol w:w="1890"/>
              <w:gridCol w:w="1086"/>
              <w:gridCol w:w="1778"/>
              <w:gridCol w:w="536"/>
            </w:tblGrid>
            <w:tr>
              <w:tc>
                <w:tcPr>
                  <w:tcW w:type="dxa" w:w="30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90"/>
                  <w:tcBorders>
                    <w:top w:val="single" w:color="000000" w:sz="4"/>
                    <w:left w:val="none" w:color="000000" w:sz="4"/>
                    <w:bottom w:val="single" w:color="000000" w:sz="4"/>
                    <w:right w:val="single" w:color="000000" w:sz="4"/>
                  </w:tcBorders>
                  <w:vAlign w:val="top"/>
                </w:tcPr>
                <w:p>
                  <w:pPr>
                    <w:jc w:val="center"/>
                  </w:pPr>
                  <w:r>
                    <w:rPr>
                      <w:sz w:val="21"/>
                    </w:rPr>
                    <w:t>服务目标</w:t>
                  </w:r>
                </w:p>
              </w:tc>
              <w:tc>
                <w:tcPr>
                  <w:tcW w:type="dxa" w:w="1086"/>
                  <w:tcBorders>
                    <w:top w:val="single" w:color="000000" w:sz="4"/>
                    <w:left w:val="none" w:color="000000" w:sz="4"/>
                    <w:bottom w:val="single" w:color="000000" w:sz="4"/>
                    <w:right w:val="single" w:color="000000" w:sz="4"/>
                  </w:tcBorders>
                  <w:vAlign w:val="top"/>
                </w:tcPr>
                <w:p>
                  <w:pPr>
                    <w:jc w:val="center"/>
                  </w:pPr>
                  <w:r>
                    <w:rPr>
                      <w:sz w:val="21"/>
                    </w:rPr>
                    <w:t>不达标率</w:t>
                  </w:r>
                </w:p>
              </w:tc>
              <w:tc>
                <w:tcPr>
                  <w:tcW w:type="dxa" w:w="1778"/>
                  <w:tcBorders>
                    <w:top w:val="single" w:color="000000" w:sz="4"/>
                    <w:left w:val="none" w:color="000000" w:sz="4"/>
                    <w:bottom w:val="single" w:color="000000" w:sz="4"/>
                    <w:right w:val="single" w:color="000000" w:sz="4"/>
                  </w:tcBorders>
                  <w:vAlign w:val="top"/>
                </w:tcPr>
                <w:p>
                  <w:pPr>
                    <w:jc w:val="center"/>
                  </w:pPr>
                  <w:r>
                    <w:rPr>
                      <w:sz w:val="21"/>
                    </w:rPr>
                    <w:t>扣款金额（季度）</w:t>
                  </w:r>
                </w:p>
              </w:tc>
              <w:tc>
                <w:tcPr>
                  <w:tcW w:type="dxa" w:w="536"/>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0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90"/>
                  <w:vMerge w:val="restart"/>
                  <w:tcBorders>
                    <w:top w:val="none" w:color="000000" w:sz="4"/>
                    <w:left w:val="none" w:color="000000" w:sz="4"/>
                    <w:bottom w:val="single" w:color="000000" w:sz="4"/>
                    <w:right w:val="single" w:color="000000" w:sz="4"/>
                  </w:tcBorders>
                  <w:vAlign w:val="top"/>
                </w:tcPr>
                <w:p>
                  <w:pPr>
                    <w:jc w:val="both"/>
                  </w:pPr>
                  <w:r>
                    <w:rPr>
                      <w:sz w:val="21"/>
                    </w:rPr>
                    <w:t>季度表单的上报及审核</w:t>
                  </w:r>
                  <w:r>
                    <w:rPr>
                      <w:sz w:val="21"/>
                    </w:rPr>
                    <w:t>100%</w:t>
                  </w:r>
                  <w:r>
                    <w:br/>
                  </w:r>
                  <w:r>
                    <w:rPr>
                      <w:sz w:val="21"/>
                    </w:rPr>
                    <w:t>季度投诉记录率和回访率</w:t>
                  </w:r>
                  <w:r>
                    <w:rPr>
                      <w:sz w:val="21"/>
                    </w:rPr>
                    <w:t>100%</w:t>
                  </w:r>
                  <w:r>
                    <w:br/>
                  </w:r>
                  <w:r>
                    <w:rPr>
                      <w:sz w:val="21"/>
                    </w:rPr>
                    <w:t>季度巡检项达标率</w:t>
                  </w:r>
                  <w:r>
                    <w:rPr>
                      <w:sz w:val="21"/>
                    </w:rPr>
                    <w:t>100%</w:t>
                  </w:r>
                  <w:r>
                    <w:br/>
                  </w:r>
                  <w:r>
                    <w:rPr>
                      <w:sz w:val="21"/>
                    </w:rPr>
                    <w:t>季度服务满意度考核</w:t>
                  </w:r>
                  <w:r>
                    <w:rPr>
                      <w:sz w:val="21"/>
                    </w:rPr>
                    <w:t>≥98%</w:t>
                  </w:r>
                </w:p>
              </w:tc>
              <w:tc>
                <w:tcPr>
                  <w:tcW w:type="dxa" w:w="1086"/>
                  <w:tcBorders>
                    <w:top w:val="none" w:color="000000" w:sz="4"/>
                    <w:left w:val="none" w:color="000000" w:sz="4"/>
                    <w:bottom w:val="single" w:color="000000" w:sz="4"/>
                    <w:right w:val="single" w:color="000000" w:sz="4"/>
                  </w:tcBorders>
                  <w:vAlign w:val="top"/>
                </w:tcPr>
                <w:p>
                  <w:pPr>
                    <w:jc w:val="center"/>
                  </w:pPr>
                  <w:r>
                    <w:rPr>
                      <w:sz w:val="21"/>
                    </w:rPr>
                    <w:t>0.1%-0.5%</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/1%</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90"/>
                  <w:vMerge/>
                  <w:tcBorders>
                    <w:top w:val="none" w:color="000000" w:sz="4"/>
                    <w:left w:val="non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vAlign w:val="top"/>
                </w:tcPr>
                <w:p>
                  <w:pPr>
                    <w:jc w:val="center"/>
                  </w:pPr>
                  <w:r>
                    <w:rPr>
                      <w:sz w:val="21"/>
                    </w:rPr>
                    <w:t>0.6%-1%</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/2%</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90"/>
                  <w:vMerge/>
                  <w:tcBorders>
                    <w:top w:val="none" w:color="000000" w:sz="4"/>
                    <w:left w:val="non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vAlign w:val="top"/>
                </w:tcPr>
                <w:p>
                  <w:pPr>
                    <w:jc w:val="center"/>
                  </w:pPr>
                  <w:r>
                    <w:rPr>
                      <w:sz w:val="21"/>
                    </w:rPr>
                    <w:t>1%-2%</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/4%</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90"/>
                  <w:vMerge/>
                  <w:tcBorders>
                    <w:top w:val="none" w:color="000000" w:sz="4"/>
                    <w:left w:val="non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vAlign w:val="top"/>
                </w:tcPr>
                <w:p>
                  <w:pPr>
                    <w:jc w:val="center"/>
                  </w:pPr>
                  <w:r>
                    <w:rPr>
                      <w:sz w:val="21"/>
                    </w:rPr>
                    <w:t>2%-5%</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/6%</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90"/>
                  <w:vMerge/>
                  <w:tcBorders>
                    <w:top w:val="none" w:color="000000" w:sz="4"/>
                    <w:left w:val="non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vAlign w:val="top"/>
                </w:tcPr>
                <w:p>
                  <w:pPr>
                    <w:jc w:val="center"/>
                  </w:pPr>
                  <w:r>
                    <w:rPr>
                      <w:sz w:val="21"/>
                    </w:rPr>
                    <w:t>超过</w:t>
                  </w:r>
                  <w:r>
                    <w:rPr>
                      <w:sz w:val="21"/>
                    </w:rPr>
                    <w:t>5%</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/8%</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90"/>
                  <w:vMerge/>
                  <w:tcBorders>
                    <w:top w:val="none" w:color="000000" w:sz="4"/>
                    <w:left w:val="non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vAlign w:val="top"/>
                </w:tcPr>
                <w:p>
                  <w:pPr>
                    <w:jc w:val="center"/>
                  </w:pPr>
                  <w:r>
                    <w:rPr>
                      <w:sz w:val="21"/>
                    </w:rPr>
                    <w:t>连续两个月超过</w:t>
                  </w:r>
                  <w:r>
                    <w:rPr>
                      <w:sz w:val="21"/>
                    </w:rPr>
                    <w:t>5%</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/10%</w:t>
                  </w:r>
                  <w:r>
                    <w:rPr>
                      <w:sz w:val="21"/>
                    </w:rPr>
                    <w:t>，并解除合同</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90"/>
                  <w:vMerge w:val="restart"/>
                  <w:tcBorders>
                    <w:top w:val="none" w:color="000000" w:sz="4"/>
                    <w:left w:val="none" w:color="000000" w:sz="4"/>
                    <w:bottom w:val="single" w:color="000000" w:sz="4"/>
                    <w:right w:val="single" w:color="000000" w:sz="4"/>
                  </w:tcBorders>
                  <w:vAlign w:val="top"/>
                </w:tcPr>
                <w:p>
                  <w:pPr>
                    <w:jc w:val="both"/>
                  </w:pPr>
                  <w:r>
                    <w:rPr>
                      <w:sz w:val="21"/>
                    </w:rPr>
                    <w:t>人员到岗率</w:t>
                  </w:r>
                </w:p>
              </w:tc>
              <w:tc>
                <w:tcPr>
                  <w:tcW w:type="dxa" w:w="1086"/>
                  <w:tcBorders>
                    <w:top w:val="none" w:color="000000" w:sz="4"/>
                    <w:left w:val="none" w:color="000000" w:sz="4"/>
                    <w:bottom w:val="single" w:color="000000" w:sz="4"/>
                    <w:right w:val="single" w:color="000000" w:sz="4"/>
                  </w:tcBorders>
                  <w:vAlign w:val="top"/>
                </w:tcPr>
                <w:p>
                  <w:pPr>
                    <w:jc w:val="center"/>
                  </w:pPr>
                  <w:r>
                    <w:rPr>
                      <w:sz w:val="21"/>
                    </w:rPr>
                    <w:t>低于</w:t>
                  </w:r>
                  <w:r>
                    <w:rPr>
                      <w:sz w:val="21"/>
                    </w:rPr>
                    <w:t>90%</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/8%</w:t>
                  </w:r>
                </w:p>
              </w:tc>
              <w:tc>
                <w:tcPr>
                  <w:tcW w:type="dxa" w:w="536"/>
                  <w:tcBorders>
                    <w:top w:val="none" w:color="000000" w:sz="4"/>
                    <w:left w:val="none" w:color="000000" w:sz="4"/>
                    <w:bottom w:val="single" w:color="000000" w:sz="4"/>
                    <w:right w:val="single" w:color="000000" w:sz="4"/>
                  </w:tcBorders>
                  <w:vAlign w:val="top"/>
                </w:tcPr>
                <w:p>
                  <w:pPr>
                    <w:jc w:val="both"/>
                  </w:pPr>
                </w:p>
              </w:tc>
            </w:tr>
            <w:tr>
              <w:tc>
                <w:tcPr>
                  <w:tcW w:type="dxa" w:w="308"/>
                  <w:vMerge/>
                  <w:tcBorders>
                    <w:top w:val="none" w:color="000000" w:sz="4"/>
                    <w:left w:val="single" w:color="000000" w:sz="4"/>
                    <w:bottom w:val="single" w:color="000000" w:sz="4"/>
                    <w:right w:val="single" w:color="000000" w:sz="4"/>
                  </w:tcBorders>
                </w:tcPr>
                <w:p/>
              </w:tc>
              <w:tc>
                <w:tcPr>
                  <w:tcW w:type="dxa" w:w="1890"/>
                  <w:vMerge/>
                  <w:tcBorders>
                    <w:top w:val="none" w:color="000000" w:sz="4"/>
                    <w:left w:val="none" w:color="000000" w:sz="4"/>
                    <w:bottom w:val="single" w:color="000000" w:sz="4"/>
                    <w:right w:val="single" w:color="000000" w:sz="4"/>
                  </w:tcBorders>
                </w:tcPr>
                <w:p/>
              </w:tc>
              <w:tc>
                <w:tcPr>
                  <w:tcW w:type="dxa" w:w="1086"/>
                  <w:tcBorders>
                    <w:top w:val="none" w:color="000000" w:sz="4"/>
                    <w:left w:val="none" w:color="000000" w:sz="4"/>
                    <w:bottom w:val="single" w:color="000000" w:sz="4"/>
                    <w:right w:val="single" w:color="000000" w:sz="4"/>
                  </w:tcBorders>
                  <w:vAlign w:val="top"/>
                </w:tcPr>
                <w:p>
                  <w:pPr>
                    <w:jc w:val="center"/>
                  </w:pPr>
                  <w:r>
                    <w:rPr>
                      <w:sz w:val="21"/>
                    </w:rPr>
                    <w:t>连续两个月低于</w:t>
                  </w:r>
                  <w:r>
                    <w:rPr>
                      <w:sz w:val="21"/>
                    </w:rPr>
                    <w:t>90%</w:t>
                  </w:r>
                </w:p>
              </w:tc>
              <w:tc>
                <w:tcPr>
                  <w:tcW w:type="dxa" w:w="1778"/>
                  <w:tcBorders>
                    <w:top w:val="none" w:color="000000" w:sz="4"/>
                    <w:left w:val="none" w:color="000000" w:sz="4"/>
                    <w:bottom w:val="single" w:color="000000" w:sz="4"/>
                    <w:right w:val="single" w:color="000000" w:sz="4"/>
                  </w:tcBorders>
                  <w:vAlign w:val="top"/>
                </w:tcPr>
                <w:p>
                  <w:pPr>
                    <w:jc w:val="center"/>
                  </w:pPr>
                  <w:r>
                    <w:rPr>
                      <w:sz w:val="21"/>
                    </w:rPr>
                    <w:t>10</w:t>
                  </w:r>
                  <w:r>
                    <w:rPr>
                      <w:sz w:val="21"/>
                    </w:rPr>
                    <w:t>万元</w:t>
                  </w:r>
                  <w:r>
                    <w:rPr>
                      <w:sz w:val="21"/>
                    </w:rPr>
                    <w:t>/10%</w:t>
                  </w:r>
                  <w:r>
                    <w:rPr>
                      <w:sz w:val="21"/>
                    </w:rPr>
                    <w:t>，并解除合同</w:t>
                  </w:r>
                </w:p>
              </w:tc>
              <w:tc>
                <w:tcPr>
                  <w:tcW w:type="dxa" w:w="536"/>
                  <w:tcBorders>
                    <w:top w:val="none" w:color="000000" w:sz="4"/>
                    <w:left w:val="none" w:color="000000" w:sz="4"/>
                    <w:bottom w:val="single" w:color="000000" w:sz="4"/>
                    <w:right w:val="single" w:color="000000" w:sz="4"/>
                  </w:tcBorders>
                  <w:vAlign w:val="top"/>
                </w:tcPr>
                <w:p>
                  <w:pPr>
                    <w:jc w:val="both"/>
                  </w:pPr>
                </w:p>
              </w:tc>
            </w:tr>
          </w:tbl>
        </w:tc>
      </w:tr>
      <w:tr>
        <w:tc>
          <w:tcPr>
            <w:tcW w:type="dxa" w:w="2076"/>
          </w:tcPr>
          <w:p/>
        </w:tc>
        <w:tc>
          <w:tcPr>
            <w:tcW w:type="dxa" w:w="415"/>
          </w:tcPr>
          <w:p>
            <w:r>
              <w:rPr/>
              <w:t>8</w:t>
            </w:r>
          </w:p>
        </w:tc>
        <w:tc>
          <w:tcPr>
            <w:tcW w:type="dxa" w:w="5814"/>
          </w:tcPr>
          <w:p>
            <w:pPr>
              <w:jc w:val="both"/>
            </w:pPr>
            <w:r>
              <w:rPr>
                <w:b/>
                <w:sz w:val="21"/>
              </w:rPr>
              <w:t>七、对中标单位的要求</w:t>
            </w:r>
          </w:p>
          <w:p>
            <w:pPr>
              <w:ind w:firstLine="422"/>
              <w:jc w:val="left"/>
            </w:pPr>
            <w:r>
              <w:rPr>
                <w:b/>
                <w:sz w:val="21"/>
              </w:rPr>
              <w:t xml:space="preserve">  </w:t>
            </w:r>
            <w:r>
              <w:rPr>
                <w:sz w:val="21"/>
              </w:rPr>
              <w:t>针对目前中山市体育彩票投注站日常维护、监管、巡查工作服务外包项目，通过了解市场应聘人员业务素质，对成交人提出以下几点要求：</w:t>
            </w:r>
          </w:p>
          <w:p>
            <w:pPr>
              <w:ind w:firstLine="422"/>
              <w:jc w:val="left"/>
            </w:pPr>
            <w:r>
              <w:rPr>
                <w:b/>
                <w:sz w:val="21"/>
              </w:rPr>
              <w:t>（一）原工作人员自愿留下的，成交人应该优先聘用原工作人员。</w:t>
            </w:r>
          </w:p>
          <w:p>
            <w:pPr>
              <w:ind w:firstLine="420"/>
              <w:jc w:val="left"/>
            </w:pPr>
            <w:r>
              <w:rPr>
                <w:sz w:val="21"/>
              </w:rPr>
              <w:t>（二）签订合同前必须按照国家相关保密规定，成交人必须分别向采购人、服务团队人员签订为采购人保密的协议，保守采购人的工作秘密。服务团队人员签订的保密协议，成交人需将复印件交给采购人备案；成交人确保服务团队人员保守采购人所有与业务工作相关的秘密，严禁泄露给无关的第三人（包括成交人）。因成交人保密履责不到位，造成不良影响和损失的，采购人有权追究成交人法律责任。</w:t>
            </w:r>
          </w:p>
          <w:p>
            <w:pPr>
              <w:ind w:firstLine="420"/>
              <w:jc w:val="left"/>
            </w:pPr>
            <w:r>
              <w:rPr>
                <w:sz w:val="21"/>
              </w:rPr>
              <w:t>（三）成交人不得随意更换服务团队人员，如需更换的，则必须征求采购人意见，经试用符合要求方可更换。</w:t>
            </w:r>
          </w:p>
          <w:p>
            <w:pPr>
              <w:ind w:firstLine="420"/>
              <w:jc w:val="left"/>
            </w:pPr>
            <w:r>
              <w:rPr>
                <w:sz w:val="21"/>
              </w:rPr>
              <w:t>（四）成交人有义务做好服务团队人员的岗前培训工作。</w:t>
            </w:r>
          </w:p>
          <w:p>
            <w:pPr>
              <w:ind w:firstLine="420"/>
              <w:jc w:val="left"/>
            </w:pPr>
            <w:r>
              <w:rPr>
                <w:sz w:val="21"/>
              </w:rPr>
              <w:t>（五）在成交人服务过程中，采购人有权实施监督检查。</w:t>
            </w:r>
          </w:p>
          <w:p>
            <w:pPr>
              <w:ind w:firstLine="420"/>
              <w:jc w:val="left"/>
            </w:pPr>
            <w:r>
              <w:rPr>
                <w:sz w:val="21"/>
              </w:rPr>
              <w:t>（六）在服务合作过程中，采购人有权随时对服务团队人员进行岗位调配和更换，成交人在收到采购人书面通知</w:t>
            </w:r>
            <w:r>
              <w:rPr>
                <w:sz w:val="21"/>
              </w:rPr>
              <w:t>10</w:t>
            </w:r>
            <w:r>
              <w:rPr>
                <w:sz w:val="21"/>
              </w:rPr>
              <w:t>天内免费更换。</w:t>
            </w:r>
          </w:p>
          <w:p>
            <w:pPr>
              <w:ind w:firstLine="420"/>
              <w:jc w:val="left"/>
            </w:pPr>
            <w:r>
              <w:rPr>
                <w:sz w:val="21"/>
              </w:rPr>
              <w:t>（七）为确保招聘的服务团队人员确能胜任采购人的工作岗位，服务团队人员须经采购人审核确认后方能上岗。未经采购人审核确认的人员，采购人不接受其服务外包，成交人与其签订劳动合同而承担的法律责任和因此造成的一切损失与采购人无关。</w:t>
            </w:r>
          </w:p>
          <w:p>
            <w:pPr>
              <w:ind w:firstLine="420"/>
              <w:jc w:val="left"/>
            </w:pPr>
            <w:r>
              <w:rPr>
                <w:sz w:val="21"/>
              </w:rPr>
              <w:t>（八）采购人具有督促、监督成交人按有关民法典规定为派驻采购人的服务团队人员办理劳动合同、社会保险及薪酬发放、个人所得税等权利。成交人应根据当地有关社保规定，缴交服务外包人员的社会保险。若国家、省、市政府在缴交期间有新的政策规定，则按新规定进行调整。</w:t>
            </w:r>
          </w:p>
          <w:p>
            <w:pPr>
              <w:ind w:firstLine="420"/>
              <w:jc w:val="left"/>
            </w:pPr>
            <w:r>
              <w:rPr>
                <w:sz w:val="21"/>
              </w:rPr>
              <w:t>（九）成交人应及时处理和协调采购人与服务团队人员之间的工作管理纠纷。协议有效期间，成交人应作为第一责任人处理劳资纠纷，采购人可视情况予以协助。</w:t>
            </w:r>
          </w:p>
          <w:p>
            <w:pPr>
              <w:ind w:firstLine="420"/>
              <w:jc w:val="left"/>
            </w:pPr>
            <w:r>
              <w:rPr>
                <w:sz w:val="21"/>
              </w:rPr>
              <w:t>（十）因人员辞职而需新招聘员工的，招聘工作以及由此产生的相关费用由成交人负责。</w:t>
            </w:r>
          </w:p>
          <w:p>
            <w:pPr>
              <w:ind w:firstLine="420"/>
              <w:jc w:val="left"/>
            </w:pPr>
            <w:r>
              <w:rPr>
                <w:sz w:val="21"/>
              </w:rPr>
              <w:t>（十一）成交人按国家法律法规相关规定承担用人单位应承担的所有经济和法律责任。</w:t>
            </w:r>
          </w:p>
          <w:p>
            <w:pPr>
              <w:ind w:firstLine="420"/>
              <w:jc w:val="left"/>
            </w:pPr>
            <w:r>
              <w:rPr>
                <w:sz w:val="21"/>
              </w:rPr>
              <w:t>（十二）罚则：</w:t>
            </w:r>
          </w:p>
          <w:p>
            <w:pPr>
              <w:ind w:firstLine="420"/>
              <w:jc w:val="left"/>
            </w:pPr>
            <w:r>
              <w:rPr>
                <w:sz w:val="21"/>
              </w:rPr>
              <w:t>1</w:t>
            </w:r>
            <w:r>
              <w:rPr>
                <w:sz w:val="21"/>
              </w:rPr>
              <w:t>、若成交人在签订合同并生效后</w:t>
            </w:r>
            <w:r>
              <w:rPr>
                <w:sz w:val="21"/>
              </w:rPr>
              <w:t>15</w:t>
            </w:r>
            <w:r>
              <w:rPr>
                <w:sz w:val="21"/>
              </w:rPr>
              <w:t>天内未能配齐符合采购人需求的人员，则视为成交人主动违约，采购人有权终止合同。</w:t>
            </w:r>
          </w:p>
          <w:p>
            <w:pPr>
              <w:ind w:firstLine="420"/>
              <w:jc w:val="left"/>
            </w:pPr>
            <w:r>
              <w:rPr>
                <w:sz w:val="21"/>
              </w:rPr>
              <w:t>2</w:t>
            </w:r>
            <w:r>
              <w:rPr>
                <w:sz w:val="21"/>
              </w:rPr>
              <w:t>、在服务期间，服务外包人员因为调走、辞职或被成交人辞退等原因导致服务团队人员不足的，而成交人在</w:t>
            </w:r>
            <w:r>
              <w:rPr>
                <w:sz w:val="21"/>
              </w:rPr>
              <w:t>10</w:t>
            </w:r>
            <w:r>
              <w:rPr>
                <w:sz w:val="21"/>
              </w:rPr>
              <w:t>天内未能及时补齐符合项目要求的服务团队人员时，则视为成交人主动违约，采购人有权终止合同，并有权拒绝支付因此而产生的项目服务费。</w:t>
            </w:r>
          </w:p>
          <w:p>
            <w:pPr>
              <w:ind w:firstLine="420"/>
              <w:jc w:val="left"/>
            </w:pPr>
            <w:r>
              <w:rPr>
                <w:sz w:val="21"/>
              </w:rPr>
              <w:t>3</w:t>
            </w:r>
            <w:r>
              <w:rPr>
                <w:sz w:val="21"/>
              </w:rPr>
              <w:t>、因成交人安排的服务团队人员违反采购人内部管理制度、蓄意破坏设备设施、违反工作规程造成重大事故的，一经查实，则视为成交人严重违约，采购人有权终止合同，责令成交人赔偿损失，情节严重的依法追究成交人法律责任。</w:t>
            </w:r>
          </w:p>
          <w:p>
            <w:pPr>
              <w:jc w:val="both"/>
            </w:pPr>
            <w:r>
              <w:rPr>
                <w:sz w:val="21"/>
              </w:rPr>
              <w:t xml:space="preserve">    4</w:t>
            </w:r>
            <w:r>
              <w:rPr>
                <w:sz w:val="21"/>
              </w:rPr>
              <w:t>、若成交人在服务某阶段时期内违反其服务承诺或本招标文件的要求</w:t>
            </w:r>
            <w:r>
              <w:rPr>
                <w:sz w:val="21"/>
              </w:rPr>
              <w:t>2</w:t>
            </w:r>
            <w:r>
              <w:rPr>
                <w:sz w:val="21"/>
              </w:rPr>
              <w:t>次或以上，则视为成交人违约，采购人有权拒绝支付本期项目服务费。</w:t>
            </w:r>
          </w:p>
        </w:tc>
      </w:tr>
      <w:tr>
        <w:tc>
          <w:tcPr>
            <w:tcW w:type="dxa" w:w="2076"/>
          </w:tcPr>
          <w:p/>
        </w:tc>
        <w:tc>
          <w:tcPr>
            <w:tcW w:type="dxa" w:w="415"/>
          </w:tcPr>
          <w:p>
            <w:r>
              <w:rPr/>
              <w:t>9</w:t>
            </w:r>
          </w:p>
        </w:tc>
        <w:tc>
          <w:tcPr>
            <w:tcW w:type="dxa" w:w="5814"/>
          </w:tcPr>
          <w:p>
            <w:pPr>
              <w:jc w:val="both"/>
            </w:pPr>
            <w:r>
              <w:rPr>
                <w:b/>
                <w:sz w:val="21"/>
              </w:rPr>
              <w:t>八、对服务项目的监督和管理</w:t>
            </w:r>
          </w:p>
          <w:p>
            <w:pPr>
              <w:jc w:val="both"/>
            </w:pPr>
            <w:r>
              <w:rPr>
                <w:sz w:val="21"/>
              </w:rPr>
              <w:t>（一）各方职责：</w:t>
            </w:r>
          </w:p>
          <w:p>
            <w:pPr>
              <w:ind w:firstLine="420"/>
              <w:jc w:val="left"/>
            </w:pPr>
            <w:r>
              <w:rPr>
                <w:sz w:val="21"/>
              </w:rPr>
              <w:t>1</w:t>
            </w:r>
            <w:r>
              <w:rPr>
                <w:sz w:val="21"/>
              </w:rPr>
              <w:t>、采购人为项目甲方角色，对成交人的服务实施活动进行全过程监督、检查和管理。负责项目的决策和总体监督，对项目的宏观的把握和整体推进。</w:t>
            </w:r>
          </w:p>
          <w:p>
            <w:pPr>
              <w:ind w:firstLine="420"/>
              <w:jc w:val="left"/>
            </w:pPr>
            <w:r>
              <w:rPr>
                <w:sz w:val="21"/>
              </w:rPr>
              <w:t>2</w:t>
            </w:r>
            <w:r>
              <w:rPr>
                <w:sz w:val="21"/>
              </w:rPr>
              <w:t>、成交人为项目乙方角色，承担服务项目需求调研、具体的实施工作，受到采购人的监督和管理。</w:t>
            </w:r>
          </w:p>
          <w:p>
            <w:pPr>
              <w:jc w:val="both"/>
            </w:pPr>
            <w:r>
              <w:rPr>
                <w:sz w:val="21"/>
              </w:rPr>
              <w:t>（二）服务项目要求：成交人必须就采购人提供的全部内容和服务要求做出回应，提供切合该服务项目的整体解决方案，并在项目范围内完成指定的工作和负责解决全部的业务问题。成交人必须对采购人提出的有关问题和置疑作出实质性的回应。</w:t>
            </w:r>
          </w:p>
        </w:tc>
      </w:tr>
      <w:tr>
        <w:tc>
          <w:tcPr>
            <w:tcW w:type="dxa" w:w="2076"/>
          </w:tcPr>
          <w:p/>
        </w:tc>
        <w:tc>
          <w:tcPr>
            <w:tcW w:type="dxa" w:w="415"/>
          </w:tcPr>
          <w:p>
            <w:r>
              <w:rPr/>
              <w:t>10</w:t>
            </w:r>
          </w:p>
        </w:tc>
        <w:tc>
          <w:tcPr>
            <w:tcW w:type="dxa" w:w="5814"/>
          </w:tcPr>
          <w:p>
            <w:pPr>
              <w:jc w:val="both"/>
            </w:pPr>
            <w:r>
              <w:rPr>
                <w:b/>
                <w:sz w:val="21"/>
              </w:rPr>
              <w:t>九、采购人配合条件</w:t>
            </w:r>
          </w:p>
          <w:p>
            <w:pPr>
              <w:jc w:val="both"/>
            </w:pPr>
            <w:r>
              <w:rPr>
                <w:sz w:val="21"/>
              </w:rPr>
              <w:t>成交人在投标文件中要列明在项目实施过程中要求采购人提供的配合条件。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中山市体育彩票管理中心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采购机构代理服务收费标准：采购人向采购代理机构缴纳招标代理服务费：RMB20000元（人民币贰万元整）</w:t>
            </w:r>
          </w:p>
        </w:tc>
      </w:tr>
      <w:tr>
        <w:tc>
          <w:tcPr>
            <w:tcW w:type="dxa" w:w="1051"/>
          </w:tcPr>
          <w:p>
            <w:pPr>
              <w:jc w:val="center"/>
            </w:pPr>
            <w:r>
              <w:rPr/>
              <w:t>16</w:t>
            </w:r>
          </w:p>
        </w:tc>
        <w:tc>
          <w:tcPr>
            <w:tcW w:type="dxa" w:w="2252"/>
          </w:tcPr>
          <w:p>
            <w:r>
              <w:rPr/>
              <w:t>代理服务费收取方式</w:t>
            </w:r>
          </w:p>
        </w:tc>
        <w:tc>
          <w:tcPr>
            <w:tcW w:type="dxa" w:w="5004"/>
          </w:tcPr>
          <w:p>
            <w:r>
              <w:rPr/>
              <w:t>向采购人收取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 府金融工作局关于印发&lt;中山市政府采购支持中小微企业质押融资的实施意见&gt;的通知》（中人银发【2017】82号）规定，凡通过政府采购法定程序取得我市政府采购合同的中小微企业，均 可向辖内开展政府采购质押融资业务的银行机构申请办理融资业务。 截至当前，辖内开展政府 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 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pPr>
              <w:jc w:val="center"/>
            </w:pPr>
            <w:r>
              <w:rPr/>
              <w:t>19</w:t>
            </w:r>
          </w:p>
        </w:tc>
        <w:tc>
          <w:tcPr>
            <w:tcW w:type="dxa" w:w="2252"/>
          </w:tcPr>
          <w:p>
            <w:r>
              <w:rPr/>
              <w:t>开标解密时长</w:t>
            </w:r>
          </w:p>
        </w:tc>
        <w:tc>
          <w:tcPr>
            <w:tcW w:type="dxa" w:w="5004"/>
          </w:tcPr>
          <w:p>
            <w:r>
              <w:rPr/>
              <w:t>30</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中山市政府采购网（http://120.234.108.5:8088/zfcg/），中山市公共资源交易网（https://ggzyjy.zs.gov.cn/），采购代理机构网站（http://www.gdjdjl.com/）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中山市政府采购网（http://120.234.108.5:8088/zfcg/），中山市公共资源交易网（https://ggzyjy.zs.gov.cn/），采购代理机构网站（http://www.gdjdjl.com/）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体育彩票投注站2023年度日常维护、监管、巡查等工作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采购包1（中山市体育彩票投注站2023年度日常维护、监管、巡查等工作服务）：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采购包1（中山市体育彩票投注站2023年度日常维护、监管、巡查等工作服务）：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供应商必须具有良好的商业信誉和健全的财务会计制度（提供投标截止日前6个月内任意1个月的财务报表或2021年度财务状况报告或基本开户行出具的资信证明）。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采购包1（中山市体育彩票投注站2023年度日常维护、监管、巡查等工作服务）：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响应文件的有效期</w:t>
            </w:r>
          </w:p>
        </w:tc>
        <w:tc>
          <w:tcPr>
            <w:tcW w:type="dxa" w:w="4238"/>
          </w:tcPr>
          <w:p>
            <w:r>
              <w:rPr/>
              <w:t>提供《响应承诺函》，投标有效期为投标截止之日起90天</w:t>
            </w:r>
          </w:p>
        </w:tc>
      </w:tr>
      <w:tr>
        <w:tc>
          <w:tcPr>
            <w:tcW w:type="dxa" w:w="890"/>
          </w:tcPr>
          <w:p>
            <w:r>
              <w:rPr/>
              <w:t>2</w:t>
            </w:r>
          </w:p>
        </w:tc>
        <w:tc>
          <w:tcPr>
            <w:tcW w:type="dxa" w:w="3178"/>
          </w:tcPr>
          <w:p>
            <w:r>
              <w:rPr/>
              <w:t>盖章和签署</w:t>
            </w:r>
          </w:p>
        </w:tc>
        <w:tc>
          <w:tcPr>
            <w:tcW w:type="dxa" w:w="4238"/>
          </w:tcPr>
          <w:p>
            <w:r>
              <w:rPr/>
              <w:t>按磋商文件格式规定盖章和签署。</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带★条款</w:t>
            </w:r>
          </w:p>
        </w:tc>
        <w:tc>
          <w:tcPr>
            <w:tcW w:type="dxa" w:w="4238"/>
          </w:tcPr>
          <w:p>
            <w:r>
              <w:rPr/>
              <w:t>响应文件完全满足磋商文件的实质性条款（如有即标注★号条款）无负偏离。</w:t>
            </w:r>
          </w:p>
        </w:tc>
      </w:tr>
      <w:tr>
        <w:tc>
          <w:tcPr>
            <w:tcW w:type="dxa" w:w="890"/>
          </w:tcPr>
          <w:p>
            <w:r>
              <w:rPr/>
              <w:t>5</w:t>
            </w:r>
          </w:p>
        </w:tc>
        <w:tc>
          <w:tcPr>
            <w:tcW w:type="dxa" w:w="3178"/>
          </w:tcPr>
          <w:p>
            <w:r>
              <w:rPr/>
              <w:t>报价</w:t>
            </w:r>
          </w:p>
        </w:tc>
        <w:tc>
          <w:tcPr>
            <w:tcW w:type="dxa" w:w="4238"/>
          </w:tcPr>
          <w:p>
            <w:r>
              <w:rPr/>
              <w:t>投标（响应）报价总金额是固定价且是唯一的，未超过本项目最高限价；磋商文件不接受提交备用方案。</w:t>
            </w:r>
          </w:p>
        </w:tc>
      </w:tr>
      <w:tr>
        <w:tc>
          <w:tcPr>
            <w:tcW w:type="dxa" w:w="890"/>
          </w:tcPr>
          <w:p>
            <w:r>
              <w:rPr/>
              <w:t>6</w:t>
            </w:r>
          </w:p>
        </w:tc>
        <w:tc>
          <w:tcPr>
            <w:tcW w:type="dxa" w:w="3178"/>
          </w:tcPr>
          <w:p>
            <w:r>
              <w:rPr/>
              <w:t>其他废标情形</w:t>
            </w:r>
          </w:p>
        </w:tc>
        <w:tc>
          <w:tcPr>
            <w:tcW w:type="dxa" w:w="4238"/>
          </w:tcPr>
          <w:p>
            <w:r>
              <w:rPr/>
              <w:t>无磋商文件或法规明确规定可以废标的其他情形。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采购包1中山市体育彩票投注站2023年度日常维护、监管、巡查等工作服务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商务部分48.0分</w:t>
            </w:r>
          </w:p>
          <w:p>
            <w:r>
              <w:rPr/>
              <w:t>技术部分42.0分</w:t>
            </w:r>
          </w:p>
          <w:p>
            <w:r>
              <w:rPr/>
              <w:t>报价得分10.0分</w:t>
            </w:r>
          </w:p>
        </w:tc>
      </w:tr>
      <w:tr>
        <w:tc>
          <w:tcPr>
            <w:tcW w:type="dxa" w:w="922"/>
            <w:gridSpan w:val="2"/>
            <w:vMerge w:val="restart"/>
          </w:tcPr>
          <w:p>
            <w:pPr>
              <w:jc w:val="center"/>
            </w:pPr>
            <w:r>
              <w:rPr/>
              <w:t>技术部分</w:t>
            </w:r>
          </w:p>
        </w:tc>
        <w:tc>
          <w:tcPr>
            <w:tcW w:type="dxa" w:w="2307"/>
          </w:tcPr>
          <w:p>
            <w:pPr>
              <w:jc w:val="left"/>
            </w:pPr>
            <w:r>
              <w:rPr/>
              <w:t>响应程度 (4.0分)</w:t>
            </w:r>
            <w:r>
              <w:rPr/>
              <w:t>，（等次分值选择：</w:t>
            </w:r>
            <w:r>
              <w:rPr/>
              <w:t>0.0;</w:t>
            </w:r>
            <w:r>
              <w:rPr/>
              <w:t>1.0;</w:t>
            </w:r>
            <w:r>
              <w:rPr/>
              <w:t>2.0;</w:t>
            </w:r>
            <w:r>
              <w:rPr/>
              <w:t>3.0;</w:t>
            </w:r>
            <w:r>
              <w:rPr/>
              <w:t>4.0;</w:t>
            </w:r>
            <w:r>
              <w:rPr/>
              <w:t>）</w:t>
            </w:r>
          </w:p>
        </w:tc>
        <w:tc>
          <w:tcPr>
            <w:tcW w:type="dxa" w:w="5076"/>
          </w:tcPr>
          <w:p>
            <w:pPr>
              <w:jc w:val="left"/>
            </w:pPr>
            <w:r>
              <w:rPr/>
              <w:t>（1）供应商能为本项目提供便捷的服务，服务响应时间和服务保障满足或优于磋商文件要求，得4分； （2）供应商能为本项目提供较为便捷的服务，服务响应时间和服务保障满足或存在微小负偏离于磋商文件要求，而该微小偏离不影响项目服务的提供，得3分； （3）供应商能为本项目提供一般的服务，服务响应时间和服务保障负偏离于磋商文件要求，得2分 （4）供应商能为本项目的服务较差，服务响应时间和服务保障负偏离于磋商文件要求，较大程度上影响项目服务质量，得1分； （5）无相关描述，得0分。</w:t>
            </w:r>
          </w:p>
        </w:tc>
      </w:tr>
      <w:tr>
        <w:tc>
          <w:tcPr>
            <w:tcW w:type="dxa" w:w="922"/>
            <w:gridSpan w:val="2"/>
            <w:vMerge/>
          </w:tcPr>
          <w:p/>
        </w:tc>
        <w:tc>
          <w:tcPr>
            <w:tcW w:type="dxa" w:w="2307"/>
          </w:tcPr>
          <w:p>
            <w:pPr>
              <w:jc w:val="left"/>
            </w:pPr>
            <w:r>
              <w:rPr/>
              <w:t>服务管理方案 (8.0分)</w:t>
            </w:r>
            <w:r>
              <w:rPr/>
              <w:t>，（等次分值选择：</w:t>
            </w:r>
            <w:r>
              <w:rPr/>
              <w:t>0.0;</w:t>
            </w:r>
            <w:r>
              <w:rPr/>
              <w:t>2.0;</w:t>
            </w:r>
            <w:r>
              <w:rPr/>
              <w:t>4.0;</w:t>
            </w:r>
            <w:r>
              <w:rPr/>
              <w:t>6.0;</w:t>
            </w:r>
            <w:r>
              <w:rPr/>
              <w:t>8.0;</w:t>
            </w:r>
            <w:r>
              <w:rPr/>
              <w:t>）</w:t>
            </w:r>
          </w:p>
        </w:tc>
        <w:tc>
          <w:tcPr>
            <w:tcW w:type="dxa" w:w="5076"/>
          </w:tcPr>
          <w:p>
            <w:pPr>
              <w:jc w:val="left"/>
            </w:pPr>
            <w:r>
              <w:rPr/>
              <w:t>（1）：服务团队责任制和服务流程说明（包括人员组成及管理方式；各项服务工作计划、流程（程序）表格清晰、详细、合理；各项服务的具体实施方法和技术措施详细、可行），得 8分。 （2）：服务团队责任制和服务流程说明（包括人员组成及管理方式；各项服务工作计划、流程（程序）表格均有一定描述、内容较合理；有各项服务的具体实施方法和技术措施），得 6分。 （3）：服务团队责任制和服务流程说明（包括人员组成及管理方式；各项服务工作计划、流程（程序）表格有描述但不详细；各项服务的具体实施方法和技术措施有描述但不详细，可行性一般），得 4分。 （4）：服务团队责任制和服务流程说明（包括人员组成及管理方式；各项服务工作计划、流程（程序）表格有描述但不详细；各项服务的具体实施方法和技术措施不可行），得2分 （5）：无相关描述，得0分。</w:t>
            </w:r>
          </w:p>
        </w:tc>
      </w:tr>
      <w:tr>
        <w:tc>
          <w:tcPr>
            <w:tcW w:type="dxa" w:w="922"/>
            <w:gridSpan w:val="2"/>
            <w:vMerge/>
          </w:tcPr>
          <w:p/>
        </w:tc>
        <w:tc>
          <w:tcPr>
            <w:tcW w:type="dxa" w:w="2307"/>
          </w:tcPr>
          <w:p>
            <w:pPr>
              <w:jc w:val="left"/>
            </w:pPr>
            <w:r>
              <w:rPr/>
              <w:t>人力资源保障措施 (8.0分)</w:t>
            </w:r>
            <w:r>
              <w:rPr/>
              <w:t>，（等次分值选择：</w:t>
            </w:r>
            <w:r>
              <w:rPr/>
              <w:t>0.0;</w:t>
            </w:r>
            <w:r>
              <w:rPr/>
              <w:t>2.0;</w:t>
            </w:r>
            <w:r>
              <w:rPr/>
              <w:t>4.0;</w:t>
            </w:r>
            <w:r>
              <w:rPr/>
              <w:t>6.0;</w:t>
            </w:r>
            <w:r>
              <w:rPr/>
              <w:t>8.0;</w:t>
            </w:r>
            <w:r>
              <w:rPr/>
              <w:t>）</w:t>
            </w:r>
          </w:p>
        </w:tc>
        <w:tc>
          <w:tcPr>
            <w:tcW w:type="dxa" w:w="5076"/>
          </w:tcPr>
          <w:p>
            <w:pPr>
              <w:jc w:val="left"/>
            </w:pPr>
            <w:r>
              <w:rPr/>
              <w:t>（1）人员稳定保障措施、人员储备计划内容详细，明确，人员补充的途径及招聘平台多样化，人员招聘制度科学，确保人员满足采购人服务要求，得8分； （2）人员稳定保障措施、人员储备计划内容较为详细，人员补充的途径及招聘平台较多，人员招聘制度较好，得6分； （3）人员稳定保障措施、人员储备计划内容普通，缺乏针对性，有相关的人员补充的途径及招聘平台，人员招聘制度基本齐全，得4分 （4）人员储备计划差，明确，人员补充的途径少，人员招聘制度缺失或不完整，得2分； （5）：无人力资源保障措施，得0分。</w:t>
            </w:r>
          </w:p>
        </w:tc>
      </w:tr>
      <w:tr>
        <w:tc>
          <w:tcPr>
            <w:tcW w:type="dxa" w:w="922"/>
            <w:gridSpan w:val="2"/>
            <w:vMerge/>
          </w:tcPr>
          <w:p/>
        </w:tc>
        <w:tc>
          <w:tcPr>
            <w:tcW w:type="dxa" w:w="2307"/>
          </w:tcPr>
          <w:p>
            <w:pPr>
              <w:jc w:val="left"/>
            </w:pPr>
            <w:r>
              <w:rPr/>
              <w:t>安全保密措施 (8.0分)</w:t>
            </w:r>
            <w:r>
              <w:rPr/>
              <w:t>，（等次分值选择：</w:t>
            </w:r>
            <w:r>
              <w:rPr/>
              <w:t>0.0;</w:t>
            </w:r>
            <w:r>
              <w:rPr/>
              <w:t>2.0;</w:t>
            </w:r>
            <w:r>
              <w:rPr/>
              <w:t>4.0;</w:t>
            </w:r>
            <w:r>
              <w:rPr/>
              <w:t>6.0;</w:t>
            </w:r>
            <w:r>
              <w:rPr/>
              <w:t>8.0;</w:t>
            </w:r>
            <w:r>
              <w:rPr/>
              <w:t>）</w:t>
            </w:r>
          </w:p>
        </w:tc>
        <w:tc>
          <w:tcPr>
            <w:tcW w:type="dxa" w:w="5076"/>
          </w:tcPr>
          <w:p>
            <w:pPr>
              <w:jc w:val="left"/>
            </w:pPr>
            <w:r>
              <w:rPr/>
              <w:t>（1）保密制度完善，保密服务工作标准化程度高，有详细的标准化流程，合理有序、逻辑性强且有一系列保密保障措施，内容详细有针对性，得8分； （2）保密制度较为完善，保密服务工作标准化程度较高，有一定的标准化流程，顺序较为清晰、有一定的操作性，满足项目的基本实施需要，保密保障措施描述基本清晰，得6分； （3）保密制度一般，内容较为普通，缺乏针对性或有缺失，但缺失不影响项目具体实施，保障措施内容较为简单，得4分 （4）保密制度缺失或不完整，得2分； （5）：无保密制度和保密措施，得0分。</w:t>
            </w:r>
          </w:p>
        </w:tc>
      </w:tr>
      <w:tr>
        <w:tc>
          <w:tcPr>
            <w:tcW w:type="dxa" w:w="922"/>
            <w:gridSpan w:val="2"/>
            <w:vMerge/>
          </w:tcPr>
          <w:p/>
        </w:tc>
        <w:tc>
          <w:tcPr>
            <w:tcW w:type="dxa" w:w="2307"/>
          </w:tcPr>
          <w:p>
            <w:pPr>
              <w:jc w:val="left"/>
            </w:pPr>
            <w:r>
              <w:rPr/>
              <w:t>应急预案 (8.0分)</w:t>
            </w:r>
            <w:r>
              <w:rPr/>
              <w:t>，（等次分值选择：</w:t>
            </w:r>
            <w:r>
              <w:rPr/>
              <w:t>0.0;</w:t>
            </w:r>
            <w:r>
              <w:rPr/>
              <w:t>2.0;</w:t>
            </w:r>
            <w:r>
              <w:rPr/>
              <w:t>4.0;</w:t>
            </w:r>
            <w:r>
              <w:rPr/>
              <w:t>6.0;</w:t>
            </w:r>
            <w:r>
              <w:rPr/>
              <w:t>8.0;</w:t>
            </w:r>
            <w:r>
              <w:rPr/>
              <w:t>）</w:t>
            </w:r>
          </w:p>
        </w:tc>
        <w:tc>
          <w:tcPr>
            <w:tcW w:type="dxa" w:w="5076"/>
          </w:tcPr>
          <w:p>
            <w:pPr>
              <w:jc w:val="left"/>
            </w:pPr>
            <w:r>
              <w:rPr/>
              <w:t>（1）供应商应急预案好，有过应急经验的，考虑情况全面，处理措施完善、充分满足采购人需求，得8分； （2）应急预案较好，考虑情况较全面，处理措施较好、较能满足采购人需求，得6分； （3）应急预案一般，考虑情况一般，处理措施一般，得4分 （4）应急预案差的，得2分； （5）未提供应急预案的，得0分。</w:t>
            </w:r>
          </w:p>
        </w:tc>
      </w:tr>
      <w:tr>
        <w:tc>
          <w:tcPr>
            <w:tcW w:type="dxa" w:w="922"/>
            <w:gridSpan w:val="2"/>
            <w:vMerge/>
          </w:tcPr>
          <w:p/>
        </w:tc>
        <w:tc>
          <w:tcPr>
            <w:tcW w:type="dxa" w:w="2307"/>
          </w:tcPr>
          <w:p>
            <w:pPr>
              <w:jc w:val="left"/>
            </w:pPr>
            <w:r>
              <w:rPr/>
              <w:t>培训方案 (6.0分)</w:t>
            </w:r>
            <w:r>
              <w:rPr/>
              <w:t>，（等次分值选择：</w:t>
            </w:r>
            <w:r>
              <w:rPr/>
              <w:t>0.0;</w:t>
            </w:r>
            <w:r>
              <w:rPr/>
              <w:t>1.0;</w:t>
            </w:r>
            <w:r>
              <w:rPr/>
              <w:t>3.0;</w:t>
            </w:r>
            <w:r>
              <w:rPr/>
              <w:t>4.0;</w:t>
            </w:r>
            <w:r>
              <w:rPr/>
              <w:t>6.0;</w:t>
            </w:r>
            <w:r>
              <w:rPr/>
              <w:t>）</w:t>
            </w:r>
          </w:p>
        </w:tc>
        <w:tc>
          <w:tcPr>
            <w:tcW w:type="dxa" w:w="5076"/>
          </w:tcPr>
          <w:p>
            <w:pPr>
              <w:jc w:val="left"/>
            </w:pPr>
            <w:r>
              <w:rPr/>
              <w:t>（1）有科学可行的项目人员的岗前培训、在岗培训计划，培训资源丰富，考核方案详细，可行，得6分； （2）有较完善的项目人员的岗前培训、在岗培训计划，较丰富培训资源，有考核方案且基本可行，得4分； （3）有基本的项目人员的岗前培训、在岗培训计划，培训资源一般，考核方案一般，得3分 （4）项目人员岗前培训和在岗培训缺失或不完整，得1分； （5）未提供培训方案的，得0分。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供应商2019年1月1日以来（以合同签订日期为准）承接过同类项目业绩（含服务外包类）情况，每提供1个得1分，满分20分，没不得分（响应文件中提供合同页关键复印件并加盖公章）。</w:t>
            </w:r>
          </w:p>
        </w:tc>
      </w:tr>
      <w:tr>
        <w:tc>
          <w:tcPr>
            <w:tcW w:type="dxa" w:w="922"/>
            <w:gridSpan w:val="2"/>
            <w:vMerge/>
          </w:tcPr>
          <w:p/>
        </w:tc>
        <w:tc>
          <w:tcPr>
            <w:tcW w:type="dxa" w:w="2307"/>
          </w:tcPr>
          <w:p>
            <w:pPr>
              <w:jc w:val="left"/>
            </w:pPr>
            <w:r>
              <w:rPr/>
              <w:t>用户评价 (10.0分)</w:t>
            </w:r>
          </w:p>
        </w:tc>
        <w:tc>
          <w:tcPr>
            <w:tcW w:type="dxa" w:w="5076"/>
          </w:tcPr>
          <w:p>
            <w:pPr>
              <w:jc w:val="left"/>
            </w:pPr>
            <w:r>
              <w:rPr/>
              <w:t>根据供应商上述的“项目业绩”中，有效得分合同业主（甲方）对其的评份情况进行评审：每得到一个评价（结果为“好评”或“优秀”或“满意”或为同等含义评价或提供“表扬信”等），每提供一份得1分，本项最高得 10分。注:（响应文件中提供证明文件复印件，未按要求提供的不得分。）</w:t>
            </w:r>
          </w:p>
        </w:tc>
      </w:tr>
      <w:tr>
        <w:tc>
          <w:tcPr>
            <w:tcW w:type="dxa" w:w="922"/>
            <w:gridSpan w:val="2"/>
            <w:vMerge/>
          </w:tcPr>
          <w:p/>
        </w:tc>
        <w:tc>
          <w:tcPr>
            <w:tcW w:type="dxa" w:w="2307"/>
          </w:tcPr>
          <w:p>
            <w:pPr>
              <w:jc w:val="left"/>
            </w:pPr>
            <w:r>
              <w:rPr/>
              <w:t>人员能力 (8.0分)</w:t>
            </w:r>
            <w:r>
              <w:rPr/>
              <w:t>，（等次分值选择：</w:t>
            </w:r>
            <w:r>
              <w:rPr/>
              <w:t>0.0;</w:t>
            </w:r>
            <w:r>
              <w:rPr/>
              <w:t>2.0;</w:t>
            </w:r>
            <w:r>
              <w:rPr/>
              <w:t>4.0;</w:t>
            </w:r>
            <w:r>
              <w:rPr/>
              <w:t>8.0;</w:t>
            </w:r>
            <w:r>
              <w:rPr/>
              <w:t>）</w:t>
            </w:r>
          </w:p>
        </w:tc>
        <w:tc>
          <w:tcPr>
            <w:tcW w:type="dxa" w:w="5076"/>
          </w:tcPr>
          <w:p>
            <w:pPr>
              <w:jc w:val="left"/>
            </w:pPr>
            <w:r>
              <w:rPr/>
              <w:t>（1）拟派项目负责人为人力资源管理师（国家职业资格二级）或以上的，得8分；（2）拟派项目负责人为助理人力资源管理师（国家职业资格三级）的，得4分；（3）拟派项目负责人为人力资源管理员（国家职业资格四级）的，得2分，（4）无且未按要求提供的得0分。（注：本项满分8分，响应文件中需提供人员证书复印件及投标人2022年1月份以来为其购买的最少3个月的社保证明复印件并盖公章。若供应商未能提供人员社保的，可以在响应文件中提供相关承诺，视为满足社保评审要求（承诺书须盖公章，格式自行编制，承诺书内容包括但不限于以下内容：若我单位成交，在合同签订前保证按响应文件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法律服务 (4.0分)</w:t>
            </w:r>
          </w:p>
        </w:tc>
        <w:tc>
          <w:tcPr>
            <w:tcW w:type="dxa" w:w="5076"/>
          </w:tcPr>
          <w:p>
            <w:pPr>
              <w:jc w:val="left"/>
            </w:pPr>
            <w:r>
              <w:rPr/>
              <w:t>供应商具有常驻的法律人员或法律顾问单位（与律师事务所签订协议）的，得4分。注：具有常驻的法律人员的提供律师资格证书及2022年任意三个月的社保证明文件复印件加盖公章或法律顾问单位的相关合同或协议复印件加盖公章，不提供不得分。</w:t>
            </w:r>
          </w:p>
        </w:tc>
      </w:tr>
      <w:tr>
        <w:tc>
          <w:tcPr>
            <w:tcW w:type="dxa" w:w="922"/>
            <w:gridSpan w:val="2"/>
            <w:vMerge/>
          </w:tcPr>
          <w:p/>
        </w:tc>
        <w:tc>
          <w:tcPr>
            <w:tcW w:type="dxa" w:w="2307"/>
          </w:tcPr>
          <w:p>
            <w:pPr>
              <w:jc w:val="left"/>
            </w:pPr>
            <w:r>
              <w:rPr/>
              <w:t>管理体系认证情况 (6.0分)</w:t>
            </w:r>
            <w:r>
              <w:rPr/>
              <w:t>，（等次分值选择：</w:t>
            </w:r>
            <w:r>
              <w:rPr/>
              <w:t>0.0;</w:t>
            </w:r>
            <w:r>
              <w:rPr/>
              <w:t>2.0;</w:t>
            </w:r>
            <w:r>
              <w:rPr/>
              <w:t>4.0;</w:t>
            </w:r>
            <w:r>
              <w:rPr/>
              <w:t>6.0;</w:t>
            </w:r>
            <w:r>
              <w:rPr/>
              <w:t>）</w:t>
            </w:r>
          </w:p>
        </w:tc>
        <w:tc>
          <w:tcPr>
            <w:tcW w:type="dxa" w:w="5076"/>
          </w:tcPr>
          <w:p>
            <w:pPr>
              <w:jc w:val="left"/>
            </w:pPr>
            <w:r>
              <w:rPr/>
              <w:t>1. 供应商具有有效的质量管理体系认证，得2分； 2. 供应商具有有效的环境管理体系认证，得2分； 3. 供应商具有有效的职业健康安全管理体系认证，得2分； 注：提供上述证书复印件和在中国国家认证认可监督管理委员会查询平台截图。未完全提供证明材料或提供证明材料不符的不得分。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sz w:val="24"/>
        </w:rPr>
        <w:t>一、合同金额</w:t>
      </w:r>
    </w:p>
    <w:p>
      <w:pPr>
        <w:jc w:val="both"/>
      </w:pPr>
      <w:r>
        <w:rPr>
          <w:sz w:val="27"/>
        </w:rPr>
        <w:t>　　合同金额为（大写）：</w:t>
      </w:r>
      <w:r>
        <w:rPr>
          <w:sz w:val="27"/>
        </w:rPr>
        <w:t>_____________</w:t>
      </w:r>
      <w:r>
        <w:rPr>
          <w:sz w:val="27"/>
        </w:rPr>
        <w:t>元（￥</w:t>
      </w:r>
      <w:r>
        <w:rPr>
          <w:sz w:val="27"/>
        </w:rPr>
        <w:t>_________</w:t>
      </w:r>
      <w:r>
        <w:rPr>
          <w:sz w:val="27"/>
        </w:rPr>
        <w:t>元）人民币。</w:t>
      </w:r>
    </w:p>
    <w:p>
      <w:pPr>
        <w:jc w:val="both"/>
      </w:pPr>
      <w:r>
        <w:rPr>
          <w:b/>
          <w:sz w:val="24"/>
        </w:rPr>
        <w:t>二、服务范围</w:t>
      </w:r>
    </w:p>
    <w:p>
      <w:pPr>
        <w:jc w:val="both"/>
      </w:pPr>
      <w:r>
        <w:rPr>
          <w:sz w:val="27"/>
        </w:rPr>
        <w:t>　　甲方聘请乙方提供以下服务：</w:t>
      </w:r>
    </w:p>
    <w:p>
      <w:pPr>
        <w:jc w:val="both"/>
      </w:pPr>
      <w:r>
        <w:rPr>
          <w:sz w:val="27"/>
        </w:rPr>
        <w:t>1</w:t>
      </w:r>
      <w:r>
        <w:rPr>
          <w:sz w:val="27"/>
        </w:rPr>
        <w:t>．</w:t>
      </w:r>
      <w:r>
        <w:rPr>
          <w:b/>
          <w:sz w:val="21"/>
        </w:rPr>
        <w:t>项目服务内容及团队人员组成</w:t>
      </w:r>
    </w:p>
    <w:tbl>
      <w:tblPr>
        <w:tblW w:w="0" w:type="auto"/>
        <w:tblBorders>
          <w:top w:val="none" w:color="000000" w:sz="4"/>
          <w:left w:val="none" w:color="000000" w:sz="4"/>
          <w:bottom w:val="none" w:color="000000" w:sz="4"/>
          <w:right w:val="none" w:color="000000" w:sz="4"/>
          <w:insideH w:val="none"/>
          <w:insideV w:val="none"/>
        </w:tblBorders>
      </w:tblPr>
      <w:tblGrid>
        <w:gridCol w:w="522"/>
        <w:gridCol w:w="1064"/>
        <w:gridCol w:w="1580"/>
        <w:gridCol w:w="3788"/>
        <w:gridCol w:w="1352"/>
      </w:tblGrid>
      <w:tr>
        <w:tc>
          <w:tcPr>
            <w:tcW w:type="dxa" w:w="522"/>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064"/>
            <w:tcBorders>
              <w:top w:val="single" w:color="000000" w:sz="4"/>
              <w:left w:val="none" w:color="000000" w:sz="4"/>
              <w:bottom w:val="single" w:color="000000" w:sz="4"/>
              <w:right w:val="single" w:color="000000" w:sz="4"/>
            </w:tcBorders>
            <w:shd w:fill="FFFFFF"/>
            <w:vAlign w:val="top"/>
          </w:tcPr>
          <w:p>
            <w:pPr>
              <w:jc w:val="center"/>
            </w:pPr>
            <w:r>
              <w:rPr>
                <w:sz w:val="21"/>
              </w:rPr>
              <w:t>项目职能内容</w:t>
            </w:r>
          </w:p>
        </w:tc>
        <w:tc>
          <w:tcPr>
            <w:tcW w:type="dxa" w:w="5368"/>
            <w:gridSpan w:val="2"/>
            <w:tcBorders>
              <w:top w:val="single" w:color="000000" w:sz="4"/>
              <w:left w:val="none" w:color="000000" w:sz="4"/>
              <w:bottom w:val="single" w:color="000000" w:sz="4"/>
              <w:right w:val="single" w:color="000000" w:sz="4"/>
            </w:tcBorders>
            <w:shd w:fill="FFFFFF"/>
            <w:vAlign w:val="top"/>
          </w:tcPr>
          <w:p>
            <w:pPr>
              <w:jc w:val="center"/>
            </w:pPr>
            <w:r>
              <w:rPr>
                <w:sz w:val="21"/>
              </w:rPr>
              <w:t>服务内容</w:t>
            </w:r>
          </w:p>
        </w:tc>
        <w:tc>
          <w:tcPr>
            <w:tcW w:type="dxa" w:w="1352"/>
            <w:tcBorders>
              <w:top w:val="single" w:color="000000" w:sz="4"/>
              <w:left w:val="none" w:color="000000" w:sz="4"/>
              <w:bottom w:val="single" w:color="000000" w:sz="4"/>
              <w:right w:val="single" w:color="000000" w:sz="4"/>
            </w:tcBorders>
            <w:shd w:fill="FFFFFF"/>
            <w:vAlign w:val="top"/>
          </w:tcPr>
          <w:p>
            <w:pPr>
              <w:jc w:val="center"/>
            </w:pPr>
            <w:r>
              <w:rPr>
                <w:sz w:val="21"/>
              </w:rPr>
              <w:t>团队内需求人员数量</w:t>
            </w:r>
          </w:p>
        </w:tc>
      </w:tr>
      <w:tr>
        <w:tc>
          <w:tcPr>
            <w:tcW w:type="dxa" w:w="522"/>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064"/>
            <w:tcBorders>
              <w:top w:val="none" w:color="000000" w:sz="4"/>
              <w:left w:val="none" w:color="000000" w:sz="4"/>
              <w:bottom w:val="single" w:color="000000" w:sz="4"/>
              <w:right w:val="single" w:color="000000" w:sz="4"/>
            </w:tcBorders>
            <w:shd w:fill="FFFFFF"/>
            <w:vAlign w:val="top"/>
          </w:tcPr>
          <w:p>
            <w:pPr>
              <w:jc w:val="center"/>
            </w:pPr>
            <w:r>
              <w:rPr>
                <w:sz w:val="21"/>
              </w:rPr>
              <w:t>专管员</w:t>
            </w:r>
          </w:p>
        </w:tc>
        <w:tc>
          <w:tcPr>
            <w:tcW w:type="dxa" w:w="5368"/>
            <w:gridSpan w:val="2"/>
            <w:tcBorders>
              <w:top w:val="none" w:color="000000" w:sz="4"/>
              <w:left w:val="none" w:color="000000" w:sz="4"/>
              <w:bottom w:val="single" w:color="000000" w:sz="4"/>
              <w:right w:val="single" w:color="000000" w:sz="4"/>
            </w:tcBorders>
            <w:shd w:fill="FFFFFF"/>
            <w:vAlign w:val="top"/>
          </w:tcPr>
          <w:p>
            <w:pPr>
              <w:ind w:firstLine="420"/>
              <w:jc w:val="left"/>
            </w:pPr>
            <w:r>
              <w:rPr>
                <w:sz w:val="21"/>
              </w:rPr>
              <w:t>专管员：热爱本职工作，有责任心；不迟到、不早退，特殊情况需提前向用人单位请示，以便工作安排：如请假、辞职、离岗都必须提前用书面形式向用人单位申请；服从用人单位的工作分配及管理；负责体彩片区各网点日常安全管理、玩法培训、营销指导、巡查监督及网点的增、变、退等相关业务管理工作和各片区管理员日常事务总结和汇报工作，搞好团结互助，完成用人单位交办的各项工作任务。熟练使用计算机操作管理系统和互联网操作，计算机的软、硬件维护；</w:t>
            </w:r>
          </w:p>
          <w:p>
            <w:pPr>
              <w:ind w:firstLine="420"/>
              <w:jc w:val="left"/>
            </w:pPr>
            <w:r>
              <w:rPr>
                <w:sz w:val="21"/>
              </w:rPr>
              <w:t>具体岗位职责包括但不限于以下具体服务要求：</w:t>
            </w:r>
          </w:p>
          <w:p>
            <w:pPr>
              <w:ind w:firstLine="420"/>
              <w:jc w:val="left"/>
            </w:pPr>
            <w:r>
              <w:rPr>
                <w:sz w:val="21"/>
              </w:rPr>
              <w:t>（</w:t>
            </w:r>
            <w:r>
              <w:rPr>
                <w:sz w:val="21"/>
              </w:rPr>
              <w:t>1</w:t>
            </w:r>
            <w:r>
              <w:rPr>
                <w:sz w:val="21"/>
              </w:rPr>
              <w:t>）月度巡检：按时完成国家实体渠道巡检系统传统实体店的实体店检查工作（月度巡检及专项巡检）。</w:t>
            </w:r>
          </w:p>
          <w:p>
            <w:pPr>
              <w:ind w:firstLine="420"/>
              <w:jc w:val="left"/>
            </w:pPr>
            <w:r>
              <w:rPr>
                <w:sz w:val="21"/>
              </w:rPr>
              <w:t>（</w:t>
            </w:r>
            <w:r>
              <w:rPr>
                <w:sz w:val="21"/>
              </w:rPr>
              <w:t>2</w:t>
            </w:r>
            <w:r>
              <w:rPr>
                <w:sz w:val="21"/>
              </w:rPr>
              <w:t>）实体店新建、退站、移站考察和验收工作：各专管员在收到中心的新建、退站、移站等考察通知</w:t>
            </w:r>
            <w:r>
              <w:rPr>
                <w:sz w:val="21"/>
              </w:rPr>
              <w:t>(</w:t>
            </w:r>
            <w:r>
              <w:rPr>
                <w:sz w:val="21"/>
              </w:rPr>
              <w:t>包括行业渠道的考察申请表单，以下发给专管员之日起</w:t>
            </w:r>
            <w:r>
              <w:rPr>
                <w:sz w:val="21"/>
              </w:rPr>
              <w:t>)</w:t>
            </w:r>
            <w:r>
              <w:rPr>
                <w:sz w:val="21"/>
              </w:rPr>
              <w:t>，务必在三个工作日内完成考察并上报考察情况。</w:t>
            </w:r>
          </w:p>
          <w:p>
            <w:pPr>
              <w:ind w:firstLine="420"/>
              <w:jc w:val="left"/>
            </w:pPr>
            <w:r>
              <w:rPr>
                <w:sz w:val="21"/>
              </w:rPr>
              <w:t>（</w:t>
            </w:r>
            <w:r>
              <w:rPr>
                <w:sz w:val="21"/>
              </w:rPr>
              <w:t>3</w:t>
            </w:r>
            <w:r>
              <w:rPr>
                <w:sz w:val="21"/>
              </w:rPr>
              <w:t>）业务培训：（</w:t>
            </w:r>
            <w:r>
              <w:rPr>
                <w:sz w:val="21"/>
              </w:rPr>
              <w:t>a</w:t>
            </w:r>
            <w:r>
              <w:rPr>
                <w:sz w:val="21"/>
              </w:rPr>
              <w:t>）按照要求组织开展片区实体店的培训工作，次月</w:t>
            </w:r>
            <w:r>
              <w:rPr>
                <w:sz w:val="21"/>
              </w:rPr>
              <w:t>10</w:t>
            </w:r>
            <w:r>
              <w:rPr>
                <w:sz w:val="21"/>
              </w:rPr>
              <w:t>日前必须提供培训记录及培训相片（包括月度及专项培训任务）。（</w:t>
            </w:r>
            <w:r>
              <w:rPr>
                <w:sz w:val="21"/>
              </w:rPr>
              <w:t>b</w:t>
            </w:r>
            <w:r>
              <w:rPr>
                <w:sz w:val="21"/>
              </w:rPr>
              <w:t>）保证片区实体店人员信息牌资料真实、保证销售员持证上岗。（</w:t>
            </w:r>
            <w:r>
              <w:rPr>
                <w:sz w:val="21"/>
              </w:rPr>
              <w:t>c</w:t>
            </w:r>
            <w:r>
              <w:rPr>
                <w:sz w:val="21"/>
              </w:rPr>
              <w:t>）所有实体店配备好打击私彩《承诺书》，若丢失需重新补回并按要求签名张贴。</w:t>
            </w:r>
          </w:p>
          <w:p>
            <w:pPr>
              <w:ind w:firstLine="420"/>
              <w:jc w:val="left"/>
            </w:pPr>
            <w:r>
              <w:rPr>
                <w:sz w:val="21"/>
              </w:rPr>
              <w:t>（</w:t>
            </w:r>
            <w:r>
              <w:rPr>
                <w:sz w:val="21"/>
              </w:rPr>
              <w:t>4</w:t>
            </w:r>
            <w:r>
              <w:rPr>
                <w:sz w:val="21"/>
              </w:rPr>
              <w:t>）即开票铺票陈列指标：开展即开票促销活动时，考核铺票、存票、陈列指标，达到考核指标或以上。即开票片区月度零销量实体店不多于</w:t>
            </w:r>
            <w:r>
              <w:rPr>
                <w:sz w:val="21"/>
              </w:rPr>
              <w:t>5</w:t>
            </w:r>
            <w:r>
              <w:rPr>
                <w:sz w:val="21"/>
              </w:rPr>
              <w:t>个。</w:t>
            </w:r>
          </w:p>
          <w:p>
            <w:pPr>
              <w:ind w:firstLine="420"/>
              <w:jc w:val="left"/>
            </w:pPr>
            <w:r>
              <w:rPr>
                <w:sz w:val="21"/>
              </w:rPr>
              <w:t>（</w:t>
            </w:r>
            <w:r>
              <w:rPr>
                <w:sz w:val="21"/>
              </w:rPr>
              <w:t>5</w:t>
            </w:r>
            <w:r>
              <w:rPr>
                <w:sz w:val="21"/>
              </w:rPr>
              <w:t>）实体店信息更新：专管员必须保证各片区的各系统数据及信息的准确性及时更新，省、市中心不定期将对系统备案各项信息进行抽检核实，包括电话调查，不存在省市中心通报信息不全、无法联系或其他错误信息情况。</w:t>
            </w:r>
          </w:p>
          <w:p>
            <w:pPr>
              <w:ind w:firstLine="420"/>
              <w:jc w:val="left"/>
            </w:pPr>
            <w:r>
              <w:rPr>
                <w:sz w:val="21"/>
              </w:rPr>
              <w:t>（</w:t>
            </w:r>
            <w:r>
              <w:rPr>
                <w:sz w:val="21"/>
              </w:rPr>
              <w:t>6</w:t>
            </w:r>
            <w:r>
              <w:rPr>
                <w:sz w:val="21"/>
              </w:rPr>
              <w:t>）技能考试：专管员按中心要求时间完成学习或参加上级组织的季度考试以及参加市中心组织的相关技能考试，包括远程培训平台、钉钉等省市要求完成的学习和考试内容，所辖片区实体店参加学习及考试的完成率和合格率必须达到上级的要求，考试合格及达到要求。</w:t>
            </w:r>
          </w:p>
          <w:p>
            <w:pPr>
              <w:ind w:firstLine="420"/>
              <w:jc w:val="left"/>
            </w:pPr>
            <w:r>
              <w:rPr>
                <w:sz w:val="21"/>
              </w:rPr>
              <w:t>（</w:t>
            </w:r>
            <w:r>
              <w:rPr>
                <w:sz w:val="21"/>
              </w:rPr>
              <w:t>7</w:t>
            </w:r>
            <w:r>
              <w:rPr>
                <w:sz w:val="21"/>
              </w:rPr>
              <w:t>）退站：</w:t>
            </w:r>
            <w:r>
              <w:rPr>
                <w:sz w:val="21"/>
              </w:rPr>
              <w:t>3</w:t>
            </w:r>
            <w:r>
              <w:rPr>
                <w:sz w:val="21"/>
              </w:rPr>
              <w:t>个工作日内完成实体店退站验收工作，包括：实体店门店拆卸验收照片上报，额度清理，体彩热线撤销、退站门店业主一次性完成办理退站手续。</w:t>
            </w:r>
          </w:p>
          <w:p>
            <w:pPr>
              <w:ind w:firstLine="420"/>
              <w:jc w:val="left"/>
            </w:pPr>
            <w:r>
              <w:rPr>
                <w:sz w:val="21"/>
              </w:rPr>
              <w:t>（</w:t>
            </w:r>
            <w:r>
              <w:rPr>
                <w:sz w:val="21"/>
              </w:rPr>
              <w:t>8</w:t>
            </w:r>
            <w:r>
              <w:rPr>
                <w:sz w:val="21"/>
              </w:rPr>
              <w:t>）表单的上报及审核：专管员需跟进督促销售实体店进行实体店《竞彩游戏大额投注（大于</w:t>
            </w:r>
            <w:r>
              <w:rPr>
                <w:sz w:val="21"/>
              </w:rPr>
              <w:t>1</w:t>
            </w:r>
            <w:r>
              <w:rPr>
                <w:sz w:val="21"/>
              </w:rPr>
              <w:t>万元）预约及实名登记表》、《实体店竞彩游戏单日销量超预警值销售申请》、《实体店单日销量达预警值的情况说明书》及其它表单的上报或审核工作，并协助进行相关的处理；情况说明书要求实体店次日主动上报（实体店业主</w:t>
            </w:r>
            <w:r>
              <w:rPr>
                <w:sz w:val="21"/>
              </w:rPr>
              <w:t>APP</w:t>
            </w:r>
            <w:r>
              <w:rPr>
                <w:sz w:val="21"/>
              </w:rPr>
              <w:t>会有提醒）。每月汇总上报各片区竞彩</w:t>
            </w:r>
            <w:r>
              <w:rPr>
                <w:sz w:val="21"/>
              </w:rPr>
              <w:t>“</w:t>
            </w:r>
            <w:r>
              <w:rPr>
                <w:sz w:val="21"/>
              </w:rPr>
              <w:t>三书</w:t>
            </w:r>
            <w:r>
              <w:rPr>
                <w:sz w:val="21"/>
              </w:rPr>
              <w:t>”</w:t>
            </w:r>
            <w:r>
              <w:rPr>
                <w:sz w:val="21"/>
              </w:rPr>
              <w:t>的情况 。</w:t>
            </w:r>
          </w:p>
          <w:p>
            <w:pPr>
              <w:ind w:firstLine="420"/>
              <w:jc w:val="left"/>
            </w:pPr>
            <w:r>
              <w:rPr>
                <w:sz w:val="21"/>
              </w:rPr>
              <w:t>（</w:t>
            </w:r>
            <w:r>
              <w:rPr>
                <w:sz w:val="21"/>
              </w:rPr>
              <w:t>9</w:t>
            </w:r>
            <w:r>
              <w:rPr>
                <w:sz w:val="21"/>
              </w:rPr>
              <w:t>）异常票处理：专管员收到实体店上报异常票情况，需</w:t>
            </w:r>
            <w:r>
              <w:rPr>
                <w:sz w:val="21"/>
              </w:rPr>
              <w:t>1</w:t>
            </w:r>
            <w:r>
              <w:rPr>
                <w:sz w:val="21"/>
              </w:rPr>
              <w:t>小时内填写好相关信息及佐证材料上报市中心人员，上报前需先核实信息的准确性；上报后需</w:t>
            </w:r>
            <w:r>
              <w:rPr>
                <w:sz w:val="21"/>
              </w:rPr>
              <w:t>3</w:t>
            </w:r>
            <w:r>
              <w:rPr>
                <w:sz w:val="21"/>
              </w:rPr>
              <w:t>天内把原件上交市中心。</w:t>
            </w:r>
          </w:p>
          <w:p>
            <w:pPr>
              <w:ind w:firstLine="420"/>
              <w:jc w:val="left"/>
            </w:pPr>
            <w:r>
              <w:rPr>
                <w:sz w:val="21"/>
              </w:rPr>
              <w:t>（</w:t>
            </w:r>
            <w:r>
              <w:rPr>
                <w:sz w:val="21"/>
              </w:rPr>
              <w:t>10</w:t>
            </w:r>
            <w:r>
              <w:rPr>
                <w:sz w:val="21"/>
              </w:rPr>
              <w:t>）购彩者、实体店投诉：专管员在管理与服务辖区实体店过程中出现</w:t>
            </w:r>
            <w:r>
              <w:rPr>
                <w:sz w:val="21"/>
              </w:rPr>
              <w:t>“</w:t>
            </w:r>
            <w:r>
              <w:rPr>
                <w:sz w:val="21"/>
              </w:rPr>
              <w:t>吃拿卡要</w:t>
            </w:r>
            <w:r>
              <w:rPr>
                <w:sz w:val="21"/>
              </w:rPr>
              <w:t>”</w:t>
            </w:r>
            <w:r>
              <w:rPr>
                <w:sz w:val="21"/>
              </w:rPr>
              <w:t>等行为的，以及经</w:t>
            </w:r>
            <w:r>
              <w:rPr>
                <w:sz w:val="21"/>
              </w:rPr>
              <w:t>95086</w:t>
            </w:r>
            <w:r>
              <w:rPr>
                <w:sz w:val="21"/>
              </w:rPr>
              <w:t>客服电话投诉情况属实的，取消当月绩效考核资格；</w:t>
            </w:r>
          </w:p>
          <w:p>
            <w:pPr>
              <w:ind w:firstLine="420"/>
              <w:jc w:val="left"/>
            </w:pPr>
            <w:r>
              <w:rPr>
                <w:sz w:val="21"/>
              </w:rPr>
              <w:t xml:space="preserve"> (11)</w:t>
            </w:r>
            <w:r>
              <w:rPr>
                <w:sz w:val="21"/>
              </w:rPr>
              <w:t>实体店门头</w:t>
            </w:r>
            <w:r>
              <w:rPr>
                <w:sz w:val="21"/>
              </w:rPr>
              <w:t>LED</w:t>
            </w:r>
            <w:r>
              <w:rPr>
                <w:sz w:val="21"/>
              </w:rPr>
              <w:t>播放内容规范管理：实体店门头</w:t>
            </w:r>
            <w:r>
              <w:rPr>
                <w:sz w:val="21"/>
              </w:rPr>
              <w:t>LED</w:t>
            </w:r>
            <w:r>
              <w:rPr>
                <w:sz w:val="21"/>
              </w:rPr>
              <w:t>只能播放省、市中心规定的内容。</w:t>
            </w:r>
          </w:p>
          <w:p>
            <w:pPr>
              <w:ind w:firstLine="420"/>
              <w:jc w:val="left"/>
            </w:pPr>
            <w:r>
              <w:rPr>
                <w:sz w:val="21"/>
              </w:rPr>
              <w:t>（</w:t>
            </w:r>
            <w:r>
              <w:rPr>
                <w:sz w:val="21"/>
              </w:rPr>
              <w:t>12</w:t>
            </w:r>
            <w:r>
              <w:rPr>
                <w:sz w:val="21"/>
              </w:rPr>
              <w:t>）每月完成即开票账期的上报、跟踪、监督等工作。</w:t>
            </w:r>
          </w:p>
          <w:p>
            <w:pPr>
              <w:ind w:firstLine="420"/>
              <w:jc w:val="left"/>
            </w:pPr>
            <w:r>
              <w:rPr>
                <w:sz w:val="21"/>
              </w:rPr>
              <w:t>（</w:t>
            </w:r>
            <w:r>
              <w:rPr>
                <w:sz w:val="21"/>
              </w:rPr>
              <w:t>13</w:t>
            </w:r>
            <w:r>
              <w:rPr>
                <w:sz w:val="21"/>
              </w:rPr>
              <w:t>）临时交办：中心将根据月度的工作安排，（</w:t>
            </w:r>
            <w:r>
              <w:rPr>
                <w:sz w:val="21"/>
              </w:rPr>
              <w:t>1</w:t>
            </w:r>
            <w:r>
              <w:rPr>
                <w:sz w:val="21"/>
              </w:rPr>
              <w:t>）以培训师授课，参加中心开展授课评比、集中培训活动。（</w:t>
            </w:r>
            <w:r>
              <w:rPr>
                <w:sz w:val="21"/>
              </w:rPr>
              <w:t>2</w:t>
            </w:r>
            <w:r>
              <w:rPr>
                <w:sz w:val="21"/>
              </w:rPr>
              <w:t>）完成省市中心官方要求转发朋友圈短视频、</w:t>
            </w:r>
            <w:r>
              <w:rPr>
                <w:sz w:val="21"/>
              </w:rPr>
              <w:t>H5</w:t>
            </w:r>
            <w:r>
              <w:rPr>
                <w:sz w:val="21"/>
              </w:rPr>
              <w:t>等任务。（</w:t>
            </w:r>
            <w:r>
              <w:rPr>
                <w:sz w:val="21"/>
              </w:rPr>
              <w:t>3</w:t>
            </w:r>
            <w:r>
              <w:rPr>
                <w:sz w:val="21"/>
              </w:rPr>
              <w:t>）向市中心提供宣传报道素材。</w:t>
            </w:r>
          </w:p>
        </w:tc>
        <w:tc>
          <w:tcPr>
            <w:tcW w:type="dxa" w:w="1352"/>
            <w:tcBorders>
              <w:top w:val="none" w:color="000000" w:sz="4"/>
              <w:left w:val="none" w:color="000000" w:sz="4"/>
              <w:bottom w:val="single" w:color="000000" w:sz="4"/>
              <w:right w:val="single" w:color="000000" w:sz="4"/>
            </w:tcBorders>
            <w:shd w:fill="FFFFFF"/>
            <w:vAlign w:val="top"/>
          </w:tcPr>
          <w:p>
            <w:pPr>
              <w:jc w:val="left"/>
            </w:pPr>
            <w:r>
              <w:rPr>
                <w:sz w:val="21"/>
                <w:u w:val="single"/>
              </w:rPr>
              <w:t xml:space="preserve">      </w:t>
            </w:r>
            <w:r>
              <w:rPr>
                <w:sz w:val="21"/>
              </w:rPr>
              <w:t>人</w:t>
            </w:r>
          </w:p>
        </w:tc>
      </w:tr>
      <w:tr>
        <w:tc>
          <w:tcPr>
            <w:tcW w:type="dxa" w:w="522"/>
            <w:vMerge w:val="restart"/>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064"/>
            <w:vMerge w:val="restart"/>
            <w:tcBorders>
              <w:top w:val="none" w:color="000000" w:sz="4"/>
              <w:left w:val="none" w:color="000000" w:sz="4"/>
              <w:bottom w:val="single" w:color="000000" w:sz="4"/>
              <w:right w:val="single" w:color="000000" w:sz="4"/>
            </w:tcBorders>
            <w:shd w:fill="FFFFFF"/>
            <w:vAlign w:val="top"/>
          </w:tcPr>
          <w:p>
            <w:pPr>
              <w:jc w:val="center"/>
            </w:pPr>
            <w:r>
              <w:rPr>
                <w:sz w:val="21"/>
              </w:rPr>
              <w:t>市中心辅助业务员</w:t>
            </w:r>
          </w:p>
        </w:tc>
        <w:tc>
          <w:tcPr>
            <w:tcW w:type="dxa" w:w="1580"/>
            <w:tcBorders>
              <w:top w:val="none" w:color="000000" w:sz="4"/>
              <w:left w:val="none" w:color="000000" w:sz="4"/>
              <w:bottom w:val="single" w:color="000000" w:sz="4"/>
              <w:right w:val="single" w:color="000000" w:sz="4"/>
            </w:tcBorders>
            <w:shd w:fill="FFFFFF"/>
            <w:vAlign w:val="top"/>
          </w:tcPr>
          <w:p>
            <w:pPr>
              <w:jc w:val="left"/>
            </w:pPr>
            <w:r>
              <w:rPr>
                <w:sz w:val="21"/>
              </w:rPr>
              <w:t>业务培训专干兼营销业务员</w:t>
            </w:r>
          </w:p>
        </w:tc>
        <w:tc>
          <w:tcPr>
            <w:tcW w:type="dxa" w:w="3788"/>
            <w:tcBorders>
              <w:top w:val="none" w:color="000000" w:sz="4"/>
              <w:left w:val="none" w:color="000000" w:sz="4"/>
              <w:bottom w:val="single" w:color="000000" w:sz="4"/>
              <w:right w:val="single" w:color="000000" w:sz="4"/>
            </w:tcBorders>
            <w:shd w:fill="FFFFFF"/>
            <w:vAlign w:val="top"/>
          </w:tcPr>
          <w:p>
            <w:pPr>
              <w:jc w:val="left"/>
            </w:pPr>
            <w:r>
              <w:rPr>
                <w:sz w:val="21"/>
              </w:rPr>
              <w:t>负责全市专管员及网点售票员终端机操作、各种游戏产品规则及各玩法营销促销培训；负责整理及分析营销促销数据，制定落实营销促销方案及计划；负责营运省远程培训平台及媒体资料管理中心。</w:t>
            </w:r>
          </w:p>
        </w:tc>
        <w:tc>
          <w:tcPr>
            <w:tcW w:type="dxa" w:w="1352"/>
            <w:tcBorders>
              <w:top w:val="single" w:color="000000" w:sz="4"/>
              <w:left w:val="none" w:color="000000" w:sz="4"/>
              <w:bottom w:val="single" w:color="000000" w:sz="4"/>
              <w:right w:val="single" w:color="000000" w:sz="4"/>
            </w:tcBorders>
            <w:shd w:fill="FFFFFF"/>
            <w:vAlign w:val="top"/>
          </w:tcPr>
          <w:p>
            <w:pPr>
              <w:jc w:val="both"/>
            </w:pPr>
            <w:r>
              <w:rPr>
                <w:sz w:val="21"/>
                <w:u w:val="single"/>
              </w:rPr>
              <w:t xml:space="preserve">      </w:t>
            </w:r>
            <w:r>
              <w:rPr>
                <w:sz w:val="21"/>
              </w:rPr>
              <w:t>人</w:t>
            </w:r>
          </w:p>
        </w:tc>
      </w:tr>
      <w:tr>
        <w:tc>
          <w:tcPr>
            <w:tcW w:type="dxa" w:w="522"/>
            <w:vMerge/>
            <w:tcBorders>
              <w:top w:val="none" w:color="000000" w:sz="4"/>
              <w:left w:val="single" w:color="000000" w:sz="4"/>
              <w:bottom w:val="single" w:color="000000" w:sz="4"/>
              <w:right w:val="single" w:color="000000" w:sz="4"/>
            </w:tcBorders>
          </w:tcPr>
          <w:p/>
        </w:tc>
        <w:tc>
          <w:tcPr>
            <w:tcW w:type="dxa" w:w="1064"/>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shd w:fill="FFFFFF"/>
            <w:vAlign w:val="top"/>
          </w:tcPr>
          <w:p>
            <w:pPr>
              <w:jc w:val="left"/>
            </w:pPr>
            <w:r>
              <w:rPr>
                <w:sz w:val="21"/>
              </w:rPr>
              <w:t>专管员主管及网点征召及国家体彩中心渠道管理系统管理员</w:t>
            </w:r>
          </w:p>
        </w:tc>
        <w:tc>
          <w:tcPr>
            <w:tcW w:type="dxa" w:w="3788"/>
            <w:tcBorders>
              <w:top w:val="none" w:color="000000" w:sz="4"/>
              <w:left w:val="none" w:color="000000" w:sz="4"/>
              <w:bottom w:val="single" w:color="000000" w:sz="4"/>
              <w:right w:val="single" w:color="000000" w:sz="4"/>
            </w:tcBorders>
            <w:shd w:fill="FFFFFF"/>
            <w:vAlign w:val="top"/>
          </w:tcPr>
          <w:p>
            <w:pPr>
              <w:jc w:val="left"/>
            </w:pPr>
            <w:r>
              <w:rPr>
                <w:sz w:val="21"/>
              </w:rPr>
              <w:t>负责管理专管员团队；营运全省网点征召系统及帷胜渠道管理系统；负责全市网点新建、变更、退站等基础信息整理录入工作；负责协助维修维护销售终端机。</w:t>
            </w:r>
          </w:p>
        </w:tc>
        <w:tc>
          <w:tcPr>
            <w:tcW w:type="dxa" w:w="1352"/>
            <w:tcBorders>
              <w:top w:val="none" w:color="000000" w:sz="4"/>
              <w:left w:val="none" w:color="000000" w:sz="4"/>
              <w:bottom w:val="single" w:color="000000" w:sz="4"/>
              <w:right w:val="single" w:color="000000" w:sz="4"/>
            </w:tcBorders>
            <w:shd w:fill="FFFFFF"/>
            <w:vAlign w:val="top"/>
          </w:tcPr>
          <w:p>
            <w:pPr>
              <w:jc w:val="both"/>
            </w:pPr>
            <w:r>
              <w:rPr>
                <w:sz w:val="21"/>
                <w:u w:val="single"/>
              </w:rPr>
              <w:t xml:space="preserve">      </w:t>
            </w:r>
            <w:r>
              <w:rPr>
                <w:sz w:val="21"/>
              </w:rPr>
              <w:t>人</w:t>
            </w:r>
          </w:p>
        </w:tc>
      </w:tr>
      <w:tr>
        <w:tc>
          <w:tcPr>
            <w:tcW w:type="dxa" w:w="522"/>
            <w:vMerge/>
            <w:tcBorders>
              <w:top w:val="none" w:color="000000" w:sz="4"/>
              <w:left w:val="single" w:color="000000" w:sz="4"/>
              <w:bottom w:val="single" w:color="000000" w:sz="4"/>
              <w:right w:val="single" w:color="000000" w:sz="4"/>
            </w:tcBorders>
          </w:tcPr>
          <w:p/>
        </w:tc>
        <w:tc>
          <w:tcPr>
            <w:tcW w:type="dxa" w:w="1064"/>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shd w:fill="FFFFFF"/>
            <w:vAlign w:val="top"/>
          </w:tcPr>
          <w:p>
            <w:pPr>
              <w:jc w:val="left"/>
            </w:pPr>
            <w:r>
              <w:rPr>
                <w:sz w:val="21"/>
              </w:rPr>
              <w:t>销售数据统计、兑奖系统管理员及客服员</w:t>
            </w:r>
          </w:p>
        </w:tc>
        <w:tc>
          <w:tcPr>
            <w:tcW w:type="dxa" w:w="3788"/>
            <w:tcBorders>
              <w:top w:val="none" w:color="000000" w:sz="4"/>
              <w:left w:val="none" w:color="000000" w:sz="4"/>
              <w:bottom w:val="single" w:color="000000" w:sz="4"/>
              <w:right w:val="single" w:color="000000" w:sz="4"/>
            </w:tcBorders>
            <w:shd w:fill="FFFFFF"/>
            <w:vAlign w:val="top"/>
          </w:tcPr>
          <w:p>
            <w:pPr>
              <w:jc w:val="left"/>
            </w:pPr>
            <w:r>
              <w:rPr>
                <w:sz w:val="21"/>
              </w:rPr>
              <w:t>负责营业厅兑奖工作；负责接待群众咨询及业务来电来访、客服工作；负责国家体彩中心兑奖系统及销售数据系统的运行及数据统计和销售数据的收集整理。</w:t>
            </w:r>
          </w:p>
        </w:tc>
        <w:tc>
          <w:tcPr>
            <w:tcW w:type="dxa" w:w="1352"/>
            <w:tcBorders>
              <w:top w:val="none" w:color="000000" w:sz="4"/>
              <w:left w:val="none" w:color="000000" w:sz="4"/>
              <w:bottom w:val="single" w:color="000000" w:sz="4"/>
              <w:right w:val="single" w:color="000000" w:sz="4"/>
            </w:tcBorders>
            <w:shd w:fill="FFFFFF"/>
            <w:vAlign w:val="top"/>
          </w:tcPr>
          <w:p>
            <w:pPr>
              <w:jc w:val="both"/>
            </w:pPr>
            <w:r>
              <w:rPr>
                <w:sz w:val="21"/>
                <w:u w:val="single"/>
              </w:rPr>
              <w:t xml:space="preserve">      </w:t>
            </w:r>
            <w:r>
              <w:rPr>
                <w:sz w:val="21"/>
              </w:rPr>
              <w:t>人</w:t>
            </w:r>
          </w:p>
        </w:tc>
      </w:tr>
      <w:tr>
        <w:tc>
          <w:tcPr>
            <w:tcW w:type="dxa" w:w="522"/>
            <w:vMerge/>
            <w:tcBorders>
              <w:top w:val="none" w:color="000000" w:sz="4"/>
              <w:left w:val="single" w:color="000000" w:sz="4"/>
              <w:bottom w:val="single" w:color="000000" w:sz="4"/>
              <w:right w:val="single" w:color="000000" w:sz="4"/>
            </w:tcBorders>
          </w:tcPr>
          <w:p/>
        </w:tc>
        <w:tc>
          <w:tcPr>
            <w:tcW w:type="dxa" w:w="1064"/>
            <w:vMerge/>
            <w:tcBorders>
              <w:top w:val="none" w:color="000000" w:sz="4"/>
              <w:left w:val="none" w:color="000000" w:sz="4"/>
              <w:bottom w:val="single" w:color="000000" w:sz="4"/>
              <w:right w:val="single" w:color="000000" w:sz="4"/>
            </w:tcBorders>
          </w:tcPr>
          <w:p/>
        </w:tc>
        <w:tc>
          <w:tcPr>
            <w:tcW w:type="dxa" w:w="1580"/>
            <w:tcBorders>
              <w:top w:val="none" w:color="000000" w:sz="4"/>
              <w:left w:val="none" w:color="000000" w:sz="4"/>
              <w:bottom w:val="single" w:color="000000" w:sz="4"/>
              <w:right w:val="single" w:color="000000" w:sz="4"/>
            </w:tcBorders>
            <w:shd w:fill="FFFFFF"/>
            <w:vAlign w:val="top"/>
          </w:tcPr>
          <w:p>
            <w:pPr>
              <w:jc w:val="left"/>
            </w:pPr>
            <w:r>
              <w:rPr>
                <w:sz w:val="21"/>
              </w:rPr>
              <w:t>物资及资产管理系统管理员及宣传专干</w:t>
            </w:r>
          </w:p>
        </w:tc>
        <w:tc>
          <w:tcPr>
            <w:tcW w:type="dxa" w:w="3788"/>
            <w:tcBorders>
              <w:top w:val="none" w:color="000000" w:sz="4"/>
              <w:left w:val="none" w:color="000000" w:sz="4"/>
              <w:bottom w:val="single" w:color="000000" w:sz="4"/>
              <w:right w:val="single" w:color="000000" w:sz="4"/>
            </w:tcBorders>
            <w:shd w:fill="FFFFFF"/>
            <w:vAlign w:val="top"/>
          </w:tcPr>
          <w:p>
            <w:pPr>
              <w:jc w:val="left"/>
            </w:pPr>
            <w:r>
              <w:rPr>
                <w:sz w:val="21"/>
              </w:rPr>
              <w:t>负责营运物资及体彩终端机收、发管理，资产综合管理信息系统管理、固定资产台账登记、数据维护及报表报送；负责网站、微信公众号营运及对接媒体公益、中奖等宣传稿件编写发布）</w:t>
            </w:r>
          </w:p>
        </w:tc>
        <w:tc>
          <w:tcPr>
            <w:tcW w:type="dxa" w:w="1352"/>
            <w:tcBorders>
              <w:top w:val="none" w:color="000000" w:sz="4"/>
              <w:left w:val="none" w:color="000000" w:sz="4"/>
              <w:bottom w:val="single" w:color="000000" w:sz="4"/>
              <w:right w:val="single" w:color="000000" w:sz="4"/>
            </w:tcBorders>
            <w:shd w:fill="FFFFFF"/>
            <w:vAlign w:val="top"/>
          </w:tcPr>
          <w:p>
            <w:pPr>
              <w:jc w:val="both"/>
            </w:pPr>
            <w:r>
              <w:rPr>
                <w:sz w:val="21"/>
                <w:u w:val="single"/>
              </w:rPr>
              <w:t xml:space="preserve">      </w:t>
            </w:r>
            <w:r>
              <w:rPr>
                <w:sz w:val="21"/>
              </w:rPr>
              <w:t>人</w:t>
            </w:r>
          </w:p>
        </w:tc>
      </w:tr>
    </w:tbl>
    <w:p>
      <w:pPr>
        <w:jc w:val="both"/>
      </w:pPr>
      <w:r>
        <w:rPr>
          <w:sz w:val="27"/>
        </w:rPr>
        <w:t>2</w:t>
      </w:r>
      <w:r>
        <w:rPr>
          <w:sz w:val="27"/>
        </w:rPr>
        <w:t>．</w:t>
      </w:r>
      <w:r>
        <w:rPr>
          <w:b/>
          <w:sz w:val="21"/>
        </w:rPr>
        <w:t>工作成果交付和验收</w:t>
      </w:r>
    </w:p>
    <w:p>
      <w:pPr>
        <w:ind w:firstLine="420"/>
        <w:jc w:val="both"/>
      </w:pPr>
    </w:p>
    <w:p>
      <w:pPr>
        <w:ind w:firstLine="420"/>
        <w:jc w:val="both"/>
      </w:pPr>
      <w:r>
        <w:rPr>
          <w:sz w:val="21"/>
        </w:rPr>
        <w:t>乙方应按服务要求按时保质保量地完成服务工作，并按该项目服务内容，按照约定的数量、质量和周期向甲方交付工作成果。甲方应对乙方提交的工作成果按约定质量标准进行验收，并出具验收意见及评分。</w:t>
      </w:r>
    </w:p>
    <w:p>
      <w:pPr>
        <w:ind w:firstLine="420"/>
        <w:jc w:val="left"/>
      </w:pPr>
      <w:r>
        <w:rPr>
          <w:sz w:val="21"/>
        </w:rPr>
        <w:t>注</w:t>
      </w:r>
      <w:r>
        <w:rPr>
          <w:sz w:val="21"/>
        </w:rPr>
        <w:t>:1、</w:t>
      </w:r>
      <w:r>
        <w:rPr>
          <w:sz w:val="21"/>
        </w:rPr>
        <w:t>服务运营团队组成：（</w:t>
      </w:r>
      <w:r>
        <w:rPr>
          <w:sz w:val="21"/>
        </w:rPr>
        <w:t>1）</w:t>
      </w:r>
      <w:r>
        <w:rPr>
          <w:sz w:val="21"/>
        </w:rPr>
        <w:t>、专管员：不少于</w:t>
      </w:r>
      <w:r>
        <w:rPr>
          <w:sz w:val="21"/>
        </w:rPr>
        <w:t>1</w:t>
      </w:r>
      <w:r>
        <w:rPr>
          <w:sz w:val="21"/>
        </w:rPr>
        <w:t>3</w:t>
      </w:r>
      <w:r>
        <w:rPr>
          <w:sz w:val="21"/>
        </w:rPr>
        <w:t>名；</w:t>
      </w:r>
      <w:r>
        <w:rPr>
          <w:sz w:val="21"/>
        </w:rPr>
        <w:t>（</w:t>
      </w:r>
      <w:r>
        <w:rPr>
          <w:sz w:val="21"/>
        </w:rPr>
        <w:t>2）</w:t>
      </w:r>
      <w:r>
        <w:rPr>
          <w:sz w:val="21"/>
        </w:rPr>
        <w:t>、市中心辅助业务员：不少于</w:t>
      </w:r>
      <w:r>
        <w:rPr>
          <w:sz w:val="21"/>
        </w:rPr>
        <w:t>4</w:t>
      </w:r>
      <w:r>
        <w:rPr>
          <w:sz w:val="21"/>
        </w:rPr>
        <w:t>名。</w:t>
      </w:r>
    </w:p>
    <w:p>
      <w:pPr>
        <w:ind w:firstLine="420"/>
        <w:jc w:val="left"/>
      </w:pPr>
      <w:r>
        <w:rPr/>
        <w:t xml:space="preserve">   2、</w:t>
      </w:r>
      <w:r>
        <w:rPr>
          <w:sz w:val="21"/>
        </w:rPr>
        <w:t>专管员实收工资不低于5430元；</w:t>
      </w:r>
      <w:r>
        <w:rPr>
          <w:sz w:val="21"/>
        </w:rPr>
        <w:t>市中心辅助业务员</w:t>
      </w:r>
      <w:r>
        <w:rPr>
          <w:sz w:val="21"/>
        </w:rPr>
        <w:t>实收工资不低于5100元。</w:t>
      </w:r>
    </w:p>
    <w:p>
      <w:pPr>
        <w:ind w:firstLine="420"/>
        <w:jc w:val="left"/>
      </w:pPr>
      <w:r>
        <w:rPr>
          <w:sz w:val="27"/>
        </w:rPr>
        <w:t>3</w:t>
      </w:r>
      <w:r>
        <w:rPr>
          <w:sz w:val="27"/>
        </w:rPr>
        <w:t>．</w:t>
      </w:r>
      <w:r>
        <w:rPr>
          <w:b/>
          <w:sz w:val="21"/>
        </w:rPr>
        <w:t>服务团队要求：</w:t>
      </w:r>
    </w:p>
    <w:p>
      <w:pPr>
        <w:ind w:firstLine="420"/>
        <w:jc w:val="left"/>
      </w:pPr>
    </w:p>
    <w:p>
      <w:pPr>
        <w:ind w:firstLine="420"/>
        <w:jc w:val="left"/>
      </w:pPr>
      <w:r>
        <w:rPr>
          <w:sz w:val="21"/>
        </w:rPr>
        <w:t>3.1</w:t>
      </w:r>
      <w:r>
        <w:rPr>
          <w:sz w:val="21"/>
        </w:rPr>
        <w:t>、服务中标供应商应提供其安排在本项目中的服务人员的基本劳动保障。如因此产生的劳动纠纷由服务中标人方全权负责，与甲方无关。</w:t>
      </w:r>
    </w:p>
    <w:p>
      <w:pPr>
        <w:ind w:firstLine="420"/>
        <w:jc w:val="left"/>
      </w:pPr>
      <w:r>
        <w:rPr>
          <w:sz w:val="21"/>
        </w:rPr>
        <w:t>3.2</w:t>
      </w:r>
      <w:r>
        <w:rPr>
          <w:sz w:val="21"/>
        </w:rPr>
        <w:t>、人员素质要求：</w:t>
      </w:r>
    </w:p>
    <w:p>
      <w:pPr>
        <w:ind w:firstLine="567"/>
        <w:jc w:val="both"/>
      </w:pPr>
      <w:r>
        <w:rPr>
          <w:color w:val="222222"/>
          <w:sz w:val="21"/>
        </w:rPr>
        <w:t>投标人为本项目配备的服务人员应具有工作主动性和良好的服务意识、交流沟通能力、专业能力。投标人在投标文件中应该明确各岗位的实际人员素质及工作经验要求，按照自行设计的人力配置方案，提供各业务各岗位工作职责、基本素质要求的描述。</w:t>
      </w:r>
    </w:p>
    <w:p>
      <w:pPr>
        <w:ind w:firstLine="567"/>
        <w:jc w:val="both"/>
      </w:pPr>
      <w:r>
        <w:rPr>
          <w:color w:val="222222"/>
          <w:sz w:val="21"/>
        </w:rPr>
        <w:t>人员素质要求表：</w:t>
      </w:r>
    </w:p>
    <w:tbl>
      <w:tblPr>
        <w:tblW w:w="0" w:type="auto"/>
        <w:tblBorders>
          <w:top w:val="none" w:color="000000" w:sz="4"/>
          <w:left w:val="none" w:color="000000" w:sz="4"/>
          <w:bottom w:val="none" w:color="000000" w:sz="4"/>
          <w:right w:val="none" w:color="000000" w:sz="4"/>
          <w:insideH w:val="none"/>
          <w:insideV w:val="none"/>
        </w:tblBorders>
      </w:tblPr>
      <w:tblGrid>
        <w:gridCol w:w="687"/>
        <w:gridCol w:w="2135"/>
        <w:gridCol w:w="5484"/>
      </w:tblGrid>
      <w:tr>
        <w:tc>
          <w:tcPr>
            <w:tcW w:type="dxa" w:w="687"/>
            <w:tcBorders>
              <w:top w:val="single" w:color="000000" w:sz="4"/>
              <w:left w:val="single" w:color="000000" w:sz="4"/>
              <w:bottom w:val="single" w:color="000000" w:sz="4"/>
              <w:right w:val="single" w:color="000000" w:sz="4"/>
            </w:tcBorders>
            <w:shd w:fill="F1F1F1"/>
            <w:vAlign w:val="top"/>
          </w:tcPr>
          <w:p>
            <w:pPr>
              <w:jc w:val="both"/>
            </w:pPr>
            <w:r>
              <w:rPr>
                <w:color w:val="222222"/>
                <w:sz w:val="21"/>
              </w:rPr>
              <w:t>序号</w:t>
            </w:r>
          </w:p>
        </w:tc>
        <w:tc>
          <w:tcPr>
            <w:tcW w:type="dxa" w:w="2135"/>
            <w:tcBorders>
              <w:top w:val="single" w:color="000000" w:sz="4"/>
              <w:left w:val="none" w:color="000000" w:sz="4"/>
              <w:bottom w:val="single" w:color="000000" w:sz="4"/>
              <w:right w:val="single" w:color="000000" w:sz="4"/>
            </w:tcBorders>
            <w:shd w:fill="F1F1F1"/>
            <w:vAlign w:val="top"/>
          </w:tcPr>
          <w:p>
            <w:pPr>
              <w:jc w:val="center"/>
            </w:pPr>
            <w:r>
              <w:rPr>
                <w:color w:val="222222"/>
                <w:sz w:val="21"/>
              </w:rPr>
              <w:t>服务类别</w:t>
            </w:r>
          </w:p>
        </w:tc>
        <w:tc>
          <w:tcPr>
            <w:tcW w:type="dxa" w:w="5484"/>
            <w:tcBorders>
              <w:top w:val="single" w:color="000000" w:sz="4"/>
              <w:left w:val="none" w:color="000000" w:sz="4"/>
              <w:bottom w:val="single" w:color="000000" w:sz="4"/>
              <w:right w:val="single" w:color="000000" w:sz="4"/>
            </w:tcBorders>
            <w:shd w:fill="F1F1F1"/>
            <w:vAlign w:val="top"/>
          </w:tcPr>
          <w:p>
            <w:pPr>
              <w:jc w:val="center"/>
            </w:pPr>
            <w:r>
              <w:rPr>
                <w:color w:val="222222"/>
                <w:sz w:val="21"/>
              </w:rPr>
              <w:t>素质要求</w:t>
            </w:r>
          </w:p>
        </w:tc>
      </w:tr>
      <w:tr>
        <w:tc>
          <w:tcPr>
            <w:tcW w:type="dxa" w:w="687"/>
            <w:tcBorders>
              <w:top w:val="none" w:color="000000" w:sz="4"/>
              <w:left w:val="single" w:color="000000" w:sz="4"/>
              <w:bottom w:val="single" w:color="000000" w:sz="4"/>
              <w:right w:val="single" w:color="000000" w:sz="4"/>
            </w:tcBorders>
            <w:shd w:fill="FFFFFF"/>
            <w:vAlign w:val="top"/>
          </w:tcPr>
          <w:p>
            <w:pPr>
              <w:jc w:val="center"/>
            </w:pPr>
            <w:r>
              <w:rPr>
                <w:color w:val="222222"/>
                <w:sz w:val="24"/>
              </w:rPr>
              <w:t>1</w:t>
            </w:r>
          </w:p>
        </w:tc>
        <w:tc>
          <w:tcPr>
            <w:tcW w:type="dxa" w:w="2135"/>
            <w:tcBorders>
              <w:top w:val="none" w:color="000000" w:sz="4"/>
              <w:left w:val="none" w:color="000000" w:sz="4"/>
              <w:bottom w:val="single" w:color="000000" w:sz="4"/>
              <w:right w:val="single" w:color="000000" w:sz="4"/>
            </w:tcBorders>
            <w:shd w:fill="FFFFFF"/>
            <w:vAlign w:val="top"/>
          </w:tcPr>
          <w:p>
            <w:pPr>
              <w:jc w:val="both"/>
            </w:pPr>
            <w:r>
              <w:rPr>
                <w:color w:val="222222"/>
                <w:sz w:val="21"/>
              </w:rPr>
              <w:t>专管员</w:t>
            </w:r>
          </w:p>
        </w:tc>
        <w:tc>
          <w:tcPr>
            <w:tcW w:type="dxa" w:w="5484"/>
            <w:tcBorders>
              <w:top w:val="none" w:color="000000" w:sz="4"/>
              <w:left w:val="none" w:color="000000" w:sz="4"/>
              <w:bottom w:val="single" w:color="000000" w:sz="4"/>
              <w:right w:val="single" w:color="000000" w:sz="4"/>
            </w:tcBorders>
            <w:shd w:fill="FFFFFF"/>
            <w:vAlign w:val="top"/>
          </w:tcPr>
          <w:p>
            <w:pPr>
              <w:ind w:firstLine="420"/>
              <w:jc w:val="left"/>
            </w:pPr>
            <w:r>
              <w:rPr>
                <w:color w:val="222222"/>
                <w:sz w:val="21"/>
              </w:rPr>
              <w:t>1</w:t>
            </w:r>
            <w:r>
              <w:rPr>
                <w:color w:val="222222"/>
                <w:sz w:val="21"/>
              </w:rPr>
              <w:t>、具有中华人民共和国国籍，拥护中华人民共和国宪法。</w:t>
            </w:r>
          </w:p>
          <w:p>
            <w:pPr>
              <w:ind w:firstLine="420"/>
              <w:jc w:val="left"/>
            </w:pPr>
            <w:r>
              <w:rPr>
                <w:color w:val="222222"/>
                <w:sz w:val="21"/>
              </w:rPr>
              <w:t>2</w:t>
            </w:r>
            <w:r>
              <w:rPr>
                <w:color w:val="222222"/>
                <w:sz w:val="21"/>
              </w:rPr>
              <w:t>、遵纪守法，具有良好的道德品行和职业道德。</w:t>
            </w:r>
          </w:p>
          <w:p>
            <w:pPr>
              <w:ind w:firstLine="420"/>
              <w:jc w:val="left"/>
            </w:pPr>
            <w:r>
              <w:rPr>
                <w:color w:val="222222"/>
                <w:sz w:val="21"/>
              </w:rPr>
              <w:t>3</w:t>
            </w:r>
            <w:r>
              <w:rPr>
                <w:color w:val="222222"/>
                <w:sz w:val="21"/>
              </w:rPr>
              <w:t>、身体健康，具有正常履行职责的身体条件和工作能力。</w:t>
            </w:r>
          </w:p>
          <w:p>
            <w:pPr>
              <w:ind w:firstLine="420"/>
              <w:jc w:val="left"/>
            </w:pPr>
            <w:r>
              <w:rPr>
                <w:color w:val="222222"/>
                <w:sz w:val="21"/>
              </w:rPr>
              <w:t>4</w:t>
            </w:r>
            <w:r>
              <w:rPr>
                <w:color w:val="222222"/>
                <w:sz w:val="21"/>
              </w:rPr>
              <w:t>、无任何犯罪记录（需提供户籍所在地派出所出具的有效证明）。</w:t>
            </w:r>
          </w:p>
          <w:p>
            <w:pPr>
              <w:ind w:firstLine="420"/>
              <w:jc w:val="left"/>
            </w:pPr>
            <w:r>
              <w:rPr>
                <w:color w:val="222222"/>
                <w:sz w:val="21"/>
              </w:rPr>
              <w:t>5</w:t>
            </w:r>
            <w:r>
              <w:rPr>
                <w:color w:val="222222"/>
                <w:sz w:val="21"/>
              </w:rPr>
              <w:t>、符合《中华人民共和国民法典》相关规定。</w:t>
            </w:r>
          </w:p>
          <w:p>
            <w:pPr>
              <w:ind w:firstLine="420"/>
              <w:jc w:val="left"/>
            </w:pPr>
            <w:r>
              <w:rPr>
                <w:color w:val="222222"/>
                <w:sz w:val="21"/>
              </w:rPr>
              <w:t>6</w:t>
            </w:r>
            <w:r>
              <w:rPr>
                <w:color w:val="222222"/>
                <w:sz w:val="21"/>
              </w:rPr>
              <w:t>、任职条件要求：</w:t>
            </w:r>
            <w:r>
              <w:rPr>
                <w:color w:val="222222"/>
                <w:sz w:val="21"/>
              </w:rPr>
              <w:t>①</w:t>
            </w:r>
            <w:r>
              <w:rPr>
                <w:color w:val="222222"/>
                <w:sz w:val="21"/>
              </w:rPr>
              <w:t>大专以上学历；</w:t>
            </w:r>
            <w:r>
              <w:rPr>
                <w:color w:val="222222"/>
                <w:sz w:val="21"/>
              </w:rPr>
              <w:t>②</w:t>
            </w:r>
            <w:r>
              <w:rPr>
                <w:color w:val="222222"/>
                <w:sz w:val="21"/>
              </w:rPr>
              <w:t>性别不限；</w:t>
            </w:r>
            <w:r>
              <w:rPr>
                <w:color w:val="222222"/>
                <w:sz w:val="21"/>
              </w:rPr>
              <w:t>③</w:t>
            </w:r>
            <w:r>
              <w:rPr>
                <w:color w:val="222222"/>
                <w:sz w:val="21"/>
              </w:rPr>
              <w:t>自带交通工具（电动车、摩托车或小车），有小汽车驾照优先。</w:t>
            </w:r>
          </w:p>
          <w:p>
            <w:pPr>
              <w:ind w:firstLine="420"/>
              <w:jc w:val="left"/>
            </w:pPr>
            <w:r>
              <w:rPr>
                <w:color w:val="222222"/>
                <w:sz w:val="21"/>
              </w:rPr>
              <w:t>7</w:t>
            </w:r>
            <w:r>
              <w:rPr>
                <w:color w:val="222222"/>
                <w:sz w:val="21"/>
              </w:rPr>
              <w:t>、工作时间：每周工作时间累计</w:t>
            </w:r>
            <w:r>
              <w:rPr>
                <w:color w:val="222222"/>
                <w:sz w:val="21"/>
              </w:rPr>
              <w:t>48</w:t>
            </w:r>
            <w:r>
              <w:rPr>
                <w:color w:val="222222"/>
                <w:sz w:val="21"/>
              </w:rPr>
              <w:t>小时。</w:t>
            </w:r>
          </w:p>
          <w:p>
            <w:pPr>
              <w:ind w:firstLine="420"/>
              <w:jc w:val="left"/>
            </w:pPr>
            <w:r>
              <w:rPr>
                <w:color w:val="222222"/>
                <w:sz w:val="21"/>
              </w:rPr>
              <w:t>8</w:t>
            </w:r>
            <w:r>
              <w:rPr>
                <w:color w:val="222222"/>
                <w:sz w:val="21"/>
              </w:rPr>
              <w:t>、工作地点：按甲方需求分配（全市</w:t>
            </w:r>
            <w:r>
              <w:rPr>
                <w:color w:val="222222"/>
                <w:sz w:val="21"/>
              </w:rPr>
              <w:t>24</w:t>
            </w:r>
            <w:r>
              <w:rPr>
                <w:color w:val="222222"/>
                <w:sz w:val="21"/>
              </w:rPr>
              <w:t>个镇街）。</w:t>
            </w:r>
          </w:p>
        </w:tc>
      </w:tr>
      <w:tr>
        <w:tc>
          <w:tcPr>
            <w:tcW w:type="dxa" w:w="687"/>
            <w:tcBorders>
              <w:top w:val="none" w:color="000000" w:sz="4"/>
              <w:left w:val="single" w:color="000000" w:sz="4"/>
              <w:bottom w:val="single" w:color="000000" w:sz="4"/>
              <w:right w:val="single" w:color="000000" w:sz="4"/>
            </w:tcBorders>
            <w:shd w:fill="FFFFFF"/>
            <w:vAlign w:val="top"/>
          </w:tcPr>
          <w:p>
            <w:pPr>
              <w:jc w:val="center"/>
            </w:pPr>
            <w:r>
              <w:rPr>
                <w:color w:val="222222"/>
                <w:sz w:val="21"/>
              </w:rPr>
              <w:t>2</w:t>
            </w:r>
          </w:p>
        </w:tc>
        <w:tc>
          <w:tcPr>
            <w:tcW w:type="dxa" w:w="2135"/>
            <w:tcBorders>
              <w:top w:val="none" w:color="000000" w:sz="4"/>
              <w:left w:val="none" w:color="000000" w:sz="4"/>
              <w:bottom w:val="single" w:color="000000" w:sz="4"/>
              <w:right w:val="single" w:color="000000" w:sz="4"/>
            </w:tcBorders>
            <w:shd w:fill="FFFFFF"/>
            <w:vAlign w:val="top"/>
          </w:tcPr>
          <w:p>
            <w:pPr>
              <w:jc w:val="both"/>
            </w:pPr>
            <w:r>
              <w:rPr>
                <w:color w:val="222222"/>
                <w:sz w:val="21"/>
              </w:rPr>
              <w:t>市中心辅助业务员</w:t>
            </w:r>
          </w:p>
        </w:tc>
        <w:tc>
          <w:tcPr>
            <w:tcW w:type="dxa" w:w="5484"/>
            <w:tcBorders>
              <w:top w:val="none" w:color="000000" w:sz="4"/>
              <w:left w:val="none" w:color="000000" w:sz="4"/>
              <w:bottom w:val="single" w:color="000000" w:sz="4"/>
              <w:right w:val="single" w:color="000000" w:sz="4"/>
            </w:tcBorders>
            <w:shd w:fill="FFFFFF"/>
            <w:vAlign w:val="top"/>
          </w:tcPr>
          <w:p>
            <w:pPr>
              <w:ind w:firstLine="420"/>
              <w:jc w:val="left"/>
            </w:pPr>
            <w:r>
              <w:rPr>
                <w:color w:val="222222"/>
                <w:sz w:val="21"/>
              </w:rPr>
              <w:t>1</w:t>
            </w:r>
            <w:r>
              <w:rPr>
                <w:color w:val="222222"/>
                <w:sz w:val="21"/>
              </w:rPr>
              <w:t>、具有中华人民共和国国籍，拥护中华人民共和国宪法。</w:t>
            </w:r>
          </w:p>
          <w:p>
            <w:pPr>
              <w:ind w:firstLine="420"/>
              <w:jc w:val="left"/>
            </w:pPr>
            <w:r>
              <w:rPr>
                <w:color w:val="222222"/>
                <w:sz w:val="21"/>
              </w:rPr>
              <w:t>2</w:t>
            </w:r>
            <w:r>
              <w:rPr>
                <w:color w:val="222222"/>
                <w:sz w:val="21"/>
              </w:rPr>
              <w:t>、遵纪守法，具有良好的道德品行和职业道德。</w:t>
            </w:r>
          </w:p>
          <w:p>
            <w:pPr>
              <w:ind w:firstLine="420"/>
              <w:jc w:val="left"/>
            </w:pPr>
            <w:r>
              <w:rPr>
                <w:color w:val="222222"/>
                <w:sz w:val="21"/>
              </w:rPr>
              <w:t>3</w:t>
            </w:r>
            <w:r>
              <w:rPr>
                <w:color w:val="222222"/>
                <w:sz w:val="21"/>
              </w:rPr>
              <w:t>、身体健康，具有正常履行职责的身体条件和工作能力。</w:t>
            </w:r>
          </w:p>
          <w:p>
            <w:pPr>
              <w:ind w:firstLine="420"/>
              <w:jc w:val="left"/>
            </w:pPr>
            <w:r>
              <w:rPr>
                <w:color w:val="222222"/>
                <w:sz w:val="21"/>
              </w:rPr>
              <w:t>4</w:t>
            </w:r>
            <w:r>
              <w:rPr>
                <w:color w:val="222222"/>
                <w:sz w:val="21"/>
              </w:rPr>
              <w:t>、符合《中华人民共和国民法典》相关规定。</w:t>
            </w:r>
          </w:p>
          <w:p>
            <w:pPr>
              <w:ind w:firstLine="420"/>
              <w:jc w:val="left"/>
            </w:pPr>
            <w:r>
              <w:rPr>
                <w:color w:val="222222"/>
                <w:sz w:val="21"/>
              </w:rPr>
              <w:t>5</w:t>
            </w:r>
            <w:r>
              <w:rPr>
                <w:color w:val="222222"/>
                <w:sz w:val="21"/>
              </w:rPr>
              <w:t>、要求：大专以上学历；自带交通工具（电动车、摩托车或小车），有小汽车驾照优先。</w:t>
            </w:r>
          </w:p>
          <w:p>
            <w:pPr>
              <w:ind w:firstLine="420"/>
              <w:jc w:val="left"/>
            </w:pPr>
            <w:r>
              <w:rPr>
                <w:color w:val="222222"/>
                <w:sz w:val="21"/>
              </w:rPr>
              <w:t>6</w:t>
            </w:r>
            <w:r>
              <w:rPr>
                <w:color w:val="222222"/>
                <w:sz w:val="21"/>
              </w:rPr>
              <w:t>、工作时间：每周工作时间累计</w:t>
            </w:r>
            <w:r>
              <w:rPr>
                <w:color w:val="222222"/>
                <w:sz w:val="21"/>
              </w:rPr>
              <w:t>40</w:t>
            </w:r>
            <w:r>
              <w:rPr>
                <w:color w:val="222222"/>
                <w:sz w:val="21"/>
              </w:rPr>
              <w:t>小时。</w:t>
            </w:r>
          </w:p>
          <w:p>
            <w:pPr>
              <w:ind w:firstLine="420"/>
              <w:jc w:val="left"/>
            </w:pPr>
            <w:r>
              <w:rPr>
                <w:color w:val="222222"/>
                <w:sz w:val="21"/>
              </w:rPr>
              <w:t>7</w:t>
            </w:r>
            <w:r>
              <w:rPr>
                <w:color w:val="222222"/>
                <w:sz w:val="21"/>
              </w:rPr>
              <w:t>、工作地点：按甲方需求分配。</w:t>
            </w:r>
          </w:p>
        </w:tc>
      </w:tr>
      <w:tr>
        <w:tc>
          <w:tcPr>
            <w:tcW w:type="dxa" w:w="8306"/>
            <w:gridSpan w:val="3"/>
            <w:tcBorders>
              <w:top w:val="none" w:color="000000" w:sz="4"/>
              <w:left w:val="single" w:color="000000" w:sz="4"/>
              <w:bottom w:val="single" w:color="000000" w:sz="4"/>
              <w:right w:val="single" w:color="000000" w:sz="4"/>
            </w:tcBorders>
            <w:shd w:fill="FFFFFF"/>
            <w:vAlign w:val="top"/>
          </w:tcPr>
          <w:p>
            <w:pPr>
              <w:jc w:val="both"/>
            </w:pPr>
            <w:r>
              <w:rPr>
                <w:color w:val="222222"/>
                <w:sz w:val="21"/>
              </w:rPr>
              <w:t>备注：岗位员工有工作经验，并经甲方复试确认，素质条件可适当放宽。</w:t>
            </w:r>
          </w:p>
        </w:tc>
      </w:tr>
    </w:tbl>
    <w:p>
      <w:pPr>
        <w:ind w:firstLine="420"/>
        <w:jc w:val="left"/>
      </w:pPr>
    </w:p>
    <w:p>
      <w:pPr>
        <w:jc w:val="both"/>
      </w:pPr>
      <w:r>
        <w:rPr>
          <w:color w:val="222222"/>
          <w:sz w:val="27"/>
        </w:rPr>
        <w:t>4</w:t>
      </w:r>
      <w:r>
        <w:rPr>
          <w:color w:val="222222"/>
          <w:sz w:val="27"/>
        </w:rPr>
        <w:t>．</w:t>
      </w:r>
      <w:r>
        <w:rPr>
          <w:b/>
          <w:color w:val="222222"/>
          <w:sz w:val="21"/>
        </w:rPr>
        <w:t>服务要求：</w:t>
      </w:r>
    </w:p>
    <w:p>
      <w:pPr>
        <w:ind w:firstLine="365"/>
        <w:jc w:val="left"/>
      </w:pPr>
      <w:r>
        <w:rPr>
          <w:color w:val="222222"/>
          <w:sz w:val="21"/>
        </w:rPr>
        <w:t>1</w:t>
      </w:r>
      <w:r>
        <w:rPr>
          <w:color w:val="222222"/>
          <w:sz w:val="21"/>
        </w:rPr>
        <w:t>、在《中标通知书》发出之日起三十日内，乙方应安排公司代表与甲方按照采购文件确定的事项签订采购合同。</w:t>
      </w:r>
    </w:p>
    <w:p>
      <w:pPr>
        <w:ind w:firstLine="365"/>
        <w:jc w:val="left"/>
      </w:pPr>
      <w:r>
        <w:rPr>
          <w:color w:val="222222"/>
          <w:sz w:val="21"/>
        </w:rPr>
        <w:t>2</w:t>
      </w:r>
      <w:r>
        <w:rPr>
          <w:color w:val="222222"/>
          <w:sz w:val="21"/>
        </w:rPr>
        <w:t>、甲方将对乙方实行动态管理，对乙方的服务承诺、服务态度等进行定期和不定期的考核，一旦发现乙方违反招标文件要求及其承诺，将要求其限期整改，整改期间暂时按最低得分计算考核分数，整改完成后达到要求则恢复正常考核，否则甲方有权无条件取消其服务资格。</w:t>
      </w:r>
    </w:p>
    <w:p>
      <w:pPr>
        <w:ind w:firstLine="365"/>
        <w:jc w:val="left"/>
      </w:pPr>
      <w:r>
        <w:rPr>
          <w:color w:val="222222"/>
          <w:sz w:val="21"/>
        </w:rPr>
        <w:t>3</w:t>
      </w:r>
      <w:r>
        <w:rPr>
          <w:color w:val="222222"/>
          <w:sz w:val="21"/>
        </w:rPr>
        <w:t>、本项目所需服务人员要求由甲方根据所需项目职能内容的性质和行业特点以及数量进行设定，由乙方进行招聘后，将拟录用人员提供给甲方复试确认，本项目管理费包括招聘费，甲方不再另行支付招聘费用。</w:t>
      </w:r>
    </w:p>
    <w:p>
      <w:pPr>
        <w:ind w:firstLine="365"/>
        <w:jc w:val="left"/>
      </w:pPr>
      <w:r>
        <w:rPr>
          <w:color w:val="222222"/>
          <w:sz w:val="21"/>
        </w:rPr>
        <w:t>4</w:t>
      </w:r>
      <w:r>
        <w:rPr>
          <w:color w:val="222222"/>
          <w:sz w:val="21"/>
        </w:rPr>
        <w:t>、乙方负责按照甲方要求招聘和录用本项目所需服务人员，按照有关法律法规规定与本项目所需服务人员订立书面劳动合同，为本项目所需服务人员在工作所在地办理社会保险手续等，并根据甲方提供的本项目所需服务人员考勤、考核、教育培训、奖惩等资料情况建立本项目所需服务人员人事信息档案</w:t>
      </w:r>
      <w:r>
        <w:rPr>
          <w:b/>
          <w:color w:val="222222"/>
          <w:sz w:val="21"/>
        </w:rPr>
        <w:t>。</w:t>
      </w:r>
      <w:r>
        <w:rPr>
          <w:color w:val="222222"/>
          <w:sz w:val="21"/>
        </w:rPr>
        <w:t>对新招本项目所需服务人员，应在规定时间内办齐所有用工手续，并提供包括但不限于本项目所需服务人员档案表、花名册、身份证及学历证复印件等供甲方备案；</w:t>
      </w:r>
    </w:p>
    <w:p>
      <w:pPr>
        <w:ind w:firstLine="365"/>
        <w:jc w:val="left"/>
      </w:pPr>
      <w:r>
        <w:rPr>
          <w:color w:val="222222"/>
          <w:sz w:val="21"/>
        </w:rPr>
        <w:t>5</w:t>
      </w:r>
      <w:r>
        <w:rPr>
          <w:color w:val="222222"/>
          <w:sz w:val="21"/>
        </w:rPr>
        <w:t>、乙方负责本项目所需服务人员的招聘和录用、退工手续办理、薪酬管理、福利发放、各种社保和住房公积金（五险一金：按照当地社会保险缴费标准和规定）办理及个税代扣代缴；</w:t>
      </w:r>
    </w:p>
    <w:p>
      <w:pPr>
        <w:ind w:firstLine="365"/>
        <w:jc w:val="left"/>
      </w:pPr>
      <w:r>
        <w:rPr>
          <w:color w:val="222222"/>
          <w:sz w:val="21"/>
        </w:rPr>
        <w:t>6</w:t>
      </w:r>
      <w:r>
        <w:rPr>
          <w:color w:val="222222"/>
          <w:sz w:val="21"/>
        </w:rPr>
        <w:t>、乙方负责本项目所需服务人员的档案管理等相关管理；</w:t>
      </w:r>
    </w:p>
    <w:p>
      <w:pPr>
        <w:ind w:firstLine="365"/>
        <w:jc w:val="left"/>
      </w:pPr>
      <w:r>
        <w:rPr>
          <w:color w:val="222222"/>
          <w:sz w:val="21"/>
        </w:rPr>
        <w:t>7</w:t>
      </w:r>
      <w:r>
        <w:rPr>
          <w:color w:val="222222"/>
          <w:sz w:val="21"/>
        </w:rPr>
        <w:t>、乙方负责处理服务期内发生的劳资纠纷；</w:t>
      </w:r>
    </w:p>
    <w:p>
      <w:pPr>
        <w:ind w:firstLine="365"/>
        <w:jc w:val="left"/>
      </w:pPr>
      <w:r>
        <w:rPr>
          <w:color w:val="222222"/>
          <w:sz w:val="21"/>
        </w:rPr>
        <w:t>8</w:t>
      </w:r>
      <w:r>
        <w:rPr>
          <w:color w:val="222222"/>
          <w:sz w:val="21"/>
        </w:rPr>
        <w:t>、本项目所需服务人员发生重大疾病、非因工死亡等事故，由乙方依照法律法规进行调查处理；</w:t>
      </w:r>
    </w:p>
    <w:p>
      <w:pPr>
        <w:ind w:firstLine="365"/>
        <w:jc w:val="left"/>
      </w:pPr>
      <w:r>
        <w:rPr>
          <w:color w:val="222222"/>
          <w:sz w:val="21"/>
        </w:rPr>
        <w:t>9</w:t>
      </w:r>
      <w:r>
        <w:rPr>
          <w:color w:val="222222"/>
          <w:sz w:val="21"/>
        </w:rPr>
        <w:t>、当实际发生相关的情况时乙方负责本项目所需服务人员实按照相关法律法规办理相关手续；</w:t>
      </w:r>
    </w:p>
    <w:p>
      <w:pPr>
        <w:ind w:firstLine="365"/>
        <w:jc w:val="left"/>
      </w:pPr>
      <w:r>
        <w:rPr>
          <w:color w:val="222222"/>
          <w:sz w:val="21"/>
        </w:rPr>
        <w:t>10</w:t>
      </w:r>
      <w:r>
        <w:rPr>
          <w:color w:val="222222"/>
          <w:sz w:val="21"/>
        </w:rPr>
        <w:t>、乙方负责处理本项目所需服务人员提出的劳动仲裁、诉讼等事宜；</w:t>
      </w:r>
    </w:p>
    <w:p>
      <w:pPr>
        <w:ind w:firstLine="365"/>
        <w:jc w:val="left"/>
      </w:pPr>
      <w:r>
        <w:rPr>
          <w:color w:val="222222"/>
          <w:sz w:val="21"/>
        </w:rPr>
        <w:t>11</w:t>
      </w:r>
      <w:r>
        <w:rPr>
          <w:color w:val="222222"/>
          <w:sz w:val="21"/>
        </w:rPr>
        <w:t>、委派于本项目所需服务人员发生工伤事故，由乙方以雇主身份进行调查及处理，并为员工进行工伤鉴定、工伤待遇申报；</w:t>
      </w:r>
    </w:p>
    <w:p>
      <w:pPr>
        <w:ind w:firstLine="365"/>
        <w:jc w:val="left"/>
      </w:pPr>
      <w:r>
        <w:rPr>
          <w:color w:val="222222"/>
          <w:sz w:val="21"/>
        </w:rPr>
        <w:t>12</w:t>
      </w:r>
      <w:r>
        <w:rPr>
          <w:color w:val="222222"/>
          <w:sz w:val="21"/>
        </w:rPr>
        <w:t>、乙方按甲方要求，教育本项目所需服务人员严格遵守甲方的规章制度和管理规范规程、忠于职守、文明礼貌、严格遵守劳动纪律、服从和执行甲方做出的工作安排和调度；</w:t>
      </w:r>
    </w:p>
    <w:p>
      <w:pPr>
        <w:ind w:firstLine="365"/>
        <w:jc w:val="left"/>
      </w:pPr>
      <w:r>
        <w:rPr>
          <w:color w:val="222222"/>
          <w:sz w:val="21"/>
        </w:rPr>
        <w:t>13</w:t>
      </w:r>
      <w:r>
        <w:rPr>
          <w:color w:val="222222"/>
          <w:sz w:val="21"/>
        </w:rPr>
        <w:t>、乙方定期会同甲方共同对本项目所需服务人员进行考核，并委托甲方进行本项目所需服务人员的现场管理和工作考核，相关考核、考勤和奖惩资料由甲方提供。成交依据甲方提供的考核、考勤和奖惩资料及时足额给本项目所需服务人员发放工资福利；</w:t>
      </w:r>
    </w:p>
    <w:p>
      <w:pPr>
        <w:ind w:firstLine="365"/>
        <w:jc w:val="left"/>
      </w:pPr>
      <w:r>
        <w:rPr>
          <w:color w:val="222222"/>
          <w:sz w:val="21"/>
        </w:rPr>
        <w:t>14</w:t>
      </w:r>
      <w:r>
        <w:rPr>
          <w:color w:val="222222"/>
          <w:sz w:val="21"/>
        </w:rPr>
        <w:t>、乙方根据服务团队人员人数和服务项目配备专门的管理人员，负责服务团队人员的日常事务，协调处理本项目所需服务团队人员与甲方之间的关系，向甲方提供政策法规方面的咨询；</w:t>
      </w:r>
    </w:p>
    <w:p>
      <w:pPr>
        <w:ind w:firstLine="365"/>
        <w:jc w:val="left"/>
      </w:pPr>
      <w:r>
        <w:rPr>
          <w:color w:val="222222"/>
          <w:sz w:val="21"/>
        </w:rPr>
        <w:t>15</w:t>
      </w:r>
      <w:r>
        <w:rPr>
          <w:color w:val="222222"/>
          <w:sz w:val="21"/>
        </w:rPr>
        <w:t>、乙方应及时掌握国家和省有关劳动标准、劳动条件、工资福利、社会保险等方面的最新政策动态并知会甲方，积极配合甲方对新政策规定的组织实施。</w:t>
      </w:r>
    </w:p>
    <w:p>
      <w:pPr>
        <w:jc w:val="both"/>
      </w:pPr>
    </w:p>
    <w:p>
      <w:pPr>
        <w:jc w:val="both"/>
      </w:pPr>
      <w:r>
        <w:rPr>
          <w:color w:val="222222"/>
          <w:sz w:val="27"/>
        </w:rPr>
        <w:t>5</w:t>
      </w:r>
      <w:r>
        <w:rPr>
          <w:color w:val="222222"/>
          <w:sz w:val="27"/>
        </w:rPr>
        <w:t>．</w:t>
      </w:r>
      <w:r>
        <w:rPr>
          <w:b/>
          <w:color w:val="222222"/>
          <w:sz w:val="21"/>
        </w:rPr>
        <w:t>对乙方的要求</w:t>
      </w:r>
    </w:p>
    <w:p>
      <w:pPr>
        <w:ind w:firstLine="422"/>
        <w:jc w:val="left"/>
      </w:pPr>
      <w:r>
        <w:rPr>
          <w:b/>
          <w:sz w:val="21"/>
        </w:rPr>
        <w:t xml:space="preserve">  </w:t>
      </w:r>
      <w:r>
        <w:rPr>
          <w:color w:val="222222"/>
          <w:sz w:val="21"/>
        </w:rPr>
        <w:t>针对目前中山市体育彩票投注站日常维护、监管、巡查工作服务外包项目，通过了解市场应聘人员业务素质，对乙方提出以下几点要求：</w:t>
      </w:r>
    </w:p>
    <w:p>
      <w:pPr>
        <w:ind w:firstLine="422"/>
        <w:jc w:val="left"/>
      </w:pPr>
      <w:r>
        <w:rPr>
          <w:b/>
          <w:color w:val="222222"/>
          <w:sz w:val="21"/>
        </w:rPr>
        <w:t>（一）原工作人员自愿留下的，乙方应该优先聘用原工作人员。</w:t>
      </w:r>
    </w:p>
    <w:p>
      <w:pPr>
        <w:ind w:firstLine="420"/>
        <w:jc w:val="left"/>
      </w:pPr>
      <w:r>
        <w:rPr>
          <w:color w:val="222222"/>
          <w:sz w:val="21"/>
        </w:rPr>
        <w:t>（二）签订合同前必须按照国家相关保密规定，乙方必须分别向甲方、服务团队人员签订为甲方保密的协议，保守甲方的工作秘密。服务团队人员签订的保密协议，乙方需将复印件交给甲方备案；乙方确保服务团队人员保守甲方所有与业务工作相关的秘密，严禁泄露给无关的第三人（包括乙方）。因乙方保密履责不到位，造成不良影响和损失的，甲方有权追究乙方法律责任。</w:t>
      </w:r>
    </w:p>
    <w:p>
      <w:pPr>
        <w:ind w:firstLine="420"/>
        <w:jc w:val="left"/>
      </w:pPr>
      <w:r>
        <w:rPr>
          <w:color w:val="222222"/>
          <w:sz w:val="21"/>
        </w:rPr>
        <w:t>（三）乙方不得随意更换服务团队人员，如需更换的，则必须征求甲方意见，经试用符合要求方可更换。</w:t>
      </w:r>
    </w:p>
    <w:p>
      <w:pPr>
        <w:ind w:firstLine="420"/>
        <w:jc w:val="left"/>
      </w:pPr>
      <w:r>
        <w:rPr>
          <w:color w:val="222222"/>
          <w:sz w:val="21"/>
        </w:rPr>
        <w:t>（四）乙方有义务做好服务团队人员的岗前培训工作。</w:t>
      </w:r>
    </w:p>
    <w:p>
      <w:pPr>
        <w:ind w:firstLine="420"/>
        <w:jc w:val="left"/>
      </w:pPr>
      <w:r>
        <w:rPr>
          <w:color w:val="222222"/>
          <w:sz w:val="21"/>
        </w:rPr>
        <w:t>（五）在乙方服务过程中，甲方有权实施监督检查。</w:t>
      </w:r>
    </w:p>
    <w:p>
      <w:pPr>
        <w:ind w:firstLine="420"/>
        <w:jc w:val="left"/>
      </w:pPr>
      <w:r>
        <w:rPr>
          <w:color w:val="222222"/>
          <w:sz w:val="21"/>
        </w:rPr>
        <w:t>（六）在服务合作过程中，甲方有权随时对服务团队人员进行岗位调配和更换，乙方在收到甲方书面通知</w:t>
      </w:r>
      <w:r>
        <w:rPr>
          <w:color w:val="222222"/>
          <w:sz w:val="21"/>
        </w:rPr>
        <w:t>10</w:t>
      </w:r>
      <w:r>
        <w:rPr>
          <w:color w:val="222222"/>
          <w:sz w:val="21"/>
        </w:rPr>
        <w:t>天内免费更换。</w:t>
      </w:r>
    </w:p>
    <w:p>
      <w:pPr>
        <w:ind w:firstLine="420"/>
        <w:jc w:val="left"/>
      </w:pPr>
      <w:r>
        <w:rPr>
          <w:color w:val="222222"/>
          <w:sz w:val="21"/>
        </w:rPr>
        <w:t>（七）为确保招聘的服务团队人员确能胜任甲方的工作岗位，服务团队人员须经甲方审核确认后方能上岗。未经甲方审核确认的人员，甲方不接受其服务外包，乙方与其签订劳动合同而承担的法律责任和因此造成的一切损失与甲方无关。</w:t>
      </w:r>
    </w:p>
    <w:p>
      <w:pPr>
        <w:ind w:firstLine="420"/>
        <w:jc w:val="left"/>
      </w:pPr>
      <w:r>
        <w:rPr>
          <w:color w:val="222222"/>
          <w:sz w:val="21"/>
        </w:rPr>
        <w:t>（八）甲方具有督促、监督乙方按有关民法典规定为派驻甲方的服务团队人员办理劳动合同、社会保险及薪酬发放、个人所得税等权利。乙方应根据当地有关社保规定，缴交服务外包人员的社会保险。若国家、省、市政府在缴交期间有新的政策规定，则按新规定进行调整。</w:t>
      </w:r>
    </w:p>
    <w:p>
      <w:pPr>
        <w:ind w:firstLine="420"/>
        <w:jc w:val="left"/>
      </w:pPr>
      <w:r>
        <w:rPr>
          <w:color w:val="222222"/>
          <w:sz w:val="21"/>
        </w:rPr>
        <w:t>（九）乙方应及时处理和协调甲方与服务团队人员之间的工作管理纠纷。协议有效期间，乙方应作为第一责任人处理劳资纠纷，甲方可视情况予以协助。</w:t>
      </w:r>
    </w:p>
    <w:p>
      <w:pPr>
        <w:ind w:firstLine="420"/>
        <w:jc w:val="left"/>
      </w:pPr>
      <w:r>
        <w:rPr>
          <w:color w:val="222222"/>
          <w:sz w:val="21"/>
        </w:rPr>
        <w:t>（十）因人员辞职而需新招聘员工的，招聘工作以及由此产生的相关费用由乙方负责。</w:t>
      </w:r>
    </w:p>
    <w:p>
      <w:pPr>
        <w:ind w:firstLine="420"/>
        <w:jc w:val="left"/>
      </w:pPr>
      <w:r>
        <w:rPr>
          <w:color w:val="222222"/>
          <w:sz w:val="21"/>
        </w:rPr>
        <w:t>（十一）乙方按国家法律法规相关规定承担用人单位应承担的所有经济和法律责任。</w:t>
      </w:r>
    </w:p>
    <w:p>
      <w:pPr>
        <w:ind w:firstLine="420"/>
        <w:jc w:val="left"/>
      </w:pPr>
      <w:r>
        <w:rPr>
          <w:color w:val="222222"/>
          <w:sz w:val="21"/>
        </w:rPr>
        <w:t>（十二）罚则：</w:t>
      </w:r>
    </w:p>
    <w:p>
      <w:pPr>
        <w:ind w:firstLine="420"/>
        <w:jc w:val="left"/>
      </w:pPr>
      <w:r>
        <w:rPr>
          <w:color w:val="222222"/>
          <w:sz w:val="21"/>
        </w:rPr>
        <w:t>1</w:t>
      </w:r>
      <w:r>
        <w:rPr>
          <w:color w:val="222222"/>
          <w:sz w:val="21"/>
        </w:rPr>
        <w:t>、若乙方在签订合同并生效后</w:t>
      </w:r>
      <w:r>
        <w:rPr>
          <w:color w:val="222222"/>
          <w:sz w:val="21"/>
        </w:rPr>
        <w:t>15</w:t>
      </w:r>
      <w:r>
        <w:rPr>
          <w:color w:val="222222"/>
          <w:sz w:val="21"/>
        </w:rPr>
        <w:t>天内未能配齐符合甲方需求的人员，则视为乙方主动违约，甲方有权终止合同。</w:t>
      </w:r>
    </w:p>
    <w:p>
      <w:pPr>
        <w:ind w:firstLine="420"/>
        <w:jc w:val="left"/>
      </w:pPr>
      <w:r>
        <w:rPr>
          <w:color w:val="222222"/>
          <w:sz w:val="21"/>
        </w:rPr>
        <w:t>2</w:t>
      </w:r>
      <w:r>
        <w:rPr>
          <w:color w:val="222222"/>
          <w:sz w:val="21"/>
        </w:rPr>
        <w:t>、在服务期间，服务外包人员因为调走、辞职或被乙方辞退等原因导致服务团队人员不足的，而乙方在</w:t>
      </w:r>
      <w:r>
        <w:rPr>
          <w:color w:val="222222"/>
          <w:sz w:val="21"/>
        </w:rPr>
        <w:t>10</w:t>
      </w:r>
      <w:r>
        <w:rPr>
          <w:color w:val="222222"/>
          <w:sz w:val="21"/>
        </w:rPr>
        <w:t>天内未能及时补齐符合项目要求的服务团队人员时，则视为乙方主动违约，甲方有权终止合同，并有权拒绝支付因此而产生的项目服务费。</w:t>
      </w:r>
    </w:p>
    <w:p>
      <w:pPr>
        <w:ind w:firstLine="420"/>
        <w:jc w:val="left"/>
      </w:pPr>
      <w:r>
        <w:rPr>
          <w:color w:val="222222"/>
          <w:sz w:val="21"/>
        </w:rPr>
        <w:t>3</w:t>
      </w:r>
      <w:r>
        <w:rPr>
          <w:color w:val="222222"/>
          <w:sz w:val="21"/>
        </w:rPr>
        <w:t>、因乙方安排的服务团队人员违反甲方内部管理制度、蓄意破坏设备设施、违反工作规程造成重大事故的，一经查实，则视为乙方严重违约，甲方有权终止合同，责令乙方赔偿损失，情节严重的依法追究乙方法律责任。</w:t>
      </w:r>
    </w:p>
    <w:p>
      <w:pPr>
        <w:ind w:firstLine="420"/>
        <w:jc w:val="left"/>
      </w:pPr>
      <w:r>
        <w:rPr>
          <w:color w:val="222222"/>
          <w:sz w:val="21"/>
        </w:rPr>
        <w:t>4</w:t>
      </w:r>
      <w:r>
        <w:rPr>
          <w:color w:val="222222"/>
          <w:sz w:val="21"/>
        </w:rPr>
        <w:t>、若乙方在服务某阶段时期内违反其服务承诺或本招标文件的要求</w:t>
      </w:r>
      <w:r>
        <w:rPr>
          <w:color w:val="222222"/>
          <w:sz w:val="21"/>
        </w:rPr>
        <w:t>2</w:t>
      </w:r>
      <w:r>
        <w:rPr>
          <w:color w:val="222222"/>
          <w:sz w:val="21"/>
        </w:rPr>
        <w:t>次或以上，则视为乙方违约，甲方有权拒绝支付本期项目服务费。</w:t>
      </w:r>
    </w:p>
    <w:p>
      <w:pPr>
        <w:jc w:val="both"/>
      </w:pPr>
    </w:p>
    <w:p>
      <w:pPr>
        <w:jc w:val="both"/>
      </w:pPr>
      <w:r>
        <w:rPr>
          <w:color w:val="222222"/>
          <w:sz w:val="27"/>
        </w:rPr>
        <w:t>6</w:t>
      </w:r>
      <w:r>
        <w:rPr>
          <w:color w:val="222222"/>
          <w:sz w:val="27"/>
        </w:rPr>
        <w:t>．</w:t>
      </w:r>
      <w:r>
        <w:rPr>
          <w:b/>
          <w:color w:val="222222"/>
          <w:sz w:val="21"/>
        </w:rPr>
        <w:t>对服务项目的监督和管理</w:t>
      </w:r>
    </w:p>
    <w:p>
      <w:pPr>
        <w:ind w:firstLine="420"/>
        <w:jc w:val="left"/>
      </w:pPr>
      <w:r>
        <w:rPr>
          <w:color w:val="222222"/>
          <w:sz w:val="21"/>
        </w:rPr>
        <w:t>（一）各方职责：</w:t>
      </w:r>
    </w:p>
    <w:p>
      <w:pPr>
        <w:ind w:firstLine="420"/>
        <w:jc w:val="left"/>
      </w:pPr>
      <w:r>
        <w:rPr>
          <w:color w:val="222222"/>
          <w:sz w:val="21"/>
        </w:rPr>
        <w:t>1</w:t>
      </w:r>
      <w:r>
        <w:rPr>
          <w:color w:val="222222"/>
          <w:sz w:val="21"/>
        </w:rPr>
        <w:t>、甲方为项目甲方角色，对乙方的服务实施活动进行全过程监督、检查和管理。负责项目的决策和总体监督，对项目的宏观的把握和整体推进。</w:t>
      </w:r>
    </w:p>
    <w:p>
      <w:pPr>
        <w:ind w:firstLine="420"/>
        <w:jc w:val="left"/>
      </w:pPr>
      <w:r>
        <w:rPr>
          <w:color w:val="222222"/>
          <w:sz w:val="21"/>
        </w:rPr>
        <w:t>2</w:t>
      </w:r>
      <w:r>
        <w:rPr>
          <w:color w:val="222222"/>
          <w:sz w:val="21"/>
        </w:rPr>
        <w:t>、乙方为项目乙方角色，承担服务项目需求调研、具体的实施工作，受到甲方的监督和管理。</w:t>
      </w:r>
    </w:p>
    <w:p>
      <w:pPr>
        <w:ind w:firstLine="420"/>
        <w:jc w:val="left"/>
      </w:pPr>
      <w:r>
        <w:rPr>
          <w:color w:val="222222"/>
          <w:sz w:val="21"/>
        </w:rPr>
        <w:t>（二）服务项目要求：乙方必须就甲方提供的全部内容和服务要求做出回应，提供切合该服务项目的整体解决方案，并在项目范围内完成指定的工作和负责解决全部的业务问题。乙方必须对甲方提出的有关问题和置疑作出实质性的回应。</w:t>
      </w:r>
    </w:p>
    <w:p>
      <w:pPr>
        <w:jc w:val="both"/>
      </w:pPr>
    </w:p>
    <w:p>
      <w:pPr>
        <w:jc w:val="both"/>
      </w:pPr>
      <w:r>
        <w:rPr>
          <w:color w:val="222222"/>
          <w:sz w:val="27"/>
        </w:rPr>
        <w:t>……</w:t>
      </w:r>
    </w:p>
    <w:p>
      <w:pPr>
        <w:jc w:val="both"/>
      </w:pPr>
      <w:r>
        <w:rPr>
          <w:b/>
          <w:color w:val="222222"/>
          <w:sz w:val="24"/>
        </w:rPr>
        <w:t>三、甲方乙方的权利和义务</w:t>
      </w:r>
    </w:p>
    <w:p>
      <w:pPr>
        <w:jc w:val="both"/>
      </w:pPr>
      <w:r>
        <w:rPr>
          <w:color w:val="222222"/>
          <w:sz w:val="27"/>
        </w:rPr>
        <w:t>1.</w:t>
      </w:r>
      <w:r>
        <w:rPr>
          <w:color w:val="222222"/>
          <w:sz w:val="27"/>
        </w:rPr>
        <w:t>甲方的权利和义务</w:t>
      </w:r>
    </w:p>
    <w:p>
      <w:pPr>
        <w:jc w:val="both"/>
      </w:pPr>
      <w:r>
        <w:rPr>
          <w:color w:val="222222"/>
          <w:sz w:val="27"/>
        </w:rPr>
        <w:t>2.</w:t>
      </w:r>
      <w:r>
        <w:rPr>
          <w:color w:val="222222"/>
          <w:sz w:val="27"/>
        </w:rPr>
        <w:t>乙方的权利和义务</w:t>
      </w:r>
    </w:p>
    <w:p>
      <w:pPr>
        <w:jc w:val="both"/>
      </w:pPr>
      <w:r>
        <w:rPr>
          <w:b/>
          <w:color w:val="222222"/>
          <w:sz w:val="24"/>
        </w:rPr>
        <w:t>四、服务期间（项目完成期限）</w:t>
      </w:r>
    </w:p>
    <w:p>
      <w:pPr>
        <w:jc w:val="both"/>
      </w:pPr>
      <w:r>
        <w:rPr>
          <w:color w:val="222222"/>
          <w:sz w:val="27"/>
        </w:rPr>
        <w:t>1.</w:t>
      </w:r>
      <w:r>
        <w:rPr>
          <w:color w:val="222222"/>
          <w:sz w:val="27"/>
        </w:rPr>
        <w:t>委托服务期间自</w:t>
      </w:r>
      <w:r>
        <w:rPr>
          <w:color w:val="222222"/>
          <w:sz w:val="27"/>
        </w:rPr>
        <w:t>______</w:t>
      </w:r>
      <w:r>
        <w:rPr>
          <w:color w:val="222222"/>
          <w:sz w:val="27"/>
        </w:rPr>
        <w:t>年</w:t>
      </w:r>
      <w:r>
        <w:rPr>
          <w:color w:val="222222"/>
          <w:sz w:val="27"/>
        </w:rPr>
        <w:t>______</w:t>
      </w:r>
      <w:r>
        <w:rPr>
          <w:color w:val="222222"/>
          <w:sz w:val="27"/>
        </w:rPr>
        <w:t>月至</w:t>
      </w:r>
      <w:r>
        <w:rPr>
          <w:color w:val="222222"/>
          <w:sz w:val="27"/>
        </w:rPr>
        <w:t>______</w:t>
      </w:r>
      <w:r>
        <w:rPr>
          <w:color w:val="222222"/>
          <w:sz w:val="27"/>
        </w:rPr>
        <w:t>年</w:t>
      </w:r>
      <w:r>
        <w:rPr>
          <w:color w:val="222222"/>
          <w:sz w:val="27"/>
        </w:rPr>
        <w:t>______</w:t>
      </w:r>
      <w:r>
        <w:rPr>
          <w:color w:val="222222"/>
          <w:sz w:val="27"/>
        </w:rPr>
        <w:t>月止。</w:t>
      </w:r>
    </w:p>
    <w:p>
      <w:pPr>
        <w:jc w:val="both"/>
      </w:pPr>
      <w:r>
        <w:rPr>
          <w:b/>
          <w:color w:val="222222"/>
          <w:sz w:val="24"/>
        </w:rPr>
        <w:t>五、付款方式</w:t>
      </w:r>
    </w:p>
    <w:p>
      <w:pPr>
        <w:jc w:val="both"/>
      </w:pPr>
      <w:r>
        <w:rPr>
          <w:color w:val="222222"/>
          <w:sz w:val="27"/>
        </w:rPr>
        <w:t>1</w:t>
      </w:r>
      <w:r>
        <w:rPr>
          <w:color w:val="222222"/>
          <w:sz w:val="27"/>
        </w:rPr>
        <w:t>、</w:t>
      </w:r>
      <w:r>
        <w:rPr>
          <w:color w:val="222222"/>
          <w:sz w:val="21"/>
        </w:rPr>
        <w:t>按季度计算支付，以转账的方式由甲方财务人员在每季度开始前</w:t>
      </w:r>
      <w:r>
        <w:rPr>
          <w:color w:val="222222"/>
          <w:sz w:val="21"/>
        </w:rPr>
        <w:t>15</w:t>
      </w:r>
      <w:r>
        <w:rPr>
          <w:color w:val="222222"/>
          <w:sz w:val="21"/>
        </w:rPr>
        <w:t>天支付中标金额</w:t>
      </w:r>
      <w:r>
        <w:rPr>
          <w:color w:val="222222"/>
          <w:sz w:val="21"/>
        </w:rPr>
        <w:t>25%</w:t>
      </w:r>
      <w:r>
        <w:rPr>
          <w:color w:val="222222"/>
          <w:sz w:val="21"/>
        </w:rPr>
        <w:t>，分四期支付，最终一期在当年的</w:t>
      </w:r>
      <w:r>
        <w:rPr>
          <w:color w:val="222222"/>
          <w:sz w:val="21"/>
        </w:rPr>
        <w:t>12</w:t>
      </w:r>
      <w:r>
        <w:rPr>
          <w:color w:val="222222"/>
          <w:sz w:val="21"/>
        </w:rPr>
        <w:t>月</w:t>
      </w:r>
      <w:r>
        <w:rPr>
          <w:color w:val="222222"/>
          <w:sz w:val="21"/>
        </w:rPr>
        <w:t>20</w:t>
      </w:r>
      <w:r>
        <w:rPr>
          <w:color w:val="222222"/>
          <w:sz w:val="21"/>
        </w:rPr>
        <w:t>日前（可能含扣减款项，具体以附表</w:t>
      </w:r>
      <w:r>
        <w:rPr>
          <w:color w:val="222222"/>
          <w:sz w:val="21"/>
        </w:rPr>
        <w:t>:</w:t>
      </w:r>
      <w:r>
        <w:rPr>
          <w:color w:val="222222"/>
          <w:sz w:val="21"/>
        </w:rPr>
        <w:t>考核评分表，考核后计算并在下一个季度款项中扣减，最后一个季按当季支付。）一次支付给乙方， 如遇乙方拖欠工人工资、处于经营情况发生重大变化的特殊情况下，甲方有权暂停付款。</w:t>
      </w:r>
    </w:p>
    <w:p>
      <w:pPr>
        <w:jc w:val="both"/>
      </w:pPr>
      <w:r>
        <w:rPr>
          <w:color w:val="222222"/>
          <w:sz w:val="27"/>
        </w:rPr>
        <w:t>2</w:t>
      </w:r>
      <w:r>
        <w:rPr>
          <w:color w:val="222222"/>
          <w:sz w:val="27"/>
        </w:rPr>
        <w:t>、</w:t>
      </w:r>
      <w:r>
        <w:rPr>
          <w:color w:val="222222"/>
          <w:sz w:val="21"/>
        </w:rPr>
        <w:t>本项目资金来源为财政资金，相关付款程序严格遵守中山市政府财政资金支付程序规定。</w:t>
      </w:r>
    </w:p>
    <w:p>
      <w:pPr>
        <w:ind w:firstLine="210"/>
        <w:jc w:val="both"/>
      </w:pPr>
      <w:r>
        <w:rPr>
          <w:color w:val="222222"/>
          <w:sz w:val="21"/>
        </w:rPr>
        <w:t>附表</w:t>
      </w:r>
      <w:r>
        <w:rPr>
          <w:color w:val="222222"/>
          <w:sz w:val="21"/>
        </w:rPr>
        <w:t>:</w:t>
      </w:r>
      <w:r>
        <w:rPr>
          <w:color w:val="222222"/>
          <w:sz w:val="21"/>
        </w:rPr>
        <w:t>考核评分表</w:t>
      </w:r>
    </w:p>
    <w:tbl>
      <w:tblPr>
        <w:tblW w:w="0" w:type="auto"/>
        <w:tblBorders>
          <w:top w:val="none" w:color="000000" w:sz="4"/>
          <w:left w:val="none" w:color="000000" w:sz="4"/>
          <w:bottom w:val="none" w:color="000000" w:sz="4"/>
          <w:right w:val="none" w:color="000000" w:sz="4"/>
          <w:insideH w:val="none"/>
          <w:insideV w:val="none"/>
        </w:tblBorders>
      </w:tblPr>
      <w:tblGrid>
        <w:gridCol w:w="456"/>
        <w:gridCol w:w="2802"/>
        <w:gridCol w:w="1609"/>
        <w:gridCol w:w="2641"/>
        <w:gridCol w:w="798"/>
      </w:tblGrid>
      <w:tr>
        <w:tc>
          <w:tcPr>
            <w:tcW w:type="dxa" w:w="456"/>
            <w:tcBorders>
              <w:top w:val="single" w:color="000000" w:sz="4"/>
              <w:left w:val="single" w:color="000000" w:sz="4"/>
              <w:bottom w:val="single" w:color="000000" w:sz="4"/>
              <w:right w:val="single" w:color="000000" w:sz="4"/>
            </w:tcBorders>
            <w:shd w:fill="FFFFFF"/>
            <w:vAlign w:val="top"/>
          </w:tcPr>
          <w:p>
            <w:pPr>
              <w:jc w:val="both"/>
            </w:pPr>
            <w:r>
              <w:rPr>
                <w:color w:val="222222"/>
                <w:sz w:val="21"/>
              </w:rPr>
              <w:t>序号</w:t>
            </w:r>
          </w:p>
        </w:tc>
        <w:tc>
          <w:tcPr>
            <w:tcW w:type="dxa" w:w="2802"/>
            <w:tcBorders>
              <w:top w:val="single" w:color="000000" w:sz="4"/>
              <w:left w:val="none" w:color="000000" w:sz="4"/>
              <w:bottom w:val="single" w:color="000000" w:sz="4"/>
              <w:right w:val="single" w:color="000000" w:sz="4"/>
            </w:tcBorders>
            <w:shd w:fill="FFFFFF"/>
            <w:vAlign w:val="top"/>
          </w:tcPr>
          <w:p>
            <w:pPr>
              <w:jc w:val="center"/>
            </w:pPr>
            <w:r>
              <w:rPr>
                <w:color w:val="222222"/>
                <w:sz w:val="21"/>
              </w:rPr>
              <w:t>服务目标</w:t>
            </w:r>
          </w:p>
        </w:tc>
        <w:tc>
          <w:tcPr>
            <w:tcW w:type="dxa" w:w="1609"/>
            <w:tcBorders>
              <w:top w:val="single" w:color="000000" w:sz="4"/>
              <w:left w:val="none" w:color="000000" w:sz="4"/>
              <w:bottom w:val="single" w:color="000000" w:sz="4"/>
              <w:right w:val="single" w:color="000000" w:sz="4"/>
            </w:tcBorders>
            <w:shd w:fill="FFFFFF"/>
            <w:vAlign w:val="top"/>
          </w:tcPr>
          <w:p>
            <w:pPr>
              <w:jc w:val="center"/>
            </w:pPr>
            <w:r>
              <w:rPr>
                <w:color w:val="222222"/>
                <w:sz w:val="21"/>
              </w:rPr>
              <w:t>不达标率</w:t>
            </w:r>
          </w:p>
        </w:tc>
        <w:tc>
          <w:tcPr>
            <w:tcW w:type="dxa" w:w="2641"/>
            <w:tcBorders>
              <w:top w:val="single" w:color="000000" w:sz="4"/>
              <w:left w:val="none" w:color="000000" w:sz="4"/>
              <w:bottom w:val="single" w:color="000000" w:sz="4"/>
              <w:right w:val="single" w:color="000000" w:sz="4"/>
            </w:tcBorders>
            <w:shd w:fill="FFFFFF"/>
            <w:vAlign w:val="top"/>
          </w:tcPr>
          <w:p>
            <w:pPr>
              <w:jc w:val="center"/>
            </w:pPr>
            <w:r>
              <w:rPr>
                <w:color w:val="222222"/>
                <w:sz w:val="21"/>
              </w:rPr>
              <w:t>扣款金额（季度）</w:t>
            </w:r>
          </w:p>
        </w:tc>
        <w:tc>
          <w:tcPr>
            <w:tcW w:type="dxa" w:w="798"/>
            <w:tcBorders>
              <w:top w:val="single" w:color="000000" w:sz="4"/>
              <w:left w:val="none" w:color="000000" w:sz="4"/>
              <w:bottom w:val="single" w:color="000000" w:sz="4"/>
              <w:right w:val="single" w:color="000000" w:sz="4"/>
            </w:tcBorders>
            <w:shd w:fill="FFFFFF"/>
            <w:vAlign w:val="top"/>
          </w:tcPr>
          <w:p>
            <w:pPr>
              <w:jc w:val="center"/>
            </w:pPr>
            <w:r>
              <w:rPr>
                <w:color w:val="222222"/>
                <w:sz w:val="21"/>
              </w:rPr>
              <w:t>备注</w:t>
            </w:r>
          </w:p>
        </w:tc>
      </w:tr>
      <w:tr>
        <w:tc>
          <w:tcPr>
            <w:tcW w:type="dxa" w:w="456"/>
            <w:tcBorders>
              <w:top w:val="none" w:color="000000" w:sz="4"/>
              <w:left w:val="single" w:color="000000" w:sz="4"/>
              <w:bottom w:val="single" w:color="000000" w:sz="4"/>
              <w:right w:val="single" w:color="000000" w:sz="4"/>
            </w:tcBorders>
            <w:shd w:fill="FFFFFF"/>
            <w:vAlign w:val="top"/>
          </w:tcPr>
          <w:p>
            <w:pPr>
              <w:jc w:val="center"/>
            </w:pPr>
            <w:r>
              <w:rPr>
                <w:color w:val="222222"/>
                <w:sz w:val="21"/>
              </w:rPr>
              <w:t>1</w:t>
            </w:r>
          </w:p>
        </w:tc>
        <w:tc>
          <w:tcPr>
            <w:tcW w:type="dxa" w:w="2802"/>
            <w:vMerge w:val="restart"/>
            <w:tcBorders>
              <w:top w:val="none" w:color="000000" w:sz="4"/>
              <w:left w:val="none" w:color="000000" w:sz="4"/>
              <w:bottom w:val="single" w:color="000000" w:sz="4"/>
              <w:right w:val="single" w:color="000000" w:sz="4"/>
            </w:tcBorders>
            <w:shd w:fill="FFFFFF"/>
            <w:vAlign w:val="top"/>
          </w:tcPr>
          <w:p>
            <w:pPr>
              <w:jc w:val="both"/>
            </w:pPr>
            <w:r>
              <w:rPr>
                <w:color w:val="222222"/>
                <w:sz w:val="21"/>
              </w:rPr>
              <w:t>季度表单的上报及审核</w:t>
            </w:r>
            <w:r>
              <w:rPr>
                <w:color w:val="222222"/>
                <w:sz w:val="21"/>
              </w:rPr>
              <w:t>100%</w:t>
            </w:r>
            <w:r>
              <w:br/>
            </w:r>
            <w:r>
              <w:rPr>
                <w:color w:val="222222"/>
                <w:sz w:val="21"/>
              </w:rPr>
              <w:t>季度投诉记录率和回访率</w:t>
            </w:r>
            <w:r>
              <w:rPr>
                <w:color w:val="222222"/>
                <w:sz w:val="21"/>
              </w:rPr>
              <w:t>100%</w:t>
            </w:r>
            <w:r>
              <w:br/>
            </w:r>
            <w:r>
              <w:rPr>
                <w:color w:val="222222"/>
                <w:sz w:val="21"/>
              </w:rPr>
              <w:t>季度巡检项达标率</w:t>
            </w:r>
            <w:r>
              <w:rPr>
                <w:color w:val="222222"/>
                <w:sz w:val="21"/>
              </w:rPr>
              <w:t>100%</w:t>
            </w:r>
            <w:r>
              <w:br/>
            </w:r>
            <w:r>
              <w:rPr>
                <w:color w:val="222222"/>
                <w:sz w:val="21"/>
              </w:rPr>
              <w:t>季度服务满意度考核</w:t>
            </w:r>
            <w:r>
              <w:rPr>
                <w:color w:val="222222"/>
                <w:sz w:val="21"/>
              </w:rPr>
              <w:t>≥98%</w:t>
            </w: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0.1%-0.5%</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/1%</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tcBorders>
              <w:top w:val="none" w:color="000000" w:sz="4"/>
              <w:left w:val="single" w:color="000000" w:sz="4"/>
              <w:bottom w:val="single" w:color="000000" w:sz="4"/>
              <w:right w:val="single" w:color="000000" w:sz="4"/>
            </w:tcBorders>
            <w:shd w:fill="FFFFFF"/>
            <w:vAlign w:val="top"/>
          </w:tcPr>
          <w:p>
            <w:pPr>
              <w:jc w:val="center"/>
            </w:pPr>
            <w:r>
              <w:rPr>
                <w:color w:val="222222"/>
                <w:sz w:val="21"/>
              </w:rPr>
              <w:t>2</w:t>
            </w:r>
          </w:p>
        </w:tc>
        <w:tc>
          <w:tcPr>
            <w:tcW w:type="dxa" w:w="2802"/>
            <w:vMerge/>
            <w:tcBorders>
              <w:top w:val="none" w:color="000000" w:sz="4"/>
              <w:left w:val="none" w:color="000000" w:sz="4"/>
              <w:bottom w:val="single" w:color="000000" w:sz="4"/>
              <w:right w:val="single" w:color="000000" w:sz="4"/>
            </w:tcBorders>
          </w:tcP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0.6%-1%</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/2%</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tcBorders>
              <w:top w:val="none" w:color="000000" w:sz="4"/>
              <w:left w:val="single" w:color="000000" w:sz="4"/>
              <w:bottom w:val="single" w:color="000000" w:sz="4"/>
              <w:right w:val="single" w:color="000000" w:sz="4"/>
            </w:tcBorders>
            <w:shd w:fill="FFFFFF"/>
            <w:vAlign w:val="top"/>
          </w:tcPr>
          <w:p>
            <w:pPr>
              <w:jc w:val="center"/>
            </w:pPr>
            <w:r>
              <w:rPr>
                <w:color w:val="222222"/>
                <w:sz w:val="21"/>
              </w:rPr>
              <w:t>3</w:t>
            </w:r>
          </w:p>
        </w:tc>
        <w:tc>
          <w:tcPr>
            <w:tcW w:type="dxa" w:w="2802"/>
            <w:vMerge/>
            <w:tcBorders>
              <w:top w:val="none" w:color="000000" w:sz="4"/>
              <w:left w:val="none" w:color="000000" w:sz="4"/>
              <w:bottom w:val="single" w:color="000000" w:sz="4"/>
              <w:right w:val="single" w:color="000000" w:sz="4"/>
            </w:tcBorders>
          </w:tcP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1%-2%</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/4%</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tcBorders>
              <w:top w:val="none" w:color="000000" w:sz="4"/>
              <w:left w:val="single" w:color="000000" w:sz="4"/>
              <w:bottom w:val="single" w:color="000000" w:sz="4"/>
              <w:right w:val="single" w:color="000000" w:sz="4"/>
            </w:tcBorders>
            <w:shd w:fill="FFFFFF"/>
            <w:vAlign w:val="top"/>
          </w:tcPr>
          <w:p>
            <w:pPr>
              <w:jc w:val="center"/>
            </w:pPr>
            <w:r>
              <w:rPr>
                <w:color w:val="222222"/>
                <w:sz w:val="21"/>
              </w:rPr>
              <w:t>4</w:t>
            </w:r>
          </w:p>
        </w:tc>
        <w:tc>
          <w:tcPr>
            <w:tcW w:type="dxa" w:w="2802"/>
            <w:vMerge/>
            <w:tcBorders>
              <w:top w:val="none" w:color="000000" w:sz="4"/>
              <w:left w:val="none" w:color="000000" w:sz="4"/>
              <w:bottom w:val="single" w:color="000000" w:sz="4"/>
              <w:right w:val="single" w:color="000000" w:sz="4"/>
            </w:tcBorders>
          </w:tcP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2%-5%</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/6%</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tcBorders>
              <w:top w:val="none" w:color="000000" w:sz="4"/>
              <w:left w:val="single" w:color="000000" w:sz="4"/>
              <w:bottom w:val="single" w:color="000000" w:sz="4"/>
              <w:right w:val="single" w:color="000000" w:sz="4"/>
            </w:tcBorders>
            <w:shd w:fill="FFFFFF"/>
            <w:vAlign w:val="top"/>
          </w:tcPr>
          <w:p>
            <w:pPr>
              <w:jc w:val="center"/>
            </w:pPr>
            <w:r>
              <w:rPr>
                <w:color w:val="222222"/>
                <w:sz w:val="21"/>
              </w:rPr>
              <w:t>5</w:t>
            </w:r>
          </w:p>
        </w:tc>
        <w:tc>
          <w:tcPr>
            <w:tcW w:type="dxa" w:w="2802"/>
            <w:vMerge/>
            <w:tcBorders>
              <w:top w:val="none" w:color="000000" w:sz="4"/>
              <w:left w:val="none" w:color="000000" w:sz="4"/>
              <w:bottom w:val="single" w:color="000000" w:sz="4"/>
              <w:right w:val="single" w:color="000000" w:sz="4"/>
            </w:tcBorders>
          </w:tcP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超过</w:t>
            </w:r>
            <w:r>
              <w:rPr>
                <w:color w:val="222222"/>
                <w:sz w:val="21"/>
              </w:rPr>
              <w:t>5%</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/8%</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tcBorders>
              <w:top w:val="none" w:color="000000" w:sz="4"/>
              <w:left w:val="single" w:color="000000" w:sz="4"/>
              <w:bottom w:val="single" w:color="000000" w:sz="4"/>
              <w:right w:val="single" w:color="000000" w:sz="4"/>
            </w:tcBorders>
            <w:shd w:fill="FFFFFF"/>
            <w:vAlign w:val="top"/>
          </w:tcPr>
          <w:p>
            <w:pPr>
              <w:jc w:val="center"/>
            </w:pPr>
            <w:r>
              <w:rPr>
                <w:color w:val="222222"/>
                <w:sz w:val="21"/>
              </w:rPr>
              <w:t>6</w:t>
            </w:r>
          </w:p>
        </w:tc>
        <w:tc>
          <w:tcPr>
            <w:tcW w:type="dxa" w:w="2802"/>
            <w:vMerge/>
            <w:tcBorders>
              <w:top w:val="none" w:color="000000" w:sz="4"/>
              <w:left w:val="none" w:color="000000" w:sz="4"/>
              <w:bottom w:val="single" w:color="000000" w:sz="4"/>
              <w:right w:val="single" w:color="000000" w:sz="4"/>
            </w:tcBorders>
          </w:tcP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连续两个月超过</w:t>
            </w:r>
            <w:r>
              <w:rPr>
                <w:color w:val="222222"/>
                <w:sz w:val="21"/>
              </w:rPr>
              <w:t>5%</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/10%</w:t>
            </w:r>
            <w:r>
              <w:rPr>
                <w:color w:val="222222"/>
                <w:sz w:val="21"/>
              </w:rPr>
              <w:t>，并解除合同</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vMerge w:val="restart"/>
            <w:tcBorders>
              <w:top w:val="none" w:color="000000" w:sz="4"/>
              <w:left w:val="single" w:color="000000" w:sz="4"/>
              <w:bottom w:val="single" w:color="000000" w:sz="4"/>
              <w:right w:val="single" w:color="000000" w:sz="4"/>
            </w:tcBorders>
            <w:shd w:fill="FFFFFF"/>
            <w:vAlign w:val="top"/>
          </w:tcPr>
          <w:p>
            <w:pPr>
              <w:jc w:val="both"/>
            </w:pPr>
            <w:r>
              <w:rPr>
                <w:color w:val="222222"/>
                <w:sz w:val="21"/>
              </w:rPr>
              <w:t>7</w:t>
            </w:r>
          </w:p>
        </w:tc>
        <w:tc>
          <w:tcPr>
            <w:tcW w:type="dxa" w:w="2802"/>
            <w:vMerge w:val="restart"/>
            <w:tcBorders>
              <w:top w:val="none" w:color="000000" w:sz="4"/>
              <w:left w:val="none" w:color="000000" w:sz="4"/>
              <w:bottom w:val="single" w:color="000000" w:sz="4"/>
              <w:right w:val="single" w:color="000000" w:sz="4"/>
            </w:tcBorders>
            <w:shd w:fill="FFFFFF"/>
            <w:vAlign w:val="top"/>
          </w:tcPr>
          <w:p>
            <w:pPr>
              <w:jc w:val="both"/>
            </w:pPr>
            <w:r>
              <w:rPr>
                <w:color w:val="222222"/>
                <w:sz w:val="21"/>
              </w:rPr>
              <w:t>人员到岗率</w:t>
            </w: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低于</w:t>
            </w:r>
            <w:r>
              <w:rPr>
                <w:color w:val="222222"/>
                <w:sz w:val="21"/>
              </w:rPr>
              <w:t>90%</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/8%</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r>
        <w:tc>
          <w:tcPr>
            <w:tcW w:type="dxa" w:w="456"/>
            <w:vMerge/>
            <w:tcBorders>
              <w:top w:val="none" w:color="000000" w:sz="4"/>
              <w:left w:val="single" w:color="000000" w:sz="4"/>
              <w:bottom w:val="single" w:color="000000" w:sz="4"/>
              <w:right w:val="single" w:color="000000" w:sz="4"/>
            </w:tcBorders>
          </w:tcPr>
          <w:p/>
        </w:tc>
        <w:tc>
          <w:tcPr>
            <w:tcW w:type="dxa" w:w="2802"/>
            <w:vMerge/>
            <w:tcBorders>
              <w:top w:val="none" w:color="000000" w:sz="4"/>
              <w:left w:val="none" w:color="000000" w:sz="4"/>
              <w:bottom w:val="single" w:color="000000" w:sz="4"/>
              <w:right w:val="single" w:color="000000" w:sz="4"/>
            </w:tcBorders>
          </w:tcPr>
          <w:p/>
        </w:tc>
        <w:tc>
          <w:tcPr>
            <w:tcW w:type="dxa" w:w="1609"/>
            <w:tcBorders>
              <w:top w:val="none" w:color="000000" w:sz="4"/>
              <w:left w:val="none" w:color="000000" w:sz="4"/>
              <w:bottom w:val="single" w:color="000000" w:sz="4"/>
              <w:right w:val="single" w:color="000000" w:sz="4"/>
            </w:tcBorders>
            <w:shd w:fill="FFFFFF"/>
            <w:vAlign w:val="top"/>
          </w:tcPr>
          <w:p>
            <w:pPr>
              <w:jc w:val="center"/>
            </w:pPr>
            <w:r>
              <w:rPr>
                <w:color w:val="222222"/>
                <w:sz w:val="21"/>
              </w:rPr>
              <w:t>连续两个月低于</w:t>
            </w:r>
            <w:r>
              <w:rPr>
                <w:color w:val="222222"/>
                <w:sz w:val="21"/>
              </w:rPr>
              <w:t>90%</w:t>
            </w:r>
          </w:p>
        </w:tc>
        <w:tc>
          <w:tcPr>
            <w:tcW w:type="dxa" w:w="2641"/>
            <w:tcBorders>
              <w:top w:val="none" w:color="000000" w:sz="4"/>
              <w:left w:val="none" w:color="000000" w:sz="4"/>
              <w:bottom w:val="single" w:color="000000" w:sz="4"/>
              <w:right w:val="single" w:color="000000" w:sz="4"/>
            </w:tcBorders>
            <w:shd w:fill="FFFFFF"/>
            <w:vAlign w:val="top"/>
          </w:tcPr>
          <w:p>
            <w:pPr>
              <w:jc w:val="center"/>
            </w:pPr>
            <w:r>
              <w:rPr>
                <w:color w:val="222222"/>
                <w:sz w:val="21"/>
              </w:rPr>
              <w:t>10</w:t>
            </w:r>
            <w:r>
              <w:rPr>
                <w:color w:val="222222"/>
                <w:sz w:val="21"/>
              </w:rPr>
              <w:t>万元</w:t>
            </w:r>
            <w:r>
              <w:rPr>
                <w:color w:val="222222"/>
                <w:sz w:val="21"/>
              </w:rPr>
              <w:t>/10%</w:t>
            </w:r>
            <w:r>
              <w:rPr>
                <w:color w:val="222222"/>
                <w:sz w:val="21"/>
              </w:rPr>
              <w:t>，并解除合同</w:t>
            </w:r>
          </w:p>
        </w:tc>
        <w:tc>
          <w:tcPr>
            <w:tcW w:type="dxa" w:w="798"/>
            <w:tcBorders>
              <w:top w:val="none" w:color="000000" w:sz="4"/>
              <w:left w:val="none" w:color="000000" w:sz="4"/>
              <w:bottom w:val="single" w:color="000000" w:sz="4"/>
              <w:right w:val="single" w:color="000000" w:sz="4"/>
            </w:tcBorders>
            <w:shd w:fill="FFFFFF"/>
            <w:vAlign w:val="top"/>
          </w:tcPr>
          <w:p>
            <w:pPr>
              <w:jc w:val="both"/>
            </w:pPr>
          </w:p>
        </w:tc>
      </w:tr>
    </w:tbl>
    <w:p>
      <w:pPr>
        <w:jc w:val="both"/>
      </w:pPr>
    </w:p>
    <w:p>
      <w:pPr>
        <w:jc w:val="both"/>
      </w:pPr>
      <w:r>
        <w:rPr>
          <w:b/>
          <w:color w:val="222222"/>
          <w:sz w:val="24"/>
        </w:rPr>
        <w:t>六、知识产权归属</w:t>
      </w:r>
    </w:p>
    <w:p>
      <w:pPr>
        <w:jc w:val="both"/>
      </w:pPr>
      <w:r>
        <w:rPr>
          <w:b/>
          <w:color w:val="222222"/>
          <w:sz w:val="24"/>
        </w:rPr>
        <w:t>七、保密</w:t>
      </w:r>
    </w:p>
    <w:p>
      <w:pPr>
        <w:jc w:val="both"/>
      </w:pPr>
      <w:r>
        <w:rPr>
          <w:b/>
          <w:color w:val="222222"/>
          <w:sz w:val="24"/>
        </w:rPr>
        <w:t>八、违约责任与赔偿损失</w:t>
      </w:r>
    </w:p>
    <w:p>
      <w:pPr>
        <w:jc w:val="both"/>
      </w:pPr>
      <w:r>
        <w:rPr>
          <w:color w:val="222222"/>
          <w:sz w:val="27"/>
        </w:rPr>
        <w:t>1.</w:t>
      </w:r>
      <w:r>
        <w:rPr>
          <w:color w:val="222222"/>
          <w:sz w:val="27"/>
        </w:rPr>
        <w:t>乙方提供的服务不符合本合同规定的，甲方有权拒收，并且乙方须向甲方方支付本合同总价</w:t>
      </w:r>
      <w:r>
        <w:rPr>
          <w:color w:val="222222"/>
          <w:sz w:val="27"/>
        </w:rPr>
        <w:t>5%</w:t>
      </w:r>
      <w:r>
        <w:rPr>
          <w:color w:val="222222"/>
          <w:sz w:val="27"/>
        </w:rPr>
        <w:t>的违约金。</w:t>
      </w:r>
    </w:p>
    <w:p>
      <w:pPr>
        <w:jc w:val="both"/>
      </w:pPr>
      <w:r>
        <w:rPr>
          <w:color w:val="222222"/>
          <w:sz w:val="27"/>
        </w:rPr>
        <w:t>2.</w:t>
      </w:r>
      <w:r>
        <w:rPr>
          <w:color w:val="222222"/>
          <w:sz w:val="27"/>
        </w:rPr>
        <w:t>乙方未能按本合同规定的交货时间提供服务，从逾期之日起每日按本合同总价</w:t>
      </w:r>
      <w:r>
        <w:rPr>
          <w:color w:val="222222"/>
          <w:sz w:val="27"/>
        </w:rPr>
        <w:t>3‰</w:t>
      </w:r>
      <w:r>
        <w:rPr>
          <w:color w:val="222222"/>
          <w:sz w:val="27"/>
        </w:rPr>
        <w:t>的数额向甲方支付违约金；逾期半个月以上的，甲方有权终止合同，由此造成的甲方经济损失由乙方承担。</w:t>
      </w:r>
    </w:p>
    <w:p>
      <w:pPr>
        <w:jc w:val="both"/>
      </w:pPr>
      <w:r>
        <w:rPr>
          <w:color w:val="222222"/>
          <w:sz w:val="27"/>
        </w:rPr>
        <w:t>3.</w:t>
      </w:r>
      <w:r>
        <w:rPr>
          <w:color w:val="222222"/>
          <w:sz w:val="27"/>
        </w:rPr>
        <w:t>甲方无正当理由拒收接受服务，到期拒付服务款项的，甲方向乙方偿付本合同总的</w:t>
      </w:r>
      <w:r>
        <w:rPr>
          <w:color w:val="222222"/>
          <w:sz w:val="27"/>
        </w:rPr>
        <w:t>5%</w:t>
      </w:r>
      <w:r>
        <w:rPr>
          <w:color w:val="222222"/>
          <w:sz w:val="27"/>
        </w:rPr>
        <w:t>的违约金。甲方人逾期付款，则每日按本合同总价的</w:t>
      </w:r>
      <w:r>
        <w:rPr>
          <w:color w:val="222222"/>
          <w:sz w:val="27"/>
        </w:rPr>
        <w:t>3‰</w:t>
      </w:r>
      <w:r>
        <w:rPr>
          <w:color w:val="222222"/>
          <w:sz w:val="27"/>
        </w:rPr>
        <w:t>向乙方偿付违约金。</w:t>
      </w:r>
    </w:p>
    <w:p>
      <w:pPr>
        <w:jc w:val="both"/>
      </w:pPr>
      <w:r>
        <w:rPr>
          <w:color w:val="222222"/>
          <w:sz w:val="27"/>
        </w:rPr>
        <w:t>4.</w:t>
      </w:r>
      <w:r>
        <w:rPr>
          <w:color w:val="222222"/>
          <w:sz w:val="27"/>
        </w:rPr>
        <w:t>对于因甲方原因导致变更、中止或者终止政府采购合同的，甲方应当依照以下合同约定对供应商受到的损失予以赔偿或者补偿：</w:t>
      </w:r>
    </w:p>
    <w:p>
      <w:pPr>
        <w:jc w:val="both"/>
      </w:pPr>
      <w:r>
        <w:rPr>
          <w:sz w:val="21"/>
          <w:u w:val="single"/>
        </w:rPr>
        <w:t xml:space="preserve">                         </w:t>
      </w:r>
    </w:p>
    <w:p>
      <w:pPr>
        <w:jc w:val="both"/>
      </w:pPr>
      <w:r>
        <w:rPr>
          <w:color w:val="222222"/>
          <w:sz w:val="27"/>
        </w:rPr>
        <w:t>5.</w:t>
      </w:r>
      <w:r>
        <w:rPr>
          <w:color w:val="222222"/>
          <w:sz w:val="27"/>
        </w:rPr>
        <w:t>其它违约责任按《中华人民共和国民法典</w:t>
      </w:r>
      <w:r>
        <w:rPr>
          <w:color w:val="222222"/>
          <w:sz w:val="27"/>
        </w:rPr>
        <w:t>(</w:t>
      </w:r>
      <w:r>
        <w:rPr>
          <w:color w:val="222222"/>
          <w:sz w:val="27"/>
        </w:rPr>
        <w:t>合同编</w:t>
      </w:r>
      <w:r>
        <w:rPr>
          <w:color w:val="222222"/>
          <w:sz w:val="27"/>
        </w:rPr>
        <w:t>)</w:t>
      </w:r>
      <w:r>
        <w:rPr>
          <w:color w:val="222222"/>
          <w:sz w:val="27"/>
        </w:rPr>
        <w:t>》处理。</w:t>
      </w:r>
    </w:p>
    <w:p>
      <w:pPr>
        <w:jc w:val="both"/>
      </w:pPr>
      <w:r>
        <w:rPr>
          <w:b/>
          <w:color w:val="222222"/>
          <w:sz w:val="24"/>
        </w:rPr>
        <w:t>九、争议的解决</w:t>
      </w:r>
    </w:p>
    <w:p>
      <w:pPr>
        <w:ind w:firstLine="400"/>
        <w:jc w:val="both"/>
      </w:pPr>
      <w:r>
        <w:rPr>
          <w:color w:val="222222"/>
          <w:sz w:val="27"/>
        </w:rPr>
        <w:t>合同执行过程中发生的任何争议，如双方不能通过友好协商解决，按相关法律法规处理。</w:t>
      </w:r>
      <w:r>
        <w:rPr>
          <w:sz w:val="21"/>
        </w:rPr>
        <w:t xml:space="preserve">      </w:t>
      </w:r>
    </w:p>
    <w:p>
      <w:pPr>
        <w:jc w:val="both"/>
      </w:pPr>
      <w:r>
        <w:rPr>
          <w:b/>
          <w:color w:val="222222"/>
          <w:sz w:val="24"/>
        </w:rPr>
        <w:t>十、不可抗力</w:t>
      </w:r>
    </w:p>
    <w:p>
      <w:pPr>
        <w:jc w:val="both"/>
      </w:pPr>
      <w:r>
        <w:rPr>
          <w:color w:val="222222"/>
          <w:sz w:val="27"/>
        </w:rPr>
        <w:t>　　任何一方由于不可抗力原因不能履行合同时，应在不可抗力事件结束后</w:t>
      </w:r>
      <w:r>
        <w:rPr>
          <w:color w:val="222222"/>
          <w:sz w:val="27"/>
        </w:rPr>
        <w:t>1</w:t>
      </w:r>
      <w:r>
        <w:rPr>
          <w:color w:val="222222"/>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4"/>
        </w:rPr>
        <w:t>十一、税费</w:t>
      </w:r>
    </w:p>
    <w:p>
      <w:pPr>
        <w:jc w:val="both"/>
      </w:pPr>
      <w:r>
        <w:rPr>
          <w:color w:val="222222"/>
          <w:sz w:val="27"/>
        </w:rPr>
        <w:t>　　在中国境内、外发生的与本合同执行有关的一切税费均由乙方负担。</w:t>
      </w:r>
    </w:p>
    <w:p>
      <w:pPr>
        <w:jc w:val="both"/>
      </w:pPr>
      <w:r>
        <w:rPr>
          <w:b/>
          <w:color w:val="222222"/>
          <w:sz w:val="24"/>
        </w:rPr>
        <w:t>十二、其它</w:t>
      </w:r>
    </w:p>
    <w:p>
      <w:pPr>
        <w:jc w:val="both"/>
      </w:pPr>
      <w:r>
        <w:rPr>
          <w:color w:val="222222"/>
          <w:sz w:val="27"/>
        </w:rPr>
        <w:t>1.</w:t>
      </w:r>
      <w:r>
        <w:rPr>
          <w:color w:val="222222"/>
          <w:sz w:val="27"/>
        </w:rPr>
        <w:t>本合同所有附件、招标文件、投标文件、中标通知书均为合同的有效组成部分，与本合同具有同等法律效力。</w:t>
      </w:r>
    </w:p>
    <w:p>
      <w:pPr>
        <w:jc w:val="both"/>
      </w:pPr>
      <w:r>
        <w:rPr>
          <w:color w:val="222222"/>
          <w:sz w:val="27"/>
        </w:rPr>
        <w:t>2.</w:t>
      </w:r>
      <w:r>
        <w:rPr>
          <w:color w:val="222222"/>
          <w:sz w:val="27"/>
        </w:rPr>
        <w:t>在执行本合同的过程中，所有经双方签署确认的文件（包括会议纪要、补充协议、往来信函）即成为本合同的有效组成部分。</w:t>
      </w:r>
    </w:p>
    <w:p>
      <w:pPr>
        <w:jc w:val="both"/>
      </w:pPr>
      <w:r>
        <w:rPr>
          <w:color w:val="222222"/>
          <w:sz w:val="27"/>
        </w:rPr>
        <w:t>3.</w:t>
      </w:r>
      <w:r>
        <w:rPr>
          <w:color w:val="222222"/>
          <w:sz w:val="27"/>
        </w:rPr>
        <w:t>如一方地址、电话、传真号码有变更，应在变更当日内书面通知对方，否则，应承担相应责任。</w:t>
      </w:r>
    </w:p>
    <w:p>
      <w:pPr>
        <w:jc w:val="both"/>
      </w:pPr>
      <w:r>
        <w:rPr>
          <w:color w:val="222222"/>
          <w:sz w:val="27"/>
        </w:rPr>
        <w:t>4.</w:t>
      </w:r>
      <w:r>
        <w:rPr>
          <w:color w:val="222222"/>
          <w:sz w:val="27"/>
        </w:rPr>
        <w:t>除甲方事先书面同意外，乙方不得部分或全部转让其应履行的合同项下的义务。</w:t>
      </w:r>
    </w:p>
    <w:p>
      <w:pPr>
        <w:jc w:val="both"/>
      </w:pPr>
      <w:r>
        <w:rPr>
          <w:b/>
          <w:color w:val="222222"/>
          <w:sz w:val="24"/>
        </w:rPr>
        <w:t>十三、合同生效</w:t>
      </w:r>
    </w:p>
    <w:p>
      <w:pPr>
        <w:jc w:val="both"/>
      </w:pPr>
      <w:r>
        <w:rPr>
          <w:color w:val="222222"/>
          <w:sz w:val="27"/>
        </w:rPr>
        <w:t>1.</w:t>
      </w:r>
      <w:r>
        <w:rPr>
          <w:color w:val="222222"/>
          <w:sz w:val="27"/>
        </w:rPr>
        <w:t>本合同在甲乙双方法人代表或其授权代表签字盖章后生效。</w:t>
      </w:r>
    </w:p>
    <w:p>
      <w:pPr>
        <w:jc w:val="both"/>
      </w:pPr>
      <w:r>
        <w:rPr>
          <w:color w:val="222222"/>
          <w:sz w:val="27"/>
        </w:rPr>
        <w:t>2.</w:t>
      </w:r>
      <w:r>
        <w:rPr>
          <w:color w:val="222222"/>
          <w:sz w:val="27"/>
        </w:rPr>
        <w:t>合同一式</w:t>
      </w:r>
      <w:r>
        <w:rPr>
          <w:sz w:val="21"/>
          <w:u w:val="single"/>
        </w:rPr>
        <w:t xml:space="preserve">   </w:t>
      </w:r>
      <w:r>
        <w:rPr>
          <w:sz w:val="21"/>
        </w:rPr>
        <w:t xml:space="preserve"> </w:t>
      </w:r>
      <w:r>
        <w:rPr>
          <w:color w:val="222222"/>
          <w:sz w:val="27"/>
        </w:rPr>
        <w:t>份。</w:t>
      </w:r>
    </w:p>
    <w:p>
      <w:pPr>
        <w:jc w:val="both"/>
      </w:pPr>
      <w:r>
        <w:rPr>
          <w:sz w:val="21"/>
        </w:rPr>
        <w:t xml:space="preserve"> </w:t>
      </w:r>
    </w:p>
    <w:p>
      <w:pPr>
        <w:jc w:val="both"/>
      </w:pPr>
      <w:r>
        <w:rPr>
          <w:b/>
          <w:color w:val="222222"/>
          <w:sz w:val="24"/>
        </w:rPr>
        <w:t>甲方（盖章）：</w:t>
      </w:r>
      <w:r>
        <w:rPr>
          <w:b/>
          <w:color w:val="222222"/>
          <w:sz w:val="24"/>
        </w:rPr>
        <w:t xml:space="preserve">               </w:t>
      </w:r>
      <w:r>
        <w:rPr>
          <w:b/>
          <w:color w:val="222222"/>
          <w:sz w:val="24"/>
        </w:rPr>
        <w:t>乙方（盖章）：</w:t>
      </w:r>
    </w:p>
    <w:p>
      <w:pPr>
        <w:jc w:val="both"/>
      </w:pPr>
      <w:r>
        <w:rPr>
          <w:b/>
          <w:color w:val="222222"/>
          <w:sz w:val="24"/>
        </w:rPr>
        <w:t>代表：</w:t>
      </w:r>
      <w:r>
        <w:rPr>
          <w:b/>
          <w:color w:val="222222"/>
          <w:sz w:val="24"/>
        </w:rPr>
        <w:t xml:space="preserve">                      </w:t>
      </w:r>
      <w:r>
        <w:rPr>
          <w:b/>
          <w:color w:val="222222"/>
          <w:sz w:val="24"/>
        </w:rPr>
        <w:t>代表：</w:t>
      </w:r>
    </w:p>
    <w:p>
      <w:pPr>
        <w:jc w:val="both"/>
      </w:pPr>
      <w:r>
        <w:rPr>
          <w:color w:val="222222"/>
          <w:sz w:val="27"/>
        </w:rPr>
        <w:t>签定地点：</w:t>
      </w:r>
    </w:p>
    <w:p>
      <w:pPr>
        <w:jc w:val="both"/>
      </w:pPr>
      <w:r>
        <w:rPr>
          <w:color w:val="222222"/>
          <w:sz w:val="27"/>
        </w:rPr>
        <w:t>签定日期：　　　年　　月　　日</w:t>
      </w:r>
      <w:r>
        <w:rPr>
          <w:sz w:val="21"/>
        </w:rPr>
        <w:t xml:space="preserve"> </w:t>
      </w:r>
      <w:r>
        <w:rPr>
          <w:color w:val="222222"/>
          <w:sz w:val="27"/>
        </w:rPr>
        <w:t xml:space="preserve"> </w:t>
      </w:r>
      <w:r>
        <w:rPr>
          <w:color w:val="222222"/>
          <w:sz w:val="27"/>
        </w:rPr>
        <w:t>签定日期：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w:t>
      </w:r>
      <w:r>
        <w:rPr>
          <w:color w:val="222222"/>
          <w:sz w:val="27"/>
        </w:rPr>
        <w:t>户</w:t>
      </w:r>
      <w:r>
        <w:rPr>
          <w:color w:val="222222"/>
          <w:sz w:val="27"/>
        </w:rPr>
        <w:t>行：</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442000-2023-00225</w:t>
      </w:r>
    </w:p>
    <w:p>
      <w:pPr>
        <w:jc w:val="center"/>
      </w:pPr>
      <w:r>
        <w:rPr>
          <w:b/>
          <w:sz w:val="24"/>
        </w:rPr>
        <w:t>采购项目编号：</w:t>
      </w:r>
      <w:r>
        <w:rPr>
          <w:b/>
          <w:sz w:val="24"/>
        </w:rPr>
        <w:t>ZSJD23ZC0007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中山市体育彩票投注站2023年度日常维护、监管、巡查等工作服务项目</w:t>
      </w:r>
      <w:r>
        <w:rPr>
          <w:u w:val="single"/>
        </w:rPr>
        <w:t>”</w:t>
      </w:r>
      <w:r>
        <w:rPr/>
        <w:t>项目的竞争性磋商[采购项目编号为：</w:t>
      </w:r>
      <w:r>
        <w:rPr>
          <w:u w:val="single"/>
        </w:rPr>
        <w:t>ZSJD23ZC0007</w:t>
      </w:r>
      <w:r>
        <w:rPr/>
        <w:t>]，我方愿参与响应。</w:t>
      </w:r>
    </w:p>
    <w:p>
      <w:pPr>
        <w:ind w:firstLine="480"/>
      </w:pPr>
      <w:r>
        <w:rPr/>
        <w:t>我方确认收到贵方提供的</w:t>
      </w:r>
      <w:r>
        <w:rPr>
          <w:u w:val="single"/>
        </w:rPr>
        <w:t>“</w:t>
      </w:r>
      <w:r>
        <w:rPr>
          <w:u w:val="single"/>
        </w:rPr>
        <w:t>中山市体育彩票投注站2023年度日常维护、监管、巡查等工作服务项目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中山市体育彩票投注站2023年度日常维护、监管、巡查等工作服务项目</w:t>
      </w:r>
      <w:r>
        <w:rPr/>
        <w:t>”项目采购[采购项目编号为</w:t>
      </w:r>
      <w:r>
        <w:rPr/>
        <w:t>ZSJD23ZC0007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中山市体育彩票管理中心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中山市体育彩票投注站2023年度日常维护、监管、巡查等工作服务项目</w:t>
      </w:r>
      <w:r>
        <w:rPr/>
        <w:t>（采购项目编号：</w:t>
      </w:r>
      <w:r>
        <w:rPr/>
        <w:t>ZSJD23ZC0007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中山市体育彩票投注站2023年度日常维护、监管、巡查等工作服务项目</w:t>
      </w:r>
      <w:r>
        <w:rPr/>
        <w:t>”项目（采购项目编号：</w:t>
      </w:r>
      <w:r>
        <w:rPr/>
        <w:t>ZSJD23ZC0007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